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theme/themeOverride1.xml" ContentType="application/vnd.openxmlformats-officedocument.themeOverride+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18.xml" ContentType="application/vnd.openxmlformats-officedocument.drawingml.chart+xml"/>
  <Override PartName="/word/charts/chart19.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F7E" w:rsidRPr="00D3532E" w:rsidRDefault="00DB5F7E" w:rsidP="00EC5C92">
      <w:pPr>
        <w:tabs>
          <w:tab w:val="left" w:pos="720"/>
        </w:tabs>
        <w:spacing w:after="0" w:line="276" w:lineRule="auto"/>
        <w:jc w:val="right"/>
        <w:rPr>
          <w:rFonts w:ascii="Times New Roman" w:eastAsia="Times New Roman" w:hAnsi="Times New Roman" w:cs="Times New Roman"/>
          <w:bCs/>
          <w:sz w:val="28"/>
          <w:szCs w:val="28"/>
        </w:rPr>
      </w:pPr>
      <w:r w:rsidRPr="00D3532E">
        <w:rPr>
          <w:rFonts w:ascii="Times New Roman" w:eastAsia="Times New Roman" w:hAnsi="Times New Roman" w:cs="Times New Roman"/>
          <w:bCs/>
          <w:sz w:val="28"/>
          <w:szCs w:val="28"/>
        </w:rPr>
        <w:t>Anex</w:t>
      </w:r>
      <w:r w:rsidR="009C7217">
        <w:rPr>
          <w:rFonts w:ascii="Times New Roman" w:eastAsia="Times New Roman" w:hAnsi="Times New Roman" w:cs="Times New Roman"/>
          <w:bCs/>
          <w:sz w:val="28"/>
          <w:szCs w:val="28"/>
        </w:rPr>
        <w:t>ă</w:t>
      </w:r>
    </w:p>
    <w:p w:rsidR="00DB5F7E" w:rsidRPr="00D3532E" w:rsidRDefault="00DB5F7E" w:rsidP="00EC5C92">
      <w:pPr>
        <w:tabs>
          <w:tab w:val="left" w:pos="720"/>
        </w:tabs>
        <w:spacing w:after="0" w:line="276" w:lineRule="auto"/>
        <w:jc w:val="right"/>
        <w:rPr>
          <w:rFonts w:ascii="Times New Roman" w:eastAsia="Times New Roman" w:hAnsi="Times New Roman" w:cs="Times New Roman"/>
          <w:bCs/>
          <w:sz w:val="28"/>
          <w:szCs w:val="28"/>
        </w:rPr>
      </w:pPr>
      <w:r w:rsidRPr="00D3532E">
        <w:rPr>
          <w:rFonts w:ascii="Times New Roman" w:eastAsia="Times New Roman" w:hAnsi="Times New Roman" w:cs="Times New Roman"/>
          <w:bCs/>
          <w:sz w:val="28"/>
          <w:szCs w:val="28"/>
        </w:rPr>
        <w:t xml:space="preserve">la Hotărârea Curții de Conturi </w:t>
      </w:r>
    </w:p>
    <w:p w:rsidR="00DB5F7E" w:rsidRPr="00D3532E" w:rsidRDefault="00DB5F7E" w:rsidP="00EC5C92">
      <w:pPr>
        <w:tabs>
          <w:tab w:val="left" w:pos="720"/>
        </w:tabs>
        <w:spacing w:after="0" w:line="276" w:lineRule="auto"/>
        <w:jc w:val="right"/>
        <w:rPr>
          <w:rFonts w:ascii="Times New Roman" w:eastAsia="Times New Roman" w:hAnsi="Times New Roman" w:cs="Times New Roman"/>
          <w:bCs/>
          <w:color w:val="1F4E79" w:themeColor="accent1" w:themeShade="80"/>
          <w:sz w:val="28"/>
          <w:szCs w:val="28"/>
          <w:u w:val="single"/>
        </w:rPr>
      </w:pPr>
      <w:r w:rsidRPr="00D3532E">
        <w:rPr>
          <w:rFonts w:ascii="Times New Roman" w:eastAsia="Times New Roman" w:hAnsi="Times New Roman" w:cs="Times New Roman"/>
          <w:bCs/>
          <w:sz w:val="28"/>
          <w:szCs w:val="28"/>
        </w:rPr>
        <w:t>nr.</w:t>
      </w:r>
      <w:r w:rsidR="00351180" w:rsidRPr="00351180">
        <w:rPr>
          <w:rFonts w:ascii="Times New Roman" w:eastAsia="Times New Roman" w:hAnsi="Times New Roman" w:cs="Times New Roman"/>
          <w:bCs/>
          <w:sz w:val="28"/>
          <w:szCs w:val="28"/>
        </w:rPr>
        <w:t xml:space="preserve">24 </w:t>
      </w:r>
      <w:r w:rsidRPr="00D3532E">
        <w:rPr>
          <w:rFonts w:ascii="Times New Roman" w:eastAsia="Times New Roman" w:hAnsi="Times New Roman" w:cs="Times New Roman"/>
          <w:bCs/>
          <w:sz w:val="28"/>
          <w:szCs w:val="28"/>
        </w:rPr>
        <w:t>din</w:t>
      </w:r>
      <w:r w:rsidR="00905C20" w:rsidRPr="00D3532E">
        <w:rPr>
          <w:rFonts w:ascii="Times New Roman" w:eastAsia="Times New Roman" w:hAnsi="Times New Roman" w:cs="Times New Roman"/>
          <w:bCs/>
          <w:sz w:val="28"/>
          <w:szCs w:val="28"/>
        </w:rPr>
        <w:t xml:space="preserve"> 2</w:t>
      </w:r>
      <w:r w:rsidR="00397715">
        <w:rPr>
          <w:rFonts w:ascii="Times New Roman" w:eastAsia="Times New Roman" w:hAnsi="Times New Roman" w:cs="Times New Roman"/>
          <w:bCs/>
          <w:sz w:val="28"/>
          <w:szCs w:val="28"/>
        </w:rPr>
        <w:t>8</w:t>
      </w:r>
      <w:r w:rsidR="00BC5CFC" w:rsidRPr="00D3532E">
        <w:rPr>
          <w:rFonts w:ascii="Times New Roman" w:eastAsia="Times New Roman" w:hAnsi="Times New Roman" w:cs="Times New Roman"/>
          <w:bCs/>
          <w:sz w:val="28"/>
          <w:szCs w:val="28"/>
        </w:rPr>
        <w:t xml:space="preserve"> </w:t>
      </w:r>
      <w:r w:rsidR="00397715">
        <w:rPr>
          <w:rFonts w:ascii="Times New Roman" w:eastAsia="Times New Roman" w:hAnsi="Times New Roman" w:cs="Times New Roman"/>
          <w:bCs/>
          <w:sz w:val="28"/>
          <w:szCs w:val="28"/>
        </w:rPr>
        <w:t>mai</w:t>
      </w:r>
      <w:r w:rsidRPr="00D3532E">
        <w:rPr>
          <w:rFonts w:ascii="Times New Roman" w:eastAsia="Times New Roman" w:hAnsi="Times New Roman" w:cs="Times New Roman"/>
          <w:bCs/>
          <w:sz w:val="28"/>
          <w:szCs w:val="28"/>
        </w:rPr>
        <w:t xml:space="preserve"> 201</w:t>
      </w:r>
      <w:r w:rsidR="00397715">
        <w:rPr>
          <w:rFonts w:ascii="Times New Roman" w:eastAsia="Times New Roman" w:hAnsi="Times New Roman" w:cs="Times New Roman"/>
          <w:bCs/>
          <w:sz w:val="28"/>
          <w:szCs w:val="28"/>
        </w:rPr>
        <w:t>8</w:t>
      </w:r>
    </w:p>
    <w:p w:rsidR="00DB5F7E" w:rsidRPr="00D3532E" w:rsidRDefault="00DB5F7E" w:rsidP="00EC5C92">
      <w:pPr>
        <w:spacing w:after="0" w:line="276" w:lineRule="auto"/>
      </w:pPr>
    </w:p>
    <w:p w:rsidR="00DB5F7E" w:rsidRPr="00D3532E" w:rsidRDefault="00DB5F7E" w:rsidP="00EC5C92">
      <w:pPr>
        <w:spacing w:after="0" w:line="276" w:lineRule="auto"/>
      </w:pPr>
      <w:bookmarkStart w:id="0" w:name="_GoBack"/>
      <w:bookmarkEnd w:id="0"/>
    </w:p>
    <w:p w:rsidR="00DB5F7E" w:rsidRPr="00D3532E" w:rsidRDefault="00DB5F7E" w:rsidP="00DB5F7E">
      <w:pPr>
        <w:spacing w:after="0" w:line="240" w:lineRule="auto"/>
      </w:pPr>
    </w:p>
    <w:p w:rsidR="00DB5F7E" w:rsidRPr="00D3532E" w:rsidRDefault="00DB5F7E" w:rsidP="00DB5F7E">
      <w:pPr>
        <w:spacing w:after="0" w:line="240" w:lineRule="auto"/>
      </w:pPr>
    </w:p>
    <w:p w:rsidR="00DB5F7E" w:rsidRPr="00D3532E" w:rsidRDefault="00DB5F7E" w:rsidP="00DB5F7E">
      <w:pPr>
        <w:spacing w:after="0" w:line="240" w:lineRule="auto"/>
        <w:rPr>
          <w:rFonts w:ascii="Times New Roman" w:hAnsi="Times New Roman" w:cs="Times New Roman"/>
          <w:b/>
          <w:sz w:val="28"/>
          <w:szCs w:val="28"/>
        </w:rPr>
      </w:pPr>
      <w:r w:rsidRPr="00D3532E">
        <w:rPr>
          <w:noProof/>
          <w:lang w:val="ru-RU" w:eastAsia="ru-RU"/>
        </w:rPr>
        <w:drawing>
          <wp:anchor distT="0" distB="0" distL="114300" distR="114300" simplePos="0" relativeHeight="251659264" behindDoc="0" locked="0" layoutInCell="1" allowOverlap="1" wp14:anchorId="7AB87175" wp14:editId="10E57E55">
            <wp:simplePos x="0" y="0"/>
            <wp:positionH relativeFrom="column">
              <wp:posOffset>78105</wp:posOffset>
            </wp:positionH>
            <wp:positionV relativeFrom="page">
              <wp:posOffset>2161540</wp:posOffset>
            </wp:positionV>
            <wp:extent cx="941832" cy="941832"/>
            <wp:effectExtent l="0" t="0" r="0" b="0"/>
            <wp:wrapSquare wrapText="bothSides"/>
            <wp:docPr id="4" name="Picture 4" descr="C:\Users\a_curchin\AppData\Local\Microsoft\Windows\INetCache\Content.Outlook\K1NJ7J5M\Insigna CCRM blu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_curchin\AppData\Local\Microsoft\Windows\INetCache\Content.Outlook\K1NJ7J5M\Insigna CCRM blue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1832" cy="94183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3532E">
        <w:rPr>
          <w:rFonts w:ascii="Times New Roman" w:hAnsi="Times New Roman" w:cs="Times New Roman"/>
          <w:b/>
          <w:sz w:val="28"/>
          <w:szCs w:val="28"/>
        </w:rPr>
        <w:t>CURTEA DE CONTURI A REPUBLICII MOLDOVA</w:t>
      </w:r>
    </w:p>
    <w:p w:rsidR="00DB5F7E" w:rsidRPr="00D3532E" w:rsidRDefault="00DB5F7E" w:rsidP="00DB5F7E">
      <w:pPr>
        <w:tabs>
          <w:tab w:val="left" w:pos="720"/>
        </w:tabs>
        <w:spacing w:after="0" w:line="240" w:lineRule="auto"/>
        <w:jc w:val="right"/>
        <w:rPr>
          <w:rFonts w:ascii="Times New Roman" w:eastAsia="Times New Roman" w:hAnsi="Times New Roman" w:cs="Times New Roman"/>
          <w:b/>
          <w:bCs/>
          <w:color w:val="1F4E79" w:themeColor="accent1" w:themeShade="80"/>
          <w:sz w:val="24"/>
          <w:szCs w:val="24"/>
        </w:rPr>
      </w:pPr>
    </w:p>
    <w:tbl>
      <w:tblPr>
        <w:tblStyle w:val="TableGrid1"/>
        <w:tblW w:w="0" w:type="auto"/>
        <w:tblBorders>
          <w:top w:val="thinThickSmallGap" w:sz="12" w:space="0" w:color="auto"/>
          <w:left w:val="none" w:sz="0" w:space="0" w:color="auto"/>
          <w:bottom w:val="thickThinSmallGap" w:sz="12"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DB5F7E" w:rsidRPr="00B45AF1" w:rsidTr="000107AB">
        <w:trPr>
          <w:trHeight w:val="435"/>
        </w:trPr>
        <w:tc>
          <w:tcPr>
            <w:tcW w:w="9350" w:type="dxa"/>
          </w:tcPr>
          <w:p w:rsidR="00DB5F7E" w:rsidRPr="00D3532E" w:rsidRDefault="00DB5F7E" w:rsidP="000107AB">
            <w:pPr>
              <w:tabs>
                <w:tab w:val="left" w:pos="720"/>
              </w:tabs>
              <w:jc w:val="center"/>
              <w:rPr>
                <w:rFonts w:ascii="Times New Roman" w:hAnsi="Times New Roman" w:cs="Times New Roman"/>
                <w:b/>
                <w:color w:val="0563C1" w:themeColor="hyperlink"/>
                <w:sz w:val="18"/>
                <w:szCs w:val="18"/>
                <w:u w:val="single"/>
              </w:rPr>
            </w:pPr>
            <w:r w:rsidRPr="00D3532E">
              <w:rPr>
                <w:rFonts w:ascii="Times New Roman" w:hAnsi="Times New Roman" w:cs="Times New Roman"/>
                <w:sz w:val="18"/>
                <w:szCs w:val="18"/>
              </w:rPr>
              <w:t xml:space="preserve">MD-2001, mun. Chișinău, bd. </w:t>
            </w:r>
            <w:r w:rsidR="00882168" w:rsidRPr="00D3532E">
              <w:rPr>
                <w:rFonts w:ascii="Times New Roman" w:hAnsi="Times New Roman" w:cs="Times New Roman"/>
                <w:sz w:val="18"/>
                <w:szCs w:val="18"/>
              </w:rPr>
              <w:t>Ștefan</w:t>
            </w:r>
            <w:r w:rsidRPr="00D3532E">
              <w:rPr>
                <w:rFonts w:ascii="Times New Roman" w:hAnsi="Times New Roman" w:cs="Times New Roman"/>
                <w:sz w:val="18"/>
                <w:szCs w:val="18"/>
              </w:rPr>
              <w:t xml:space="preserve"> cel Mare și Sfânt, nr.69, tel.: (+373) 22 23 25 79, fax: (+373) 22 23 30 20, </w:t>
            </w:r>
            <w:hyperlink r:id="rId9" w:history="1">
              <w:r w:rsidRPr="00D3532E">
                <w:rPr>
                  <w:rStyle w:val="a4"/>
                  <w:rFonts w:ascii="Times New Roman" w:hAnsi="Times New Roman" w:cs="Times New Roman"/>
                  <w:b/>
                  <w:sz w:val="18"/>
                  <w:szCs w:val="18"/>
                </w:rPr>
                <w:t>www.ccrm.md</w:t>
              </w:r>
            </w:hyperlink>
            <w:r w:rsidRPr="00D3532E">
              <w:rPr>
                <w:rStyle w:val="a4"/>
                <w:rFonts w:ascii="Times New Roman" w:hAnsi="Times New Roman" w:cs="Times New Roman"/>
                <w:b/>
                <w:sz w:val="18"/>
                <w:szCs w:val="18"/>
              </w:rPr>
              <w:t>;</w:t>
            </w:r>
            <w:r w:rsidR="00F633FF" w:rsidRPr="00D3532E">
              <w:rPr>
                <w:rStyle w:val="a4"/>
                <w:rFonts w:ascii="Times New Roman" w:hAnsi="Times New Roman" w:cs="Times New Roman"/>
                <w:b/>
                <w:sz w:val="18"/>
                <w:szCs w:val="18"/>
              </w:rPr>
              <w:t xml:space="preserve"> </w:t>
            </w:r>
            <w:r w:rsidRPr="00D3532E">
              <w:rPr>
                <w:rFonts w:ascii="Times New Roman" w:hAnsi="Times New Roman" w:cs="Times New Roman"/>
                <w:sz w:val="18"/>
                <w:szCs w:val="18"/>
              </w:rPr>
              <w:t xml:space="preserve">e-mail: </w:t>
            </w:r>
            <w:hyperlink r:id="rId10" w:history="1">
              <w:r w:rsidRPr="00D3532E">
                <w:rPr>
                  <w:rStyle w:val="a4"/>
                  <w:rFonts w:ascii="Times New Roman" w:hAnsi="Times New Roman" w:cs="Times New Roman"/>
                  <w:b/>
                  <w:sz w:val="18"/>
                  <w:szCs w:val="18"/>
                </w:rPr>
                <w:t>ccrm@ccrm.md</w:t>
              </w:r>
            </w:hyperlink>
          </w:p>
        </w:tc>
      </w:tr>
    </w:tbl>
    <w:p w:rsidR="00DB5F7E" w:rsidRPr="00D3532E" w:rsidRDefault="00DB5F7E" w:rsidP="00DB5F7E">
      <w:pPr>
        <w:tabs>
          <w:tab w:val="left" w:pos="720"/>
        </w:tabs>
        <w:spacing w:after="0" w:line="240" w:lineRule="auto"/>
        <w:jc w:val="right"/>
        <w:rPr>
          <w:rFonts w:ascii="Times New Roman" w:eastAsia="Times New Roman" w:hAnsi="Times New Roman" w:cs="Times New Roman"/>
          <w:b/>
          <w:bCs/>
          <w:color w:val="1F4E79" w:themeColor="accent1" w:themeShade="80"/>
          <w:sz w:val="24"/>
          <w:szCs w:val="24"/>
        </w:rPr>
      </w:pPr>
    </w:p>
    <w:p w:rsidR="00DB5F7E" w:rsidRPr="00D3532E" w:rsidRDefault="00DB5F7E" w:rsidP="00DB5F7E">
      <w:pPr>
        <w:tabs>
          <w:tab w:val="left" w:pos="720"/>
        </w:tabs>
        <w:spacing w:after="0" w:line="240" w:lineRule="auto"/>
        <w:jc w:val="right"/>
        <w:rPr>
          <w:rFonts w:ascii="Times New Roman" w:eastAsia="Times New Roman" w:hAnsi="Times New Roman" w:cs="Times New Roman"/>
          <w:b/>
          <w:bCs/>
          <w:color w:val="1F4E79" w:themeColor="accent1" w:themeShade="80"/>
          <w:sz w:val="24"/>
          <w:szCs w:val="24"/>
        </w:rPr>
      </w:pPr>
    </w:p>
    <w:p w:rsidR="00DB5F7E" w:rsidRPr="00D3532E" w:rsidRDefault="00DB5F7E" w:rsidP="00DB5F7E">
      <w:pPr>
        <w:tabs>
          <w:tab w:val="left" w:pos="720"/>
        </w:tabs>
        <w:spacing w:after="0" w:line="240" w:lineRule="auto"/>
        <w:jc w:val="right"/>
        <w:rPr>
          <w:rFonts w:ascii="Times New Roman" w:eastAsia="Times New Roman" w:hAnsi="Times New Roman" w:cs="Times New Roman"/>
          <w:b/>
          <w:bCs/>
          <w:color w:val="1F4E79" w:themeColor="accent1" w:themeShade="80"/>
          <w:sz w:val="24"/>
          <w:szCs w:val="24"/>
        </w:rPr>
      </w:pPr>
    </w:p>
    <w:p w:rsidR="00DB5F7E" w:rsidRPr="00D3532E" w:rsidRDefault="00DB5F7E" w:rsidP="00DB5F7E">
      <w:pPr>
        <w:tabs>
          <w:tab w:val="left" w:pos="720"/>
        </w:tabs>
        <w:spacing w:after="0" w:line="240" w:lineRule="auto"/>
        <w:jc w:val="right"/>
        <w:rPr>
          <w:rFonts w:ascii="Times New Roman" w:eastAsia="Times New Roman" w:hAnsi="Times New Roman" w:cs="Times New Roman"/>
          <w:b/>
          <w:bCs/>
          <w:color w:val="1F4E79" w:themeColor="accent1" w:themeShade="80"/>
          <w:sz w:val="24"/>
          <w:szCs w:val="24"/>
        </w:rPr>
      </w:pPr>
    </w:p>
    <w:p w:rsidR="00DB5F7E" w:rsidRPr="00D3532E" w:rsidRDefault="00DB5F7E" w:rsidP="00DB5F7E">
      <w:pPr>
        <w:tabs>
          <w:tab w:val="left" w:pos="720"/>
        </w:tabs>
        <w:spacing w:after="0" w:line="240" w:lineRule="auto"/>
        <w:jc w:val="right"/>
        <w:rPr>
          <w:rFonts w:ascii="Times New Roman" w:eastAsia="Times New Roman" w:hAnsi="Times New Roman" w:cs="Times New Roman"/>
          <w:b/>
          <w:bCs/>
          <w:color w:val="1F4E79" w:themeColor="accent1" w:themeShade="80"/>
          <w:sz w:val="24"/>
          <w:szCs w:val="24"/>
        </w:rPr>
      </w:pPr>
    </w:p>
    <w:p w:rsidR="00DB5F7E" w:rsidRPr="00D3532E" w:rsidRDefault="00DB5F7E" w:rsidP="00DB5F7E">
      <w:pPr>
        <w:tabs>
          <w:tab w:val="left" w:pos="720"/>
        </w:tabs>
        <w:spacing w:after="0" w:line="240" w:lineRule="auto"/>
        <w:jc w:val="center"/>
        <w:rPr>
          <w:rFonts w:ascii="Times New Roman" w:eastAsia="Times New Roman" w:hAnsi="Times New Roman" w:cs="Times New Roman"/>
          <w:b/>
          <w:bCs/>
          <w:color w:val="1F4E79" w:themeColor="accent1" w:themeShade="80"/>
          <w:sz w:val="24"/>
          <w:szCs w:val="24"/>
        </w:rPr>
      </w:pPr>
    </w:p>
    <w:p w:rsidR="00DB5F7E" w:rsidRPr="00D3532E" w:rsidRDefault="00DB5F7E" w:rsidP="00EC5C92">
      <w:pPr>
        <w:tabs>
          <w:tab w:val="left" w:pos="720"/>
        </w:tabs>
        <w:spacing w:after="0" w:line="276" w:lineRule="auto"/>
        <w:ind w:firstLine="720"/>
        <w:jc w:val="center"/>
        <w:rPr>
          <w:rFonts w:ascii="Times New Roman" w:eastAsia="Times New Roman" w:hAnsi="Times New Roman" w:cs="Times New Roman"/>
          <w:b/>
          <w:bCs/>
          <w:sz w:val="32"/>
          <w:szCs w:val="32"/>
        </w:rPr>
      </w:pPr>
    </w:p>
    <w:p w:rsidR="00DB5F7E" w:rsidRPr="00D3532E" w:rsidRDefault="00DB5F7E" w:rsidP="00EC5C92">
      <w:pPr>
        <w:tabs>
          <w:tab w:val="left" w:pos="720"/>
        </w:tabs>
        <w:spacing w:after="0" w:line="276" w:lineRule="auto"/>
        <w:ind w:firstLine="720"/>
        <w:jc w:val="center"/>
        <w:rPr>
          <w:rFonts w:ascii="Times New Roman" w:eastAsia="Times New Roman" w:hAnsi="Times New Roman" w:cs="Times New Roman"/>
          <w:b/>
          <w:bCs/>
          <w:sz w:val="32"/>
          <w:szCs w:val="32"/>
        </w:rPr>
      </w:pPr>
      <w:r w:rsidRPr="00D3532E">
        <w:rPr>
          <w:rFonts w:ascii="Times New Roman" w:eastAsia="Times New Roman" w:hAnsi="Times New Roman" w:cs="Times New Roman"/>
          <w:b/>
          <w:bCs/>
          <w:sz w:val="32"/>
          <w:szCs w:val="32"/>
        </w:rPr>
        <w:t xml:space="preserve">RAPORTUL </w:t>
      </w:r>
    </w:p>
    <w:p w:rsidR="00641BE0" w:rsidRPr="00D3532E" w:rsidRDefault="00641BE0" w:rsidP="00EC5C92">
      <w:pPr>
        <w:tabs>
          <w:tab w:val="left" w:pos="720"/>
        </w:tabs>
        <w:spacing w:after="0" w:line="276" w:lineRule="auto"/>
        <w:ind w:firstLine="720"/>
        <w:jc w:val="center"/>
        <w:rPr>
          <w:rFonts w:ascii="Times New Roman" w:eastAsia="Times New Roman" w:hAnsi="Times New Roman" w:cs="Times New Roman"/>
          <w:b/>
          <w:bCs/>
          <w:sz w:val="32"/>
          <w:szCs w:val="32"/>
        </w:rPr>
      </w:pPr>
    </w:p>
    <w:p w:rsidR="00641BE0" w:rsidRPr="00D3532E" w:rsidRDefault="00641BE0" w:rsidP="00EC5C92">
      <w:pPr>
        <w:tabs>
          <w:tab w:val="left" w:pos="720"/>
        </w:tabs>
        <w:spacing w:after="0" w:line="276" w:lineRule="auto"/>
        <w:ind w:firstLine="720"/>
        <w:jc w:val="center"/>
        <w:rPr>
          <w:rFonts w:ascii="Times New Roman" w:eastAsia="Times New Roman" w:hAnsi="Times New Roman" w:cs="Times New Roman"/>
          <w:b/>
          <w:bCs/>
          <w:sz w:val="32"/>
          <w:szCs w:val="32"/>
        </w:rPr>
      </w:pPr>
      <w:r w:rsidRPr="00D3532E">
        <w:rPr>
          <w:rFonts w:ascii="Times New Roman" w:eastAsia="Times New Roman" w:hAnsi="Times New Roman" w:cs="Times New Roman"/>
          <w:b/>
          <w:bCs/>
          <w:sz w:val="32"/>
          <w:szCs w:val="32"/>
        </w:rPr>
        <w:t xml:space="preserve">auditului financiar </w:t>
      </w:r>
      <w:r w:rsidR="00397715">
        <w:rPr>
          <w:rFonts w:ascii="Times New Roman" w:eastAsia="Times New Roman" w:hAnsi="Times New Roman" w:cs="Times New Roman"/>
          <w:b/>
          <w:bCs/>
          <w:sz w:val="32"/>
          <w:szCs w:val="32"/>
        </w:rPr>
        <w:t>al Raportului Guvernului privind executarea</w:t>
      </w:r>
      <w:r w:rsidRPr="00D3532E">
        <w:rPr>
          <w:rFonts w:ascii="Times New Roman" w:eastAsia="Times New Roman" w:hAnsi="Times New Roman" w:cs="Times New Roman"/>
          <w:b/>
          <w:bCs/>
          <w:sz w:val="32"/>
          <w:szCs w:val="32"/>
        </w:rPr>
        <w:t xml:space="preserve"> </w:t>
      </w:r>
      <w:r w:rsidR="00397715">
        <w:rPr>
          <w:rFonts w:ascii="Times New Roman" w:eastAsia="Times New Roman" w:hAnsi="Times New Roman" w:cs="Times New Roman"/>
          <w:b/>
          <w:bCs/>
          <w:sz w:val="32"/>
          <w:szCs w:val="32"/>
        </w:rPr>
        <w:t>bugetului de stat pe anul 2017</w:t>
      </w:r>
    </w:p>
    <w:p w:rsidR="00663798" w:rsidRPr="00B45AF1" w:rsidRDefault="00663798" w:rsidP="00EC5C92">
      <w:pPr>
        <w:spacing w:line="276" w:lineRule="auto"/>
        <w:rPr>
          <w:rFonts w:ascii="Times New Roman" w:hAnsi="Times New Roman" w:cs="Times New Roman"/>
          <w:sz w:val="24"/>
          <w:szCs w:val="24"/>
        </w:rPr>
      </w:pPr>
    </w:p>
    <w:p w:rsidR="004D70BD" w:rsidRPr="00A01DFE" w:rsidRDefault="004D70BD" w:rsidP="00EC5C92">
      <w:pPr>
        <w:spacing w:line="276" w:lineRule="auto"/>
        <w:rPr>
          <w:rFonts w:ascii="Times New Roman" w:hAnsi="Times New Roman" w:cs="Times New Roman"/>
          <w:sz w:val="24"/>
          <w:szCs w:val="24"/>
        </w:rPr>
      </w:pPr>
    </w:p>
    <w:p w:rsidR="004D70BD" w:rsidRPr="00B45AF1" w:rsidRDefault="004D70BD" w:rsidP="00EC5C92">
      <w:pPr>
        <w:spacing w:line="276" w:lineRule="auto"/>
        <w:rPr>
          <w:rFonts w:ascii="Times New Roman" w:hAnsi="Times New Roman" w:cs="Times New Roman"/>
          <w:sz w:val="24"/>
          <w:szCs w:val="24"/>
        </w:rPr>
      </w:pPr>
    </w:p>
    <w:p w:rsidR="004D70BD" w:rsidRPr="00B45AF1" w:rsidRDefault="004D70BD" w:rsidP="00EC5C92">
      <w:pPr>
        <w:spacing w:line="276" w:lineRule="auto"/>
        <w:rPr>
          <w:rFonts w:ascii="Times New Roman" w:hAnsi="Times New Roman" w:cs="Times New Roman"/>
          <w:sz w:val="24"/>
          <w:szCs w:val="24"/>
        </w:rPr>
      </w:pPr>
    </w:p>
    <w:p w:rsidR="004D70BD" w:rsidRPr="00B45AF1" w:rsidRDefault="004D70BD" w:rsidP="00EC5C92">
      <w:pPr>
        <w:spacing w:line="276" w:lineRule="auto"/>
        <w:rPr>
          <w:rFonts w:ascii="Times New Roman" w:hAnsi="Times New Roman" w:cs="Times New Roman"/>
          <w:sz w:val="24"/>
          <w:szCs w:val="24"/>
        </w:rPr>
      </w:pPr>
    </w:p>
    <w:p w:rsidR="004D70BD" w:rsidRPr="00B45AF1" w:rsidRDefault="004D70BD">
      <w:pPr>
        <w:rPr>
          <w:rFonts w:ascii="Times New Roman" w:hAnsi="Times New Roman" w:cs="Times New Roman"/>
          <w:sz w:val="24"/>
          <w:szCs w:val="24"/>
        </w:rPr>
      </w:pPr>
    </w:p>
    <w:p w:rsidR="004D70BD" w:rsidRPr="00B45AF1" w:rsidRDefault="004D70BD">
      <w:pPr>
        <w:rPr>
          <w:rFonts w:ascii="Times New Roman" w:hAnsi="Times New Roman" w:cs="Times New Roman"/>
          <w:sz w:val="24"/>
          <w:szCs w:val="24"/>
        </w:rPr>
      </w:pPr>
    </w:p>
    <w:p w:rsidR="004D70BD" w:rsidRPr="00B45AF1" w:rsidRDefault="004D70BD">
      <w:pPr>
        <w:rPr>
          <w:rFonts w:ascii="Times New Roman" w:hAnsi="Times New Roman" w:cs="Times New Roman"/>
          <w:sz w:val="24"/>
          <w:szCs w:val="24"/>
        </w:rPr>
      </w:pPr>
    </w:p>
    <w:p w:rsidR="004D70BD" w:rsidRDefault="004D70BD">
      <w:pPr>
        <w:rPr>
          <w:rFonts w:ascii="Times New Roman" w:hAnsi="Times New Roman" w:cs="Times New Roman"/>
          <w:sz w:val="24"/>
          <w:szCs w:val="24"/>
        </w:rPr>
      </w:pPr>
    </w:p>
    <w:p w:rsidR="00BB0879" w:rsidRPr="00B45AF1" w:rsidRDefault="00BB0879">
      <w:pPr>
        <w:rPr>
          <w:rFonts w:ascii="Times New Roman" w:hAnsi="Times New Roman" w:cs="Times New Roman"/>
          <w:sz w:val="24"/>
          <w:szCs w:val="24"/>
        </w:rPr>
      </w:pPr>
    </w:p>
    <w:p w:rsidR="004D70BD" w:rsidRPr="00B45AF1" w:rsidRDefault="004D70BD">
      <w:pPr>
        <w:rPr>
          <w:rFonts w:ascii="Times New Roman" w:hAnsi="Times New Roman" w:cs="Times New Roman"/>
          <w:sz w:val="24"/>
          <w:szCs w:val="24"/>
        </w:rPr>
      </w:pPr>
    </w:p>
    <w:sdt>
      <w:sdtPr>
        <w:rPr>
          <w:rFonts w:asciiTheme="minorHAnsi" w:eastAsiaTheme="minorHAnsi" w:hAnsiTheme="minorHAnsi" w:cstheme="minorBidi"/>
          <w:color w:val="auto"/>
          <w:sz w:val="22"/>
          <w:szCs w:val="22"/>
          <w:lang w:val="ro-RO"/>
        </w:rPr>
        <w:id w:val="-360900448"/>
        <w:docPartObj>
          <w:docPartGallery w:val="Table of Contents"/>
          <w:docPartUnique/>
        </w:docPartObj>
      </w:sdtPr>
      <w:sdtEndPr>
        <w:rPr>
          <w:b/>
          <w:bCs/>
          <w:noProof/>
        </w:rPr>
      </w:sdtEndPr>
      <w:sdtContent>
        <w:p w:rsidR="008C13A8" w:rsidRPr="00684D5D" w:rsidRDefault="008C13A8" w:rsidP="008C13A8">
          <w:pPr>
            <w:pStyle w:val="af3"/>
            <w:jc w:val="center"/>
            <w:rPr>
              <w:rFonts w:ascii="Times New Roman" w:hAnsi="Times New Roman" w:cs="Times New Roman"/>
              <w:b/>
              <w:i/>
              <w:color w:val="000000" w:themeColor="text1"/>
              <w:szCs w:val="20"/>
              <w:lang w:val="ro-RO"/>
            </w:rPr>
          </w:pPr>
          <w:r w:rsidRPr="00684D5D">
            <w:rPr>
              <w:rFonts w:ascii="Times New Roman" w:hAnsi="Times New Roman" w:cs="Times New Roman"/>
              <w:b/>
              <w:i/>
              <w:color w:val="000000" w:themeColor="text1"/>
              <w:szCs w:val="20"/>
              <w:lang w:val="ro-RO"/>
            </w:rPr>
            <w:t>CUPRINS</w:t>
          </w:r>
        </w:p>
        <w:p w:rsidR="00C47842" w:rsidRPr="00C47842" w:rsidRDefault="008C13A8" w:rsidP="008A3DFD">
          <w:pPr>
            <w:pStyle w:val="12"/>
            <w:spacing w:line="240" w:lineRule="auto"/>
            <w:rPr>
              <w:rFonts w:ascii="Times New Roman" w:eastAsiaTheme="minorEastAsia" w:hAnsi="Times New Roman" w:cs="Times New Roman"/>
              <w:noProof/>
              <w:sz w:val="20"/>
              <w:szCs w:val="20"/>
              <w:lang w:val="en-US"/>
            </w:rPr>
          </w:pPr>
          <w:r w:rsidRPr="00C47842">
            <w:rPr>
              <w:rFonts w:ascii="Times New Roman" w:hAnsi="Times New Roman" w:cs="Times New Roman"/>
              <w:sz w:val="20"/>
              <w:szCs w:val="20"/>
            </w:rPr>
            <w:fldChar w:fldCharType="begin"/>
          </w:r>
          <w:r w:rsidRPr="00C47842">
            <w:rPr>
              <w:rFonts w:ascii="Times New Roman" w:hAnsi="Times New Roman" w:cs="Times New Roman"/>
              <w:sz w:val="20"/>
              <w:szCs w:val="20"/>
            </w:rPr>
            <w:instrText xml:space="preserve"> TOC \o "1-3" \h \z \u </w:instrText>
          </w:r>
          <w:r w:rsidRPr="00C47842">
            <w:rPr>
              <w:rFonts w:ascii="Times New Roman" w:hAnsi="Times New Roman" w:cs="Times New Roman"/>
              <w:sz w:val="20"/>
              <w:szCs w:val="20"/>
            </w:rPr>
            <w:fldChar w:fldCharType="separate"/>
          </w:r>
          <w:hyperlink w:anchor="_Toc515518976" w:history="1">
            <w:r w:rsidR="00C47842" w:rsidRPr="00C47842">
              <w:rPr>
                <w:rStyle w:val="a4"/>
                <w:rFonts w:ascii="Times New Roman" w:eastAsia="Times New Roman" w:hAnsi="Times New Roman" w:cs="Times New Roman"/>
                <w:b/>
                <w:noProof/>
                <w:sz w:val="20"/>
                <w:szCs w:val="20"/>
                <w:lang w:eastAsia="ru-RU"/>
              </w:rPr>
              <w:t>Lista acronimelor</w:t>
            </w:r>
            <w:r w:rsidR="00C47842" w:rsidRPr="00C47842">
              <w:rPr>
                <w:rFonts w:ascii="Times New Roman" w:hAnsi="Times New Roman" w:cs="Times New Roman"/>
                <w:noProof/>
                <w:webHidden/>
                <w:sz w:val="20"/>
                <w:szCs w:val="20"/>
              </w:rPr>
              <w:tab/>
            </w:r>
            <w:r w:rsidR="00C47842" w:rsidRPr="00C47842">
              <w:rPr>
                <w:rFonts w:ascii="Times New Roman" w:hAnsi="Times New Roman" w:cs="Times New Roman"/>
                <w:noProof/>
                <w:webHidden/>
                <w:sz w:val="20"/>
                <w:szCs w:val="20"/>
              </w:rPr>
              <w:fldChar w:fldCharType="begin"/>
            </w:r>
            <w:r w:rsidR="00C47842" w:rsidRPr="00C47842">
              <w:rPr>
                <w:rFonts w:ascii="Times New Roman" w:hAnsi="Times New Roman" w:cs="Times New Roman"/>
                <w:noProof/>
                <w:webHidden/>
                <w:sz w:val="20"/>
                <w:szCs w:val="20"/>
              </w:rPr>
              <w:instrText xml:space="preserve"> PAGEREF _Toc515518976 \h </w:instrText>
            </w:r>
            <w:r w:rsidR="00C47842" w:rsidRPr="00C47842">
              <w:rPr>
                <w:rFonts w:ascii="Times New Roman" w:hAnsi="Times New Roman" w:cs="Times New Roman"/>
                <w:noProof/>
                <w:webHidden/>
                <w:sz w:val="20"/>
                <w:szCs w:val="20"/>
              </w:rPr>
            </w:r>
            <w:r w:rsidR="00C47842" w:rsidRPr="00C47842">
              <w:rPr>
                <w:rFonts w:ascii="Times New Roman" w:hAnsi="Times New Roman" w:cs="Times New Roman"/>
                <w:noProof/>
                <w:webHidden/>
                <w:sz w:val="20"/>
                <w:szCs w:val="20"/>
              </w:rPr>
              <w:fldChar w:fldCharType="separate"/>
            </w:r>
            <w:r w:rsidR="00395074">
              <w:rPr>
                <w:rFonts w:ascii="Times New Roman" w:hAnsi="Times New Roman" w:cs="Times New Roman"/>
                <w:noProof/>
                <w:webHidden/>
                <w:sz w:val="20"/>
                <w:szCs w:val="20"/>
              </w:rPr>
              <w:t>3</w:t>
            </w:r>
            <w:r w:rsidR="00C47842" w:rsidRPr="00C47842">
              <w:rPr>
                <w:rFonts w:ascii="Times New Roman" w:hAnsi="Times New Roman" w:cs="Times New Roman"/>
                <w:noProof/>
                <w:webHidden/>
                <w:sz w:val="20"/>
                <w:szCs w:val="20"/>
              </w:rPr>
              <w:fldChar w:fldCharType="end"/>
            </w:r>
          </w:hyperlink>
        </w:p>
        <w:p w:rsidR="00C47842" w:rsidRPr="00C47842" w:rsidRDefault="006D049D" w:rsidP="008A3DFD">
          <w:pPr>
            <w:pStyle w:val="12"/>
            <w:spacing w:line="240" w:lineRule="auto"/>
            <w:rPr>
              <w:rFonts w:ascii="Times New Roman" w:eastAsiaTheme="minorEastAsia" w:hAnsi="Times New Roman" w:cs="Times New Roman"/>
              <w:noProof/>
              <w:sz w:val="20"/>
              <w:szCs w:val="20"/>
              <w:lang w:val="en-US"/>
            </w:rPr>
          </w:pPr>
          <w:hyperlink w:anchor="_Toc515518977" w:history="1">
            <w:r w:rsidR="00C47842" w:rsidRPr="00C47842">
              <w:rPr>
                <w:rStyle w:val="a4"/>
                <w:rFonts w:ascii="Times New Roman" w:eastAsia="Times New Roman" w:hAnsi="Times New Roman" w:cs="Times New Roman"/>
                <w:b/>
                <w:noProof/>
                <w:sz w:val="20"/>
                <w:szCs w:val="20"/>
                <w:lang w:eastAsia="ru-RU"/>
              </w:rPr>
              <w:t>I.</w:t>
            </w:r>
            <w:r w:rsidR="00C47842" w:rsidRPr="00C47842">
              <w:rPr>
                <w:rFonts w:ascii="Times New Roman" w:eastAsiaTheme="minorEastAsia" w:hAnsi="Times New Roman" w:cs="Times New Roman"/>
                <w:noProof/>
                <w:sz w:val="20"/>
                <w:szCs w:val="20"/>
                <w:lang w:val="en-US"/>
              </w:rPr>
              <w:tab/>
            </w:r>
            <w:r w:rsidR="00C47842" w:rsidRPr="00C47842">
              <w:rPr>
                <w:rStyle w:val="a4"/>
                <w:rFonts w:ascii="Times New Roman" w:eastAsia="Times New Roman" w:hAnsi="Times New Roman" w:cs="Times New Roman"/>
                <w:b/>
                <w:bCs/>
                <w:noProof/>
                <w:sz w:val="20"/>
                <w:szCs w:val="20"/>
              </w:rPr>
              <w:t>OPINIE CU REZERVE PRIVIND  RAPORTUL GUVERNULUI PRIVIND EXECUTAREA BUGETULUI DE STAT PE ANUL 2017</w:t>
            </w:r>
            <w:r w:rsidR="00C47842" w:rsidRPr="00C47842">
              <w:rPr>
                <w:rFonts w:ascii="Times New Roman" w:hAnsi="Times New Roman" w:cs="Times New Roman"/>
                <w:noProof/>
                <w:webHidden/>
                <w:sz w:val="20"/>
                <w:szCs w:val="20"/>
              </w:rPr>
              <w:tab/>
            </w:r>
            <w:r w:rsidR="00C47842" w:rsidRPr="00C47842">
              <w:rPr>
                <w:rFonts w:ascii="Times New Roman" w:hAnsi="Times New Roman" w:cs="Times New Roman"/>
                <w:noProof/>
                <w:webHidden/>
                <w:sz w:val="20"/>
                <w:szCs w:val="20"/>
              </w:rPr>
              <w:fldChar w:fldCharType="begin"/>
            </w:r>
            <w:r w:rsidR="00C47842" w:rsidRPr="00C47842">
              <w:rPr>
                <w:rFonts w:ascii="Times New Roman" w:hAnsi="Times New Roman" w:cs="Times New Roman"/>
                <w:noProof/>
                <w:webHidden/>
                <w:sz w:val="20"/>
                <w:szCs w:val="20"/>
              </w:rPr>
              <w:instrText xml:space="preserve"> PAGEREF _Toc515518977 \h </w:instrText>
            </w:r>
            <w:r w:rsidR="00C47842" w:rsidRPr="00C47842">
              <w:rPr>
                <w:rFonts w:ascii="Times New Roman" w:hAnsi="Times New Roman" w:cs="Times New Roman"/>
                <w:noProof/>
                <w:webHidden/>
                <w:sz w:val="20"/>
                <w:szCs w:val="20"/>
              </w:rPr>
            </w:r>
            <w:r w:rsidR="00C47842" w:rsidRPr="00C47842">
              <w:rPr>
                <w:rFonts w:ascii="Times New Roman" w:hAnsi="Times New Roman" w:cs="Times New Roman"/>
                <w:noProof/>
                <w:webHidden/>
                <w:sz w:val="20"/>
                <w:szCs w:val="20"/>
              </w:rPr>
              <w:fldChar w:fldCharType="separate"/>
            </w:r>
            <w:r w:rsidR="00395074">
              <w:rPr>
                <w:rFonts w:ascii="Times New Roman" w:hAnsi="Times New Roman" w:cs="Times New Roman"/>
                <w:noProof/>
                <w:webHidden/>
                <w:sz w:val="20"/>
                <w:szCs w:val="20"/>
              </w:rPr>
              <w:t>4</w:t>
            </w:r>
            <w:r w:rsidR="00C47842" w:rsidRPr="00C47842">
              <w:rPr>
                <w:rFonts w:ascii="Times New Roman" w:hAnsi="Times New Roman" w:cs="Times New Roman"/>
                <w:noProof/>
                <w:webHidden/>
                <w:sz w:val="20"/>
                <w:szCs w:val="20"/>
              </w:rPr>
              <w:fldChar w:fldCharType="end"/>
            </w:r>
          </w:hyperlink>
        </w:p>
        <w:p w:rsidR="00C47842" w:rsidRPr="00C47842" w:rsidRDefault="006D049D" w:rsidP="008A3DFD">
          <w:pPr>
            <w:pStyle w:val="12"/>
            <w:spacing w:line="240" w:lineRule="auto"/>
            <w:rPr>
              <w:rFonts w:ascii="Times New Roman" w:eastAsiaTheme="minorEastAsia" w:hAnsi="Times New Roman" w:cs="Times New Roman"/>
              <w:noProof/>
              <w:sz w:val="20"/>
              <w:szCs w:val="20"/>
              <w:lang w:val="en-US"/>
            </w:rPr>
          </w:pPr>
          <w:hyperlink w:anchor="_Toc515518978" w:history="1">
            <w:r w:rsidR="00C47842" w:rsidRPr="00C47842">
              <w:rPr>
                <w:rStyle w:val="a4"/>
                <w:rFonts w:ascii="Times New Roman" w:hAnsi="Times New Roman" w:cs="Times New Roman"/>
                <w:b/>
                <w:noProof/>
                <w:sz w:val="20"/>
                <w:szCs w:val="20"/>
              </w:rPr>
              <w:t>II.</w:t>
            </w:r>
            <w:r w:rsidR="00C47842" w:rsidRPr="00C47842">
              <w:rPr>
                <w:rFonts w:ascii="Times New Roman" w:eastAsiaTheme="minorEastAsia" w:hAnsi="Times New Roman" w:cs="Times New Roman"/>
                <w:noProof/>
                <w:sz w:val="20"/>
                <w:szCs w:val="20"/>
                <w:lang w:val="en-US"/>
              </w:rPr>
              <w:tab/>
            </w:r>
            <w:r w:rsidR="00C47842" w:rsidRPr="00C47842">
              <w:rPr>
                <w:rStyle w:val="a4"/>
                <w:rFonts w:ascii="Times New Roman" w:hAnsi="Times New Roman" w:cs="Times New Roman"/>
                <w:b/>
                <w:noProof/>
                <w:sz w:val="20"/>
                <w:szCs w:val="20"/>
              </w:rPr>
              <w:t>BAZA PENTRU OPINIE</w:t>
            </w:r>
            <w:r w:rsidR="00C47842" w:rsidRPr="00C47842">
              <w:rPr>
                <w:rFonts w:ascii="Times New Roman" w:hAnsi="Times New Roman" w:cs="Times New Roman"/>
                <w:noProof/>
                <w:webHidden/>
                <w:sz w:val="20"/>
                <w:szCs w:val="20"/>
              </w:rPr>
              <w:tab/>
            </w:r>
            <w:r w:rsidR="00C47842" w:rsidRPr="00C47842">
              <w:rPr>
                <w:rFonts w:ascii="Times New Roman" w:hAnsi="Times New Roman" w:cs="Times New Roman"/>
                <w:noProof/>
                <w:webHidden/>
                <w:sz w:val="20"/>
                <w:szCs w:val="20"/>
              </w:rPr>
              <w:fldChar w:fldCharType="begin"/>
            </w:r>
            <w:r w:rsidR="00C47842" w:rsidRPr="00C47842">
              <w:rPr>
                <w:rFonts w:ascii="Times New Roman" w:hAnsi="Times New Roman" w:cs="Times New Roman"/>
                <w:noProof/>
                <w:webHidden/>
                <w:sz w:val="20"/>
                <w:szCs w:val="20"/>
              </w:rPr>
              <w:instrText xml:space="preserve"> PAGEREF _Toc515518978 \h </w:instrText>
            </w:r>
            <w:r w:rsidR="00C47842" w:rsidRPr="00C47842">
              <w:rPr>
                <w:rFonts w:ascii="Times New Roman" w:hAnsi="Times New Roman" w:cs="Times New Roman"/>
                <w:noProof/>
                <w:webHidden/>
                <w:sz w:val="20"/>
                <w:szCs w:val="20"/>
              </w:rPr>
            </w:r>
            <w:r w:rsidR="00C47842" w:rsidRPr="00C47842">
              <w:rPr>
                <w:rFonts w:ascii="Times New Roman" w:hAnsi="Times New Roman" w:cs="Times New Roman"/>
                <w:noProof/>
                <w:webHidden/>
                <w:sz w:val="20"/>
                <w:szCs w:val="20"/>
              </w:rPr>
              <w:fldChar w:fldCharType="separate"/>
            </w:r>
            <w:r w:rsidR="00395074">
              <w:rPr>
                <w:rFonts w:ascii="Times New Roman" w:hAnsi="Times New Roman" w:cs="Times New Roman"/>
                <w:noProof/>
                <w:webHidden/>
                <w:sz w:val="20"/>
                <w:szCs w:val="20"/>
              </w:rPr>
              <w:t>4</w:t>
            </w:r>
            <w:r w:rsidR="00C47842" w:rsidRPr="00C47842">
              <w:rPr>
                <w:rFonts w:ascii="Times New Roman" w:hAnsi="Times New Roman" w:cs="Times New Roman"/>
                <w:noProof/>
                <w:webHidden/>
                <w:sz w:val="20"/>
                <w:szCs w:val="20"/>
              </w:rPr>
              <w:fldChar w:fldCharType="end"/>
            </w:r>
          </w:hyperlink>
        </w:p>
        <w:p w:rsidR="00C47842" w:rsidRPr="00C47842" w:rsidRDefault="006D049D" w:rsidP="008A3DFD">
          <w:pPr>
            <w:pStyle w:val="12"/>
            <w:spacing w:line="240" w:lineRule="auto"/>
            <w:rPr>
              <w:rFonts w:ascii="Times New Roman" w:eastAsiaTheme="minorEastAsia" w:hAnsi="Times New Roman" w:cs="Times New Roman"/>
              <w:noProof/>
              <w:sz w:val="20"/>
              <w:szCs w:val="20"/>
              <w:lang w:val="en-US"/>
            </w:rPr>
          </w:pPr>
          <w:hyperlink w:anchor="_Toc515518979" w:history="1">
            <w:r w:rsidR="00C47842" w:rsidRPr="00C47842">
              <w:rPr>
                <w:rStyle w:val="a4"/>
                <w:rFonts w:ascii="Times New Roman" w:hAnsi="Times New Roman" w:cs="Times New Roman"/>
                <w:b/>
                <w:noProof/>
                <w:sz w:val="20"/>
                <w:szCs w:val="20"/>
              </w:rPr>
              <w:t>III.</w:t>
            </w:r>
            <w:r w:rsidR="00C47842" w:rsidRPr="00C47842">
              <w:rPr>
                <w:rFonts w:ascii="Times New Roman" w:eastAsiaTheme="minorEastAsia" w:hAnsi="Times New Roman" w:cs="Times New Roman"/>
                <w:noProof/>
                <w:sz w:val="20"/>
                <w:szCs w:val="20"/>
                <w:lang w:val="en-US"/>
              </w:rPr>
              <w:tab/>
            </w:r>
            <w:r w:rsidR="00C47842" w:rsidRPr="00C47842">
              <w:rPr>
                <w:rStyle w:val="a4"/>
                <w:rFonts w:ascii="Times New Roman" w:hAnsi="Times New Roman" w:cs="Times New Roman"/>
                <w:b/>
                <w:noProof/>
                <w:sz w:val="20"/>
                <w:szCs w:val="20"/>
              </w:rPr>
              <w:t>PREZENTAREA DOMENIULUI AUDITAT</w:t>
            </w:r>
            <w:r w:rsidR="00C47842" w:rsidRPr="00C47842">
              <w:rPr>
                <w:rFonts w:ascii="Times New Roman" w:hAnsi="Times New Roman" w:cs="Times New Roman"/>
                <w:noProof/>
                <w:webHidden/>
                <w:sz w:val="20"/>
                <w:szCs w:val="20"/>
              </w:rPr>
              <w:tab/>
            </w:r>
            <w:r w:rsidR="00C47842" w:rsidRPr="00C47842">
              <w:rPr>
                <w:rFonts w:ascii="Times New Roman" w:hAnsi="Times New Roman" w:cs="Times New Roman"/>
                <w:noProof/>
                <w:webHidden/>
                <w:sz w:val="20"/>
                <w:szCs w:val="20"/>
              </w:rPr>
              <w:fldChar w:fldCharType="begin"/>
            </w:r>
            <w:r w:rsidR="00C47842" w:rsidRPr="00C47842">
              <w:rPr>
                <w:rFonts w:ascii="Times New Roman" w:hAnsi="Times New Roman" w:cs="Times New Roman"/>
                <w:noProof/>
                <w:webHidden/>
                <w:sz w:val="20"/>
                <w:szCs w:val="20"/>
              </w:rPr>
              <w:instrText xml:space="preserve"> PAGEREF _Toc515518979 \h </w:instrText>
            </w:r>
            <w:r w:rsidR="00C47842" w:rsidRPr="00C47842">
              <w:rPr>
                <w:rFonts w:ascii="Times New Roman" w:hAnsi="Times New Roman" w:cs="Times New Roman"/>
                <w:noProof/>
                <w:webHidden/>
                <w:sz w:val="20"/>
                <w:szCs w:val="20"/>
              </w:rPr>
            </w:r>
            <w:r w:rsidR="00C47842" w:rsidRPr="00C47842">
              <w:rPr>
                <w:rFonts w:ascii="Times New Roman" w:hAnsi="Times New Roman" w:cs="Times New Roman"/>
                <w:noProof/>
                <w:webHidden/>
                <w:sz w:val="20"/>
                <w:szCs w:val="20"/>
              </w:rPr>
              <w:fldChar w:fldCharType="separate"/>
            </w:r>
            <w:r w:rsidR="00395074">
              <w:rPr>
                <w:rFonts w:ascii="Times New Roman" w:hAnsi="Times New Roman" w:cs="Times New Roman"/>
                <w:noProof/>
                <w:webHidden/>
                <w:sz w:val="20"/>
                <w:szCs w:val="20"/>
              </w:rPr>
              <w:t>6</w:t>
            </w:r>
            <w:r w:rsidR="00C47842" w:rsidRPr="00C47842">
              <w:rPr>
                <w:rFonts w:ascii="Times New Roman" w:hAnsi="Times New Roman" w:cs="Times New Roman"/>
                <w:noProof/>
                <w:webHidden/>
                <w:sz w:val="20"/>
                <w:szCs w:val="20"/>
              </w:rPr>
              <w:fldChar w:fldCharType="end"/>
            </w:r>
          </w:hyperlink>
        </w:p>
        <w:p w:rsidR="00C47842" w:rsidRPr="00C47842" w:rsidRDefault="006D049D" w:rsidP="008A3DFD">
          <w:pPr>
            <w:pStyle w:val="12"/>
            <w:spacing w:line="240" w:lineRule="auto"/>
            <w:rPr>
              <w:rFonts w:ascii="Times New Roman" w:eastAsiaTheme="minorEastAsia" w:hAnsi="Times New Roman" w:cs="Times New Roman"/>
              <w:noProof/>
              <w:sz w:val="20"/>
              <w:szCs w:val="20"/>
              <w:lang w:val="en-US"/>
            </w:rPr>
          </w:pPr>
          <w:hyperlink w:anchor="_Toc515518980" w:history="1">
            <w:r w:rsidR="00C47842" w:rsidRPr="00C47842">
              <w:rPr>
                <w:rStyle w:val="a4"/>
                <w:rFonts w:ascii="Times New Roman" w:hAnsi="Times New Roman" w:cs="Times New Roman"/>
                <w:b/>
                <w:noProof/>
                <w:sz w:val="20"/>
                <w:szCs w:val="20"/>
              </w:rPr>
              <w:t>IV.</w:t>
            </w:r>
            <w:r w:rsidR="00C47842" w:rsidRPr="00C47842">
              <w:rPr>
                <w:rFonts w:ascii="Times New Roman" w:eastAsiaTheme="minorEastAsia" w:hAnsi="Times New Roman" w:cs="Times New Roman"/>
                <w:noProof/>
                <w:sz w:val="20"/>
                <w:szCs w:val="20"/>
                <w:lang w:val="en-US"/>
              </w:rPr>
              <w:tab/>
            </w:r>
            <w:r w:rsidR="00C47842" w:rsidRPr="00C47842">
              <w:rPr>
                <w:rStyle w:val="a4"/>
                <w:rFonts w:ascii="Times New Roman" w:hAnsi="Times New Roman" w:cs="Times New Roman"/>
                <w:b/>
                <w:noProof/>
                <w:sz w:val="20"/>
                <w:szCs w:val="20"/>
              </w:rPr>
              <w:t>ASPECTELE-CHEIE DE AUDIT</w:t>
            </w:r>
            <w:r w:rsidR="00C47842" w:rsidRPr="00C47842">
              <w:rPr>
                <w:rFonts w:ascii="Times New Roman" w:hAnsi="Times New Roman" w:cs="Times New Roman"/>
                <w:noProof/>
                <w:webHidden/>
                <w:sz w:val="20"/>
                <w:szCs w:val="20"/>
              </w:rPr>
              <w:tab/>
            </w:r>
            <w:r w:rsidR="00C47842" w:rsidRPr="00C47842">
              <w:rPr>
                <w:rFonts w:ascii="Times New Roman" w:hAnsi="Times New Roman" w:cs="Times New Roman"/>
                <w:noProof/>
                <w:webHidden/>
                <w:sz w:val="20"/>
                <w:szCs w:val="20"/>
              </w:rPr>
              <w:fldChar w:fldCharType="begin"/>
            </w:r>
            <w:r w:rsidR="00C47842" w:rsidRPr="00C47842">
              <w:rPr>
                <w:rFonts w:ascii="Times New Roman" w:hAnsi="Times New Roman" w:cs="Times New Roman"/>
                <w:noProof/>
                <w:webHidden/>
                <w:sz w:val="20"/>
                <w:szCs w:val="20"/>
              </w:rPr>
              <w:instrText xml:space="preserve"> PAGEREF _Toc515518980 \h </w:instrText>
            </w:r>
            <w:r w:rsidR="00C47842" w:rsidRPr="00C47842">
              <w:rPr>
                <w:rFonts w:ascii="Times New Roman" w:hAnsi="Times New Roman" w:cs="Times New Roman"/>
                <w:noProof/>
                <w:webHidden/>
                <w:sz w:val="20"/>
                <w:szCs w:val="20"/>
              </w:rPr>
            </w:r>
            <w:r w:rsidR="00C47842" w:rsidRPr="00C47842">
              <w:rPr>
                <w:rFonts w:ascii="Times New Roman" w:hAnsi="Times New Roman" w:cs="Times New Roman"/>
                <w:noProof/>
                <w:webHidden/>
                <w:sz w:val="20"/>
                <w:szCs w:val="20"/>
              </w:rPr>
              <w:fldChar w:fldCharType="separate"/>
            </w:r>
            <w:r w:rsidR="00395074">
              <w:rPr>
                <w:rFonts w:ascii="Times New Roman" w:hAnsi="Times New Roman" w:cs="Times New Roman"/>
                <w:noProof/>
                <w:webHidden/>
                <w:sz w:val="20"/>
                <w:szCs w:val="20"/>
              </w:rPr>
              <w:t>10</w:t>
            </w:r>
            <w:r w:rsidR="00C47842" w:rsidRPr="00C47842">
              <w:rPr>
                <w:rFonts w:ascii="Times New Roman" w:hAnsi="Times New Roman" w:cs="Times New Roman"/>
                <w:noProof/>
                <w:webHidden/>
                <w:sz w:val="20"/>
                <w:szCs w:val="20"/>
              </w:rPr>
              <w:fldChar w:fldCharType="end"/>
            </w:r>
          </w:hyperlink>
        </w:p>
        <w:p w:rsidR="00C47842" w:rsidRPr="00C47842" w:rsidRDefault="006D049D" w:rsidP="008A3DFD">
          <w:pPr>
            <w:pStyle w:val="21"/>
            <w:spacing w:line="240" w:lineRule="auto"/>
            <w:rPr>
              <w:rFonts w:ascii="Times New Roman" w:eastAsiaTheme="minorEastAsia" w:hAnsi="Times New Roman" w:cs="Times New Roman"/>
              <w:noProof/>
              <w:sz w:val="20"/>
              <w:szCs w:val="20"/>
              <w:lang w:val="en-US"/>
            </w:rPr>
          </w:pPr>
          <w:hyperlink w:anchor="_Toc515518981" w:history="1">
            <w:r w:rsidR="00C47842" w:rsidRPr="00C47842">
              <w:rPr>
                <w:rStyle w:val="a4"/>
                <w:rFonts w:ascii="Times New Roman" w:hAnsi="Times New Roman" w:cs="Times New Roman"/>
                <w:b/>
                <w:i/>
                <w:noProof/>
                <w:sz w:val="20"/>
                <w:szCs w:val="20"/>
              </w:rPr>
              <w:t>4.1</w:t>
            </w:r>
            <w:r w:rsidR="00C47842" w:rsidRPr="00C47842">
              <w:rPr>
                <w:rFonts w:ascii="Times New Roman" w:eastAsiaTheme="minorEastAsia" w:hAnsi="Times New Roman" w:cs="Times New Roman"/>
                <w:noProof/>
                <w:sz w:val="20"/>
                <w:szCs w:val="20"/>
                <w:lang w:val="en-US"/>
              </w:rPr>
              <w:tab/>
            </w:r>
            <w:r w:rsidR="00C47842">
              <w:rPr>
                <w:rFonts w:ascii="Times New Roman" w:eastAsiaTheme="minorEastAsia" w:hAnsi="Times New Roman" w:cs="Times New Roman"/>
                <w:noProof/>
                <w:sz w:val="20"/>
                <w:szCs w:val="20"/>
                <w:lang w:val="en-US"/>
              </w:rPr>
              <w:t xml:space="preserve">  </w:t>
            </w:r>
            <w:r w:rsidR="00C47842" w:rsidRPr="00C47842">
              <w:rPr>
                <w:rStyle w:val="a4"/>
                <w:rFonts w:ascii="Times New Roman" w:hAnsi="Times New Roman" w:cs="Times New Roman"/>
                <w:b/>
                <w:i/>
                <w:noProof/>
                <w:sz w:val="20"/>
                <w:szCs w:val="20"/>
              </w:rPr>
              <w:t>Aspectele financiare</w:t>
            </w:r>
            <w:r w:rsidR="00C47842" w:rsidRPr="00C47842">
              <w:rPr>
                <w:rFonts w:ascii="Times New Roman" w:hAnsi="Times New Roman" w:cs="Times New Roman"/>
                <w:noProof/>
                <w:webHidden/>
                <w:sz w:val="20"/>
                <w:szCs w:val="20"/>
              </w:rPr>
              <w:tab/>
            </w:r>
            <w:r w:rsidR="00C47842" w:rsidRPr="00C47842">
              <w:rPr>
                <w:rFonts w:ascii="Times New Roman" w:hAnsi="Times New Roman" w:cs="Times New Roman"/>
                <w:noProof/>
                <w:webHidden/>
                <w:sz w:val="20"/>
                <w:szCs w:val="20"/>
              </w:rPr>
              <w:fldChar w:fldCharType="begin"/>
            </w:r>
            <w:r w:rsidR="00C47842" w:rsidRPr="00C47842">
              <w:rPr>
                <w:rFonts w:ascii="Times New Roman" w:hAnsi="Times New Roman" w:cs="Times New Roman"/>
                <w:noProof/>
                <w:webHidden/>
                <w:sz w:val="20"/>
                <w:szCs w:val="20"/>
              </w:rPr>
              <w:instrText xml:space="preserve"> PAGEREF _Toc515518981 \h </w:instrText>
            </w:r>
            <w:r w:rsidR="00C47842" w:rsidRPr="00C47842">
              <w:rPr>
                <w:rFonts w:ascii="Times New Roman" w:hAnsi="Times New Roman" w:cs="Times New Roman"/>
                <w:noProof/>
                <w:webHidden/>
                <w:sz w:val="20"/>
                <w:szCs w:val="20"/>
              </w:rPr>
            </w:r>
            <w:r w:rsidR="00C47842" w:rsidRPr="00C47842">
              <w:rPr>
                <w:rFonts w:ascii="Times New Roman" w:hAnsi="Times New Roman" w:cs="Times New Roman"/>
                <w:noProof/>
                <w:webHidden/>
                <w:sz w:val="20"/>
                <w:szCs w:val="20"/>
              </w:rPr>
              <w:fldChar w:fldCharType="separate"/>
            </w:r>
            <w:r w:rsidR="00395074">
              <w:rPr>
                <w:rFonts w:ascii="Times New Roman" w:hAnsi="Times New Roman" w:cs="Times New Roman"/>
                <w:noProof/>
                <w:webHidden/>
                <w:sz w:val="20"/>
                <w:szCs w:val="20"/>
              </w:rPr>
              <w:t>10</w:t>
            </w:r>
            <w:r w:rsidR="00C47842" w:rsidRPr="00C47842">
              <w:rPr>
                <w:rFonts w:ascii="Times New Roman" w:hAnsi="Times New Roman" w:cs="Times New Roman"/>
                <w:noProof/>
                <w:webHidden/>
                <w:sz w:val="20"/>
                <w:szCs w:val="20"/>
              </w:rPr>
              <w:fldChar w:fldCharType="end"/>
            </w:r>
          </w:hyperlink>
        </w:p>
        <w:p w:rsidR="00C47842" w:rsidRPr="00C47842" w:rsidRDefault="006D049D" w:rsidP="008A3DFD">
          <w:pPr>
            <w:pStyle w:val="31"/>
            <w:spacing w:line="240" w:lineRule="auto"/>
            <w:rPr>
              <w:rFonts w:eastAsiaTheme="minorEastAsia"/>
              <w:noProof/>
              <w:lang w:val="en-US"/>
            </w:rPr>
          </w:pPr>
          <w:hyperlink w:anchor="_Toc515518982" w:history="1">
            <w:r w:rsidR="00C47842" w:rsidRPr="00C47842">
              <w:rPr>
                <w:rStyle w:val="a4"/>
                <w:rFonts w:ascii="Times New Roman" w:hAnsi="Times New Roman" w:cs="Times New Roman"/>
                <w:b/>
                <w:i/>
                <w:noProof/>
                <w:sz w:val="20"/>
                <w:szCs w:val="20"/>
              </w:rPr>
              <w:t>4.1.1</w:t>
            </w:r>
            <w:r w:rsidR="00C47842" w:rsidRPr="00C47842">
              <w:rPr>
                <w:rFonts w:eastAsiaTheme="minorEastAsia"/>
                <w:noProof/>
                <w:lang w:val="en-US"/>
              </w:rPr>
              <w:tab/>
            </w:r>
            <w:r w:rsidR="00C47842" w:rsidRPr="00C47842">
              <w:rPr>
                <w:rStyle w:val="a4"/>
                <w:rFonts w:ascii="Times New Roman" w:hAnsi="Times New Roman" w:cs="Times New Roman"/>
                <w:b/>
                <w:i/>
                <w:noProof/>
                <w:sz w:val="20"/>
                <w:szCs w:val="20"/>
              </w:rPr>
              <w:t>Veniturile încasate în bugetul de stat în anul 2017 au fost înregistrate și raportate regulamentar.</w:t>
            </w:r>
            <w:r w:rsidR="00C47842" w:rsidRPr="00C47842">
              <w:rPr>
                <w:noProof/>
                <w:webHidden/>
              </w:rPr>
              <w:tab/>
            </w:r>
            <w:r w:rsidR="00C47842" w:rsidRPr="00C47842">
              <w:rPr>
                <w:noProof/>
                <w:webHidden/>
              </w:rPr>
              <w:fldChar w:fldCharType="begin"/>
            </w:r>
            <w:r w:rsidR="00C47842" w:rsidRPr="00C47842">
              <w:rPr>
                <w:noProof/>
                <w:webHidden/>
              </w:rPr>
              <w:instrText xml:space="preserve"> PAGEREF _Toc515518982 \h </w:instrText>
            </w:r>
            <w:r w:rsidR="00C47842" w:rsidRPr="00C47842">
              <w:rPr>
                <w:noProof/>
                <w:webHidden/>
              </w:rPr>
            </w:r>
            <w:r w:rsidR="00C47842" w:rsidRPr="00C47842">
              <w:rPr>
                <w:noProof/>
                <w:webHidden/>
              </w:rPr>
              <w:fldChar w:fldCharType="separate"/>
            </w:r>
            <w:r w:rsidR="00395074">
              <w:rPr>
                <w:noProof/>
                <w:webHidden/>
              </w:rPr>
              <w:t>11</w:t>
            </w:r>
            <w:r w:rsidR="00C47842" w:rsidRPr="00C47842">
              <w:rPr>
                <w:noProof/>
                <w:webHidden/>
              </w:rPr>
              <w:fldChar w:fldCharType="end"/>
            </w:r>
          </w:hyperlink>
        </w:p>
        <w:p w:rsidR="00C47842" w:rsidRPr="00C47842" w:rsidRDefault="006D049D" w:rsidP="008A3DFD">
          <w:pPr>
            <w:pStyle w:val="31"/>
            <w:spacing w:line="240" w:lineRule="auto"/>
            <w:rPr>
              <w:rFonts w:eastAsiaTheme="minorEastAsia"/>
              <w:noProof/>
              <w:lang w:val="en-US"/>
            </w:rPr>
          </w:pPr>
          <w:hyperlink w:anchor="_Toc515518983" w:history="1">
            <w:r w:rsidR="00C47842" w:rsidRPr="00C47842">
              <w:rPr>
                <w:rStyle w:val="a4"/>
                <w:rFonts w:ascii="Times New Roman" w:hAnsi="Times New Roman" w:cs="Times New Roman"/>
                <w:b/>
                <w:i/>
                <w:noProof/>
                <w:sz w:val="20"/>
                <w:szCs w:val="20"/>
              </w:rPr>
              <w:t>4.1.2</w:t>
            </w:r>
            <w:r w:rsidR="00C47842" w:rsidRPr="00C47842">
              <w:rPr>
                <w:rFonts w:eastAsiaTheme="minorEastAsia"/>
                <w:noProof/>
                <w:lang w:val="en-US"/>
              </w:rPr>
              <w:tab/>
            </w:r>
            <w:r w:rsidR="00C47842" w:rsidRPr="00C47842">
              <w:rPr>
                <w:rStyle w:val="a4"/>
                <w:rFonts w:ascii="Times New Roman" w:hAnsi="Times New Roman" w:cs="Times New Roman"/>
                <w:b/>
                <w:i/>
                <w:noProof/>
                <w:sz w:val="20"/>
                <w:szCs w:val="20"/>
              </w:rPr>
              <w:t>Încasările provenite din granturile externe debursate în bugetul de stat în anul 2017 s-au diminuat comparativ cu anul 2016.</w:t>
            </w:r>
            <w:r w:rsidR="00C47842" w:rsidRPr="00C47842">
              <w:rPr>
                <w:noProof/>
                <w:webHidden/>
              </w:rPr>
              <w:tab/>
            </w:r>
            <w:r w:rsidR="00C47842" w:rsidRPr="00C47842">
              <w:rPr>
                <w:noProof/>
                <w:webHidden/>
              </w:rPr>
              <w:fldChar w:fldCharType="begin"/>
            </w:r>
            <w:r w:rsidR="00C47842" w:rsidRPr="00C47842">
              <w:rPr>
                <w:noProof/>
                <w:webHidden/>
              </w:rPr>
              <w:instrText xml:space="preserve"> PAGEREF _Toc515518983 \h </w:instrText>
            </w:r>
            <w:r w:rsidR="00C47842" w:rsidRPr="00C47842">
              <w:rPr>
                <w:noProof/>
                <w:webHidden/>
              </w:rPr>
            </w:r>
            <w:r w:rsidR="00C47842" w:rsidRPr="00C47842">
              <w:rPr>
                <w:noProof/>
                <w:webHidden/>
              </w:rPr>
              <w:fldChar w:fldCharType="separate"/>
            </w:r>
            <w:r w:rsidR="00395074">
              <w:rPr>
                <w:noProof/>
                <w:webHidden/>
              </w:rPr>
              <w:t>14</w:t>
            </w:r>
            <w:r w:rsidR="00C47842" w:rsidRPr="00C47842">
              <w:rPr>
                <w:noProof/>
                <w:webHidden/>
              </w:rPr>
              <w:fldChar w:fldCharType="end"/>
            </w:r>
          </w:hyperlink>
        </w:p>
        <w:p w:rsidR="00C47842" w:rsidRPr="00C47842" w:rsidRDefault="006D049D" w:rsidP="008A3DFD">
          <w:pPr>
            <w:pStyle w:val="31"/>
            <w:spacing w:line="240" w:lineRule="auto"/>
            <w:rPr>
              <w:rFonts w:eastAsiaTheme="minorEastAsia"/>
              <w:noProof/>
              <w:lang w:val="en-US"/>
            </w:rPr>
          </w:pPr>
          <w:hyperlink w:anchor="_Toc515518984" w:history="1">
            <w:r w:rsidR="00C47842" w:rsidRPr="00C47842">
              <w:rPr>
                <w:rStyle w:val="a4"/>
                <w:rFonts w:ascii="Times New Roman" w:hAnsi="Times New Roman" w:cs="Times New Roman"/>
                <w:b/>
                <w:i/>
                <w:noProof/>
                <w:sz w:val="20"/>
                <w:szCs w:val="20"/>
              </w:rPr>
              <w:t>4.1.3</w:t>
            </w:r>
            <w:r w:rsidR="00C47842" w:rsidRPr="00C47842">
              <w:rPr>
                <w:rFonts w:eastAsiaTheme="minorEastAsia"/>
                <w:noProof/>
                <w:lang w:val="en-US"/>
              </w:rPr>
              <w:tab/>
            </w:r>
            <w:r w:rsidR="00C47842" w:rsidRPr="00C47842">
              <w:rPr>
                <w:rStyle w:val="a4"/>
                <w:rFonts w:ascii="Times New Roman" w:hAnsi="Times New Roman" w:cs="Times New Roman"/>
                <w:b/>
                <w:i/>
                <w:noProof/>
                <w:sz w:val="20"/>
                <w:szCs w:val="20"/>
              </w:rPr>
              <w:t>Restituirea TVA și accizelor în anul 2017 s-a încadrat în limitele aprobate prin Legea bugetului de stat cu unele neconformități la capitolul TVA, iar restituirile impozitului pe venit au depășit limita bugetară.</w:t>
            </w:r>
            <w:r w:rsidR="00C47842" w:rsidRPr="00C47842">
              <w:rPr>
                <w:noProof/>
                <w:webHidden/>
              </w:rPr>
              <w:tab/>
            </w:r>
            <w:r w:rsidR="00C47842" w:rsidRPr="00C47842">
              <w:rPr>
                <w:noProof/>
                <w:webHidden/>
              </w:rPr>
              <w:fldChar w:fldCharType="begin"/>
            </w:r>
            <w:r w:rsidR="00C47842" w:rsidRPr="00C47842">
              <w:rPr>
                <w:noProof/>
                <w:webHidden/>
              </w:rPr>
              <w:instrText xml:space="preserve"> PAGEREF _Toc515518984 \h </w:instrText>
            </w:r>
            <w:r w:rsidR="00C47842" w:rsidRPr="00C47842">
              <w:rPr>
                <w:noProof/>
                <w:webHidden/>
              </w:rPr>
            </w:r>
            <w:r w:rsidR="00C47842" w:rsidRPr="00C47842">
              <w:rPr>
                <w:noProof/>
                <w:webHidden/>
              </w:rPr>
              <w:fldChar w:fldCharType="separate"/>
            </w:r>
            <w:r w:rsidR="00395074">
              <w:rPr>
                <w:noProof/>
                <w:webHidden/>
              </w:rPr>
              <w:t>15</w:t>
            </w:r>
            <w:r w:rsidR="00C47842" w:rsidRPr="00C47842">
              <w:rPr>
                <w:noProof/>
                <w:webHidden/>
              </w:rPr>
              <w:fldChar w:fldCharType="end"/>
            </w:r>
          </w:hyperlink>
        </w:p>
        <w:p w:rsidR="00C47842" w:rsidRPr="00C47842" w:rsidRDefault="006D049D" w:rsidP="008A3DFD">
          <w:pPr>
            <w:pStyle w:val="31"/>
            <w:spacing w:line="240" w:lineRule="auto"/>
            <w:rPr>
              <w:rFonts w:eastAsiaTheme="minorEastAsia"/>
              <w:noProof/>
              <w:lang w:val="en-US"/>
            </w:rPr>
          </w:pPr>
          <w:hyperlink w:anchor="_Toc515518985" w:history="1">
            <w:r w:rsidR="00C47842" w:rsidRPr="00C47842">
              <w:rPr>
                <w:rStyle w:val="a4"/>
                <w:rFonts w:ascii="Times New Roman" w:hAnsi="Times New Roman" w:cs="Times New Roman"/>
                <w:b/>
                <w:i/>
                <w:noProof/>
                <w:sz w:val="20"/>
                <w:szCs w:val="20"/>
              </w:rPr>
              <w:t>4.1.4</w:t>
            </w:r>
            <w:r w:rsidR="00C47842" w:rsidRPr="00C47842">
              <w:rPr>
                <w:rFonts w:eastAsiaTheme="minorEastAsia"/>
                <w:noProof/>
                <w:lang w:val="en-US"/>
              </w:rPr>
              <w:tab/>
            </w:r>
            <w:r w:rsidR="00C47842" w:rsidRPr="00C47842">
              <w:rPr>
                <w:rStyle w:val="a4"/>
                <w:rFonts w:ascii="Times New Roman" w:hAnsi="Times New Roman" w:cs="Times New Roman"/>
                <w:b/>
                <w:i/>
                <w:noProof/>
                <w:sz w:val="20"/>
                <w:szCs w:val="20"/>
              </w:rPr>
              <w:t>Deficitul bugetar și sursele de finanțare au fost raportate în corespundere cu cadrul de evidență.</w:t>
            </w:r>
            <w:r w:rsidR="00C47842" w:rsidRPr="00C47842">
              <w:rPr>
                <w:noProof/>
                <w:webHidden/>
              </w:rPr>
              <w:tab/>
            </w:r>
            <w:r w:rsidR="00C47842" w:rsidRPr="00C47842">
              <w:rPr>
                <w:noProof/>
                <w:webHidden/>
              </w:rPr>
              <w:fldChar w:fldCharType="begin"/>
            </w:r>
            <w:r w:rsidR="00C47842" w:rsidRPr="00C47842">
              <w:rPr>
                <w:noProof/>
                <w:webHidden/>
              </w:rPr>
              <w:instrText xml:space="preserve"> PAGEREF _Toc515518985 \h </w:instrText>
            </w:r>
            <w:r w:rsidR="00C47842" w:rsidRPr="00C47842">
              <w:rPr>
                <w:noProof/>
                <w:webHidden/>
              </w:rPr>
            </w:r>
            <w:r w:rsidR="00C47842" w:rsidRPr="00C47842">
              <w:rPr>
                <w:noProof/>
                <w:webHidden/>
              </w:rPr>
              <w:fldChar w:fldCharType="separate"/>
            </w:r>
            <w:r w:rsidR="00395074">
              <w:rPr>
                <w:noProof/>
                <w:webHidden/>
              </w:rPr>
              <w:t>17</w:t>
            </w:r>
            <w:r w:rsidR="00C47842" w:rsidRPr="00C47842">
              <w:rPr>
                <w:noProof/>
                <w:webHidden/>
              </w:rPr>
              <w:fldChar w:fldCharType="end"/>
            </w:r>
          </w:hyperlink>
        </w:p>
        <w:p w:rsidR="00C47842" w:rsidRPr="00C47842" w:rsidRDefault="006D049D" w:rsidP="008A3DFD">
          <w:pPr>
            <w:pStyle w:val="31"/>
            <w:spacing w:line="240" w:lineRule="auto"/>
            <w:rPr>
              <w:rFonts w:eastAsiaTheme="minorEastAsia"/>
              <w:noProof/>
              <w:lang w:val="en-US"/>
            </w:rPr>
          </w:pPr>
          <w:hyperlink w:anchor="_Toc515518986" w:history="1">
            <w:r w:rsidR="00C47842" w:rsidRPr="00C47842">
              <w:rPr>
                <w:rStyle w:val="a4"/>
                <w:rFonts w:ascii="Times New Roman" w:hAnsi="Times New Roman" w:cs="Times New Roman"/>
                <w:b/>
                <w:i/>
                <w:noProof/>
                <w:sz w:val="20"/>
                <w:szCs w:val="20"/>
              </w:rPr>
              <w:t>4.1.5</w:t>
            </w:r>
            <w:r w:rsidR="00C47842" w:rsidRPr="00C47842">
              <w:rPr>
                <w:rFonts w:eastAsiaTheme="minorEastAsia"/>
                <w:noProof/>
                <w:lang w:val="en-US"/>
              </w:rPr>
              <w:tab/>
            </w:r>
            <w:r w:rsidR="00C47842" w:rsidRPr="00C47842">
              <w:rPr>
                <w:rStyle w:val="a4"/>
                <w:rFonts w:ascii="Times New Roman" w:hAnsi="Times New Roman" w:cs="Times New Roman"/>
                <w:b/>
                <w:i/>
                <w:noProof/>
                <w:sz w:val="20"/>
                <w:szCs w:val="20"/>
              </w:rPr>
              <w:t>Soldurile de mijloace bănești la începutul și la finele anului bugetar au fost raportate conform regulilor stabilite.</w:t>
            </w:r>
            <w:r w:rsidR="00C47842" w:rsidRPr="00C47842">
              <w:rPr>
                <w:noProof/>
                <w:webHidden/>
              </w:rPr>
              <w:tab/>
            </w:r>
            <w:r w:rsidR="00C47842" w:rsidRPr="00C47842">
              <w:rPr>
                <w:noProof/>
                <w:webHidden/>
              </w:rPr>
              <w:fldChar w:fldCharType="begin"/>
            </w:r>
            <w:r w:rsidR="00C47842" w:rsidRPr="00C47842">
              <w:rPr>
                <w:noProof/>
                <w:webHidden/>
              </w:rPr>
              <w:instrText xml:space="preserve"> PAGEREF _Toc515518986 \h </w:instrText>
            </w:r>
            <w:r w:rsidR="00C47842" w:rsidRPr="00C47842">
              <w:rPr>
                <w:noProof/>
                <w:webHidden/>
              </w:rPr>
            </w:r>
            <w:r w:rsidR="00C47842" w:rsidRPr="00C47842">
              <w:rPr>
                <w:noProof/>
                <w:webHidden/>
              </w:rPr>
              <w:fldChar w:fldCharType="separate"/>
            </w:r>
            <w:r w:rsidR="00395074">
              <w:rPr>
                <w:noProof/>
                <w:webHidden/>
              </w:rPr>
              <w:t>20</w:t>
            </w:r>
            <w:r w:rsidR="00C47842" w:rsidRPr="00C47842">
              <w:rPr>
                <w:noProof/>
                <w:webHidden/>
              </w:rPr>
              <w:fldChar w:fldCharType="end"/>
            </w:r>
          </w:hyperlink>
        </w:p>
        <w:p w:rsidR="00C47842" w:rsidRPr="00C47842" w:rsidRDefault="006D049D" w:rsidP="008A3DFD">
          <w:pPr>
            <w:pStyle w:val="31"/>
            <w:spacing w:line="240" w:lineRule="auto"/>
            <w:rPr>
              <w:rFonts w:eastAsiaTheme="minorEastAsia"/>
              <w:noProof/>
              <w:lang w:val="en-US"/>
            </w:rPr>
          </w:pPr>
          <w:hyperlink w:anchor="_Toc515518987" w:history="1">
            <w:r w:rsidR="00C47842" w:rsidRPr="00C47842">
              <w:rPr>
                <w:rStyle w:val="a4"/>
                <w:rFonts w:ascii="Times New Roman" w:hAnsi="Times New Roman" w:cs="Times New Roman"/>
                <w:b/>
                <w:i/>
                <w:noProof/>
                <w:sz w:val="20"/>
                <w:szCs w:val="20"/>
              </w:rPr>
              <w:t>4.1.6</w:t>
            </w:r>
            <w:r w:rsidR="00C47842" w:rsidRPr="00C47842">
              <w:rPr>
                <w:rFonts w:eastAsiaTheme="minorEastAsia"/>
                <w:noProof/>
                <w:lang w:val="en-US"/>
              </w:rPr>
              <w:tab/>
            </w:r>
            <w:r w:rsidR="00C47842" w:rsidRPr="00C47842">
              <w:rPr>
                <w:rStyle w:val="a4"/>
                <w:rFonts w:ascii="Times New Roman" w:hAnsi="Times New Roman" w:cs="Times New Roman"/>
                <w:b/>
                <w:i/>
                <w:noProof/>
                <w:sz w:val="20"/>
                <w:szCs w:val="20"/>
              </w:rPr>
              <w:t>Regularitatea deschiderii/închiderii conturilor trezoreriale ale autorităților/instituțiilor bugetare, urmare a reorganizării unor APC</w:t>
            </w:r>
            <w:r w:rsidR="00C47842" w:rsidRPr="00C47842">
              <w:rPr>
                <w:noProof/>
                <w:webHidden/>
              </w:rPr>
              <w:tab/>
            </w:r>
            <w:r w:rsidR="00C47842" w:rsidRPr="00C47842">
              <w:rPr>
                <w:noProof/>
                <w:webHidden/>
              </w:rPr>
              <w:fldChar w:fldCharType="begin"/>
            </w:r>
            <w:r w:rsidR="00C47842" w:rsidRPr="00C47842">
              <w:rPr>
                <w:noProof/>
                <w:webHidden/>
              </w:rPr>
              <w:instrText xml:space="preserve"> PAGEREF _Toc515518987 \h </w:instrText>
            </w:r>
            <w:r w:rsidR="00C47842" w:rsidRPr="00C47842">
              <w:rPr>
                <w:noProof/>
                <w:webHidden/>
              </w:rPr>
            </w:r>
            <w:r w:rsidR="00C47842" w:rsidRPr="00C47842">
              <w:rPr>
                <w:noProof/>
                <w:webHidden/>
              </w:rPr>
              <w:fldChar w:fldCharType="separate"/>
            </w:r>
            <w:r w:rsidR="00395074">
              <w:rPr>
                <w:noProof/>
                <w:webHidden/>
              </w:rPr>
              <w:t>21</w:t>
            </w:r>
            <w:r w:rsidR="00C47842" w:rsidRPr="00C47842">
              <w:rPr>
                <w:noProof/>
                <w:webHidden/>
              </w:rPr>
              <w:fldChar w:fldCharType="end"/>
            </w:r>
          </w:hyperlink>
        </w:p>
        <w:p w:rsidR="00C47842" w:rsidRPr="00C47842" w:rsidRDefault="006D049D" w:rsidP="008A3DFD">
          <w:pPr>
            <w:pStyle w:val="31"/>
            <w:spacing w:line="240" w:lineRule="auto"/>
            <w:rPr>
              <w:rFonts w:eastAsiaTheme="minorEastAsia"/>
              <w:noProof/>
              <w:lang w:val="en-US"/>
            </w:rPr>
          </w:pPr>
          <w:hyperlink w:anchor="_Toc515518988" w:history="1">
            <w:r w:rsidR="00C47842" w:rsidRPr="00C47842">
              <w:rPr>
                <w:rStyle w:val="a4"/>
                <w:rFonts w:ascii="Times New Roman" w:hAnsi="Times New Roman" w:cs="Times New Roman"/>
                <w:b/>
                <w:i/>
                <w:noProof/>
                <w:sz w:val="20"/>
                <w:szCs w:val="20"/>
              </w:rPr>
              <w:t>4.1.7</w:t>
            </w:r>
            <w:r w:rsidR="00C47842" w:rsidRPr="00C47842">
              <w:rPr>
                <w:rFonts w:eastAsiaTheme="minorEastAsia"/>
                <w:noProof/>
                <w:lang w:val="en-US"/>
              </w:rPr>
              <w:tab/>
            </w:r>
            <w:r w:rsidR="00C47842" w:rsidRPr="00C47842">
              <w:rPr>
                <w:rStyle w:val="a4"/>
                <w:rFonts w:ascii="Times New Roman" w:hAnsi="Times New Roman" w:cs="Times New Roman"/>
                <w:b/>
                <w:i/>
                <w:noProof/>
                <w:sz w:val="20"/>
                <w:szCs w:val="20"/>
              </w:rPr>
              <w:t>Efectuarea transferurilor interbugetare</w:t>
            </w:r>
            <w:r w:rsidR="00C47842" w:rsidRPr="00C47842">
              <w:rPr>
                <w:noProof/>
                <w:webHidden/>
              </w:rPr>
              <w:tab/>
            </w:r>
            <w:r w:rsidR="00C47842" w:rsidRPr="00C47842">
              <w:rPr>
                <w:noProof/>
                <w:webHidden/>
              </w:rPr>
              <w:fldChar w:fldCharType="begin"/>
            </w:r>
            <w:r w:rsidR="00C47842" w:rsidRPr="00C47842">
              <w:rPr>
                <w:noProof/>
                <w:webHidden/>
              </w:rPr>
              <w:instrText xml:space="preserve"> PAGEREF _Toc515518988 \h </w:instrText>
            </w:r>
            <w:r w:rsidR="00C47842" w:rsidRPr="00C47842">
              <w:rPr>
                <w:noProof/>
                <w:webHidden/>
              </w:rPr>
            </w:r>
            <w:r w:rsidR="00C47842" w:rsidRPr="00C47842">
              <w:rPr>
                <w:noProof/>
                <w:webHidden/>
              </w:rPr>
              <w:fldChar w:fldCharType="separate"/>
            </w:r>
            <w:r w:rsidR="00395074">
              <w:rPr>
                <w:noProof/>
                <w:webHidden/>
              </w:rPr>
              <w:t>22</w:t>
            </w:r>
            <w:r w:rsidR="00C47842" w:rsidRPr="00C47842">
              <w:rPr>
                <w:noProof/>
                <w:webHidden/>
              </w:rPr>
              <w:fldChar w:fldCharType="end"/>
            </w:r>
          </w:hyperlink>
        </w:p>
        <w:p w:rsidR="00C47842" w:rsidRPr="00C47842" w:rsidRDefault="006D049D" w:rsidP="008A3DFD">
          <w:pPr>
            <w:pStyle w:val="21"/>
            <w:spacing w:line="240" w:lineRule="auto"/>
            <w:rPr>
              <w:rFonts w:ascii="Times New Roman" w:eastAsiaTheme="minorEastAsia" w:hAnsi="Times New Roman" w:cs="Times New Roman"/>
              <w:noProof/>
              <w:sz w:val="20"/>
              <w:szCs w:val="20"/>
              <w:lang w:val="en-US"/>
            </w:rPr>
          </w:pPr>
          <w:hyperlink w:anchor="_Toc515518989" w:history="1">
            <w:r w:rsidR="00C47842" w:rsidRPr="00C47842">
              <w:rPr>
                <w:rStyle w:val="a4"/>
                <w:rFonts w:ascii="Times New Roman" w:hAnsi="Times New Roman" w:cs="Times New Roman"/>
                <w:b/>
                <w:i/>
                <w:noProof/>
                <w:sz w:val="20"/>
                <w:szCs w:val="20"/>
              </w:rPr>
              <w:t>4.2</w:t>
            </w:r>
            <w:r w:rsidR="00C47842" w:rsidRPr="00C47842">
              <w:rPr>
                <w:rFonts w:ascii="Times New Roman" w:eastAsiaTheme="minorEastAsia" w:hAnsi="Times New Roman" w:cs="Times New Roman"/>
                <w:noProof/>
                <w:sz w:val="20"/>
                <w:szCs w:val="20"/>
                <w:lang w:val="en-US"/>
              </w:rPr>
              <w:tab/>
            </w:r>
            <w:r w:rsidR="00C47842">
              <w:rPr>
                <w:rFonts w:ascii="Times New Roman" w:eastAsiaTheme="minorEastAsia" w:hAnsi="Times New Roman" w:cs="Times New Roman"/>
                <w:noProof/>
                <w:sz w:val="20"/>
                <w:szCs w:val="20"/>
                <w:lang w:val="en-US"/>
              </w:rPr>
              <w:t xml:space="preserve">  </w:t>
            </w:r>
            <w:r w:rsidR="00C47842" w:rsidRPr="00C47842">
              <w:rPr>
                <w:rStyle w:val="a4"/>
                <w:rFonts w:ascii="Times New Roman" w:hAnsi="Times New Roman" w:cs="Times New Roman"/>
                <w:b/>
                <w:i/>
                <w:noProof/>
                <w:sz w:val="20"/>
                <w:szCs w:val="20"/>
              </w:rPr>
              <w:t>Aspectele de conformitate</w:t>
            </w:r>
            <w:r w:rsidR="00C47842" w:rsidRPr="00C47842">
              <w:rPr>
                <w:rFonts w:ascii="Times New Roman" w:hAnsi="Times New Roman" w:cs="Times New Roman"/>
                <w:noProof/>
                <w:webHidden/>
                <w:sz w:val="20"/>
                <w:szCs w:val="20"/>
              </w:rPr>
              <w:tab/>
            </w:r>
            <w:r w:rsidR="00C47842" w:rsidRPr="00C47842">
              <w:rPr>
                <w:rFonts w:ascii="Times New Roman" w:hAnsi="Times New Roman" w:cs="Times New Roman"/>
                <w:noProof/>
                <w:webHidden/>
                <w:sz w:val="20"/>
                <w:szCs w:val="20"/>
              </w:rPr>
              <w:fldChar w:fldCharType="begin"/>
            </w:r>
            <w:r w:rsidR="00C47842" w:rsidRPr="00C47842">
              <w:rPr>
                <w:rFonts w:ascii="Times New Roman" w:hAnsi="Times New Roman" w:cs="Times New Roman"/>
                <w:noProof/>
                <w:webHidden/>
                <w:sz w:val="20"/>
                <w:szCs w:val="20"/>
              </w:rPr>
              <w:instrText xml:space="preserve"> PAGEREF _Toc515518989 \h </w:instrText>
            </w:r>
            <w:r w:rsidR="00C47842" w:rsidRPr="00C47842">
              <w:rPr>
                <w:rFonts w:ascii="Times New Roman" w:hAnsi="Times New Roman" w:cs="Times New Roman"/>
                <w:noProof/>
                <w:webHidden/>
                <w:sz w:val="20"/>
                <w:szCs w:val="20"/>
              </w:rPr>
            </w:r>
            <w:r w:rsidR="00C47842" w:rsidRPr="00C47842">
              <w:rPr>
                <w:rFonts w:ascii="Times New Roman" w:hAnsi="Times New Roman" w:cs="Times New Roman"/>
                <w:noProof/>
                <w:webHidden/>
                <w:sz w:val="20"/>
                <w:szCs w:val="20"/>
              </w:rPr>
              <w:fldChar w:fldCharType="separate"/>
            </w:r>
            <w:r w:rsidR="00395074">
              <w:rPr>
                <w:rFonts w:ascii="Times New Roman" w:hAnsi="Times New Roman" w:cs="Times New Roman"/>
                <w:noProof/>
                <w:webHidden/>
                <w:sz w:val="20"/>
                <w:szCs w:val="20"/>
              </w:rPr>
              <w:t>26</w:t>
            </w:r>
            <w:r w:rsidR="00C47842" w:rsidRPr="00C47842">
              <w:rPr>
                <w:rFonts w:ascii="Times New Roman" w:hAnsi="Times New Roman" w:cs="Times New Roman"/>
                <w:noProof/>
                <w:webHidden/>
                <w:sz w:val="20"/>
                <w:szCs w:val="20"/>
              </w:rPr>
              <w:fldChar w:fldCharType="end"/>
            </w:r>
          </w:hyperlink>
        </w:p>
        <w:p w:rsidR="00C47842" w:rsidRPr="00C47842" w:rsidRDefault="006D049D" w:rsidP="008A3DFD">
          <w:pPr>
            <w:pStyle w:val="31"/>
            <w:spacing w:line="240" w:lineRule="auto"/>
            <w:rPr>
              <w:rFonts w:eastAsiaTheme="minorEastAsia"/>
              <w:noProof/>
              <w:lang w:val="en-US"/>
            </w:rPr>
          </w:pPr>
          <w:hyperlink w:anchor="_Toc515518990" w:history="1">
            <w:r w:rsidR="00C47842" w:rsidRPr="00C47842">
              <w:rPr>
                <w:rStyle w:val="a4"/>
                <w:rFonts w:ascii="Times New Roman" w:hAnsi="Times New Roman" w:cs="Times New Roman"/>
                <w:b/>
                <w:i/>
                <w:noProof/>
                <w:sz w:val="20"/>
                <w:szCs w:val="20"/>
              </w:rPr>
              <w:t>4.2.1</w:t>
            </w:r>
            <w:r w:rsidR="00C47842" w:rsidRPr="00C47842">
              <w:rPr>
                <w:rFonts w:eastAsiaTheme="minorEastAsia"/>
                <w:noProof/>
                <w:lang w:val="en-US"/>
              </w:rPr>
              <w:tab/>
            </w:r>
            <w:r w:rsidR="00C47842" w:rsidRPr="00C47842">
              <w:rPr>
                <w:rStyle w:val="a4"/>
                <w:rFonts w:ascii="Times New Roman" w:hAnsi="Times New Roman" w:cs="Times New Roman"/>
                <w:b/>
                <w:i/>
                <w:noProof/>
                <w:sz w:val="20"/>
                <w:szCs w:val="20"/>
              </w:rPr>
              <w:t>Nerespectarea calendarului bugetar pentru elaborarea, aprobarea și raportarea bugetului de stat pentru anul 2017</w:t>
            </w:r>
            <w:r w:rsidR="00C47842" w:rsidRPr="00C47842">
              <w:rPr>
                <w:noProof/>
                <w:webHidden/>
              </w:rPr>
              <w:tab/>
            </w:r>
            <w:r w:rsidR="00C47842" w:rsidRPr="00C47842">
              <w:rPr>
                <w:noProof/>
                <w:webHidden/>
              </w:rPr>
              <w:fldChar w:fldCharType="begin"/>
            </w:r>
            <w:r w:rsidR="00C47842" w:rsidRPr="00C47842">
              <w:rPr>
                <w:noProof/>
                <w:webHidden/>
              </w:rPr>
              <w:instrText xml:space="preserve"> PAGEREF _Toc515518990 \h </w:instrText>
            </w:r>
            <w:r w:rsidR="00C47842" w:rsidRPr="00C47842">
              <w:rPr>
                <w:noProof/>
                <w:webHidden/>
              </w:rPr>
            </w:r>
            <w:r w:rsidR="00C47842" w:rsidRPr="00C47842">
              <w:rPr>
                <w:noProof/>
                <w:webHidden/>
              </w:rPr>
              <w:fldChar w:fldCharType="separate"/>
            </w:r>
            <w:r w:rsidR="00395074">
              <w:rPr>
                <w:noProof/>
                <w:webHidden/>
              </w:rPr>
              <w:t>26</w:t>
            </w:r>
            <w:r w:rsidR="00C47842" w:rsidRPr="00C47842">
              <w:rPr>
                <w:noProof/>
                <w:webHidden/>
              </w:rPr>
              <w:fldChar w:fldCharType="end"/>
            </w:r>
          </w:hyperlink>
        </w:p>
        <w:p w:rsidR="00C47842" w:rsidRPr="00C47842" w:rsidRDefault="006D049D" w:rsidP="008A3DFD">
          <w:pPr>
            <w:pStyle w:val="31"/>
            <w:spacing w:line="240" w:lineRule="auto"/>
            <w:rPr>
              <w:rFonts w:eastAsiaTheme="minorEastAsia"/>
              <w:noProof/>
              <w:lang w:val="en-US"/>
            </w:rPr>
          </w:pPr>
          <w:hyperlink w:anchor="_Toc515518991" w:history="1">
            <w:r w:rsidR="00C47842" w:rsidRPr="00C47842">
              <w:rPr>
                <w:rStyle w:val="a4"/>
                <w:rFonts w:ascii="Times New Roman" w:hAnsi="Times New Roman" w:cs="Times New Roman"/>
                <w:b/>
                <w:i/>
                <w:noProof/>
                <w:sz w:val="20"/>
                <w:szCs w:val="20"/>
              </w:rPr>
              <w:t>4.2.2</w:t>
            </w:r>
            <w:r w:rsidR="00C47842" w:rsidRPr="00C47842">
              <w:rPr>
                <w:rFonts w:eastAsiaTheme="minorEastAsia"/>
                <w:noProof/>
                <w:lang w:val="en-US"/>
              </w:rPr>
              <w:tab/>
            </w:r>
            <w:r w:rsidR="00C47842" w:rsidRPr="00C47842">
              <w:rPr>
                <w:rStyle w:val="a4"/>
                <w:rFonts w:ascii="Times New Roman" w:hAnsi="Times New Roman" w:cs="Times New Roman"/>
                <w:b/>
                <w:i/>
                <w:noProof/>
                <w:sz w:val="20"/>
                <w:szCs w:val="20"/>
              </w:rPr>
              <w:t>Modificările operate pe parcursul anului 2017 la indicatorii bugetar-fiscali aprobați inițial au fost generate de gradul de realizare a veniturilor bugetului de stat.</w:t>
            </w:r>
            <w:r w:rsidR="00C47842" w:rsidRPr="00C47842">
              <w:rPr>
                <w:noProof/>
                <w:webHidden/>
              </w:rPr>
              <w:tab/>
            </w:r>
            <w:r w:rsidR="00C47842" w:rsidRPr="00C47842">
              <w:rPr>
                <w:noProof/>
                <w:webHidden/>
              </w:rPr>
              <w:fldChar w:fldCharType="begin"/>
            </w:r>
            <w:r w:rsidR="00C47842" w:rsidRPr="00C47842">
              <w:rPr>
                <w:noProof/>
                <w:webHidden/>
              </w:rPr>
              <w:instrText xml:space="preserve"> PAGEREF _Toc515518991 \h </w:instrText>
            </w:r>
            <w:r w:rsidR="00C47842" w:rsidRPr="00C47842">
              <w:rPr>
                <w:noProof/>
                <w:webHidden/>
              </w:rPr>
            </w:r>
            <w:r w:rsidR="00C47842" w:rsidRPr="00C47842">
              <w:rPr>
                <w:noProof/>
                <w:webHidden/>
              </w:rPr>
              <w:fldChar w:fldCharType="separate"/>
            </w:r>
            <w:r w:rsidR="00395074">
              <w:rPr>
                <w:noProof/>
                <w:webHidden/>
              </w:rPr>
              <w:t>27</w:t>
            </w:r>
            <w:r w:rsidR="00C47842" w:rsidRPr="00C47842">
              <w:rPr>
                <w:noProof/>
                <w:webHidden/>
              </w:rPr>
              <w:fldChar w:fldCharType="end"/>
            </w:r>
          </w:hyperlink>
        </w:p>
        <w:p w:rsidR="00C47842" w:rsidRPr="00C47842" w:rsidRDefault="006D049D" w:rsidP="008A3DFD">
          <w:pPr>
            <w:pStyle w:val="31"/>
            <w:spacing w:line="240" w:lineRule="auto"/>
            <w:rPr>
              <w:rFonts w:eastAsiaTheme="minorEastAsia"/>
              <w:noProof/>
              <w:lang w:val="en-US"/>
            </w:rPr>
          </w:pPr>
          <w:hyperlink w:anchor="_Toc515518992" w:history="1">
            <w:r w:rsidR="00C47842" w:rsidRPr="00C47842">
              <w:rPr>
                <w:rStyle w:val="a4"/>
                <w:rFonts w:ascii="Times New Roman" w:hAnsi="Times New Roman" w:cs="Times New Roman"/>
                <w:b/>
                <w:i/>
                <w:noProof/>
                <w:sz w:val="20"/>
                <w:szCs w:val="20"/>
              </w:rPr>
              <w:t>4.2.3</w:t>
            </w:r>
            <w:r w:rsidR="00C47842" w:rsidRPr="00C47842">
              <w:rPr>
                <w:rFonts w:eastAsiaTheme="minorEastAsia"/>
                <w:noProof/>
                <w:lang w:val="en-US"/>
              </w:rPr>
              <w:tab/>
            </w:r>
            <w:r w:rsidR="00C47842" w:rsidRPr="00C47842">
              <w:rPr>
                <w:rStyle w:val="a4"/>
                <w:rFonts w:ascii="Times New Roman" w:hAnsi="Times New Roman" w:cs="Times New Roman"/>
                <w:b/>
                <w:i/>
                <w:noProof/>
                <w:sz w:val="20"/>
                <w:szCs w:val="20"/>
              </w:rPr>
              <w:t>Nivelul acumulării de către administratorii veniturilor stabilite prin Legea bugetului de stat pentru anul 2017 și consecințele posibile asupra restanțelor contribuabililor față de bugetul de stat la plata obligațiilor</w:t>
            </w:r>
            <w:r w:rsidR="00C47842" w:rsidRPr="00C47842">
              <w:rPr>
                <w:noProof/>
                <w:webHidden/>
              </w:rPr>
              <w:tab/>
            </w:r>
            <w:r w:rsidR="00C47842" w:rsidRPr="00C47842">
              <w:rPr>
                <w:noProof/>
                <w:webHidden/>
              </w:rPr>
              <w:fldChar w:fldCharType="begin"/>
            </w:r>
            <w:r w:rsidR="00C47842" w:rsidRPr="00C47842">
              <w:rPr>
                <w:noProof/>
                <w:webHidden/>
              </w:rPr>
              <w:instrText xml:space="preserve"> PAGEREF _Toc515518992 \h </w:instrText>
            </w:r>
            <w:r w:rsidR="00C47842" w:rsidRPr="00C47842">
              <w:rPr>
                <w:noProof/>
                <w:webHidden/>
              </w:rPr>
            </w:r>
            <w:r w:rsidR="00C47842" w:rsidRPr="00C47842">
              <w:rPr>
                <w:noProof/>
                <w:webHidden/>
              </w:rPr>
              <w:fldChar w:fldCharType="separate"/>
            </w:r>
            <w:r w:rsidR="00395074">
              <w:rPr>
                <w:noProof/>
                <w:webHidden/>
              </w:rPr>
              <w:t>29</w:t>
            </w:r>
            <w:r w:rsidR="00C47842" w:rsidRPr="00C47842">
              <w:rPr>
                <w:noProof/>
                <w:webHidden/>
              </w:rPr>
              <w:fldChar w:fldCharType="end"/>
            </w:r>
          </w:hyperlink>
        </w:p>
        <w:p w:rsidR="00C47842" w:rsidRPr="00C47842" w:rsidRDefault="006D049D" w:rsidP="008A3DFD">
          <w:pPr>
            <w:pStyle w:val="31"/>
            <w:spacing w:line="240" w:lineRule="auto"/>
            <w:rPr>
              <w:rFonts w:eastAsiaTheme="minorEastAsia"/>
              <w:noProof/>
              <w:lang w:val="en-US"/>
            </w:rPr>
          </w:pPr>
          <w:hyperlink w:anchor="_Toc515518993" w:history="1">
            <w:r w:rsidR="00C47842" w:rsidRPr="00C47842">
              <w:rPr>
                <w:rStyle w:val="a4"/>
                <w:rFonts w:ascii="Times New Roman" w:hAnsi="Times New Roman" w:cs="Times New Roman"/>
                <w:b/>
                <w:i/>
                <w:noProof/>
                <w:sz w:val="20"/>
                <w:szCs w:val="20"/>
              </w:rPr>
              <w:t>4.2.4</w:t>
            </w:r>
            <w:r w:rsidR="00C47842" w:rsidRPr="00C47842">
              <w:rPr>
                <w:rFonts w:eastAsiaTheme="minorEastAsia"/>
                <w:noProof/>
                <w:lang w:val="en-US"/>
              </w:rPr>
              <w:tab/>
            </w:r>
            <w:r w:rsidR="00C47842" w:rsidRPr="00C47842">
              <w:rPr>
                <w:rStyle w:val="a4"/>
                <w:rFonts w:ascii="Times New Roman" w:hAnsi="Times New Roman" w:cs="Times New Roman"/>
                <w:b/>
                <w:i/>
                <w:noProof/>
                <w:sz w:val="20"/>
                <w:szCs w:val="20"/>
              </w:rPr>
              <w:t>Cheltuielile de casă ale bugetului de stat în anul 2017 au fost executate sub nivelul precizat.</w:t>
            </w:r>
            <w:r w:rsidR="00C47842" w:rsidRPr="00C47842">
              <w:rPr>
                <w:noProof/>
                <w:webHidden/>
              </w:rPr>
              <w:tab/>
            </w:r>
            <w:r w:rsidR="00C47842" w:rsidRPr="00C47842">
              <w:rPr>
                <w:noProof/>
                <w:webHidden/>
              </w:rPr>
              <w:fldChar w:fldCharType="begin"/>
            </w:r>
            <w:r w:rsidR="00C47842" w:rsidRPr="00C47842">
              <w:rPr>
                <w:noProof/>
                <w:webHidden/>
              </w:rPr>
              <w:instrText xml:space="preserve"> PAGEREF _Toc515518993 \h </w:instrText>
            </w:r>
            <w:r w:rsidR="00C47842" w:rsidRPr="00C47842">
              <w:rPr>
                <w:noProof/>
                <w:webHidden/>
              </w:rPr>
            </w:r>
            <w:r w:rsidR="00C47842" w:rsidRPr="00C47842">
              <w:rPr>
                <w:noProof/>
                <w:webHidden/>
              </w:rPr>
              <w:fldChar w:fldCharType="separate"/>
            </w:r>
            <w:r w:rsidR="00395074">
              <w:rPr>
                <w:noProof/>
                <w:webHidden/>
              </w:rPr>
              <w:t>33</w:t>
            </w:r>
            <w:r w:rsidR="00C47842" w:rsidRPr="00C47842">
              <w:rPr>
                <w:noProof/>
                <w:webHidden/>
              </w:rPr>
              <w:fldChar w:fldCharType="end"/>
            </w:r>
          </w:hyperlink>
        </w:p>
        <w:p w:rsidR="00C47842" w:rsidRPr="00C47842" w:rsidRDefault="006D049D" w:rsidP="008A3DFD">
          <w:pPr>
            <w:pStyle w:val="31"/>
            <w:spacing w:line="240" w:lineRule="auto"/>
            <w:rPr>
              <w:rFonts w:eastAsiaTheme="minorEastAsia"/>
              <w:noProof/>
              <w:lang w:val="en-US"/>
            </w:rPr>
          </w:pPr>
          <w:hyperlink w:anchor="_Toc515518994" w:history="1">
            <w:r w:rsidR="00C47842" w:rsidRPr="00C47842">
              <w:rPr>
                <w:rStyle w:val="a4"/>
                <w:rFonts w:ascii="Times New Roman" w:hAnsi="Times New Roman" w:cs="Times New Roman"/>
                <w:b/>
                <w:i/>
                <w:noProof/>
                <w:sz w:val="20"/>
                <w:szCs w:val="20"/>
              </w:rPr>
              <w:t>4.2.5</w:t>
            </w:r>
            <w:r w:rsidR="00C47842" w:rsidRPr="00C47842">
              <w:rPr>
                <w:rFonts w:eastAsiaTheme="minorEastAsia"/>
                <w:noProof/>
                <w:lang w:val="en-US"/>
              </w:rPr>
              <w:tab/>
            </w:r>
            <w:r w:rsidR="00C47842" w:rsidRPr="00C47842">
              <w:rPr>
                <w:rStyle w:val="a4"/>
                <w:rFonts w:ascii="Times New Roman" w:hAnsi="Times New Roman" w:cs="Times New Roman"/>
                <w:b/>
                <w:i/>
                <w:noProof/>
                <w:sz w:val="20"/>
                <w:szCs w:val="20"/>
              </w:rPr>
              <w:t>Achitarea documentelor executorii a fost efectuată cu nerespectarea în unele cazuri a cadrului normativ.</w:t>
            </w:r>
            <w:r w:rsidR="00C47842" w:rsidRPr="00C47842">
              <w:rPr>
                <w:noProof/>
                <w:webHidden/>
              </w:rPr>
              <w:tab/>
            </w:r>
            <w:r w:rsidR="00C47842" w:rsidRPr="00C47842">
              <w:rPr>
                <w:noProof/>
                <w:webHidden/>
              </w:rPr>
              <w:fldChar w:fldCharType="begin"/>
            </w:r>
            <w:r w:rsidR="00C47842" w:rsidRPr="00C47842">
              <w:rPr>
                <w:noProof/>
                <w:webHidden/>
              </w:rPr>
              <w:instrText xml:space="preserve"> PAGEREF _Toc515518994 \h </w:instrText>
            </w:r>
            <w:r w:rsidR="00C47842" w:rsidRPr="00C47842">
              <w:rPr>
                <w:noProof/>
                <w:webHidden/>
              </w:rPr>
            </w:r>
            <w:r w:rsidR="00C47842" w:rsidRPr="00C47842">
              <w:rPr>
                <w:noProof/>
                <w:webHidden/>
              </w:rPr>
              <w:fldChar w:fldCharType="separate"/>
            </w:r>
            <w:r w:rsidR="00395074">
              <w:rPr>
                <w:noProof/>
                <w:webHidden/>
              </w:rPr>
              <w:t>36</w:t>
            </w:r>
            <w:r w:rsidR="00C47842" w:rsidRPr="00C47842">
              <w:rPr>
                <w:noProof/>
                <w:webHidden/>
              </w:rPr>
              <w:fldChar w:fldCharType="end"/>
            </w:r>
          </w:hyperlink>
        </w:p>
        <w:p w:rsidR="00C47842" w:rsidRPr="00C47842" w:rsidRDefault="006D049D" w:rsidP="008A3DFD">
          <w:pPr>
            <w:pStyle w:val="31"/>
            <w:spacing w:line="240" w:lineRule="auto"/>
            <w:rPr>
              <w:rFonts w:eastAsiaTheme="minorEastAsia"/>
              <w:noProof/>
              <w:lang w:val="en-US"/>
            </w:rPr>
          </w:pPr>
          <w:hyperlink w:anchor="_Toc515518995" w:history="1">
            <w:r w:rsidR="00C47842" w:rsidRPr="00C47842">
              <w:rPr>
                <w:rStyle w:val="a4"/>
                <w:rFonts w:ascii="Times New Roman" w:hAnsi="Times New Roman" w:cs="Times New Roman"/>
                <w:b/>
                <w:i/>
                <w:noProof/>
                <w:sz w:val="20"/>
                <w:szCs w:val="20"/>
              </w:rPr>
              <w:t>4.2.6</w:t>
            </w:r>
            <w:r w:rsidR="00C47842" w:rsidRPr="00C47842">
              <w:rPr>
                <w:rFonts w:eastAsiaTheme="minorEastAsia"/>
                <w:noProof/>
                <w:lang w:val="en-US"/>
              </w:rPr>
              <w:tab/>
            </w:r>
            <w:r w:rsidR="00C47842" w:rsidRPr="00C47842">
              <w:rPr>
                <w:rStyle w:val="a4"/>
                <w:rFonts w:ascii="Times New Roman" w:hAnsi="Times New Roman" w:cs="Times New Roman"/>
                <w:b/>
                <w:i/>
                <w:noProof/>
                <w:sz w:val="20"/>
                <w:szCs w:val="20"/>
              </w:rPr>
              <w:t>Nivelul executării cheltuielilor destinate investițiilor capitale și consecințele posibile în funcție de nivelul de finanțare și gestionare a acestora</w:t>
            </w:r>
            <w:r w:rsidR="00C47842" w:rsidRPr="00C47842">
              <w:rPr>
                <w:noProof/>
                <w:webHidden/>
              </w:rPr>
              <w:tab/>
            </w:r>
            <w:r w:rsidR="00C47842" w:rsidRPr="00C47842">
              <w:rPr>
                <w:noProof/>
                <w:webHidden/>
              </w:rPr>
              <w:fldChar w:fldCharType="begin"/>
            </w:r>
            <w:r w:rsidR="00C47842" w:rsidRPr="00C47842">
              <w:rPr>
                <w:noProof/>
                <w:webHidden/>
              </w:rPr>
              <w:instrText xml:space="preserve"> PAGEREF _Toc515518995 \h </w:instrText>
            </w:r>
            <w:r w:rsidR="00C47842" w:rsidRPr="00C47842">
              <w:rPr>
                <w:noProof/>
                <w:webHidden/>
              </w:rPr>
            </w:r>
            <w:r w:rsidR="00C47842" w:rsidRPr="00C47842">
              <w:rPr>
                <w:noProof/>
                <w:webHidden/>
              </w:rPr>
              <w:fldChar w:fldCharType="separate"/>
            </w:r>
            <w:r w:rsidR="00395074">
              <w:rPr>
                <w:noProof/>
                <w:webHidden/>
              </w:rPr>
              <w:t>39</w:t>
            </w:r>
            <w:r w:rsidR="00C47842" w:rsidRPr="00C47842">
              <w:rPr>
                <w:noProof/>
                <w:webHidden/>
              </w:rPr>
              <w:fldChar w:fldCharType="end"/>
            </w:r>
          </w:hyperlink>
        </w:p>
        <w:p w:rsidR="00C47842" w:rsidRPr="00C47842" w:rsidRDefault="006D049D" w:rsidP="008A3DFD">
          <w:pPr>
            <w:pStyle w:val="31"/>
            <w:spacing w:line="240" w:lineRule="auto"/>
            <w:rPr>
              <w:rFonts w:eastAsiaTheme="minorEastAsia"/>
              <w:noProof/>
              <w:lang w:val="en-US"/>
            </w:rPr>
          </w:pPr>
          <w:hyperlink w:anchor="_Toc515518996" w:history="1">
            <w:r w:rsidR="00C47842" w:rsidRPr="00C47842">
              <w:rPr>
                <w:rStyle w:val="a4"/>
                <w:rFonts w:ascii="Times New Roman" w:hAnsi="Times New Roman" w:cs="Times New Roman"/>
                <w:b/>
                <w:i/>
                <w:noProof/>
                <w:sz w:val="20"/>
                <w:szCs w:val="20"/>
              </w:rPr>
              <w:t>4.2.7</w:t>
            </w:r>
            <w:r w:rsidR="00C47842" w:rsidRPr="00C47842">
              <w:rPr>
                <w:rFonts w:eastAsiaTheme="minorEastAsia"/>
                <w:noProof/>
                <w:lang w:val="en-US"/>
              </w:rPr>
              <w:tab/>
            </w:r>
            <w:r w:rsidR="00C47842" w:rsidRPr="00C47842">
              <w:rPr>
                <w:rStyle w:val="a4"/>
                <w:rFonts w:ascii="Times New Roman" w:hAnsi="Times New Roman" w:cs="Times New Roman"/>
                <w:b/>
                <w:i/>
                <w:noProof/>
                <w:sz w:val="20"/>
                <w:szCs w:val="20"/>
              </w:rPr>
              <w:t>Mijloacele fondului de rezervă și ale fondului de intervenție ale Guvernului au fost gestionate, cu unele rezerve, conform prevederilor cadrului legal</w:t>
            </w:r>
            <w:r w:rsidR="00C47842" w:rsidRPr="00C47842">
              <w:rPr>
                <w:noProof/>
                <w:webHidden/>
              </w:rPr>
              <w:tab/>
            </w:r>
            <w:r w:rsidR="00C47842" w:rsidRPr="00C47842">
              <w:rPr>
                <w:noProof/>
                <w:webHidden/>
              </w:rPr>
              <w:fldChar w:fldCharType="begin"/>
            </w:r>
            <w:r w:rsidR="00C47842" w:rsidRPr="00C47842">
              <w:rPr>
                <w:noProof/>
                <w:webHidden/>
              </w:rPr>
              <w:instrText xml:space="preserve"> PAGEREF _Toc515518996 \h </w:instrText>
            </w:r>
            <w:r w:rsidR="00C47842" w:rsidRPr="00C47842">
              <w:rPr>
                <w:noProof/>
                <w:webHidden/>
              </w:rPr>
            </w:r>
            <w:r w:rsidR="00C47842" w:rsidRPr="00C47842">
              <w:rPr>
                <w:noProof/>
                <w:webHidden/>
              </w:rPr>
              <w:fldChar w:fldCharType="separate"/>
            </w:r>
            <w:r w:rsidR="00395074">
              <w:rPr>
                <w:noProof/>
                <w:webHidden/>
              </w:rPr>
              <w:t>44</w:t>
            </w:r>
            <w:r w:rsidR="00C47842" w:rsidRPr="00C47842">
              <w:rPr>
                <w:noProof/>
                <w:webHidden/>
              </w:rPr>
              <w:fldChar w:fldCharType="end"/>
            </w:r>
          </w:hyperlink>
        </w:p>
        <w:p w:rsidR="00C47842" w:rsidRPr="00C47842" w:rsidRDefault="006D049D" w:rsidP="008A3DFD">
          <w:pPr>
            <w:pStyle w:val="31"/>
            <w:spacing w:line="240" w:lineRule="auto"/>
            <w:rPr>
              <w:rFonts w:eastAsiaTheme="minorEastAsia"/>
              <w:noProof/>
              <w:lang w:val="en-US"/>
            </w:rPr>
          </w:pPr>
          <w:hyperlink w:anchor="_Toc515518997" w:history="1">
            <w:r w:rsidR="00C47842" w:rsidRPr="00C47842">
              <w:rPr>
                <w:rStyle w:val="a4"/>
                <w:rFonts w:ascii="Times New Roman" w:hAnsi="Times New Roman" w:cs="Times New Roman"/>
                <w:b/>
                <w:i/>
                <w:noProof/>
                <w:sz w:val="20"/>
                <w:szCs w:val="20"/>
              </w:rPr>
              <w:t>4.2.8</w:t>
            </w:r>
            <w:r w:rsidR="00C47842" w:rsidRPr="00C47842">
              <w:rPr>
                <w:rFonts w:eastAsiaTheme="minorEastAsia"/>
                <w:noProof/>
                <w:lang w:val="en-US"/>
              </w:rPr>
              <w:tab/>
            </w:r>
            <w:r w:rsidR="00C47842" w:rsidRPr="00C47842">
              <w:rPr>
                <w:rStyle w:val="a4"/>
                <w:rFonts w:ascii="Times New Roman" w:hAnsi="Times New Roman" w:cs="Times New Roman"/>
                <w:b/>
                <w:i/>
                <w:noProof/>
                <w:sz w:val="20"/>
                <w:szCs w:val="20"/>
              </w:rPr>
              <w:t>Situațiile creanțelor și datoriilor autorităților/instituțiilor bugetare la 31.12.2017 sunt în creștere, în comparație cu cele raportate la 31.12.2016.</w:t>
            </w:r>
            <w:r w:rsidR="00C47842" w:rsidRPr="00C47842">
              <w:rPr>
                <w:noProof/>
                <w:webHidden/>
              </w:rPr>
              <w:tab/>
            </w:r>
            <w:r w:rsidR="00C47842" w:rsidRPr="00C47842">
              <w:rPr>
                <w:noProof/>
                <w:webHidden/>
              </w:rPr>
              <w:fldChar w:fldCharType="begin"/>
            </w:r>
            <w:r w:rsidR="00C47842" w:rsidRPr="00C47842">
              <w:rPr>
                <w:noProof/>
                <w:webHidden/>
              </w:rPr>
              <w:instrText xml:space="preserve"> PAGEREF _Toc515518997 \h </w:instrText>
            </w:r>
            <w:r w:rsidR="00C47842" w:rsidRPr="00C47842">
              <w:rPr>
                <w:noProof/>
                <w:webHidden/>
              </w:rPr>
            </w:r>
            <w:r w:rsidR="00C47842" w:rsidRPr="00C47842">
              <w:rPr>
                <w:noProof/>
                <w:webHidden/>
              </w:rPr>
              <w:fldChar w:fldCharType="separate"/>
            </w:r>
            <w:r w:rsidR="00395074">
              <w:rPr>
                <w:noProof/>
                <w:webHidden/>
              </w:rPr>
              <w:t>45</w:t>
            </w:r>
            <w:r w:rsidR="00C47842" w:rsidRPr="00C47842">
              <w:rPr>
                <w:noProof/>
                <w:webHidden/>
              </w:rPr>
              <w:fldChar w:fldCharType="end"/>
            </w:r>
          </w:hyperlink>
        </w:p>
        <w:p w:rsidR="00C47842" w:rsidRPr="00C47842" w:rsidRDefault="006D049D" w:rsidP="008A3DFD">
          <w:pPr>
            <w:pStyle w:val="31"/>
            <w:spacing w:line="240" w:lineRule="auto"/>
            <w:rPr>
              <w:rFonts w:eastAsiaTheme="minorEastAsia"/>
              <w:noProof/>
              <w:lang w:val="en-US"/>
            </w:rPr>
          </w:pPr>
          <w:hyperlink w:anchor="_Toc515518998" w:history="1">
            <w:r w:rsidR="00C47842" w:rsidRPr="00C47842">
              <w:rPr>
                <w:rStyle w:val="a4"/>
                <w:rFonts w:ascii="Times New Roman" w:hAnsi="Times New Roman" w:cs="Times New Roman"/>
                <w:b/>
                <w:i/>
                <w:noProof/>
                <w:sz w:val="20"/>
                <w:szCs w:val="20"/>
              </w:rPr>
              <w:t>4.2.9</w:t>
            </w:r>
            <w:r w:rsidR="00C47842" w:rsidRPr="00C47842">
              <w:rPr>
                <w:rFonts w:eastAsiaTheme="minorEastAsia"/>
                <w:noProof/>
                <w:lang w:val="en-US"/>
              </w:rPr>
              <w:tab/>
            </w:r>
            <w:r w:rsidR="00C47842" w:rsidRPr="00C47842">
              <w:rPr>
                <w:rStyle w:val="a4"/>
                <w:rFonts w:ascii="Times New Roman" w:hAnsi="Times New Roman" w:cs="Times New Roman"/>
                <w:b/>
                <w:i/>
                <w:noProof/>
                <w:sz w:val="20"/>
                <w:szCs w:val="20"/>
              </w:rPr>
              <w:t>Cadrul de evidență contabilă trezorerială și de raportare bugetară</w:t>
            </w:r>
            <w:r w:rsidR="00C47842" w:rsidRPr="00C47842">
              <w:rPr>
                <w:noProof/>
                <w:webHidden/>
              </w:rPr>
              <w:tab/>
            </w:r>
            <w:r w:rsidR="00C47842" w:rsidRPr="00C47842">
              <w:rPr>
                <w:noProof/>
                <w:webHidden/>
              </w:rPr>
              <w:fldChar w:fldCharType="begin"/>
            </w:r>
            <w:r w:rsidR="00C47842" w:rsidRPr="00C47842">
              <w:rPr>
                <w:noProof/>
                <w:webHidden/>
              </w:rPr>
              <w:instrText xml:space="preserve"> PAGEREF _Toc515518998 \h </w:instrText>
            </w:r>
            <w:r w:rsidR="00C47842" w:rsidRPr="00C47842">
              <w:rPr>
                <w:noProof/>
                <w:webHidden/>
              </w:rPr>
            </w:r>
            <w:r w:rsidR="00C47842" w:rsidRPr="00C47842">
              <w:rPr>
                <w:noProof/>
                <w:webHidden/>
              </w:rPr>
              <w:fldChar w:fldCharType="separate"/>
            </w:r>
            <w:r w:rsidR="00395074">
              <w:rPr>
                <w:noProof/>
                <w:webHidden/>
              </w:rPr>
              <w:t>48</w:t>
            </w:r>
            <w:r w:rsidR="00C47842" w:rsidRPr="00C47842">
              <w:rPr>
                <w:noProof/>
                <w:webHidden/>
              </w:rPr>
              <w:fldChar w:fldCharType="end"/>
            </w:r>
          </w:hyperlink>
        </w:p>
        <w:p w:rsidR="00C47842" w:rsidRPr="00C47842" w:rsidRDefault="006D049D" w:rsidP="008A3DFD">
          <w:pPr>
            <w:pStyle w:val="12"/>
            <w:spacing w:line="240" w:lineRule="auto"/>
            <w:rPr>
              <w:rFonts w:ascii="Times New Roman" w:eastAsiaTheme="minorEastAsia" w:hAnsi="Times New Roman" w:cs="Times New Roman"/>
              <w:noProof/>
              <w:sz w:val="20"/>
              <w:szCs w:val="20"/>
              <w:lang w:val="en-US"/>
            </w:rPr>
          </w:pPr>
          <w:hyperlink w:anchor="_Toc515518999" w:history="1">
            <w:r w:rsidR="00C47842" w:rsidRPr="00C47842">
              <w:rPr>
                <w:rStyle w:val="a4"/>
                <w:rFonts w:ascii="Times New Roman" w:hAnsi="Times New Roman" w:cs="Times New Roman"/>
                <w:b/>
                <w:noProof/>
                <w:sz w:val="20"/>
                <w:szCs w:val="20"/>
              </w:rPr>
              <w:t>V.</w:t>
            </w:r>
            <w:r w:rsidR="00C47842" w:rsidRPr="00C47842">
              <w:rPr>
                <w:rFonts w:ascii="Times New Roman" w:eastAsiaTheme="minorEastAsia" w:hAnsi="Times New Roman" w:cs="Times New Roman"/>
                <w:noProof/>
                <w:sz w:val="20"/>
                <w:szCs w:val="20"/>
                <w:lang w:val="en-US"/>
              </w:rPr>
              <w:tab/>
            </w:r>
            <w:r w:rsidR="00C47842" w:rsidRPr="00C47842">
              <w:rPr>
                <w:rStyle w:val="a4"/>
                <w:rFonts w:ascii="Times New Roman" w:hAnsi="Times New Roman" w:cs="Times New Roman"/>
                <w:b/>
                <w:noProof/>
                <w:sz w:val="20"/>
                <w:szCs w:val="20"/>
              </w:rPr>
              <w:t>MENȚIUNE PRIVIND CONTINUITATEA ACTIVITĂȚII</w:t>
            </w:r>
            <w:r w:rsidR="00C47842" w:rsidRPr="00C47842">
              <w:rPr>
                <w:rFonts w:ascii="Times New Roman" w:hAnsi="Times New Roman" w:cs="Times New Roman"/>
                <w:noProof/>
                <w:webHidden/>
                <w:sz w:val="20"/>
                <w:szCs w:val="20"/>
              </w:rPr>
              <w:tab/>
            </w:r>
            <w:r w:rsidR="00C47842" w:rsidRPr="00C47842">
              <w:rPr>
                <w:rFonts w:ascii="Times New Roman" w:hAnsi="Times New Roman" w:cs="Times New Roman"/>
                <w:noProof/>
                <w:webHidden/>
                <w:sz w:val="20"/>
                <w:szCs w:val="20"/>
              </w:rPr>
              <w:fldChar w:fldCharType="begin"/>
            </w:r>
            <w:r w:rsidR="00C47842" w:rsidRPr="00C47842">
              <w:rPr>
                <w:rFonts w:ascii="Times New Roman" w:hAnsi="Times New Roman" w:cs="Times New Roman"/>
                <w:noProof/>
                <w:webHidden/>
                <w:sz w:val="20"/>
                <w:szCs w:val="20"/>
              </w:rPr>
              <w:instrText xml:space="preserve"> PAGEREF _Toc515518999 \h </w:instrText>
            </w:r>
            <w:r w:rsidR="00C47842" w:rsidRPr="00C47842">
              <w:rPr>
                <w:rFonts w:ascii="Times New Roman" w:hAnsi="Times New Roman" w:cs="Times New Roman"/>
                <w:noProof/>
                <w:webHidden/>
                <w:sz w:val="20"/>
                <w:szCs w:val="20"/>
              </w:rPr>
            </w:r>
            <w:r w:rsidR="00C47842" w:rsidRPr="00C47842">
              <w:rPr>
                <w:rFonts w:ascii="Times New Roman" w:hAnsi="Times New Roman" w:cs="Times New Roman"/>
                <w:noProof/>
                <w:webHidden/>
                <w:sz w:val="20"/>
                <w:szCs w:val="20"/>
              </w:rPr>
              <w:fldChar w:fldCharType="separate"/>
            </w:r>
            <w:r w:rsidR="00395074">
              <w:rPr>
                <w:rFonts w:ascii="Times New Roman" w:hAnsi="Times New Roman" w:cs="Times New Roman"/>
                <w:noProof/>
                <w:webHidden/>
                <w:sz w:val="20"/>
                <w:szCs w:val="20"/>
              </w:rPr>
              <w:t>50</w:t>
            </w:r>
            <w:r w:rsidR="00C47842" w:rsidRPr="00C47842">
              <w:rPr>
                <w:rFonts w:ascii="Times New Roman" w:hAnsi="Times New Roman" w:cs="Times New Roman"/>
                <w:noProof/>
                <w:webHidden/>
                <w:sz w:val="20"/>
                <w:szCs w:val="20"/>
              </w:rPr>
              <w:fldChar w:fldCharType="end"/>
            </w:r>
          </w:hyperlink>
        </w:p>
        <w:p w:rsidR="00C47842" w:rsidRPr="00C47842" w:rsidRDefault="006D049D" w:rsidP="008A3DFD">
          <w:pPr>
            <w:pStyle w:val="12"/>
            <w:spacing w:line="240" w:lineRule="auto"/>
            <w:rPr>
              <w:rFonts w:ascii="Times New Roman" w:eastAsiaTheme="minorEastAsia" w:hAnsi="Times New Roman" w:cs="Times New Roman"/>
              <w:noProof/>
              <w:sz w:val="20"/>
              <w:szCs w:val="20"/>
              <w:lang w:val="en-US"/>
            </w:rPr>
          </w:pPr>
          <w:hyperlink w:anchor="_Toc515519000" w:history="1">
            <w:r w:rsidR="00C47842" w:rsidRPr="00C47842">
              <w:rPr>
                <w:rStyle w:val="a4"/>
                <w:rFonts w:ascii="Times New Roman" w:hAnsi="Times New Roman" w:cs="Times New Roman"/>
                <w:b/>
                <w:noProof/>
                <w:sz w:val="20"/>
                <w:szCs w:val="20"/>
              </w:rPr>
              <w:t>VI.</w:t>
            </w:r>
            <w:r w:rsidR="00C47842" w:rsidRPr="00C47842">
              <w:rPr>
                <w:rFonts w:ascii="Times New Roman" w:eastAsiaTheme="minorEastAsia" w:hAnsi="Times New Roman" w:cs="Times New Roman"/>
                <w:noProof/>
                <w:sz w:val="20"/>
                <w:szCs w:val="20"/>
                <w:lang w:val="en-US"/>
              </w:rPr>
              <w:tab/>
            </w:r>
            <w:r w:rsidR="00C47842" w:rsidRPr="00C47842">
              <w:rPr>
                <w:rStyle w:val="a4"/>
                <w:rFonts w:ascii="Times New Roman" w:hAnsi="Times New Roman" w:cs="Times New Roman"/>
                <w:b/>
                <w:noProof/>
                <w:sz w:val="20"/>
                <w:szCs w:val="20"/>
              </w:rPr>
              <w:t>ALTE INFORMAȚII</w:t>
            </w:r>
            <w:r w:rsidR="00C47842" w:rsidRPr="00C47842">
              <w:rPr>
                <w:rFonts w:ascii="Times New Roman" w:hAnsi="Times New Roman" w:cs="Times New Roman"/>
                <w:noProof/>
                <w:webHidden/>
                <w:sz w:val="20"/>
                <w:szCs w:val="20"/>
              </w:rPr>
              <w:tab/>
            </w:r>
            <w:r w:rsidR="00C47842" w:rsidRPr="00C47842">
              <w:rPr>
                <w:rFonts w:ascii="Times New Roman" w:hAnsi="Times New Roman" w:cs="Times New Roman"/>
                <w:noProof/>
                <w:webHidden/>
                <w:sz w:val="20"/>
                <w:szCs w:val="20"/>
              </w:rPr>
              <w:fldChar w:fldCharType="begin"/>
            </w:r>
            <w:r w:rsidR="00C47842" w:rsidRPr="00C47842">
              <w:rPr>
                <w:rFonts w:ascii="Times New Roman" w:hAnsi="Times New Roman" w:cs="Times New Roman"/>
                <w:noProof/>
                <w:webHidden/>
                <w:sz w:val="20"/>
                <w:szCs w:val="20"/>
              </w:rPr>
              <w:instrText xml:space="preserve"> PAGEREF _Toc515519000 \h </w:instrText>
            </w:r>
            <w:r w:rsidR="00C47842" w:rsidRPr="00C47842">
              <w:rPr>
                <w:rFonts w:ascii="Times New Roman" w:hAnsi="Times New Roman" w:cs="Times New Roman"/>
                <w:noProof/>
                <w:webHidden/>
                <w:sz w:val="20"/>
                <w:szCs w:val="20"/>
              </w:rPr>
            </w:r>
            <w:r w:rsidR="00C47842" w:rsidRPr="00C47842">
              <w:rPr>
                <w:rFonts w:ascii="Times New Roman" w:hAnsi="Times New Roman" w:cs="Times New Roman"/>
                <w:noProof/>
                <w:webHidden/>
                <w:sz w:val="20"/>
                <w:szCs w:val="20"/>
              </w:rPr>
              <w:fldChar w:fldCharType="separate"/>
            </w:r>
            <w:r w:rsidR="00395074">
              <w:rPr>
                <w:rFonts w:ascii="Times New Roman" w:hAnsi="Times New Roman" w:cs="Times New Roman"/>
                <w:noProof/>
                <w:webHidden/>
                <w:sz w:val="20"/>
                <w:szCs w:val="20"/>
              </w:rPr>
              <w:t>51</w:t>
            </w:r>
            <w:r w:rsidR="00C47842" w:rsidRPr="00C47842">
              <w:rPr>
                <w:rFonts w:ascii="Times New Roman" w:hAnsi="Times New Roman" w:cs="Times New Roman"/>
                <w:noProof/>
                <w:webHidden/>
                <w:sz w:val="20"/>
                <w:szCs w:val="20"/>
              </w:rPr>
              <w:fldChar w:fldCharType="end"/>
            </w:r>
          </w:hyperlink>
        </w:p>
        <w:p w:rsidR="00C47842" w:rsidRPr="00C47842" w:rsidRDefault="006D049D" w:rsidP="008A3DFD">
          <w:pPr>
            <w:pStyle w:val="12"/>
            <w:spacing w:line="240" w:lineRule="auto"/>
            <w:rPr>
              <w:rFonts w:ascii="Times New Roman" w:eastAsiaTheme="minorEastAsia" w:hAnsi="Times New Roman" w:cs="Times New Roman"/>
              <w:noProof/>
              <w:sz w:val="20"/>
              <w:szCs w:val="20"/>
              <w:lang w:val="en-US"/>
            </w:rPr>
          </w:pPr>
          <w:hyperlink w:anchor="_Toc515519001" w:history="1">
            <w:r w:rsidR="00C47842" w:rsidRPr="00C47842">
              <w:rPr>
                <w:rStyle w:val="a4"/>
                <w:rFonts w:ascii="Times New Roman" w:hAnsi="Times New Roman" w:cs="Times New Roman"/>
                <w:b/>
                <w:noProof/>
                <w:sz w:val="20"/>
                <w:szCs w:val="20"/>
              </w:rPr>
              <w:t>VII.</w:t>
            </w:r>
            <w:r w:rsidR="00C47842" w:rsidRPr="00C47842">
              <w:rPr>
                <w:rFonts w:ascii="Times New Roman" w:eastAsiaTheme="minorEastAsia" w:hAnsi="Times New Roman" w:cs="Times New Roman"/>
                <w:noProof/>
                <w:sz w:val="20"/>
                <w:szCs w:val="20"/>
                <w:lang w:val="en-US"/>
              </w:rPr>
              <w:tab/>
            </w:r>
            <w:r w:rsidR="00C47842" w:rsidRPr="00C47842">
              <w:rPr>
                <w:rStyle w:val="a4"/>
                <w:rFonts w:ascii="Times New Roman" w:hAnsi="Times New Roman" w:cs="Times New Roman"/>
                <w:b/>
                <w:noProof/>
                <w:sz w:val="20"/>
                <w:szCs w:val="20"/>
              </w:rPr>
              <w:t>RECOMANDĂRI CONDUCERII MINISTERULUI FINANȚELOR</w:t>
            </w:r>
            <w:r w:rsidR="00C47842" w:rsidRPr="00C47842">
              <w:rPr>
                <w:rFonts w:ascii="Times New Roman" w:hAnsi="Times New Roman" w:cs="Times New Roman"/>
                <w:noProof/>
                <w:webHidden/>
                <w:sz w:val="20"/>
                <w:szCs w:val="20"/>
              </w:rPr>
              <w:tab/>
            </w:r>
            <w:r w:rsidR="00C47842" w:rsidRPr="00C47842">
              <w:rPr>
                <w:rFonts w:ascii="Times New Roman" w:hAnsi="Times New Roman" w:cs="Times New Roman"/>
                <w:noProof/>
                <w:webHidden/>
                <w:sz w:val="20"/>
                <w:szCs w:val="20"/>
              </w:rPr>
              <w:fldChar w:fldCharType="begin"/>
            </w:r>
            <w:r w:rsidR="00C47842" w:rsidRPr="00C47842">
              <w:rPr>
                <w:rFonts w:ascii="Times New Roman" w:hAnsi="Times New Roman" w:cs="Times New Roman"/>
                <w:noProof/>
                <w:webHidden/>
                <w:sz w:val="20"/>
                <w:szCs w:val="20"/>
              </w:rPr>
              <w:instrText xml:space="preserve"> PAGEREF _Toc515519001 \h </w:instrText>
            </w:r>
            <w:r w:rsidR="00C47842" w:rsidRPr="00C47842">
              <w:rPr>
                <w:rFonts w:ascii="Times New Roman" w:hAnsi="Times New Roman" w:cs="Times New Roman"/>
                <w:noProof/>
                <w:webHidden/>
                <w:sz w:val="20"/>
                <w:szCs w:val="20"/>
              </w:rPr>
            </w:r>
            <w:r w:rsidR="00C47842" w:rsidRPr="00C47842">
              <w:rPr>
                <w:rFonts w:ascii="Times New Roman" w:hAnsi="Times New Roman" w:cs="Times New Roman"/>
                <w:noProof/>
                <w:webHidden/>
                <w:sz w:val="20"/>
                <w:szCs w:val="20"/>
              </w:rPr>
              <w:fldChar w:fldCharType="separate"/>
            </w:r>
            <w:r w:rsidR="00395074">
              <w:rPr>
                <w:rFonts w:ascii="Times New Roman" w:hAnsi="Times New Roman" w:cs="Times New Roman"/>
                <w:noProof/>
                <w:webHidden/>
                <w:sz w:val="20"/>
                <w:szCs w:val="20"/>
              </w:rPr>
              <w:t>51</w:t>
            </w:r>
            <w:r w:rsidR="00C47842" w:rsidRPr="00C47842">
              <w:rPr>
                <w:rFonts w:ascii="Times New Roman" w:hAnsi="Times New Roman" w:cs="Times New Roman"/>
                <w:noProof/>
                <w:webHidden/>
                <w:sz w:val="20"/>
                <w:szCs w:val="20"/>
              </w:rPr>
              <w:fldChar w:fldCharType="end"/>
            </w:r>
          </w:hyperlink>
        </w:p>
        <w:p w:rsidR="00C47842" w:rsidRPr="00C47842" w:rsidRDefault="006D049D" w:rsidP="008A3DFD">
          <w:pPr>
            <w:pStyle w:val="12"/>
            <w:spacing w:line="240" w:lineRule="auto"/>
            <w:ind w:left="426"/>
            <w:rPr>
              <w:rFonts w:ascii="Times New Roman" w:eastAsiaTheme="minorEastAsia" w:hAnsi="Times New Roman" w:cs="Times New Roman"/>
              <w:noProof/>
              <w:sz w:val="20"/>
              <w:szCs w:val="20"/>
              <w:lang w:val="en-US"/>
            </w:rPr>
          </w:pPr>
          <w:hyperlink w:anchor="_Toc515519002" w:history="1">
            <w:r w:rsidR="00C47842" w:rsidRPr="00C47842">
              <w:rPr>
                <w:rStyle w:val="a4"/>
                <w:rFonts w:ascii="Times New Roman" w:hAnsi="Times New Roman" w:cs="Times New Roman"/>
                <w:b/>
                <w:noProof/>
                <w:sz w:val="20"/>
                <w:szCs w:val="20"/>
              </w:rPr>
              <w:t>VIII.</w:t>
            </w:r>
            <w:r w:rsidR="00C47842" w:rsidRPr="00C47842">
              <w:rPr>
                <w:rFonts w:ascii="Times New Roman" w:eastAsiaTheme="minorEastAsia" w:hAnsi="Times New Roman" w:cs="Times New Roman"/>
                <w:noProof/>
                <w:sz w:val="20"/>
                <w:szCs w:val="20"/>
                <w:lang w:val="en-US"/>
              </w:rPr>
              <w:tab/>
            </w:r>
            <w:r w:rsidR="00C47842" w:rsidRPr="00C47842">
              <w:rPr>
                <w:rStyle w:val="a4"/>
                <w:rFonts w:ascii="Times New Roman" w:hAnsi="Times New Roman" w:cs="Times New Roman"/>
                <w:b/>
                <w:noProof/>
                <w:sz w:val="20"/>
                <w:szCs w:val="20"/>
              </w:rPr>
              <w:t>RESPONSABILITĂȚILE CONDUCERII ȘI CELOR ÎNSĂRCINAȚI CU GUVERNANȚA PENTRU SITUAȚIILE FINANCIARE</w:t>
            </w:r>
            <w:r w:rsidR="00C47842" w:rsidRPr="00C47842">
              <w:rPr>
                <w:rFonts w:ascii="Times New Roman" w:hAnsi="Times New Roman" w:cs="Times New Roman"/>
                <w:noProof/>
                <w:webHidden/>
                <w:sz w:val="20"/>
                <w:szCs w:val="20"/>
              </w:rPr>
              <w:tab/>
            </w:r>
            <w:r w:rsidR="00C47842" w:rsidRPr="00C47842">
              <w:rPr>
                <w:rFonts w:ascii="Times New Roman" w:hAnsi="Times New Roman" w:cs="Times New Roman"/>
                <w:noProof/>
                <w:webHidden/>
                <w:sz w:val="20"/>
                <w:szCs w:val="20"/>
              </w:rPr>
              <w:fldChar w:fldCharType="begin"/>
            </w:r>
            <w:r w:rsidR="00C47842" w:rsidRPr="00C47842">
              <w:rPr>
                <w:rFonts w:ascii="Times New Roman" w:hAnsi="Times New Roman" w:cs="Times New Roman"/>
                <w:noProof/>
                <w:webHidden/>
                <w:sz w:val="20"/>
                <w:szCs w:val="20"/>
              </w:rPr>
              <w:instrText xml:space="preserve"> PAGEREF _Toc515519002 \h </w:instrText>
            </w:r>
            <w:r w:rsidR="00C47842" w:rsidRPr="00C47842">
              <w:rPr>
                <w:rFonts w:ascii="Times New Roman" w:hAnsi="Times New Roman" w:cs="Times New Roman"/>
                <w:noProof/>
                <w:webHidden/>
                <w:sz w:val="20"/>
                <w:szCs w:val="20"/>
              </w:rPr>
            </w:r>
            <w:r w:rsidR="00C47842" w:rsidRPr="00C47842">
              <w:rPr>
                <w:rFonts w:ascii="Times New Roman" w:hAnsi="Times New Roman" w:cs="Times New Roman"/>
                <w:noProof/>
                <w:webHidden/>
                <w:sz w:val="20"/>
                <w:szCs w:val="20"/>
              </w:rPr>
              <w:fldChar w:fldCharType="separate"/>
            </w:r>
            <w:r w:rsidR="00395074">
              <w:rPr>
                <w:rFonts w:ascii="Times New Roman" w:hAnsi="Times New Roman" w:cs="Times New Roman"/>
                <w:noProof/>
                <w:webHidden/>
                <w:sz w:val="20"/>
                <w:szCs w:val="20"/>
              </w:rPr>
              <w:t>52</w:t>
            </w:r>
            <w:r w:rsidR="00C47842" w:rsidRPr="00C47842">
              <w:rPr>
                <w:rFonts w:ascii="Times New Roman" w:hAnsi="Times New Roman" w:cs="Times New Roman"/>
                <w:noProof/>
                <w:webHidden/>
                <w:sz w:val="20"/>
                <w:szCs w:val="20"/>
              </w:rPr>
              <w:fldChar w:fldCharType="end"/>
            </w:r>
          </w:hyperlink>
        </w:p>
        <w:p w:rsidR="00C47842" w:rsidRPr="00C47842" w:rsidRDefault="006D049D" w:rsidP="008A3DFD">
          <w:pPr>
            <w:pStyle w:val="12"/>
            <w:spacing w:line="240" w:lineRule="auto"/>
            <w:rPr>
              <w:rFonts w:ascii="Times New Roman" w:eastAsiaTheme="minorEastAsia" w:hAnsi="Times New Roman" w:cs="Times New Roman"/>
              <w:noProof/>
              <w:sz w:val="20"/>
              <w:szCs w:val="20"/>
              <w:lang w:val="en-US"/>
            </w:rPr>
          </w:pPr>
          <w:hyperlink w:anchor="_Toc515519003" w:history="1">
            <w:r w:rsidR="00C47842" w:rsidRPr="00C47842">
              <w:rPr>
                <w:rStyle w:val="a4"/>
                <w:rFonts w:ascii="Times New Roman" w:hAnsi="Times New Roman" w:cs="Times New Roman"/>
                <w:b/>
                <w:noProof/>
                <w:sz w:val="20"/>
                <w:szCs w:val="20"/>
              </w:rPr>
              <w:t>IX.</w:t>
            </w:r>
            <w:r w:rsidR="00C47842" w:rsidRPr="00C47842">
              <w:rPr>
                <w:rFonts w:ascii="Times New Roman" w:eastAsiaTheme="minorEastAsia" w:hAnsi="Times New Roman" w:cs="Times New Roman"/>
                <w:noProof/>
                <w:sz w:val="20"/>
                <w:szCs w:val="20"/>
                <w:lang w:val="en-US"/>
              </w:rPr>
              <w:tab/>
            </w:r>
            <w:r w:rsidR="00C47842" w:rsidRPr="00C47842">
              <w:rPr>
                <w:rStyle w:val="a4"/>
                <w:rFonts w:ascii="Times New Roman" w:hAnsi="Times New Roman" w:cs="Times New Roman"/>
                <w:b/>
                <w:noProof/>
                <w:sz w:val="20"/>
                <w:szCs w:val="20"/>
              </w:rPr>
              <w:t>RESPONSABILITĂȚILE AUDITORULUI</w:t>
            </w:r>
            <w:r w:rsidR="00C47842" w:rsidRPr="00C47842">
              <w:rPr>
                <w:rFonts w:ascii="Times New Roman" w:hAnsi="Times New Roman" w:cs="Times New Roman"/>
                <w:noProof/>
                <w:webHidden/>
                <w:sz w:val="20"/>
                <w:szCs w:val="20"/>
              </w:rPr>
              <w:tab/>
            </w:r>
            <w:r w:rsidR="00C47842" w:rsidRPr="00C47842">
              <w:rPr>
                <w:rFonts w:ascii="Times New Roman" w:hAnsi="Times New Roman" w:cs="Times New Roman"/>
                <w:noProof/>
                <w:webHidden/>
                <w:sz w:val="20"/>
                <w:szCs w:val="20"/>
              </w:rPr>
              <w:fldChar w:fldCharType="begin"/>
            </w:r>
            <w:r w:rsidR="00C47842" w:rsidRPr="00C47842">
              <w:rPr>
                <w:rFonts w:ascii="Times New Roman" w:hAnsi="Times New Roman" w:cs="Times New Roman"/>
                <w:noProof/>
                <w:webHidden/>
                <w:sz w:val="20"/>
                <w:szCs w:val="20"/>
              </w:rPr>
              <w:instrText xml:space="preserve"> PAGEREF _Toc515519003 \h </w:instrText>
            </w:r>
            <w:r w:rsidR="00C47842" w:rsidRPr="00C47842">
              <w:rPr>
                <w:rFonts w:ascii="Times New Roman" w:hAnsi="Times New Roman" w:cs="Times New Roman"/>
                <w:noProof/>
                <w:webHidden/>
                <w:sz w:val="20"/>
                <w:szCs w:val="20"/>
              </w:rPr>
            </w:r>
            <w:r w:rsidR="00C47842" w:rsidRPr="00C47842">
              <w:rPr>
                <w:rFonts w:ascii="Times New Roman" w:hAnsi="Times New Roman" w:cs="Times New Roman"/>
                <w:noProof/>
                <w:webHidden/>
                <w:sz w:val="20"/>
                <w:szCs w:val="20"/>
              </w:rPr>
              <w:fldChar w:fldCharType="separate"/>
            </w:r>
            <w:r w:rsidR="00395074">
              <w:rPr>
                <w:rFonts w:ascii="Times New Roman" w:hAnsi="Times New Roman" w:cs="Times New Roman"/>
                <w:noProof/>
                <w:webHidden/>
                <w:sz w:val="20"/>
                <w:szCs w:val="20"/>
              </w:rPr>
              <w:t>53</w:t>
            </w:r>
            <w:r w:rsidR="00C47842" w:rsidRPr="00C47842">
              <w:rPr>
                <w:rFonts w:ascii="Times New Roman" w:hAnsi="Times New Roman" w:cs="Times New Roman"/>
                <w:noProof/>
                <w:webHidden/>
                <w:sz w:val="20"/>
                <w:szCs w:val="20"/>
              </w:rPr>
              <w:fldChar w:fldCharType="end"/>
            </w:r>
          </w:hyperlink>
        </w:p>
        <w:p w:rsidR="00C47842" w:rsidRPr="00C47842" w:rsidRDefault="006D049D" w:rsidP="008A3DFD">
          <w:pPr>
            <w:pStyle w:val="12"/>
            <w:spacing w:line="240" w:lineRule="auto"/>
            <w:rPr>
              <w:rFonts w:ascii="Times New Roman" w:eastAsiaTheme="minorEastAsia" w:hAnsi="Times New Roman" w:cs="Times New Roman"/>
              <w:noProof/>
              <w:sz w:val="20"/>
              <w:szCs w:val="20"/>
              <w:lang w:val="en-US"/>
            </w:rPr>
          </w:pPr>
          <w:hyperlink w:anchor="_Toc515519004" w:history="1">
            <w:r w:rsidR="00C47842" w:rsidRPr="00C47842">
              <w:rPr>
                <w:rStyle w:val="a4"/>
                <w:rFonts w:ascii="Times New Roman" w:eastAsia="Times New Roman" w:hAnsi="Times New Roman" w:cs="Times New Roman"/>
                <w:b/>
                <w:bCs/>
                <w:iCs/>
                <w:noProof/>
                <w:sz w:val="20"/>
                <w:szCs w:val="20"/>
                <w:lang w:eastAsia="ru-RU"/>
              </w:rPr>
              <w:t>X.</w:t>
            </w:r>
            <w:r w:rsidR="00C47842" w:rsidRPr="00C47842">
              <w:rPr>
                <w:rFonts w:ascii="Times New Roman" w:eastAsiaTheme="minorEastAsia" w:hAnsi="Times New Roman" w:cs="Times New Roman"/>
                <w:noProof/>
                <w:sz w:val="20"/>
                <w:szCs w:val="20"/>
                <w:lang w:val="en-US"/>
              </w:rPr>
              <w:tab/>
            </w:r>
            <w:r w:rsidR="00C47842" w:rsidRPr="00C47842">
              <w:rPr>
                <w:rStyle w:val="a4"/>
                <w:rFonts w:ascii="Times New Roman" w:eastAsia="Times New Roman" w:hAnsi="Times New Roman" w:cs="Times New Roman"/>
                <w:b/>
                <w:bCs/>
                <w:iCs/>
                <w:noProof/>
                <w:sz w:val="20"/>
                <w:szCs w:val="20"/>
                <w:lang w:eastAsia="ru-RU"/>
              </w:rPr>
              <w:t>ANEXE</w:t>
            </w:r>
            <w:r w:rsidR="00C47842" w:rsidRPr="00C47842">
              <w:rPr>
                <w:rFonts w:ascii="Times New Roman" w:hAnsi="Times New Roman" w:cs="Times New Roman"/>
                <w:noProof/>
                <w:webHidden/>
                <w:sz w:val="20"/>
                <w:szCs w:val="20"/>
              </w:rPr>
              <w:tab/>
            </w:r>
            <w:r w:rsidR="00C47842" w:rsidRPr="00C47842">
              <w:rPr>
                <w:rFonts w:ascii="Times New Roman" w:hAnsi="Times New Roman" w:cs="Times New Roman"/>
                <w:noProof/>
                <w:webHidden/>
                <w:sz w:val="20"/>
                <w:szCs w:val="20"/>
              </w:rPr>
              <w:fldChar w:fldCharType="begin"/>
            </w:r>
            <w:r w:rsidR="00C47842" w:rsidRPr="00C47842">
              <w:rPr>
                <w:rFonts w:ascii="Times New Roman" w:hAnsi="Times New Roman" w:cs="Times New Roman"/>
                <w:noProof/>
                <w:webHidden/>
                <w:sz w:val="20"/>
                <w:szCs w:val="20"/>
              </w:rPr>
              <w:instrText xml:space="preserve"> PAGEREF _Toc515519004 \h </w:instrText>
            </w:r>
            <w:r w:rsidR="00C47842" w:rsidRPr="00C47842">
              <w:rPr>
                <w:rFonts w:ascii="Times New Roman" w:hAnsi="Times New Roman" w:cs="Times New Roman"/>
                <w:noProof/>
                <w:webHidden/>
                <w:sz w:val="20"/>
                <w:szCs w:val="20"/>
              </w:rPr>
            </w:r>
            <w:r w:rsidR="00C47842" w:rsidRPr="00C47842">
              <w:rPr>
                <w:rFonts w:ascii="Times New Roman" w:hAnsi="Times New Roman" w:cs="Times New Roman"/>
                <w:noProof/>
                <w:webHidden/>
                <w:sz w:val="20"/>
                <w:szCs w:val="20"/>
              </w:rPr>
              <w:fldChar w:fldCharType="separate"/>
            </w:r>
            <w:r w:rsidR="00395074">
              <w:rPr>
                <w:rFonts w:ascii="Times New Roman" w:hAnsi="Times New Roman" w:cs="Times New Roman"/>
                <w:noProof/>
                <w:webHidden/>
                <w:sz w:val="20"/>
                <w:szCs w:val="20"/>
              </w:rPr>
              <w:t>55</w:t>
            </w:r>
            <w:r w:rsidR="00C47842" w:rsidRPr="00C47842">
              <w:rPr>
                <w:rFonts w:ascii="Times New Roman" w:hAnsi="Times New Roman" w:cs="Times New Roman"/>
                <w:noProof/>
                <w:webHidden/>
                <w:sz w:val="20"/>
                <w:szCs w:val="20"/>
              </w:rPr>
              <w:fldChar w:fldCharType="end"/>
            </w:r>
          </w:hyperlink>
        </w:p>
        <w:p w:rsidR="00AB1AB6" w:rsidRPr="00FC0F27" w:rsidRDefault="008C13A8" w:rsidP="00FC0F27">
          <w:r w:rsidRPr="00C47842">
            <w:rPr>
              <w:rFonts w:ascii="Times New Roman" w:hAnsi="Times New Roman" w:cs="Times New Roman"/>
              <w:b/>
              <w:bCs/>
              <w:noProof/>
              <w:sz w:val="20"/>
              <w:szCs w:val="20"/>
            </w:rPr>
            <w:lastRenderedPageBreak/>
            <w:fldChar w:fldCharType="end"/>
          </w:r>
        </w:p>
      </w:sdtContent>
    </w:sdt>
    <w:p w:rsidR="00397715" w:rsidRDefault="00A64899" w:rsidP="00A64899">
      <w:pPr>
        <w:pStyle w:val="a5"/>
        <w:spacing w:after="0" w:line="276" w:lineRule="auto"/>
        <w:ind w:left="0" w:right="-92"/>
        <w:jc w:val="center"/>
        <w:outlineLvl w:val="0"/>
        <w:rPr>
          <w:rFonts w:ascii="Times New Roman" w:eastAsia="Times New Roman" w:hAnsi="Times New Roman"/>
          <w:b/>
          <w:sz w:val="32"/>
          <w:szCs w:val="32"/>
          <w:lang w:eastAsia="ru-RU"/>
        </w:rPr>
      </w:pPr>
      <w:bookmarkStart w:id="1" w:name="_Toc515518976"/>
      <w:r>
        <w:rPr>
          <w:rFonts w:ascii="Times New Roman" w:eastAsia="Times New Roman" w:hAnsi="Times New Roman"/>
          <w:b/>
          <w:sz w:val="32"/>
          <w:szCs w:val="32"/>
          <w:lang w:eastAsia="ru-RU"/>
        </w:rPr>
        <w:t>Lista acronimelor</w:t>
      </w:r>
      <w:bookmarkEnd w:id="1"/>
    </w:p>
    <w:tbl>
      <w:tblPr>
        <w:tblStyle w:val="GridTable3-Accent11"/>
        <w:tblW w:w="9629" w:type="dxa"/>
        <w:tblInd w:w="15" w:type="dxa"/>
        <w:tblLook w:val="04A0" w:firstRow="1" w:lastRow="0" w:firstColumn="1" w:lastColumn="0" w:noHBand="0" w:noVBand="1"/>
      </w:tblPr>
      <w:tblGrid>
        <w:gridCol w:w="2117"/>
        <w:gridCol w:w="7512"/>
      </w:tblGrid>
      <w:tr w:rsidR="00A64899" w:rsidRPr="009E7EAD" w:rsidTr="002F2B3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17" w:type="dxa"/>
          </w:tcPr>
          <w:p w:rsidR="00A64899" w:rsidRPr="009E7EAD" w:rsidRDefault="00630120" w:rsidP="002F2B3E">
            <w:pPr>
              <w:jc w:val="left"/>
              <w:rPr>
                <w:rFonts w:ascii="Times New Roman" w:hAnsi="Times New Roman" w:cs="Times New Roman"/>
                <w:sz w:val="28"/>
                <w:szCs w:val="28"/>
                <w:lang w:val="ro-MD"/>
              </w:rPr>
            </w:pPr>
            <w:r w:rsidRPr="009E7EAD">
              <w:rPr>
                <w:rFonts w:ascii="Times New Roman" w:hAnsi="Times New Roman" w:cs="Times New Roman"/>
                <w:sz w:val="28"/>
                <w:szCs w:val="28"/>
                <w:lang w:val="ro-MD"/>
              </w:rPr>
              <w:t>Acronimul</w:t>
            </w:r>
          </w:p>
        </w:tc>
        <w:tc>
          <w:tcPr>
            <w:tcW w:w="7512" w:type="dxa"/>
          </w:tcPr>
          <w:p w:rsidR="00A64899" w:rsidRPr="009E7EAD" w:rsidRDefault="00A64899" w:rsidP="002F2B3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8"/>
                <w:szCs w:val="28"/>
                <w:lang w:val="ro-MD"/>
              </w:rPr>
            </w:pPr>
            <w:r w:rsidRPr="009E7EAD">
              <w:rPr>
                <w:rFonts w:ascii="Times New Roman" w:hAnsi="Times New Roman" w:cs="Times New Roman"/>
                <w:i/>
                <w:sz w:val="28"/>
                <w:szCs w:val="28"/>
                <w:lang w:val="ro-MD"/>
              </w:rPr>
              <w:t>Termenul abreviat</w:t>
            </w:r>
          </w:p>
        </w:tc>
      </w:tr>
      <w:tr w:rsidR="00A64899" w:rsidRPr="009E7EAD" w:rsidTr="002F2B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tcPr>
          <w:p w:rsidR="00A64899" w:rsidRPr="009E7EAD" w:rsidRDefault="00A64899" w:rsidP="002F2B3E">
            <w:pPr>
              <w:pStyle w:val="ab"/>
              <w:jc w:val="both"/>
              <w:rPr>
                <w:rFonts w:ascii="Times New Roman" w:hAnsi="Times New Roman" w:cs="Times New Roman"/>
                <w:sz w:val="28"/>
                <w:szCs w:val="28"/>
                <w:lang w:val="ro-MD"/>
              </w:rPr>
            </w:pPr>
            <w:r w:rsidRPr="009E7EAD">
              <w:rPr>
                <w:rFonts w:ascii="Times New Roman" w:hAnsi="Times New Roman" w:cs="Times New Roman"/>
                <w:sz w:val="28"/>
                <w:szCs w:val="28"/>
                <w:lang w:val="ro-MD"/>
              </w:rPr>
              <w:t>APC</w:t>
            </w:r>
          </w:p>
        </w:tc>
        <w:tc>
          <w:tcPr>
            <w:tcW w:w="7512" w:type="dxa"/>
          </w:tcPr>
          <w:p w:rsidR="00A64899" w:rsidRPr="009E7EAD" w:rsidRDefault="00A64899" w:rsidP="002F2B3E">
            <w:pPr>
              <w:pStyle w:val="ab"/>
              <w:jc w:val="both"/>
              <w:cnfStyle w:val="000000100000" w:firstRow="0" w:lastRow="0" w:firstColumn="0" w:lastColumn="0" w:oddVBand="0" w:evenVBand="0" w:oddHBand="1" w:evenHBand="0" w:firstRowFirstColumn="0" w:firstRowLastColumn="0" w:lastRowFirstColumn="0" w:lastRowLastColumn="0"/>
              <w:rPr>
                <w:rStyle w:val="af9"/>
                <w:rFonts w:ascii="Times New Roman" w:hAnsi="Times New Roman" w:cs="Times New Roman"/>
                <w:i w:val="0"/>
                <w:sz w:val="28"/>
                <w:szCs w:val="28"/>
                <w:lang w:val="ro-MD"/>
              </w:rPr>
            </w:pPr>
            <w:r w:rsidRPr="009E7EAD">
              <w:rPr>
                <w:rStyle w:val="af9"/>
                <w:rFonts w:ascii="Times New Roman" w:hAnsi="Times New Roman" w:cs="Times New Roman"/>
                <w:i w:val="0"/>
                <w:sz w:val="28"/>
                <w:szCs w:val="28"/>
                <w:lang w:val="ro-MD"/>
              </w:rPr>
              <w:t>Administrația publică centrală</w:t>
            </w:r>
          </w:p>
        </w:tc>
      </w:tr>
      <w:tr w:rsidR="00A64899" w:rsidRPr="009E7EAD" w:rsidTr="002F2B3E">
        <w:tc>
          <w:tcPr>
            <w:cnfStyle w:val="001000000000" w:firstRow="0" w:lastRow="0" w:firstColumn="1" w:lastColumn="0" w:oddVBand="0" w:evenVBand="0" w:oddHBand="0" w:evenHBand="0" w:firstRowFirstColumn="0" w:firstRowLastColumn="0" w:lastRowFirstColumn="0" w:lastRowLastColumn="0"/>
            <w:tcW w:w="2117" w:type="dxa"/>
          </w:tcPr>
          <w:p w:rsidR="00A64899" w:rsidRPr="009E7EAD" w:rsidRDefault="00A64899" w:rsidP="002F2B3E">
            <w:pPr>
              <w:pStyle w:val="ab"/>
              <w:jc w:val="both"/>
              <w:rPr>
                <w:rFonts w:ascii="Times New Roman" w:hAnsi="Times New Roman" w:cs="Times New Roman"/>
                <w:sz w:val="28"/>
                <w:szCs w:val="28"/>
                <w:lang w:val="ro-MD"/>
              </w:rPr>
            </w:pPr>
            <w:r w:rsidRPr="009E7EAD">
              <w:rPr>
                <w:rFonts w:ascii="Times New Roman" w:hAnsi="Times New Roman" w:cs="Times New Roman"/>
                <w:sz w:val="28"/>
                <w:szCs w:val="28"/>
                <w:lang w:val="ro-MD"/>
              </w:rPr>
              <w:t>APL</w:t>
            </w:r>
          </w:p>
        </w:tc>
        <w:tc>
          <w:tcPr>
            <w:tcW w:w="7512" w:type="dxa"/>
          </w:tcPr>
          <w:p w:rsidR="00A64899" w:rsidRPr="009E7EAD" w:rsidRDefault="00A64899" w:rsidP="002F2B3E">
            <w:pPr>
              <w:pStyle w:val="ab"/>
              <w:jc w:val="both"/>
              <w:cnfStyle w:val="000000000000" w:firstRow="0" w:lastRow="0" w:firstColumn="0" w:lastColumn="0" w:oddVBand="0" w:evenVBand="0" w:oddHBand="0" w:evenHBand="0" w:firstRowFirstColumn="0" w:firstRowLastColumn="0" w:lastRowFirstColumn="0" w:lastRowLastColumn="0"/>
              <w:rPr>
                <w:rStyle w:val="af9"/>
                <w:rFonts w:ascii="Times New Roman" w:hAnsi="Times New Roman" w:cs="Times New Roman"/>
                <w:i w:val="0"/>
                <w:sz w:val="28"/>
                <w:szCs w:val="28"/>
                <w:lang w:val="ro-MD"/>
              </w:rPr>
            </w:pPr>
            <w:r w:rsidRPr="009E7EAD">
              <w:rPr>
                <w:rStyle w:val="af9"/>
                <w:rFonts w:ascii="Times New Roman" w:hAnsi="Times New Roman" w:cs="Times New Roman"/>
                <w:i w:val="0"/>
                <w:sz w:val="28"/>
                <w:szCs w:val="28"/>
                <w:lang w:val="ro-MD"/>
              </w:rPr>
              <w:t>Administrația publică locală</w:t>
            </w:r>
          </w:p>
        </w:tc>
      </w:tr>
      <w:tr w:rsidR="00A64899" w:rsidRPr="009E7EAD" w:rsidTr="002F2B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tcPr>
          <w:p w:rsidR="00A64899" w:rsidRPr="009E7EAD" w:rsidRDefault="00A64899" w:rsidP="002F2B3E">
            <w:pPr>
              <w:pStyle w:val="ab"/>
              <w:jc w:val="both"/>
              <w:rPr>
                <w:rFonts w:ascii="Times New Roman" w:hAnsi="Times New Roman" w:cs="Times New Roman"/>
                <w:sz w:val="28"/>
                <w:szCs w:val="28"/>
                <w:lang w:val="ro-MD"/>
              </w:rPr>
            </w:pPr>
            <w:r w:rsidRPr="009E7EAD">
              <w:rPr>
                <w:rFonts w:ascii="Times New Roman" w:hAnsi="Times New Roman" w:cs="Times New Roman"/>
                <w:sz w:val="28"/>
                <w:szCs w:val="28"/>
                <w:lang w:val="ro-MD"/>
              </w:rPr>
              <w:t>BASS</w:t>
            </w:r>
          </w:p>
        </w:tc>
        <w:tc>
          <w:tcPr>
            <w:tcW w:w="7512" w:type="dxa"/>
          </w:tcPr>
          <w:p w:rsidR="00A64899" w:rsidRPr="009E7EAD" w:rsidRDefault="00A64899" w:rsidP="002F2B3E">
            <w:pPr>
              <w:pStyle w:val="ab"/>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70C0"/>
                <w:sz w:val="28"/>
                <w:szCs w:val="28"/>
                <w:lang w:val="ro-MD"/>
              </w:rPr>
            </w:pPr>
            <w:r w:rsidRPr="009E7EAD">
              <w:rPr>
                <w:rFonts w:ascii="Times New Roman" w:hAnsi="Times New Roman" w:cs="Times New Roman"/>
                <w:sz w:val="28"/>
                <w:szCs w:val="28"/>
                <w:lang w:val="ro-MD"/>
              </w:rPr>
              <w:t>Bugetul asigurărilor sociale de stat</w:t>
            </w:r>
          </w:p>
        </w:tc>
      </w:tr>
      <w:tr w:rsidR="003929E9" w:rsidRPr="009E7EAD" w:rsidTr="002F2B3E">
        <w:tc>
          <w:tcPr>
            <w:cnfStyle w:val="001000000000" w:firstRow="0" w:lastRow="0" w:firstColumn="1" w:lastColumn="0" w:oddVBand="0" w:evenVBand="0" w:oddHBand="0" w:evenHBand="0" w:firstRowFirstColumn="0" w:firstRowLastColumn="0" w:lastRowFirstColumn="0" w:lastRowLastColumn="0"/>
            <w:tcW w:w="2117" w:type="dxa"/>
          </w:tcPr>
          <w:p w:rsidR="003929E9" w:rsidRPr="009E7EAD" w:rsidRDefault="003929E9" w:rsidP="002F2B3E">
            <w:pPr>
              <w:pStyle w:val="ab"/>
              <w:jc w:val="both"/>
              <w:rPr>
                <w:rFonts w:ascii="Times New Roman" w:hAnsi="Times New Roman" w:cs="Times New Roman"/>
                <w:sz w:val="28"/>
                <w:szCs w:val="28"/>
                <w:lang w:val="ro-MD"/>
              </w:rPr>
            </w:pPr>
            <w:r w:rsidRPr="009E7EAD">
              <w:rPr>
                <w:rFonts w:ascii="Times New Roman" w:hAnsi="Times New Roman" w:cs="Times New Roman"/>
                <w:sz w:val="28"/>
                <w:szCs w:val="28"/>
                <w:lang w:val="ro-MD"/>
              </w:rPr>
              <w:t>BC</w:t>
            </w:r>
          </w:p>
        </w:tc>
        <w:tc>
          <w:tcPr>
            <w:tcW w:w="7512" w:type="dxa"/>
          </w:tcPr>
          <w:p w:rsidR="003929E9" w:rsidRPr="009E7EAD" w:rsidRDefault="003929E9" w:rsidP="002F2B3E">
            <w:pPr>
              <w:pStyle w:val="ab"/>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val="ro-MD"/>
              </w:rPr>
            </w:pPr>
            <w:r w:rsidRPr="009E7EAD">
              <w:rPr>
                <w:rFonts w:ascii="Times New Roman" w:hAnsi="Times New Roman" w:cs="Times New Roman"/>
                <w:sz w:val="28"/>
                <w:szCs w:val="28"/>
                <w:lang w:val="ro-MD"/>
              </w:rPr>
              <w:t>Banca comercială</w:t>
            </w:r>
          </w:p>
        </w:tc>
      </w:tr>
      <w:tr w:rsidR="00622893" w:rsidRPr="009E7EAD" w:rsidTr="002F2B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tcPr>
          <w:p w:rsidR="00622893" w:rsidRPr="009E7EAD" w:rsidRDefault="00622893" w:rsidP="002F2B3E">
            <w:pPr>
              <w:pStyle w:val="ab"/>
              <w:jc w:val="both"/>
              <w:rPr>
                <w:rFonts w:ascii="Times New Roman" w:hAnsi="Times New Roman" w:cs="Times New Roman"/>
                <w:sz w:val="28"/>
                <w:szCs w:val="28"/>
                <w:lang w:val="ro-MD"/>
              </w:rPr>
            </w:pPr>
            <w:r>
              <w:rPr>
                <w:rFonts w:ascii="Times New Roman" w:hAnsi="Times New Roman" w:cs="Times New Roman"/>
                <w:sz w:val="28"/>
                <w:szCs w:val="28"/>
                <w:lang w:val="ro-MD"/>
              </w:rPr>
              <w:t>BL</w:t>
            </w:r>
          </w:p>
        </w:tc>
        <w:tc>
          <w:tcPr>
            <w:tcW w:w="7512" w:type="dxa"/>
          </w:tcPr>
          <w:p w:rsidR="00622893" w:rsidRPr="009E7EAD" w:rsidRDefault="00622893" w:rsidP="002F2B3E">
            <w:pPr>
              <w:pStyle w:val="ab"/>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ro-MD"/>
              </w:rPr>
            </w:pPr>
            <w:r>
              <w:rPr>
                <w:rFonts w:ascii="Times New Roman" w:hAnsi="Times New Roman" w:cs="Times New Roman"/>
                <w:sz w:val="28"/>
                <w:szCs w:val="28"/>
                <w:lang w:val="ro-MD"/>
              </w:rPr>
              <w:t>Bugete locale</w:t>
            </w:r>
          </w:p>
        </w:tc>
      </w:tr>
      <w:tr w:rsidR="00A64899" w:rsidRPr="009E7EAD" w:rsidTr="002F2B3E">
        <w:tc>
          <w:tcPr>
            <w:cnfStyle w:val="001000000000" w:firstRow="0" w:lastRow="0" w:firstColumn="1" w:lastColumn="0" w:oddVBand="0" w:evenVBand="0" w:oddHBand="0" w:evenHBand="0" w:firstRowFirstColumn="0" w:firstRowLastColumn="0" w:lastRowFirstColumn="0" w:lastRowLastColumn="0"/>
            <w:tcW w:w="2117" w:type="dxa"/>
          </w:tcPr>
          <w:p w:rsidR="00A64899" w:rsidRPr="009E7EAD" w:rsidRDefault="00A64899" w:rsidP="002F2B3E">
            <w:pPr>
              <w:pStyle w:val="ab"/>
              <w:jc w:val="both"/>
              <w:rPr>
                <w:rFonts w:ascii="Times New Roman" w:hAnsi="Times New Roman" w:cs="Times New Roman"/>
                <w:sz w:val="28"/>
                <w:szCs w:val="28"/>
                <w:lang w:val="ro-MD"/>
              </w:rPr>
            </w:pPr>
            <w:r w:rsidRPr="009E7EAD">
              <w:rPr>
                <w:rFonts w:ascii="Times New Roman" w:hAnsi="Times New Roman" w:cs="Times New Roman"/>
                <w:sz w:val="28"/>
                <w:szCs w:val="28"/>
                <w:lang w:val="ro-MD"/>
              </w:rPr>
              <w:t>BNM</w:t>
            </w:r>
          </w:p>
        </w:tc>
        <w:tc>
          <w:tcPr>
            <w:tcW w:w="7512" w:type="dxa"/>
          </w:tcPr>
          <w:p w:rsidR="00A64899" w:rsidRPr="009E7EAD" w:rsidRDefault="00A64899" w:rsidP="002F2B3E">
            <w:pPr>
              <w:pStyle w:val="ab"/>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70C0"/>
                <w:sz w:val="28"/>
                <w:szCs w:val="28"/>
                <w:lang w:val="ro-MD"/>
              </w:rPr>
            </w:pPr>
            <w:r w:rsidRPr="009E7EAD">
              <w:rPr>
                <w:rStyle w:val="af9"/>
                <w:rFonts w:ascii="Times New Roman" w:hAnsi="Times New Roman" w:cs="Times New Roman"/>
                <w:i w:val="0"/>
                <w:sz w:val="28"/>
                <w:szCs w:val="28"/>
                <w:lang w:val="ro-MD"/>
              </w:rPr>
              <w:t>Banca Națională a Moldovei</w:t>
            </w:r>
          </w:p>
        </w:tc>
      </w:tr>
      <w:tr w:rsidR="00A64899" w:rsidRPr="009E7EAD" w:rsidTr="002F2B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tcPr>
          <w:p w:rsidR="00A64899" w:rsidRPr="009E7EAD" w:rsidRDefault="00A64899" w:rsidP="002F2B3E">
            <w:pPr>
              <w:pStyle w:val="ab"/>
              <w:jc w:val="both"/>
              <w:rPr>
                <w:rFonts w:ascii="Times New Roman" w:hAnsi="Times New Roman" w:cs="Times New Roman"/>
                <w:sz w:val="28"/>
                <w:szCs w:val="28"/>
                <w:lang w:val="ro-MD"/>
              </w:rPr>
            </w:pPr>
            <w:r w:rsidRPr="009E7EAD">
              <w:rPr>
                <w:rFonts w:ascii="Times New Roman" w:hAnsi="Times New Roman" w:cs="Times New Roman"/>
                <w:sz w:val="28"/>
                <w:szCs w:val="28"/>
                <w:lang w:val="ro-MD"/>
              </w:rPr>
              <w:t>BEI</w:t>
            </w:r>
          </w:p>
        </w:tc>
        <w:tc>
          <w:tcPr>
            <w:tcW w:w="7512" w:type="dxa"/>
          </w:tcPr>
          <w:p w:rsidR="00A64899" w:rsidRPr="009E7EAD" w:rsidRDefault="00A64899" w:rsidP="002F2B3E">
            <w:pPr>
              <w:pStyle w:val="ab"/>
              <w:jc w:val="both"/>
              <w:cnfStyle w:val="000000100000" w:firstRow="0" w:lastRow="0" w:firstColumn="0" w:lastColumn="0" w:oddVBand="0" w:evenVBand="0" w:oddHBand="1" w:evenHBand="0" w:firstRowFirstColumn="0" w:firstRowLastColumn="0" w:lastRowFirstColumn="0" w:lastRowLastColumn="0"/>
              <w:rPr>
                <w:rStyle w:val="af9"/>
                <w:rFonts w:ascii="Times New Roman" w:hAnsi="Times New Roman" w:cs="Times New Roman"/>
                <w:i w:val="0"/>
                <w:sz w:val="28"/>
                <w:szCs w:val="28"/>
                <w:lang w:val="ro-MD"/>
              </w:rPr>
            </w:pPr>
            <w:r w:rsidRPr="009E7EAD">
              <w:rPr>
                <w:rStyle w:val="af9"/>
                <w:rFonts w:ascii="Times New Roman" w:hAnsi="Times New Roman" w:cs="Times New Roman"/>
                <w:i w:val="0"/>
                <w:sz w:val="28"/>
                <w:szCs w:val="28"/>
                <w:lang w:val="ro-MD"/>
              </w:rPr>
              <w:t>Banca Europeană de Investiții</w:t>
            </w:r>
          </w:p>
        </w:tc>
      </w:tr>
      <w:tr w:rsidR="00A64899" w:rsidRPr="009E7EAD" w:rsidTr="002F2B3E">
        <w:tc>
          <w:tcPr>
            <w:cnfStyle w:val="001000000000" w:firstRow="0" w:lastRow="0" w:firstColumn="1" w:lastColumn="0" w:oddVBand="0" w:evenVBand="0" w:oddHBand="0" w:evenHBand="0" w:firstRowFirstColumn="0" w:firstRowLastColumn="0" w:lastRowFirstColumn="0" w:lastRowLastColumn="0"/>
            <w:tcW w:w="2117" w:type="dxa"/>
          </w:tcPr>
          <w:p w:rsidR="00A64899" w:rsidRPr="009E7EAD" w:rsidRDefault="00A64899" w:rsidP="002F2B3E">
            <w:pPr>
              <w:pStyle w:val="ab"/>
              <w:jc w:val="both"/>
              <w:rPr>
                <w:rFonts w:ascii="Times New Roman" w:hAnsi="Times New Roman" w:cs="Times New Roman"/>
                <w:sz w:val="28"/>
                <w:szCs w:val="28"/>
                <w:lang w:val="ro-MD"/>
              </w:rPr>
            </w:pPr>
            <w:r w:rsidRPr="009E7EAD">
              <w:rPr>
                <w:rFonts w:ascii="Times New Roman" w:hAnsi="Times New Roman" w:cs="Times New Roman"/>
                <w:sz w:val="28"/>
                <w:szCs w:val="28"/>
                <w:lang w:val="ro-MD"/>
              </w:rPr>
              <w:t>BERD</w:t>
            </w:r>
          </w:p>
        </w:tc>
        <w:tc>
          <w:tcPr>
            <w:tcW w:w="7512" w:type="dxa"/>
          </w:tcPr>
          <w:p w:rsidR="00A64899" w:rsidRPr="009E7EAD" w:rsidRDefault="00A64899" w:rsidP="002F2B3E">
            <w:pPr>
              <w:pStyle w:val="ab"/>
              <w:jc w:val="both"/>
              <w:cnfStyle w:val="000000000000" w:firstRow="0" w:lastRow="0" w:firstColumn="0" w:lastColumn="0" w:oddVBand="0" w:evenVBand="0" w:oddHBand="0" w:evenHBand="0" w:firstRowFirstColumn="0" w:firstRowLastColumn="0" w:lastRowFirstColumn="0" w:lastRowLastColumn="0"/>
              <w:rPr>
                <w:rStyle w:val="af9"/>
                <w:rFonts w:ascii="Times New Roman" w:hAnsi="Times New Roman" w:cs="Times New Roman"/>
                <w:i w:val="0"/>
                <w:sz w:val="28"/>
                <w:szCs w:val="28"/>
                <w:lang w:val="ro-MD"/>
              </w:rPr>
            </w:pPr>
            <w:r w:rsidRPr="009E7EAD">
              <w:rPr>
                <w:rFonts w:ascii="Times New Roman" w:hAnsi="Times New Roman" w:cs="Times New Roman"/>
                <w:sz w:val="28"/>
                <w:szCs w:val="28"/>
                <w:lang w:val="ro-MD"/>
              </w:rPr>
              <w:t>Banca Europeană pentru Reconstrucție și Dezvoltare</w:t>
            </w:r>
          </w:p>
        </w:tc>
      </w:tr>
      <w:tr w:rsidR="00A64899" w:rsidRPr="009E7EAD" w:rsidTr="002F2B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tcPr>
          <w:p w:rsidR="00A64899" w:rsidRPr="009E7EAD" w:rsidRDefault="00A64899" w:rsidP="002F2B3E">
            <w:pPr>
              <w:pStyle w:val="ab"/>
              <w:jc w:val="both"/>
              <w:rPr>
                <w:rFonts w:ascii="Times New Roman" w:hAnsi="Times New Roman" w:cs="Times New Roman"/>
                <w:sz w:val="28"/>
                <w:szCs w:val="28"/>
                <w:lang w:val="ro-MD"/>
              </w:rPr>
            </w:pPr>
            <w:r w:rsidRPr="009E7EAD">
              <w:rPr>
                <w:rFonts w:ascii="Times New Roman" w:hAnsi="Times New Roman" w:cs="Times New Roman"/>
                <w:sz w:val="28"/>
                <w:szCs w:val="28"/>
                <w:lang w:val="ro-MD"/>
              </w:rPr>
              <w:t>BNS</w:t>
            </w:r>
          </w:p>
        </w:tc>
        <w:tc>
          <w:tcPr>
            <w:tcW w:w="7512" w:type="dxa"/>
          </w:tcPr>
          <w:p w:rsidR="00A64899" w:rsidRPr="009E7EAD" w:rsidRDefault="00A64899" w:rsidP="002F2B3E">
            <w:pPr>
              <w:pStyle w:val="ab"/>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ro-MD"/>
              </w:rPr>
            </w:pPr>
            <w:r w:rsidRPr="009E7EAD">
              <w:rPr>
                <w:rFonts w:ascii="Times New Roman" w:hAnsi="Times New Roman" w:cs="Times New Roman"/>
                <w:sz w:val="28"/>
                <w:szCs w:val="28"/>
                <w:lang w:val="ro-MD"/>
              </w:rPr>
              <w:t>Biroul Național de Statistică</w:t>
            </w:r>
          </w:p>
        </w:tc>
      </w:tr>
      <w:tr w:rsidR="00A64899" w:rsidRPr="009E7EAD" w:rsidTr="002F2B3E">
        <w:tc>
          <w:tcPr>
            <w:cnfStyle w:val="001000000000" w:firstRow="0" w:lastRow="0" w:firstColumn="1" w:lastColumn="0" w:oddVBand="0" w:evenVBand="0" w:oddHBand="0" w:evenHBand="0" w:firstRowFirstColumn="0" w:firstRowLastColumn="0" w:lastRowFirstColumn="0" w:lastRowLastColumn="0"/>
            <w:tcW w:w="2117" w:type="dxa"/>
          </w:tcPr>
          <w:p w:rsidR="00A64899" w:rsidRPr="009E7EAD" w:rsidRDefault="00A64899" w:rsidP="002F2B3E">
            <w:pPr>
              <w:pStyle w:val="ab"/>
              <w:jc w:val="both"/>
              <w:rPr>
                <w:rFonts w:ascii="Times New Roman" w:hAnsi="Times New Roman" w:cs="Times New Roman"/>
                <w:sz w:val="28"/>
                <w:szCs w:val="28"/>
                <w:lang w:val="ro-MD"/>
              </w:rPr>
            </w:pPr>
            <w:r w:rsidRPr="009E7EAD">
              <w:rPr>
                <w:rFonts w:ascii="Times New Roman" w:hAnsi="Times New Roman" w:cs="Times New Roman"/>
                <w:sz w:val="28"/>
                <w:szCs w:val="28"/>
                <w:lang w:val="ro-MD"/>
              </w:rPr>
              <w:t>BPN</w:t>
            </w:r>
          </w:p>
        </w:tc>
        <w:tc>
          <w:tcPr>
            <w:tcW w:w="7512" w:type="dxa"/>
          </w:tcPr>
          <w:p w:rsidR="00A64899" w:rsidRPr="009E7EAD" w:rsidRDefault="00A64899" w:rsidP="002F2B3E">
            <w:pPr>
              <w:pStyle w:val="ab"/>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val="ro-MD"/>
              </w:rPr>
            </w:pPr>
            <w:r w:rsidRPr="009E7EAD">
              <w:rPr>
                <w:rFonts w:ascii="Times New Roman" w:hAnsi="Times New Roman" w:cs="Times New Roman"/>
                <w:sz w:val="28"/>
                <w:szCs w:val="28"/>
                <w:lang w:val="ro-MD"/>
              </w:rPr>
              <w:t>Bugetul public național</w:t>
            </w:r>
          </w:p>
        </w:tc>
      </w:tr>
      <w:tr w:rsidR="00B26B64" w:rsidRPr="009E7EAD" w:rsidTr="002F2B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tcPr>
          <w:p w:rsidR="00B26B64" w:rsidRPr="009E7EAD" w:rsidRDefault="00B26B64" w:rsidP="002F2B3E">
            <w:pPr>
              <w:pStyle w:val="ab"/>
              <w:jc w:val="both"/>
              <w:rPr>
                <w:rFonts w:ascii="Times New Roman" w:hAnsi="Times New Roman" w:cs="Times New Roman"/>
                <w:sz w:val="28"/>
                <w:szCs w:val="28"/>
                <w:lang w:val="ro-MD"/>
              </w:rPr>
            </w:pPr>
            <w:r w:rsidRPr="009E7EAD">
              <w:rPr>
                <w:rFonts w:ascii="Times New Roman" w:hAnsi="Times New Roman" w:cs="Times New Roman"/>
                <w:sz w:val="28"/>
                <w:szCs w:val="28"/>
                <w:lang w:val="ro-MD"/>
              </w:rPr>
              <w:t>BS</w:t>
            </w:r>
          </w:p>
        </w:tc>
        <w:tc>
          <w:tcPr>
            <w:tcW w:w="7512" w:type="dxa"/>
          </w:tcPr>
          <w:p w:rsidR="00B26B64" w:rsidRPr="009E7EAD" w:rsidRDefault="00B26B64" w:rsidP="002F2B3E">
            <w:pPr>
              <w:pStyle w:val="ab"/>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ro-MD"/>
              </w:rPr>
            </w:pPr>
            <w:r w:rsidRPr="009E7EAD">
              <w:rPr>
                <w:rFonts w:ascii="Times New Roman" w:hAnsi="Times New Roman" w:cs="Times New Roman"/>
                <w:sz w:val="28"/>
                <w:szCs w:val="28"/>
                <w:lang w:val="ro-MD"/>
              </w:rPr>
              <w:t>Bugetul de stat</w:t>
            </w:r>
          </w:p>
        </w:tc>
      </w:tr>
      <w:tr w:rsidR="00A64899" w:rsidRPr="009E7EAD" w:rsidTr="002F2B3E">
        <w:tc>
          <w:tcPr>
            <w:cnfStyle w:val="001000000000" w:firstRow="0" w:lastRow="0" w:firstColumn="1" w:lastColumn="0" w:oddVBand="0" w:evenVBand="0" w:oddHBand="0" w:evenHBand="0" w:firstRowFirstColumn="0" w:firstRowLastColumn="0" w:lastRowFirstColumn="0" w:lastRowLastColumn="0"/>
            <w:tcW w:w="2117" w:type="dxa"/>
          </w:tcPr>
          <w:p w:rsidR="00A64899" w:rsidRPr="009E7EAD" w:rsidRDefault="00A64899" w:rsidP="002F2B3E">
            <w:pPr>
              <w:pStyle w:val="ab"/>
              <w:jc w:val="both"/>
              <w:rPr>
                <w:rFonts w:ascii="Times New Roman" w:hAnsi="Times New Roman" w:cs="Times New Roman"/>
                <w:sz w:val="28"/>
                <w:szCs w:val="28"/>
                <w:lang w:val="ro-MD"/>
              </w:rPr>
            </w:pPr>
            <w:r w:rsidRPr="009E7EAD">
              <w:rPr>
                <w:rFonts w:ascii="Times New Roman" w:hAnsi="Times New Roman" w:cs="Times New Roman"/>
                <w:sz w:val="28"/>
                <w:szCs w:val="28"/>
                <w:lang w:val="ro-MD"/>
              </w:rPr>
              <w:t>BUAT</w:t>
            </w:r>
          </w:p>
        </w:tc>
        <w:tc>
          <w:tcPr>
            <w:tcW w:w="7512" w:type="dxa"/>
          </w:tcPr>
          <w:p w:rsidR="00A64899" w:rsidRPr="009E7EAD" w:rsidRDefault="00A64899" w:rsidP="002F2B3E">
            <w:pPr>
              <w:pStyle w:val="ab"/>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70C0"/>
                <w:sz w:val="28"/>
                <w:szCs w:val="28"/>
                <w:lang w:val="ro-MD"/>
              </w:rPr>
            </w:pPr>
            <w:r w:rsidRPr="009E7EAD">
              <w:rPr>
                <w:rFonts w:ascii="Times New Roman" w:hAnsi="Times New Roman" w:cs="Times New Roman"/>
                <w:sz w:val="28"/>
                <w:szCs w:val="28"/>
                <w:lang w:val="ro-MD"/>
              </w:rPr>
              <w:t>Bugetul unităților administrativ-teritoriale</w:t>
            </w:r>
          </w:p>
        </w:tc>
      </w:tr>
      <w:tr w:rsidR="00B26B64" w:rsidRPr="009E7EAD" w:rsidTr="002F2B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tcPr>
          <w:p w:rsidR="00B26B64" w:rsidRPr="009E7EAD" w:rsidRDefault="00B26B64" w:rsidP="002F2B3E">
            <w:pPr>
              <w:pStyle w:val="ab"/>
              <w:jc w:val="both"/>
              <w:rPr>
                <w:rFonts w:ascii="Times New Roman" w:hAnsi="Times New Roman" w:cs="Times New Roman"/>
                <w:sz w:val="28"/>
                <w:szCs w:val="28"/>
                <w:lang w:val="ro-MD"/>
              </w:rPr>
            </w:pPr>
            <w:r w:rsidRPr="009E7EAD">
              <w:rPr>
                <w:rFonts w:ascii="Times New Roman" w:hAnsi="Times New Roman" w:cs="Times New Roman"/>
                <w:sz w:val="28"/>
                <w:szCs w:val="28"/>
                <w:lang w:val="ro-MD"/>
              </w:rPr>
              <w:t>CBTM</w:t>
            </w:r>
          </w:p>
        </w:tc>
        <w:tc>
          <w:tcPr>
            <w:tcW w:w="7512" w:type="dxa"/>
          </w:tcPr>
          <w:p w:rsidR="00B26B64" w:rsidRPr="009E7EAD" w:rsidRDefault="00B26B64" w:rsidP="002F2B3E">
            <w:pPr>
              <w:pStyle w:val="ab"/>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ro-MD"/>
              </w:rPr>
            </w:pPr>
            <w:r w:rsidRPr="009E7EAD">
              <w:rPr>
                <w:rFonts w:ascii="Times New Roman" w:hAnsi="Times New Roman" w:cs="Times New Roman"/>
                <w:sz w:val="28"/>
                <w:szCs w:val="28"/>
                <w:lang w:val="ro-MD"/>
              </w:rPr>
              <w:t>Cadrul bugetar pe termen mediu</w:t>
            </w:r>
          </w:p>
        </w:tc>
      </w:tr>
      <w:tr w:rsidR="00A64899" w:rsidRPr="009E7EAD" w:rsidTr="002F2B3E">
        <w:tc>
          <w:tcPr>
            <w:cnfStyle w:val="001000000000" w:firstRow="0" w:lastRow="0" w:firstColumn="1" w:lastColumn="0" w:oddVBand="0" w:evenVBand="0" w:oddHBand="0" w:evenHBand="0" w:firstRowFirstColumn="0" w:firstRowLastColumn="0" w:lastRowFirstColumn="0" w:lastRowLastColumn="0"/>
            <w:tcW w:w="2117" w:type="dxa"/>
          </w:tcPr>
          <w:p w:rsidR="00A64899" w:rsidRPr="009E7EAD" w:rsidRDefault="00A64899" w:rsidP="002F2B3E">
            <w:pPr>
              <w:pStyle w:val="ab"/>
              <w:jc w:val="both"/>
              <w:rPr>
                <w:rFonts w:ascii="Times New Roman" w:hAnsi="Times New Roman" w:cs="Times New Roman"/>
                <w:sz w:val="28"/>
                <w:szCs w:val="28"/>
                <w:lang w:val="ro-MD"/>
              </w:rPr>
            </w:pPr>
            <w:r w:rsidRPr="009E7EAD">
              <w:rPr>
                <w:rFonts w:ascii="Times New Roman" w:hAnsi="Times New Roman" w:cs="Times New Roman"/>
                <w:sz w:val="28"/>
                <w:szCs w:val="28"/>
                <w:lang w:val="ro-MD"/>
              </w:rPr>
              <w:t>CEDO</w:t>
            </w:r>
          </w:p>
        </w:tc>
        <w:tc>
          <w:tcPr>
            <w:tcW w:w="7512" w:type="dxa"/>
          </w:tcPr>
          <w:p w:rsidR="00A64899" w:rsidRPr="009E7EAD" w:rsidRDefault="00A64899" w:rsidP="002F2B3E">
            <w:pPr>
              <w:pStyle w:val="ab"/>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70C0"/>
                <w:sz w:val="28"/>
                <w:szCs w:val="28"/>
                <w:lang w:val="ro-MD"/>
              </w:rPr>
            </w:pPr>
            <w:r w:rsidRPr="009E7EAD">
              <w:rPr>
                <w:rStyle w:val="af9"/>
                <w:rFonts w:ascii="Times New Roman" w:hAnsi="Times New Roman" w:cs="Times New Roman"/>
                <w:i w:val="0"/>
                <w:sz w:val="28"/>
                <w:szCs w:val="28"/>
                <w:lang w:val="ro-MD"/>
              </w:rPr>
              <w:t>Curtea Europeană a Drepturilor Omului</w:t>
            </w:r>
          </w:p>
        </w:tc>
      </w:tr>
      <w:tr w:rsidR="00A64899" w:rsidRPr="009E7EAD" w:rsidTr="002F2B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tcPr>
          <w:p w:rsidR="00A64899" w:rsidRPr="009E7EAD" w:rsidRDefault="00A64899" w:rsidP="002F2B3E">
            <w:pPr>
              <w:pStyle w:val="ab"/>
              <w:jc w:val="both"/>
              <w:rPr>
                <w:rFonts w:ascii="Times New Roman" w:hAnsi="Times New Roman" w:cs="Times New Roman"/>
                <w:sz w:val="28"/>
                <w:szCs w:val="28"/>
                <w:lang w:val="ro-MD"/>
              </w:rPr>
            </w:pPr>
            <w:r w:rsidRPr="009E7EAD">
              <w:rPr>
                <w:rFonts w:ascii="Times New Roman" w:hAnsi="Times New Roman" w:cs="Times New Roman"/>
                <w:sz w:val="28"/>
                <w:szCs w:val="28"/>
                <w:lang w:val="ro-MD"/>
              </w:rPr>
              <w:t>CUT</w:t>
            </w:r>
          </w:p>
        </w:tc>
        <w:tc>
          <w:tcPr>
            <w:tcW w:w="7512" w:type="dxa"/>
          </w:tcPr>
          <w:p w:rsidR="00A64899" w:rsidRPr="009E7EAD" w:rsidRDefault="00A64899" w:rsidP="002F2B3E">
            <w:pPr>
              <w:pStyle w:val="ab"/>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ro-MD"/>
              </w:rPr>
            </w:pPr>
            <w:r w:rsidRPr="009E7EAD">
              <w:rPr>
                <w:rFonts w:ascii="Times New Roman" w:hAnsi="Times New Roman" w:cs="Times New Roman"/>
                <w:sz w:val="28"/>
                <w:szCs w:val="28"/>
                <w:lang w:val="ro-MD"/>
              </w:rPr>
              <w:t>Contul Unic Trezorerial</w:t>
            </w:r>
          </w:p>
        </w:tc>
      </w:tr>
      <w:tr w:rsidR="00A64899" w:rsidRPr="009E7EAD" w:rsidTr="002F2B3E">
        <w:tc>
          <w:tcPr>
            <w:cnfStyle w:val="001000000000" w:firstRow="0" w:lastRow="0" w:firstColumn="1" w:lastColumn="0" w:oddVBand="0" w:evenVBand="0" w:oddHBand="0" w:evenHBand="0" w:firstRowFirstColumn="0" w:firstRowLastColumn="0" w:lastRowFirstColumn="0" w:lastRowLastColumn="0"/>
            <w:tcW w:w="2117" w:type="dxa"/>
            <w:shd w:val="clear" w:color="auto" w:fill="auto"/>
          </w:tcPr>
          <w:p w:rsidR="00A64899" w:rsidRPr="009E7EAD" w:rsidRDefault="00A64899" w:rsidP="002F2B3E">
            <w:pPr>
              <w:pStyle w:val="ab"/>
              <w:jc w:val="both"/>
              <w:rPr>
                <w:rFonts w:ascii="Times New Roman" w:hAnsi="Times New Roman" w:cs="Times New Roman"/>
                <w:sz w:val="28"/>
                <w:szCs w:val="28"/>
                <w:lang w:val="ro-MD"/>
              </w:rPr>
            </w:pPr>
            <w:r w:rsidRPr="009E7EAD">
              <w:rPr>
                <w:rFonts w:ascii="Times New Roman" w:hAnsi="Times New Roman" w:cs="Times New Roman"/>
                <w:sz w:val="28"/>
                <w:szCs w:val="28"/>
                <w:lang w:val="ro-MD"/>
              </w:rPr>
              <w:t>FAOAM</w:t>
            </w:r>
          </w:p>
        </w:tc>
        <w:tc>
          <w:tcPr>
            <w:tcW w:w="7512" w:type="dxa"/>
            <w:shd w:val="clear" w:color="auto" w:fill="auto"/>
          </w:tcPr>
          <w:p w:rsidR="00A64899" w:rsidRPr="009E7EAD" w:rsidRDefault="00A64899" w:rsidP="002F2B3E">
            <w:pPr>
              <w:pStyle w:val="ab"/>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70C0"/>
                <w:sz w:val="28"/>
                <w:szCs w:val="28"/>
                <w:lang w:val="ro-MD"/>
              </w:rPr>
            </w:pPr>
            <w:r w:rsidRPr="009E7EAD">
              <w:rPr>
                <w:rStyle w:val="afa"/>
                <w:rFonts w:ascii="Times New Roman" w:hAnsi="Times New Roman" w:cs="Times New Roman"/>
                <w:b w:val="0"/>
                <w:color w:val="000000"/>
                <w:sz w:val="28"/>
                <w:szCs w:val="28"/>
                <w:shd w:val="clear" w:color="auto" w:fill="FFFFFF"/>
                <w:lang w:val="ro-MD"/>
              </w:rPr>
              <w:t>Fondurile asigurării obligatorii de asistență medicală</w:t>
            </w:r>
          </w:p>
        </w:tc>
      </w:tr>
      <w:tr w:rsidR="00A64899" w:rsidRPr="009E7EAD" w:rsidTr="002F2B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tcPr>
          <w:p w:rsidR="00A64899" w:rsidRPr="009E7EAD" w:rsidRDefault="00A64899" w:rsidP="002F2B3E">
            <w:pPr>
              <w:pStyle w:val="ab"/>
              <w:jc w:val="both"/>
              <w:rPr>
                <w:rFonts w:ascii="Times New Roman" w:hAnsi="Times New Roman" w:cs="Times New Roman"/>
                <w:sz w:val="28"/>
                <w:szCs w:val="28"/>
                <w:lang w:val="ro-MD"/>
              </w:rPr>
            </w:pPr>
            <w:r w:rsidRPr="009E7EAD">
              <w:rPr>
                <w:rFonts w:ascii="Times New Roman" w:hAnsi="Times New Roman" w:cs="Times New Roman"/>
                <w:sz w:val="28"/>
                <w:szCs w:val="28"/>
                <w:lang w:val="ro-MD"/>
              </w:rPr>
              <w:t>HG</w:t>
            </w:r>
          </w:p>
        </w:tc>
        <w:tc>
          <w:tcPr>
            <w:tcW w:w="7512" w:type="dxa"/>
          </w:tcPr>
          <w:p w:rsidR="00A64899" w:rsidRPr="009E7EAD" w:rsidRDefault="00A64899" w:rsidP="002F2B3E">
            <w:pPr>
              <w:pStyle w:val="ab"/>
              <w:jc w:val="both"/>
              <w:cnfStyle w:val="000000100000" w:firstRow="0" w:lastRow="0" w:firstColumn="0" w:lastColumn="0" w:oddVBand="0" w:evenVBand="0" w:oddHBand="1" w:evenHBand="0" w:firstRowFirstColumn="0" w:firstRowLastColumn="0" w:lastRowFirstColumn="0" w:lastRowLastColumn="0"/>
              <w:rPr>
                <w:rStyle w:val="af9"/>
                <w:rFonts w:ascii="Times New Roman" w:hAnsi="Times New Roman" w:cs="Times New Roman"/>
                <w:i w:val="0"/>
                <w:sz w:val="28"/>
                <w:szCs w:val="28"/>
                <w:lang w:val="ro-MD"/>
              </w:rPr>
            </w:pPr>
            <w:r w:rsidRPr="009E7EAD">
              <w:rPr>
                <w:rStyle w:val="af9"/>
                <w:rFonts w:ascii="Times New Roman" w:hAnsi="Times New Roman" w:cs="Times New Roman"/>
                <w:i w:val="0"/>
                <w:sz w:val="28"/>
                <w:szCs w:val="28"/>
                <w:lang w:val="ro-MD"/>
              </w:rPr>
              <w:t>Hotărâre de Guvern</w:t>
            </w:r>
          </w:p>
        </w:tc>
      </w:tr>
      <w:tr w:rsidR="00785D5F" w:rsidRPr="009E7EAD" w:rsidTr="002F2B3E">
        <w:tc>
          <w:tcPr>
            <w:cnfStyle w:val="001000000000" w:firstRow="0" w:lastRow="0" w:firstColumn="1" w:lastColumn="0" w:oddVBand="0" w:evenVBand="0" w:oddHBand="0" w:evenHBand="0" w:firstRowFirstColumn="0" w:firstRowLastColumn="0" w:lastRowFirstColumn="0" w:lastRowLastColumn="0"/>
            <w:tcW w:w="2117" w:type="dxa"/>
          </w:tcPr>
          <w:p w:rsidR="00785D5F" w:rsidRPr="009E7EAD" w:rsidRDefault="00785D5F" w:rsidP="002F2B3E">
            <w:pPr>
              <w:pStyle w:val="ab"/>
              <w:jc w:val="both"/>
              <w:rPr>
                <w:rFonts w:ascii="Times New Roman" w:hAnsi="Times New Roman" w:cs="Times New Roman"/>
                <w:sz w:val="28"/>
                <w:szCs w:val="28"/>
                <w:lang w:val="ro-MD"/>
              </w:rPr>
            </w:pPr>
            <w:r w:rsidRPr="009E7EAD">
              <w:rPr>
                <w:rFonts w:ascii="Times New Roman" w:hAnsi="Times New Roman" w:cs="Times New Roman"/>
                <w:sz w:val="28"/>
                <w:szCs w:val="28"/>
                <w:lang w:val="ro-MD"/>
              </w:rPr>
              <w:t>Î.S.</w:t>
            </w:r>
          </w:p>
        </w:tc>
        <w:tc>
          <w:tcPr>
            <w:tcW w:w="7512" w:type="dxa"/>
          </w:tcPr>
          <w:p w:rsidR="00785D5F" w:rsidRPr="009E7EAD" w:rsidRDefault="00785D5F" w:rsidP="002F2B3E">
            <w:pPr>
              <w:pStyle w:val="ab"/>
              <w:jc w:val="both"/>
              <w:cnfStyle w:val="000000000000" w:firstRow="0" w:lastRow="0" w:firstColumn="0" w:lastColumn="0" w:oddVBand="0" w:evenVBand="0" w:oddHBand="0" w:evenHBand="0" w:firstRowFirstColumn="0" w:firstRowLastColumn="0" w:lastRowFirstColumn="0" w:lastRowLastColumn="0"/>
              <w:rPr>
                <w:rStyle w:val="af9"/>
                <w:rFonts w:ascii="Times New Roman" w:hAnsi="Times New Roman" w:cs="Times New Roman"/>
                <w:i w:val="0"/>
                <w:sz w:val="28"/>
                <w:szCs w:val="28"/>
                <w:lang w:val="ro-MD"/>
              </w:rPr>
            </w:pPr>
            <w:r w:rsidRPr="009E7EAD">
              <w:rPr>
                <w:rStyle w:val="af9"/>
                <w:rFonts w:ascii="Times New Roman" w:hAnsi="Times New Roman" w:cs="Times New Roman"/>
                <w:i w:val="0"/>
                <w:sz w:val="28"/>
                <w:szCs w:val="28"/>
                <w:lang w:val="ro-MD"/>
              </w:rPr>
              <w:t>Întreprinderea de stat</w:t>
            </w:r>
          </w:p>
        </w:tc>
      </w:tr>
      <w:tr w:rsidR="00B26B64" w:rsidRPr="009E7EAD" w:rsidTr="002F2B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tcPr>
          <w:p w:rsidR="00B26B64" w:rsidRPr="009E7EAD" w:rsidRDefault="00B26B64" w:rsidP="002F2B3E">
            <w:pPr>
              <w:pStyle w:val="ab"/>
              <w:jc w:val="both"/>
              <w:rPr>
                <w:rFonts w:ascii="Times New Roman" w:hAnsi="Times New Roman" w:cs="Times New Roman"/>
                <w:sz w:val="28"/>
                <w:szCs w:val="28"/>
                <w:lang w:val="ro-MD"/>
              </w:rPr>
            </w:pPr>
            <w:r w:rsidRPr="009E7EAD">
              <w:rPr>
                <w:rFonts w:ascii="Times New Roman" w:hAnsi="Times New Roman" w:cs="Times New Roman"/>
                <w:sz w:val="28"/>
                <w:szCs w:val="28"/>
                <w:lang w:val="ro-MD"/>
              </w:rPr>
              <w:t>MAI</w:t>
            </w:r>
          </w:p>
        </w:tc>
        <w:tc>
          <w:tcPr>
            <w:tcW w:w="7512" w:type="dxa"/>
          </w:tcPr>
          <w:p w:rsidR="00B26B64" w:rsidRPr="009E7EAD" w:rsidRDefault="00B26B64" w:rsidP="002F2B3E">
            <w:pPr>
              <w:pStyle w:val="ab"/>
              <w:jc w:val="both"/>
              <w:cnfStyle w:val="000000100000" w:firstRow="0" w:lastRow="0" w:firstColumn="0" w:lastColumn="0" w:oddVBand="0" w:evenVBand="0" w:oddHBand="1" w:evenHBand="0" w:firstRowFirstColumn="0" w:firstRowLastColumn="0" w:lastRowFirstColumn="0" w:lastRowLastColumn="0"/>
              <w:rPr>
                <w:rStyle w:val="af9"/>
                <w:rFonts w:ascii="Times New Roman" w:hAnsi="Times New Roman" w:cs="Times New Roman"/>
                <w:i w:val="0"/>
                <w:sz w:val="28"/>
                <w:szCs w:val="28"/>
                <w:lang w:val="ro-MD"/>
              </w:rPr>
            </w:pPr>
            <w:r w:rsidRPr="009E7EAD">
              <w:rPr>
                <w:rStyle w:val="af9"/>
                <w:rFonts w:ascii="Times New Roman" w:hAnsi="Times New Roman" w:cs="Times New Roman"/>
                <w:i w:val="0"/>
                <w:sz w:val="28"/>
                <w:szCs w:val="28"/>
                <w:lang w:val="ro-MD"/>
              </w:rPr>
              <w:t>Ministerul Afacerilor Interne</w:t>
            </w:r>
          </w:p>
        </w:tc>
      </w:tr>
      <w:tr w:rsidR="00BB4D10" w:rsidRPr="009E7EAD" w:rsidTr="002F2B3E">
        <w:tc>
          <w:tcPr>
            <w:cnfStyle w:val="001000000000" w:firstRow="0" w:lastRow="0" w:firstColumn="1" w:lastColumn="0" w:oddVBand="0" w:evenVBand="0" w:oddHBand="0" w:evenHBand="0" w:firstRowFirstColumn="0" w:firstRowLastColumn="0" w:lastRowFirstColumn="0" w:lastRowLastColumn="0"/>
            <w:tcW w:w="2117" w:type="dxa"/>
          </w:tcPr>
          <w:p w:rsidR="00BB4D10" w:rsidRPr="009E7EAD" w:rsidRDefault="00BB4D10" w:rsidP="002F2B3E">
            <w:pPr>
              <w:pStyle w:val="ab"/>
              <w:jc w:val="both"/>
              <w:rPr>
                <w:rFonts w:ascii="Times New Roman" w:hAnsi="Times New Roman" w:cs="Times New Roman"/>
                <w:sz w:val="28"/>
                <w:szCs w:val="28"/>
                <w:lang w:val="ro-MD"/>
              </w:rPr>
            </w:pPr>
            <w:r>
              <w:rPr>
                <w:rFonts w:ascii="Times New Roman" w:hAnsi="Times New Roman" w:cs="Times New Roman"/>
                <w:sz w:val="28"/>
                <w:szCs w:val="28"/>
                <w:lang w:val="ro-MD"/>
              </w:rPr>
              <w:t>MAIB</w:t>
            </w:r>
          </w:p>
        </w:tc>
        <w:tc>
          <w:tcPr>
            <w:tcW w:w="7512" w:type="dxa"/>
          </w:tcPr>
          <w:p w:rsidR="00BB4D10" w:rsidRPr="009E7EAD" w:rsidRDefault="005251F4" w:rsidP="005251F4">
            <w:pPr>
              <w:pStyle w:val="ab"/>
              <w:jc w:val="both"/>
              <w:cnfStyle w:val="000000000000" w:firstRow="0" w:lastRow="0" w:firstColumn="0" w:lastColumn="0" w:oddVBand="0" w:evenVBand="0" w:oddHBand="0" w:evenHBand="0" w:firstRowFirstColumn="0" w:firstRowLastColumn="0" w:lastRowFirstColumn="0" w:lastRowLastColumn="0"/>
              <w:rPr>
                <w:rStyle w:val="af9"/>
                <w:rFonts w:ascii="Times New Roman" w:hAnsi="Times New Roman" w:cs="Times New Roman"/>
                <w:i w:val="0"/>
                <w:sz w:val="28"/>
                <w:szCs w:val="28"/>
                <w:lang w:val="ro-MD"/>
              </w:rPr>
            </w:pPr>
            <w:r>
              <w:rPr>
                <w:rStyle w:val="af9"/>
                <w:rFonts w:ascii="Times New Roman" w:hAnsi="Times New Roman" w:cs="Times New Roman"/>
                <w:i w:val="0"/>
                <w:sz w:val="28"/>
                <w:szCs w:val="28"/>
                <w:lang w:val="ro-MD"/>
              </w:rPr>
              <w:t>B</w:t>
            </w:r>
            <w:r w:rsidR="00BB4D10">
              <w:rPr>
                <w:rStyle w:val="af9"/>
                <w:rFonts w:ascii="Times New Roman" w:hAnsi="Times New Roman" w:cs="Times New Roman"/>
                <w:i w:val="0"/>
                <w:sz w:val="28"/>
                <w:szCs w:val="28"/>
                <w:lang w:val="ro-MD"/>
              </w:rPr>
              <w:t xml:space="preserve">C </w:t>
            </w:r>
            <w:r w:rsidR="00BA4FED">
              <w:rPr>
                <w:rStyle w:val="af9"/>
                <w:rFonts w:ascii="Times New Roman" w:hAnsi="Times New Roman" w:cs="Times New Roman"/>
                <w:i w:val="0"/>
                <w:sz w:val="28"/>
                <w:szCs w:val="28"/>
                <w:lang w:val="ro-MD"/>
              </w:rPr>
              <w:t>„</w:t>
            </w:r>
            <w:r w:rsidR="00BB4D10">
              <w:rPr>
                <w:rStyle w:val="af9"/>
                <w:rFonts w:ascii="Times New Roman" w:hAnsi="Times New Roman" w:cs="Times New Roman"/>
                <w:i w:val="0"/>
                <w:sz w:val="28"/>
                <w:szCs w:val="28"/>
                <w:lang w:val="ro-MD"/>
              </w:rPr>
              <w:t>Moldova Agroindbank</w:t>
            </w:r>
            <w:r w:rsidR="00BA4FED">
              <w:rPr>
                <w:rStyle w:val="af9"/>
                <w:rFonts w:ascii="Times New Roman" w:hAnsi="Times New Roman" w:cs="Times New Roman"/>
                <w:i w:val="0"/>
                <w:sz w:val="28"/>
                <w:szCs w:val="28"/>
                <w:lang w:val="ro-MD"/>
              </w:rPr>
              <w:t>”</w:t>
            </w:r>
            <w:r w:rsidR="00BB4D10">
              <w:rPr>
                <w:rStyle w:val="af9"/>
                <w:rFonts w:ascii="Times New Roman" w:hAnsi="Times New Roman" w:cs="Times New Roman"/>
                <w:i w:val="0"/>
                <w:sz w:val="28"/>
                <w:szCs w:val="28"/>
                <w:lang w:val="ro-MD"/>
              </w:rPr>
              <w:t xml:space="preserve"> S.A.</w:t>
            </w:r>
          </w:p>
        </w:tc>
      </w:tr>
      <w:tr w:rsidR="00A64899" w:rsidRPr="009E7EAD" w:rsidTr="002F2B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tcPr>
          <w:p w:rsidR="00A64899" w:rsidRPr="009E7EAD" w:rsidRDefault="00A64899" w:rsidP="002F2B3E">
            <w:pPr>
              <w:pStyle w:val="ab"/>
              <w:jc w:val="both"/>
              <w:rPr>
                <w:rFonts w:ascii="Times New Roman" w:hAnsi="Times New Roman" w:cs="Times New Roman"/>
                <w:sz w:val="28"/>
                <w:szCs w:val="28"/>
                <w:lang w:val="ro-MD"/>
              </w:rPr>
            </w:pPr>
            <w:r w:rsidRPr="009E7EAD">
              <w:rPr>
                <w:rFonts w:ascii="Times New Roman" w:hAnsi="Times New Roman" w:cs="Times New Roman"/>
                <w:sz w:val="28"/>
                <w:szCs w:val="28"/>
                <w:lang w:val="ro-MD"/>
              </w:rPr>
              <w:t>MECC</w:t>
            </w:r>
          </w:p>
        </w:tc>
        <w:tc>
          <w:tcPr>
            <w:tcW w:w="7512" w:type="dxa"/>
          </w:tcPr>
          <w:p w:rsidR="00A64899" w:rsidRPr="009E7EAD" w:rsidRDefault="00A64899" w:rsidP="002F2B3E">
            <w:pPr>
              <w:pStyle w:val="ab"/>
              <w:jc w:val="both"/>
              <w:cnfStyle w:val="000000100000" w:firstRow="0" w:lastRow="0" w:firstColumn="0" w:lastColumn="0" w:oddVBand="0" w:evenVBand="0" w:oddHBand="1" w:evenHBand="0" w:firstRowFirstColumn="0" w:firstRowLastColumn="0" w:lastRowFirstColumn="0" w:lastRowLastColumn="0"/>
              <w:rPr>
                <w:rStyle w:val="af9"/>
                <w:rFonts w:ascii="Times New Roman" w:hAnsi="Times New Roman" w:cs="Times New Roman"/>
                <w:i w:val="0"/>
                <w:sz w:val="28"/>
                <w:szCs w:val="28"/>
                <w:lang w:val="ro-MD"/>
              </w:rPr>
            </w:pPr>
            <w:r w:rsidRPr="009E7EAD">
              <w:rPr>
                <w:rStyle w:val="af9"/>
                <w:rFonts w:ascii="Times New Roman" w:hAnsi="Times New Roman" w:cs="Times New Roman"/>
                <w:i w:val="0"/>
                <w:sz w:val="28"/>
                <w:szCs w:val="28"/>
                <w:lang w:val="ro-MD"/>
              </w:rPr>
              <w:t>Ministerul Educației, Culturii și Cercetării</w:t>
            </w:r>
          </w:p>
        </w:tc>
      </w:tr>
      <w:tr w:rsidR="00A64899" w:rsidRPr="009E7EAD" w:rsidTr="002F2B3E">
        <w:tc>
          <w:tcPr>
            <w:cnfStyle w:val="001000000000" w:firstRow="0" w:lastRow="0" w:firstColumn="1" w:lastColumn="0" w:oddVBand="0" w:evenVBand="0" w:oddHBand="0" w:evenHBand="0" w:firstRowFirstColumn="0" w:firstRowLastColumn="0" w:lastRowFirstColumn="0" w:lastRowLastColumn="0"/>
            <w:tcW w:w="2117" w:type="dxa"/>
          </w:tcPr>
          <w:p w:rsidR="00A64899" w:rsidRPr="009E7EAD" w:rsidRDefault="00A64899" w:rsidP="002F2B3E">
            <w:pPr>
              <w:pStyle w:val="ab"/>
              <w:jc w:val="both"/>
              <w:rPr>
                <w:rFonts w:ascii="Times New Roman" w:hAnsi="Times New Roman" w:cs="Times New Roman"/>
                <w:sz w:val="28"/>
                <w:szCs w:val="28"/>
                <w:lang w:val="ro-MD"/>
              </w:rPr>
            </w:pPr>
            <w:r w:rsidRPr="009E7EAD">
              <w:rPr>
                <w:rFonts w:ascii="Times New Roman" w:hAnsi="Times New Roman" w:cs="Times New Roman"/>
                <w:sz w:val="28"/>
                <w:szCs w:val="28"/>
                <w:lang w:val="ro-MD"/>
              </w:rPr>
              <w:t>MF</w:t>
            </w:r>
          </w:p>
        </w:tc>
        <w:tc>
          <w:tcPr>
            <w:tcW w:w="7512" w:type="dxa"/>
          </w:tcPr>
          <w:p w:rsidR="00A64899" w:rsidRPr="009E7EAD" w:rsidRDefault="00A64899" w:rsidP="002F2B3E">
            <w:pPr>
              <w:pStyle w:val="ab"/>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val="ro-MD"/>
              </w:rPr>
            </w:pPr>
            <w:r w:rsidRPr="009E7EAD">
              <w:rPr>
                <w:rFonts w:ascii="Times New Roman" w:hAnsi="Times New Roman" w:cs="Times New Roman"/>
                <w:sz w:val="28"/>
                <w:szCs w:val="28"/>
                <w:lang w:val="ro-MD"/>
              </w:rPr>
              <w:t>Ministerul Finanțelor</w:t>
            </w:r>
          </w:p>
        </w:tc>
      </w:tr>
      <w:tr w:rsidR="00A64899" w:rsidRPr="009E7EAD" w:rsidTr="002F2B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tcPr>
          <w:p w:rsidR="00A64899" w:rsidRPr="009E7EAD" w:rsidRDefault="00A64899" w:rsidP="002F2B3E">
            <w:pPr>
              <w:jc w:val="both"/>
              <w:rPr>
                <w:rFonts w:ascii="Times New Roman" w:hAnsi="Times New Roman" w:cs="Times New Roman"/>
                <w:sz w:val="28"/>
                <w:szCs w:val="28"/>
                <w:lang w:val="ro-MD"/>
              </w:rPr>
            </w:pPr>
            <w:r w:rsidRPr="009E7EAD">
              <w:rPr>
                <w:rFonts w:ascii="Times New Roman" w:hAnsi="Times New Roman" w:cs="Times New Roman"/>
                <w:sz w:val="28"/>
                <w:szCs w:val="28"/>
                <w:lang w:val="ro-MD"/>
              </w:rPr>
              <w:t>MSMPS</w:t>
            </w:r>
          </w:p>
        </w:tc>
        <w:tc>
          <w:tcPr>
            <w:tcW w:w="7512" w:type="dxa"/>
          </w:tcPr>
          <w:p w:rsidR="00A64899" w:rsidRPr="009E7EAD" w:rsidRDefault="00A64899" w:rsidP="002F2B3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ro-MD"/>
              </w:rPr>
            </w:pPr>
            <w:r w:rsidRPr="009E7EAD">
              <w:rPr>
                <w:rFonts w:ascii="Times New Roman" w:hAnsi="Times New Roman" w:cs="Times New Roman"/>
                <w:sz w:val="28"/>
                <w:szCs w:val="28"/>
                <w:lang w:val="ro-MD"/>
              </w:rPr>
              <w:t>Ministerul Sănătății, Muncii și Protecției Sociale</w:t>
            </w:r>
          </w:p>
        </w:tc>
      </w:tr>
      <w:tr w:rsidR="00A64899" w:rsidRPr="009E7EAD" w:rsidTr="002F2B3E">
        <w:tc>
          <w:tcPr>
            <w:cnfStyle w:val="001000000000" w:firstRow="0" w:lastRow="0" w:firstColumn="1" w:lastColumn="0" w:oddVBand="0" w:evenVBand="0" w:oddHBand="0" w:evenHBand="0" w:firstRowFirstColumn="0" w:firstRowLastColumn="0" w:lastRowFirstColumn="0" w:lastRowLastColumn="0"/>
            <w:tcW w:w="2117" w:type="dxa"/>
          </w:tcPr>
          <w:p w:rsidR="00A64899" w:rsidRPr="009E7EAD" w:rsidRDefault="00A64899" w:rsidP="002F2B3E">
            <w:pPr>
              <w:pStyle w:val="ab"/>
              <w:jc w:val="both"/>
              <w:rPr>
                <w:rFonts w:ascii="Times New Roman" w:hAnsi="Times New Roman" w:cs="Times New Roman"/>
                <w:sz w:val="28"/>
                <w:szCs w:val="28"/>
                <w:lang w:val="ro-MD"/>
              </w:rPr>
            </w:pPr>
            <w:r w:rsidRPr="009E7EAD">
              <w:rPr>
                <w:rFonts w:ascii="Times New Roman" w:hAnsi="Times New Roman" w:cs="Times New Roman"/>
                <w:sz w:val="28"/>
                <w:szCs w:val="28"/>
                <w:lang w:val="ro-MD"/>
              </w:rPr>
              <w:t>PIB</w:t>
            </w:r>
          </w:p>
        </w:tc>
        <w:tc>
          <w:tcPr>
            <w:tcW w:w="7512" w:type="dxa"/>
          </w:tcPr>
          <w:p w:rsidR="00A64899" w:rsidRPr="009E7EAD" w:rsidRDefault="00A64899" w:rsidP="002F2B3E">
            <w:pPr>
              <w:pStyle w:val="ab"/>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8"/>
                <w:szCs w:val="28"/>
                <w:lang w:val="ro-MD"/>
              </w:rPr>
            </w:pPr>
            <w:r w:rsidRPr="009E7EAD">
              <w:rPr>
                <w:rFonts w:ascii="Times New Roman" w:hAnsi="Times New Roman" w:cs="Times New Roman"/>
                <w:sz w:val="28"/>
                <w:szCs w:val="28"/>
                <w:lang w:val="ro-MD"/>
              </w:rPr>
              <w:t>Produsul Intern Brut</w:t>
            </w:r>
          </w:p>
        </w:tc>
      </w:tr>
      <w:tr w:rsidR="00A64899" w:rsidRPr="009E7EAD" w:rsidTr="002F2B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tcPr>
          <w:p w:rsidR="00A64899" w:rsidRPr="009E7EAD" w:rsidRDefault="00A64899" w:rsidP="002F2B3E">
            <w:pPr>
              <w:pStyle w:val="ab"/>
              <w:jc w:val="both"/>
              <w:rPr>
                <w:rFonts w:ascii="Times New Roman" w:hAnsi="Times New Roman" w:cs="Times New Roman"/>
                <w:sz w:val="28"/>
                <w:szCs w:val="28"/>
                <w:lang w:val="ro-MD"/>
              </w:rPr>
            </w:pPr>
            <w:r w:rsidRPr="009E7EAD">
              <w:rPr>
                <w:rFonts w:ascii="Times New Roman" w:hAnsi="Times New Roman" w:cs="Times New Roman"/>
                <w:sz w:val="28"/>
                <w:szCs w:val="28"/>
                <w:lang w:val="ro-MD"/>
              </w:rPr>
              <w:t>RM</w:t>
            </w:r>
          </w:p>
        </w:tc>
        <w:tc>
          <w:tcPr>
            <w:tcW w:w="7512" w:type="dxa"/>
          </w:tcPr>
          <w:p w:rsidR="00A64899" w:rsidRPr="009E7EAD" w:rsidRDefault="00A64899" w:rsidP="002F2B3E">
            <w:pPr>
              <w:pStyle w:val="ab"/>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color w:val="000000"/>
                <w:sz w:val="28"/>
                <w:szCs w:val="28"/>
                <w:lang w:val="ro-MD"/>
              </w:rPr>
            </w:pPr>
            <w:r w:rsidRPr="009E7EAD">
              <w:rPr>
                <w:rStyle w:val="af9"/>
                <w:rFonts w:ascii="Times New Roman" w:hAnsi="Times New Roman" w:cs="Times New Roman"/>
                <w:i w:val="0"/>
                <w:sz w:val="28"/>
                <w:szCs w:val="28"/>
                <w:lang w:val="ro-MD"/>
              </w:rPr>
              <w:t>Republica Moldova</w:t>
            </w:r>
          </w:p>
        </w:tc>
      </w:tr>
      <w:tr w:rsidR="00A64899" w:rsidRPr="009E7EAD" w:rsidTr="002F2B3E">
        <w:tc>
          <w:tcPr>
            <w:cnfStyle w:val="001000000000" w:firstRow="0" w:lastRow="0" w:firstColumn="1" w:lastColumn="0" w:oddVBand="0" w:evenVBand="0" w:oddHBand="0" w:evenHBand="0" w:firstRowFirstColumn="0" w:firstRowLastColumn="0" w:lastRowFirstColumn="0" w:lastRowLastColumn="0"/>
            <w:tcW w:w="2117" w:type="dxa"/>
          </w:tcPr>
          <w:p w:rsidR="00A64899" w:rsidRPr="009E7EAD" w:rsidRDefault="00A64899" w:rsidP="002F2B3E">
            <w:pPr>
              <w:pStyle w:val="ab"/>
              <w:jc w:val="both"/>
              <w:rPr>
                <w:rFonts w:ascii="Times New Roman" w:hAnsi="Times New Roman" w:cs="Times New Roman"/>
                <w:sz w:val="28"/>
                <w:szCs w:val="28"/>
                <w:lang w:val="ro-MD"/>
              </w:rPr>
            </w:pPr>
            <w:r w:rsidRPr="009E7EAD">
              <w:rPr>
                <w:rFonts w:ascii="Times New Roman" w:hAnsi="Times New Roman" w:cs="Times New Roman"/>
                <w:sz w:val="28"/>
                <w:szCs w:val="28"/>
                <w:lang w:val="ro-MD"/>
              </w:rPr>
              <w:t>S.A.</w:t>
            </w:r>
          </w:p>
        </w:tc>
        <w:tc>
          <w:tcPr>
            <w:tcW w:w="7512" w:type="dxa"/>
          </w:tcPr>
          <w:p w:rsidR="00A64899" w:rsidRPr="009E7EAD" w:rsidRDefault="00A64899" w:rsidP="00F95CE2">
            <w:pPr>
              <w:pStyle w:val="ab"/>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val="ro-MD"/>
              </w:rPr>
            </w:pPr>
            <w:r w:rsidRPr="009E7EAD">
              <w:rPr>
                <w:rFonts w:ascii="Times New Roman" w:hAnsi="Times New Roman" w:cs="Times New Roman"/>
                <w:sz w:val="28"/>
                <w:szCs w:val="28"/>
                <w:lang w:val="ro-MD"/>
              </w:rPr>
              <w:t xml:space="preserve">Societate pe </w:t>
            </w:r>
            <w:r w:rsidR="00F95CE2" w:rsidRPr="009E7EAD">
              <w:rPr>
                <w:rFonts w:ascii="Times New Roman" w:hAnsi="Times New Roman" w:cs="Times New Roman"/>
                <w:sz w:val="28"/>
                <w:szCs w:val="28"/>
                <w:lang w:val="ro-MD"/>
              </w:rPr>
              <w:t>a</w:t>
            </w:r>
            <w:r w:rsidRPr="009E7EAD">
              <w:rPr>
                <w:rFonts w:ascii="Times New Roman" w:hAnsi="Times New Roman" w:cs="Times New Roman"/>
                <w:sz w:val="28"/>
                <w:szCs w:val="28"/>
                <w:lang w:val="ro-MD"/>
              </w:rPr>
              <w:t>cțiuni</w:t>
            </w:r>
          </w:p>
        </w:tc>
      </w:tr>
      <w:tr w:rsidR="00DD6CE2" w:rsidRPr="009E7EAD" w:rsidTr="002F2B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tcPr>
          <w:p w:rsidR="00DD6CE2" w:rsidRPr="009E7EAD" w:rsidRDefault="00DD6CE2" w:rsidP="002F2B3E">
            <w:pPr>
              <w:pStyle w:val="ab"/>
              <w:jc w:val="both"/>
              <w:rPr>
                <w:rFonts w:ascii="Times New Roman" w:hAnsi="Times New Roman" w:cs="Times New Roman"/>
                <w:sz w:val="28"/>
                <w:szCs w:val="28"/>
                <w:lang w:val="ro-MD"/>
              </w:rPr>
            </w:pPr>
            <w:r w:rsidRPr="009E7EAD">
              <w:rPr>
                <w:rFonts w:ascii="Times New Roman" w:hAnsi="Times New Roman" w:cs="Times New Roman"/>
                <w:sz w:val="28"/>
                <w:szCs w:val="28"/>
                <w:lang w:val="ro-MD"/>
              </w:rPr>
              <w:t>SI</w:t>
            </w:r>
          </w:p>
        </w:tc>
        <w:tc>
          <w:tcPr>
            <w:tcW w:w="7512" w:type="dxa"/>
          </w:tcPr>
          <w:p w:rsidR="00DD6CE2" w:rsidRPr="009E7EAD" w:rsidRDefault="00DD6CE2" w:rsidP="002F2B3E">
            <w:pPr>
              <w:pStyle w:val="ab"/>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ro-MD"/>
              </w:rPr>
            </w:pPr>
            <w:r w:rsidRPr="009E7EAD">
              <w:rPr>
                <w:rFonts w:ascii="Times New Roman" w:hAnsi="Times New Roman" w:cs="Times New Roman"/>
                <w:sz w:val="28"/>
                <w:szCs w:val="28"/>
                <w:lang w:val="ro-MD"/>
              </w:rPr>
              <w:t>Sistem Informațional</w:t>
            </w:r>
          </w:p>
        </w:tc>
      </w:tr>
      <w:tr w:rsidR="00A64899" w:rsidRPr="009E7EAD" w:rsidTr="002F2B3E">
        <w:tc>
          <w:tcPr>
            <w:cnfStyle w:val="001000000000" w:firstRow="0" w:lastRow="0" w:firstColumn="1" w:lastColumn="0" w:oddVBand="0" w:evenVBand="0" w:oddHBand="0" w:evenHBand="0" w:firstRowFirstColumn="0" w:firstRowLastColumn="0" w:lastRowFirstColumn="0" w:lastRowLastColumn="0"/>
            <w:tcW w:w="2117" w:type="dxa"/>
          </w:tcPr>
          <w:p w:rsidR="00A64899" w:rsidRPr="009E7EAD" w:rsidRDefault="00A64899" w:rsidP="002F2B3E">
            <w:pPr>
              <w:pStyle w:val="ab"/>
              <w:jc w:val="both"/>
              <w:rPr>
                <w:rFonts w:ascii="Times New Roman" w:hAnsi="Times New Roman" w:cs="Times New Roman"/>
                <w:sz w:val="28"/>
                <w:szCs w:val="28"/>
                <w:lang w:val="ro-MD"/>
              </w:rPr>
            </w:pPr>
            <w:r w:rsidRPr="009E7EAD">
              <w:rPr>
                <w:rFonts w:ascii="Times New Roman" w:hAnsi="Times New Roman" w:cs="Times New Roman"/>
                <w:sz w:val="28"/>
                <w:szCs w:val="28"/>
                <w:lang w:val="ro-MD"/>
              </w:rPr>
              <w:t>SFS</w:t>
            </w:r>
          </w:p>
        </w:tc>
        <w:tc>
          <w:tcPr>
            <w:tcW w:w="7512" w:type="dxa"/>
          </w:tcPr>
          <w:p w:rsidR="00A64899" w:rsidRPr="009E7EAD" w:rsidRDefault="00A64899" w:rsidP="002F2B3E">
            <w:pPr>
              <w:pStyle w:val="ab"/>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8"/>
                <w:szCs w:val="28"/>
                <w:lang w:val="ro-MD"/>
              </w:rPr>
            </w:pPr>
            <w:r w:rsidRPr="009E7EAD">
              <w:rPr>
                <w:rFonts w:ascii="Times New Roman" w:hAnsi="Times New Roman" w:cs="Times New Roman"/>
                <w:sz w:val="28"/>
                <w:szCs w:val="28"/>
                <w:lang w:val="ro-MD"/>
              </w:rPr>
              <w:t>Serviciul Fiscal de Stat</w:t>
            </w:r>
          </w:p>
        </w:tc>
      </w:tr>
      <w:tr w:rsidR="001774F8" w:rsidRPr="009E7EAD" w:rsidTr="002F2B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tcPr>
          <w:p w:rsidR="001774F8" w:rsidRPr="009E7EAD" w:rsidRDefault="001774F8" w:rsidP="002F2B3E">
            <w:pPr>
              <w:pStyle w:val="ab"/>
              <w:jc w:val="both"/>
              <w:rPr>
                <w:rFonts w:ascii="Times New Roman" w:hAnsi="Times New Roman" w:cs="Times New Roman"/>
                <w:sz w:val="28"/>
                <w:szCs w:val="28"/>
                <w:lang w:val="ro-MD"/>
              </w:rPr>
            </w:pPr>
            <w:r w:rsidRPr="009E7EAD">
              <w:rPr>
                <w:rFonts w:ascii="Times New Roman" w:hAnsi="Times New Roman" w:cs="Times New Roman"/>
                <w:sz w:val="28"/>
                <w:szCs w:val="28"/>
                <w:lang w:val="ro-MD"/>
              </w:rPr>
              <w:t>S.R.L.</w:t>
            </w:r>
          </w:p>
        </w:tc>
        <w:tc>
          <w:tcPr>
            <w:tcW w:w="7512" w:type="dxa"/>
          </w:tcPr>
          <w:p w:rsidR="001774F8" w:rsidRPr="009E7EAD" w:rsidRDefault="001774F8" w:rsidP="002F2B3E">
            <w:pPr>
              <w:pStyle w:val="ab"/>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ro-MD"/>
              </w:rPr>
            </w:pPr>
            <w:r w:rsidRPr="009E7EAD">
              <w:rPr>
                <w:rFonts w:ascii="Times New Roman" w:hAnsi="Times New Roman" w:cs="Times New Roman"/>
                <w:sz w:val="28"/>
                <w:szCs w:val="28"/>
                <w:lang w:val="ro-MD"/>
              </w:rPr>
              <w:t>Societate cu răspundere limitată</w:t>
            </w:r>
          </w:p>
        </w:tc>
      </w:tr>
      <w:tr w:rsidR="00A64899" w:rsidRPr="009E7EAD" w:rsidTr="002F2B3E">
        <w:tc>
          <w:tcPr>
            <w:cnfStyle w:val="001000000000" w:firstRow="0" w:lastRow="0" w:firstColumn="1" w:lastColumn="0" w:oddVBand="0" w:evenVBand="0" w:oddHBand="0" w:evenHBand="0" w:firstRowFirstColumn="0" w:firstRowLastColumn="0" w:lastRowFirstColumn="0" w:lastRowLastColumn="0"/>
            <w:tcW w:w="2117" w:type="dxa"/>
          </w:tcPr>
          <w:p w:rsidR="00A64899" w:rsidRPr="009E7EAD" w:rsidRDefault="00A64899" w:rsidP="002F2B3E">
            <w:pPr>
              <w:pStyle w:val="ab"/>
              <w:jc w:val="both"/>
              <w:rPr>
                <w:rFonts w:ascii="Times New Roman" w:hAnsi="Times New Roman" w:cs="Times New Roman"/>
                <w:sz w:val="28"/>
                <w:szCs w:val="28"/>
                <w:lang w:val="ro-MD"/>
              </w:rPr>
            </w:pPr>
            <w:r w:rsidRPr="009E7EAD">
              <w:rPr>
                <w:rFonts w:ascii="Times New Roman" w:hAnsi="Times New Roman" w:cs="Times New Roman"/>
                <w:sz w:val="28"/>
                <w:szCs w:val="28"/>
                <w:lang w:val="ro-MD"/>
              </w:rPr>
              <w:t>SV</w:t>
            </w:r>
          </w:p>
        </w:tc>
        <w:tc>
          <w:tcPr>
            <w:tcW w:w="7512" w:type="dxa"/>
          </w:tcPr>
          <w:p w:rsidR="00A64899" w:rsidRPr="009E7EAD" w:rsidRDefault="00A64899" w:rsidP="002F2B3E">
            <w:pPr>
              <w:pStyle w:val="ab"/>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8"/>
                <w:szCs w:val="28"/>
                <w:lang w:val="ro-MD"/>
              </w:rPr>
            </w:pPr>
            <w:r w:rsidRPr="009E7EAD">
              <w:rPr>
                <w:rFonts w:ascii="Times New Roman" w:hAnsi="Times New Roman" w:cs="Times New Roman"/>
                <w:sz w:val="28"/>
                <w:szCs w:val="28"/>
                <w:lang w:val="ro-MD"/>
              </w:rPr>
              <w:t>Serviciul Vamal</w:t>
            </w:r>
          </w:p>
        </w:tc>
      </w:tr>
      <w:tr w:rsidR="00A64899" w:rsidRPr="009E7EAD" w:rsidTr="002F2B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tcPr>
          <w:p w:rsidR="00A64899" w:rsidRPr="009E7EAD" w:rsidRDefault="00A64899" w:rsidP="002F2B3E">
            <w:pPr>
              <w:pStyle w:val="ab"/>
              <w:jc w:val="both"/>
              <w:rPr>
                <w:rFonts w:ascii="Times New Roman" w:hAnsi="Times New Roman" w:cs="Times New Roman"/>
                <w:sz w:val="28"/>
                <w:szCs w:val="28"/>
                <w:lang w:val="ro-MD"/>
              </w:rPr>
            </w:pPr>
            <w:r w:rsidRPr="009E7EAD">
              <w:rPr>
                <w:rFonts w:ascii="Times New Roman" w:hAnsi="Times New Roman" w:cs="Times New Roman"/>
                <w:sz w:val="28"/>
                <w:szCs w:val="28"/>
                <w:lang w:val="ro-MD"/>
              </w:rPr>
              <w:t>TVA</w:t>
            </w:r>
          </w:p>
        </w:tc>
        <w:tc>
          <w:tcPr>
            <w:tcW w:w="7512" w:type="dxa"/>
          </w:tcPr>
          <w:p w:rsidR="00A64899" w:rsidRPr="009E7EAD" w:rsidRDefault="00A64899" w:rsidP="002F2B3E">
            <w:pPr>
              <w:pStyle w:val="ab"/>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ro-MD"/>
              </w:rPr>
            </w:pPr>
            <w:r w:rsidRPr="009E7EAD">
              <w:rPr>
                <w:rFonts w:ascii="Times New Roman" w:hAnsi="Times New Roman" w:cs="Times New Roman"/>
                <w:sz w:val="28"/>
                <w:szCs w:val="28"/>
                <w:lang w:val="ro-MD"/>
              </w:rPr>
              <w:t>Taxa pe valoarea adăugată</w:t>
            </w:r>
          </w:p>
        </w:tc>
      </w:tr>
      <w:tr w:rsidR="00A64899" w:rsidRPr="009E7EAD" w:rsidTr="002F2B3E">
        <w:tc>
          <w:tcPr>
            <w:cnfStyle w:val="001000000000" w:firstRow="0" w:lastRow="0" w:firstColumn="1" w:lastColumn="0" w:oddVBand="0" w:evenVBand="0" w:oddHBand="0" w:evenHBand="0" w:firstRowFirstColumn="0" w:firstRowLastColumn="0" w:lastRowFirstColumn="0" w:lastRowLastColumn="0"/>
            <w:tcW w:w="2117" w:type="dxa"/>
          </w:tcPr>
          <w:p w:rsidR="00A64899" w:rsidRPr="009E7EAD" w:rsidRDefault="00A64899" w:rsidP="002F2B3E">
            <w:pPr>
              <w:pStyle w:val="ab"/>
              <w:jc w:val="both"/>
              <w:rPr>
                <w:rFonts w:ascii="Times New Roman" w:hAnsi="Times New Roman" w:cs="Times New Roman"/>
                <w:sz w:val="28"/>
                <w:szCs w:val="28"/>
                <w:lang w:val="ro-MD"/>
              </w:rPr>
            </w:pPr>
            <w:r w:rsidRPr="009E7EAD">
              <w:rPr>
                <w:rFonts w:ascii="Times New Roman" w:hAnsi="Times New Roman" w:cs="Times New Roman"/>
                <w:sz w:val="28"/>
                <w:szCs w:val="28"/>
                <w:lang w:val="ro-MD"/>
              </w:rPr>
              <w:t>TS</w:t>
            </w:r>
          </w:p>
        </w:tc>
        <w:tc>
          <w:tcPr>
            <w:tcW w:w="7512" w:type="dxa"/>
          </w:tcPr>
          <w:p w:rsidR="00A64899" w:rsidRPr="009E7EAD" w:rsidRDefault="00A64899" w:rsidP="002F2B3E">
            <w:pPr>
              <w:pStyle w:val="ab"/>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val="ro-MD"/>
              </w:rPr>
            </w:pPr>
            <w:r w:rsidRPr="009E7EAD">
              <w:rPr>
                <w:rFonts w:ascii="Times New Roman" w:hAnsi="Times New Roman" w:cs="Times New Roman"/>
                <w:sz w:val="28"/>
                <w:szCs w:val="28"/>
                <w:lang w:val="ro-MD"/>
              </w:rPr>
              <w:t>Trezoreria de Stat</w:t>
            </w:r>
          </w:p>
        </w:tc>
      </w:tr>
    </w:tbl>
    <w:p w:rsidR="00A64899" w:rsidRDefault="00A64899" w:rsidP="00A64899">
      <w:pPr>
        <w:tabs>
          <w:tab w:val="num" w:pos="0"/>
        </w:tabs>
        <w:spacing w:after="0" w:line="276" w:lineRule="auto"/>
        <w:ind w:firstLine="709"/>
        <w:jc w:val="both"/>
        <w:rPr>
          <w:rFonts w:ascii="Times New Roman" w:hAnsi="Times New Roman" w:cs="Times New Roman"/>
          <w:iCs/>
          <w:sz w:val="28"/>
          <w:szCs w:val="28"/>
        </w:rPr>
      </w:pPr>
    </w:p>
    <w:p w:rsidR="00A64899" w:rsidRDefault="00A64899" w:rsidP="00A64899">
      <w:pPr>
        <w:tabs>
          <w:tab w:val="num" w:pos="0"/>
        </w:tabs>
        <w:spacing w:after="0" w:line="276" w:lineRule="auto"/>
        <w:ind w:firstLine="709"/>
        <w:jc w:val="both"/>
        <w:rPr>
          <w:rFonts w:ascii="Times New Roman" w:hAnsi="Times New Roman" w:cs="Times New Roman"/>
          <w:iCs/>
          <w:sz w:val="28"/>
          <w:szCs w:val="28"/>
        </w:rPr>
      </w:pPr>
    </w:p>
    <w:p w:rsidR="00EC5C92" w:rsidRDefault="00EC5C92" w:rsidP="00A64899">
      <w:pPr>
        <w:tabs>
          <w:tab w:val="num" w:pos="0"/>
        </w:tabs>
        <w:spacing w:after="0" w:line="276" w:lineRule="auto"/>
        <w:ind w:firstLine="709"/>
        <w:jc w:val="both"/>
        <w:rPr>
          <w:rFonts w:ascii="Times New Roman" w:hAnsi="Times New Roman" w:cs="Times New Roman"/>
          <w:iCs/>
          <w:sz w:val="28"/>
          <w:szCs w:val="28"/>
        </w:rPr>
      </w:pPr>
    </w:p>
    <w:p w:rsidR="005A24A2" w:rsidRDefault="005A24A2" w:rsidP="00A64899">
      <w:pPr>
        <w:tabs>
          <w:tab w:val="num" w:pos="0"/>
        </w:tabs>
        <w:spacing w:after="0" w:line="276" w:lineRule="auto"/>
        <w:ind w:firstLine="709"/>
        <w:jc w:val="both"/>
        <w:rPr>
          <w:rFonts w:ascii="Times New Roman" w:hAnsi="Times New Roman" w:cs="Times New Roman"/>
          <w:iCs/>
          <w:sz w:val="28"/>
          <w:szCs w:val="28"/>
        </w:rPr>
      </w:pPr>
    </w:p>
    <w:p w:rsidR="005A24A2" w:rsidRDefault="005A24A2" w:rsidP="00A64899">
      <w:pPr>
        <w:tabs>
          <w:tab w:val="num" w:pos="0"/>
        </w:tabs>
        <w:spacing w:after="0" w:line="276" w:lineRule="auto"/>
        <w:ind w:firstLine="709"/>
        <w:jc w:val="both"/>
        <w:rPr>
          <w:rFonts w:ascii="Times New Roman" w:hAnsi="Times New Roman" w:cs="Times New Roman"/>
          <w:iCs/>
          <w:sz w:val="28"/>
          <w:szCs w:val="28"/>
        </w:rPr>
      </w:pPr>
    </w:p>
    <w:p w:rsidR="00900F21" w:rsidRPr="00D13963" w:rsidRDefault="006E48DB" w:rsidP="008A3DFD">
      <w:pPr>
        <w:pStyle w:val="a5"/>
        <w:numPr>
          <w:ilvl w:val="0"/>
          <w:numId w:val="1"/>
        </w:numPr>
        <w:spacing w:after="0" w:line="276" w:lineRule="auto"/>
        <w:ind w:left="0" w:right="-92" w:firstLine="0"/>
        <w:jc w:val="center"/>
        <w:outlineLvl w:val="0"/>
        <w:rPr>
          <w:rFonts w:ascii="Times New Roman" w:eastAsia="Times New Roman" w:hAnsi="Times New Roman"/>
          <w:b/>
          <w:sz w:val="32"/>
          <w:szCs w:val="32"/>
          <w:lang w:eastAsia="ru-RU"/>
        </w:rPr>
      </w:pPr>
      <w:bookmarkStart w:id="2" w:name="_Toc515518977"/>
      <w:r>
        <w:rPr>
          <w:rFonts w:ascii="Times New Roman" w:eastAsia="Times New Roman" w:hAnsi="Times New Roman"/>
          <w:b/>
          <w:bCs/>
          <w:sz w:val="32"/>
          <w:szCs w:val="32"/>
        </w:rPr>
        <w:lastRenderedPageBreak/>
        <w:t>OPINIE CU REZERVE</w:t>
      </w:r>
      <w:r w:rsidR="004D6673">
        <w:rPr>
          <w:rFonts w:ascii="Times New Roman" w:eastAsia="Times New Roman" w:hAnsi="Times New Roman"/>
          <w:b/>
          <w:bCs/>
          <w:sz w:val="32"/>
          <w:szCs w:val="32"/>
        </w:rPr>
        <w:t xml:space="preserve"> </w:t>
      </w:r>
      <w:r w:rsidR="009369D6" w:rsidRPr="009369D6">
        <w:rPr>
          <w:rFonts w:ascii="Times New Roman" w:eastAsia="Times New Roman" w:hAnsi="Times New Roman"/>
          <w:b/>
          <w:bCs/>
          <w:sz w:val="32"/>
          <w:szCs w:val="32"/>
        </w:rPr>
        <w:t>PRIVIND  RAPORTUL GUVERNULUI PRIVIND EXECUTAREA BUGETULUI DE STAT PE ANUL 2017</w:t>
      </w:r>
      <w:bookmarkEnd w:id="2"/>
    </w:p>
    <w:p w:rsidR="00925B6C" w:rsidRPr="001D4EA8" w:rsidRDefault="00925B6C" w:rsidP="008A3DFD">
      <w:pPr>
        <w:tabs>
          <w:tab w:val="num" w:pos="0"/>
        </w:tabs>
        <w:spacing w:after="0" w:line="276" w:lineRule="auto"/>
        <w:ind w:firstLine="709"/>
        <w:jc w:val="both"/>
        <w:rPr>
          <w:rFonts w:ascii="Times New Roman" w:hAnsi="Times New Roman" w:cs="Times New Roman"/>
          <w:iCs/>
          <w:sz w:val="28"/>
          <w:szCs w:val="28"/>
        </w:rPr>
      </w:pPr>
      <w:r w:rsidRPr="00297AD2">
        <w:rPr>
          <w:rFonts w:ascii="Times New Roman" w:hAnsi="Times New Roman" w:cs="Times New Roman"/>
          <w:sz w:val="28"/>
          <w:szCs w:val="28"/>
        </w:rPr>
        <w:t xml:space="preserve">Curtea de Conturi a auditat Raportul Guvernului privind executarea </w:t>
      </w:r>
      <w:r>
        <w:rPr>
          <w:rFonts w:ascii="Times New Roman" w:hAnsi="Times New Roman" w:cs="Times New Roman"/>
          <w:sz w:val="28"/>
          <w:szCs w:val="28"/>
        </w:rPr>
        <w:t>bugetului de stat pe anul</w:t>
      </w:r>
      <w:r w:rsidRPr="00297AD2">
        <w:rPr>
          <w:rFonts w:ascii="Times New Roman" w:hAnsi="Times New Roman" w:cs="Times New Roman"/>
          <w:sz w:val="28"/>
          <w:szCs w:val="28"/>
        </w:rPr>
        <w:t xml:space="preserve"> 2017, care cuprinde Formularele nr.1; nr.</w:t>
      </w:r>
      <w:r>
        <w:rPr>
          <w:rFonts w:ascii="Times New Roman" w:hAnsi="Times New Roman" w:cs="Times New Roman"/>
          <w:sz w:val="28"/>
          <w:szCs w:val="28"/>
        </w:rPr>
        <w:t>2</w:t>
      </w:r>
      <w:r w:rsidRPr="00297AD2">
        <w:rPr>
          <w:rFonts w:ascii="Times New Roman" w:hAnsi="Times New Roman" w:cs="Times New Roman"/>
          <w:sz w:val="28"/>
          <w:szCs w:val="28"/>
        </w:rPr>
        <w:t>; nr.</w:t>
      </w:r>
      <w:r>
        <w:rPr>
          <w:rFonts w:ascii="Times New Roman" w:hAnsi="Times New Roman" w:cs="Times New Roman"/>
          <w:sz w:val="28"/>
          <w:szCs w:val="28"/>
        </w:rPr>
        <w:t>3</w:t>
      </w:r>
      <w:r w:rsidRPr="00297AD2">
        <w:rPr>
          <w:rFonts w:ascii="Times New Roman" w:hAnsi="Times New Roman" w:cs="Times New Roman"/>
          <w:sz w:val="28"/>
          <w:szCs w:val="28"/>
        </w:rPr>
        <w:t>; nr.4; nr.4.1</w:t>
      </w:r>
      <w:r>
        <w:rPr>
          <w:rFonts w:ascii="Times New Roman" w:hAnsi="Times New Roman" w:cs="Times New Roman"/>
          <w:sz w:val="28"/>
          <w:szCs w:val="28"/>
        </w:rPr>
        <w:t>;</w:t>
      </w:r>
      <w:r w:rsidRPr="00925B6C">
        <w:rPr>
          <w:rFonts w:ascii="Times New Roman" w:hAnsi="Times New Roman" w:cs="Times New Roman"/>
          <w:sz w:val="28"/>
          <w:szCs w:val="28"/>
        </w:rPr>
        <w:t xml:space="preserve"> </w:t>
      </w:r>
      <w:r w:rsidRPr="00297AD2">
        <w:rPr>
          <w:rFonts w:ascii="Times New Roman" w:hAnsi="Times New Roman" w:cs="Times New Roman"/>
          <w:sz w:val="28"/>
          <w:szCs w:val="28"/>
        </w:rPr>
        <w:t>nr.4.</w:t>
      </w:r>
      <w:r>
        <w:rPr>
          <w:rFonts w:ascii="Times New Roman" w:hAnsi="Times New Roman" w:cs="Times New Roman"/>
          <w:sz w:val="28"/>
          <w:szCs w:val="28"/>
        </w:rPr>
        <w:t>2;</w:t>
      </w:r>
      <w:r w:rsidRPr="00297AD2">
        <w:rPr>
          <w:rFonts w:ascii="Times New Roman" w:hAnsi="Times New Roman" w:cs="Times New Roman"/>
          <w:sz w:val="28"/>
          <w:szCs w:val="28"/>
        </w:rPr>
        <w:t xml:space="preserve"> nr.</w:t>
      </w:r>
      <w:r>
        <w:rPr>
          <w:rFonts w:ascii="Times New Roman" w:hAnsi="Times New Roman" w:cs="Times New Roman"/>
          <w:sz w:val="28"/>
          <w:szCs w:val="28"/>
        </w:rPr>
        <w:t>5</w:t>
      </w:r>
      <w:r w:rsidRPr="00297AD2">
        <w:rPr>
          <w:rFonts w:ascii="Times New Roman" w:hAnsi="Times New Roman" w:cs="Times New Roman"/>
          <w:sz w:val="28"/>
          <w:szCs w:val="28"/>
        </w:rPr>
        <w:t>; nr.</w:t>
      </w:r>
      <w:r>
        <w:rPr>
          <w:rFonts w:ascii="Times New Roman" w:hAnsi="Times New Roman" w:cs="Times New Roman"/>
          <w:sz w:val="28"/>
          <w:szCs w:val="28"/>
        </w:rPr>
        <w:t>5.1</w:t>
      </w:r>
      <w:r w:rsidRPr="00297AD2">
        <w:rPr>
          <w:rFonts w:ascii="Times New Roman" w:hAnsi="Times New Roman" w:cs="Times New Roman"/>
          <w:sz w:val="28"/>
          <w:szCs w:val="28"/>
        </w:rPr>
        <w:t>;</w:t>
      </w:r>
      <w:r>
        <w:rPr>
          <w:rFonts w:ascii="Times New Roman" w:hAnsi="Times New Roman" w:cs="Times New Roman"/>
          <w:sz w:val="28"/>
          <w:szCs w:val="28"/>
        </w:rPr>
        <w:t xml:space="preserve"> </w:t>
      </w:r>
      <w:r w:rsidRPr="00297AD2">
        <w:rPr>
          <w:rFonts w:ascii="Times New Roman" w:hAnsi="Times New Roman" w:cs="Times New Roman"/>
          <w:sz w:val="28"/>
          <w:szCs w:val="28"/>
        </w:rPr>
        <w:t>nr.</w:t>
      </w:r>
      <w:r>
        <w:rPr>
          <w:rFonts w:ascii="Times New Roman" w:hAnsi="Times New Roman" w:cs="Times New Roman"/>
          <w:sz w:val="28"/>
          <w:szCs w:val="28"/>
        </w:rPr>
        <w:t>5.1.1</w:t>
      </w:r>
      <w:r w:rsidRPr="00297AD2">
        <w:rPr>
          <w:rFonts w:ascii="Times New Roman" w:hAnsi="Times New Roman" w:cs="Times New Roman"/>
          <w:sz w:val="28"/>
          <w:szCs w:val="28"/>
        </w:rPr>
        <w:t>;</w:t>
      </w:r>
      <w:r>
        <w:rPr>
          <w:rFonts w:ascii="Times New Roman" w:hAnsi="Times New Roman" w:cs="Times New Roman"/>
          <w:sz w:val="28"/>
          <w:szCs w:val="28"/>
        </w:rPr>
        <w:t xml:space="preserve"> </w:t>
      </w:r>
      <w:r w:rsidRPr="00297AD2">
        <w:rPr>
          <w:rFonts w:ascii="Times New Roman" w:hAnsi="Times New Roman" w:cs="Times New Roman"/>
          <w:sz w:val="28"/>
          <w:szCs w:val="28"/>
        </w:rPr>
        <w:t>nr.</w:t>
      </w:r>
      <w:r>
        <w:rPr>
          <w:rFonts w:ascii="Times New Roman" w:hAnsi="Times New Roman" w:cs="Times New Roman"/>
          <w:sz w:val="28"/>
          <w:szCs w:val="28"/>
        </w:rPr>
        <w:t>6</w:t>
      </w:r>
      <w:r w:rsidRPr="00297AD2">
        <w:rPr>
          <w:rFonts w:ascii="Times New Roman" w:hAnsi="Times New Roman" w:cs="Times New Roman"/>
          <w:sz w:val="28"/>
          <w:szCs w:val="28"/>
        </w:rPr>
        <w:t>; nr.</w:t>
      </w:r>
      <w:r>
        <w:rPr>
          <w:rFonts w:ascii="Times New Roman" w:hAnsi="Times New Roman" w:cs="Times New Roman"/>
          <w:sz w:val="28"/>
          <w:szCs w:val="28"/>
        </w:rPr>
        <w:t>7</w:t>
      </w:r>
      <w:r w:rsidRPr="00297AD2">
        <w:rPr>
          <w:rFonts w:ascii="Times New Roman" w:hAnsi="Times New Roman" w:cs="Times New Roman"/>
          <w:sz w:val="28"/>
          <w:szCs w:val="28"/>
        </w:rPr>
        <w:t>; nr.</w:t>
      </w:r>
      <w:r>
        <w:rPr>
          <w:rFonts w:ascii="Times New Roman" w:hAnsi="Times New Roman" w:cs="Times New Roman"/>
          <w:sz w:val="28"/>
          <w:szCs w:val="28"/>
        </w:rPr>
        <w:t>8</w:t>
      </w:r>
      <w:r w:rsidRPr="00297AD2">
        <w:rPr>
          <w:rFonts w:ascii="Times New Roman" w:hAnsi="Times New Roman" w:cs="Times New Roman"/>
          <w:sz w:val="28"/>
          <w:szCs w:val="28"/>
        </w:rPr>
        <w:t>;</w:t>
      </w:r>
      <w:r>
        <w:rPr>
          <w:rFonts w:ascii="Times New Roman" w:hAnsi="Times New Roman" w:cs="Times New Roman"/>
          <w:sz w:val="28"/>
          <w:szCs w:val="28"/>
        </w:rPr>
        <w:t xml:space="preserve"> </w:t>
      </w:r>
      <w:r w:rsidRPr="00297AD2">
        <w:rPr>
          <w:rFonts w:ascii="Times New Roman" w:hAnsi="Times New Roman" w:cs="Times New Roman"/>
          <w:sz w:val="28"/>
          <w:szCs w:val="28"/>
        </w:rPr>
        <w:t>nr.</w:t>
      </w:r>
      <w:r>
        <w:rPr>
          <w:rFonts w:ascii="Times New Roman" w:hAnsi="Times New Roman" w:cs="Times New Roman"/>
          <w:sz w:val="28"/>
          <w:szCs w:val="28"/>
        </w:rPr>
        <w:t>9</w:t>
      </w:r>
      <w:r w:rsidRPr="00297AD2">
        <w:rPr>
          <w:rFonts w:ascii="Times New Roman" w:hAnsi="Times New Roman" w:cs="Times New Roman"/>
          <w:sz w:val="28"/>
          <w:szCs w:val="28"/>
        </w:rPr>
        <w:t>; nr.</w:t>
      </w:r>
      <w:r>
        <w:rPr>
          <w:rFonts w:ascii="Times New Roman" w:hAnsi="Times New Roman" w:cs="Times New Roman"/>
          <w:sz w:val="28"/>
          <w:szCs w:val="28"/>
        </w:rPr>
        <w:t>10</w:t>
      </w:r>
      <w:r w:rsidR="00103FDA">
        <w:rPr>
          <w:rFonts w:ascii="Times New Roman" w:hAnsi="Times New Roman" w:cs="Times New Roman"/>
          <w:sz w:val="28"/>
          <w:szCs w:val="28"/>
        </w:rPr>
        <w:t xml:space="preserve"> și</w:t>
      </w:r>
      <w:r w:rsidRPr="00297AD2">
        <w:rPr>
          <w:rFonts w:ascii="Times New Roman" w:hAnsi="Times New Roman" w:cs="Times New Roman"/>
          <w:sz w:val="28"/>
          <w:szCs w:val="28"/>
        </w:rPr>
        <w:t xml:space="preserve"> nr.</w:t>
      </w:r>
      <w:r>
        <w:rPr>
          <w:rFonts w:ascii="Times New Roman" w:hAnsi="Times New Roman" w:cs="Times New Roman"/>
          <w:sz w:val="28"/>
          <w:szCs w:val="28"/>
        </w:rPr>
        <w:t>11</w:t>
      </w:r>
      <w:r w:rsidR="00103FDA">
        <w:rPr>
          <w:rFonts w:ascii="Times New Roman" w:hAnsi="Times New Roman" w:cs="Times New Roman"/>
          <w:sz w:val="28"/>
          <w:szCs w:val="28"/>
        </w:rPr>
        <w:t>, precum</w:t>
      </w:r>
      <w:r w:rsidRPr="00297AD2">
        <w:rPr>
          <w:rFonts w:ascii="Times New Roman" w:hAnsi="Times New Roman" w:cs="Times New Roman"/>
          <w:sz w:val="28"/>
          <w:szCs w:val="28"/>
        </w:rPr>
        <w:t xml:space="preserve"> și descrierea narativă</w:t>
      </w:r>
      <w:r>
        <w:rPr>
          <w:rFonts w:ascii="Times New Roman" w:hAnsi="Times New Roman" w:cs="Times New Roman"/>
          <w:sz w:val="28"/>
          <w:szCs w:val="28"/>
        </w:rPr>
        <w:t xml:space="preserve"> </w:t>
      </w:r>
      <w:r w:rsidR="001D4EA8" w:rsidRPr="001D4EA8">
        <w:rPr>
          <w:rFonts w:ascii="Times New Roman" w:hAnsi="Times New Roman" w:cs="Times New Roman"/>
          <w:i/>
          <w:sz w:val="28"/>
          <w:szCs w:val="28"/>
        </w:rPr>
        <w:t>(</w:t>
      </w:r>
      <w:r w:rsidR="00932483">
        <w:rPr>
          <w:rFonts w:ascii="Times New Roman" w:hAnsi="Times New Roman" w:cs="Times New Roman"/>
          <w:i/>
          <w:sz w:val="28"/>
          <w:szCs w:val="28"/>
        </w:rPr>
        <w:t xml:space="preserve">Componența și </w:t>
      </w:r>
      <w:r w:rsidR="001D4EA8" w:rsidRPr="005C3352">
        <w:rPr>
          <w:rFonts w:ascii="Times New Roman" w:eastAsia="Times New Roman" w:hAnsi="Times New Roman" w:cs="Times New Roman"/>
          <w:i/>
          <w:sz w:val="28"/>
          <w:szCs w:val="28"/>
          <w:lang w:eastAsia="ru-RU"/>
        </w:rPr>
        <w:t xml:space="preserve">denumirea completă a </w:t>
      </w:r>
      <w:r w:rsidR="001D4EA8">
        <w:rPr>
          <w:rFonts w:ascii="Times New Roman" w:eastAsia="Times New Roman" w:hAnsi="Times New Roman" w:cs="Times New Roman"/>
          <w:i/>
          <w:sz w:val="28"/>
          <w:szCs w:val="28"/>
          <w:lang w:eastAsia="ru-RU"/>
        </w:rPr>
        <w:t>formularelor</w:t>
      </w:r>
      <w:r w:rsidR="001D4EA8" w:rsidRPr="005C3352">
        <w:rPr>
          <w:rFonts w:ascii="Times New Roman" w:eastAsia="Times New Roman" w:hAnsi="Times New Roman" w:cs="Times New Roman"/>
          <w:i/>
          <w:sz w:val="28"/>
          <w:szCs w:val="28"/>
          <w:lang w:eastAsia="ru-RU"/>
        </w:rPr>
        <w:t xml:space="preserve"> se prezintă în Anexa nr.2 la prezentul Raport</w:t>
      </w:r>
      <w:r w:rsidR="001D4EA8">
        <w:rPr>
          <w:rFonts w:ascii="Times New Roman" w:eastAsia="Times New Roman" w:hAnsi="Times New Roman" w:cs="Times New Roman"/>
          <w:i/>
          <w:sz w:val="28"/>
          <w:szCs w:val="28"/>
          <w:lang w:eastAsia="ru-RU"/>
        </w:rPr>
        <w:t xml:space="preserve"> de audit)</w:t>
      </w:r>
      <w:r w:rsidR="001D4EA8">
        <w:rPr>
          <w:rFonts w:ascii="Times New Roman" w:eastAsia="Times New Roman" w:hAnsi="Times New Roman" w:cs="Times New Roman"/>
          <w:sz w:val="28"/>
          <w:szCs w:val="28"/>
          <w:lang w:eastAsia="ru-RU"/>
        </w:rPr>
        <w:t>.</w:t>
      </w:r>
    </w:p>
    <w:p w:rsidR="001D4EA8" w:rsidRDefault="00C627EE" w:rsidP="008A3DFD">
      <w:pPr>
        <w:tabs>
          <w:tab w:val="num" w:pos="0"/>
        </w:tabs>
        <w:spacing w:after="0" w:line="276" w:lineRule="auto"/>
        <w:ind w:firstLine="709"/>
        <w:jc w:val="both"/>
        <w:rPr>
          <w:rFonts w:ascii="Times New Roman" w:hAnsi="Times New Roman" w:cs="Times New Roman"/>
          <w:iCs/>
          <w:sz w:val="28"/>
          <w:szCs w:val="28"/>
        </w:rPr>
      </w:pPr>
      <w:r w:rsidRPr="00406684">
        <w:rPr>
          <w:rFonts w:ascii="Times New Roman" w:hAnsi="Times New Roman" w:cs="Times New Roman"/>
          <w:iCs/>
          <w:sz w:val="28"/>
          <w:szCs w:val="28"/>
        </w:rPr>
        <w:t xml:space="preserve">În opinia </w:t>
      </w:r>
      <w:r w:rsidR="001D4EA8">
        <w:rPr>
          <w:rFonts w:ascii="Times New Roman" w:hAnsi="Times New Roman" w:cs="Times New Roman"/>
          <w:iCs/>
          <w:sz w:val="28"/>
          <w:szCs w:val="28"/>
        </w:rPr>
        <w:t>auditorilor Curții de Conturi</w:t>
      </w:r>
      <w:r w:rsidRPr="00406684">
        <w:rPr>
          <w:rFonts w:ascii="Times New Roman" w:hAnsi="Times New Roman" w:cs="Times New Roman"/>
          <w:iCs/>
          <w:sz w:val="28"/>
          <w:szCs w:val="28"/>
        </w:rPr>
        <w:t xml:space="preserve">, </w:t>
      </w:r>
      <w:r w:rsidR="001D4EA8">
        <w:rPr>
          <w:rFonts w:ascii="Times New Roman" w:hAnsi="Times New Roman" w:cs="Times New Roman"/>
          <w:iCs/>
          <w:sz w:val="28"/>
          <w:szCs w:val="28"/>
        </w:rPr>
        <w:t>cu</w:t>
      </w:r>
      <w:r w:rsidR="00FC3B8D">
        <w:rPr>
          <w:rFonts w:ascii="Times New Roman" w:hAnsi="Times New Roman" w:cs="Times New Roman"/>
          <w:iCs/>
          <w:sz w:val="28"/>
          <w:szCs w:val="28"/>
        </w:rPr>
        <w:t xml:space="preserve"> excepția aspectelor expuse în </w:t>
      </w:r>
      <w:r w:rsidR="00103FDA">
        <w:rPr>
          <w:rFonts w:ascii="Times New Roman" w:hAnsi="Times New Roman" w:cs="Times New Roman"/>
          <w:iCs/>
          <w:sz w:val="28"/>
          <w:szCs w:val="28"/>
        </w:rPr>
        <w:t>capitolul referitor la b</w:t>
      </w:r>
      <w:r w:rsidR="001D4EA8">
        <w:rPr>
          <w:rFonts w:ascii="Times New Roman" w:hAnsi="Times New Roman" w:cs="Times New Roman"/>
          <w:iCs/>
          <w:sz w:val="28"/>
          <w:szCs w:val="28"/>
        </w:rPr>
        <w:t xml:space="preserve">aza pentru opinie de audit cu rezerve, </w:t>
      </w:r>
      <w:r w:rsidR="00AA7C13" w:rsidRPr="00BC24F8">
        <w:rPr>
          <w:rFonts w:ascii="Times New Roman" w:eastAsia="Times New Roman" w:hAnsi="Times New Roman"/>
          <w:bCs/>
          <w:sz w:val="28"/>
          <w:szCs w:val="28"/>
        </w:rPr>
        <w:t>Raportul Guvernului privind executarea bugetului de stat pe anul 2017</w:t>
      </w:r>
      <w:r w:rsidR="00AA7C13">
        <w:rPr>
          <w:rFonts w:ascii="Times New Roman" w:eastAsia="Times New Roman" w:hAnsi="Times New Roman"/>
          <w:bCs/>
          <w:sz w:val="28"/>
          <w:szCs w:val="28"/>
        </w:rPr>
        <w:t>,</w:t>
      </w:r>
      <w:r w:rsidR="00AA7C13" w:rsidRPr="00AA7C13">
        <w:rPr>
          <w:rFonts w:ascii="Times New Roman" w:hAnsi="Times New Roman" w:cs="Times New Roman"/>
          <w:iCs/>
          <w:sz w:val="28"/>
          <w:szCs w:val="28"/>
        </w:rPr>
        <w:t xml:space="preserve"> </w:t>
      </w:r>
      <w:r w:rsidR="001D4EA8">
        <w:rPr>
          <w:rFonts w:ascii="Times New Roman" w:hAnsi="Times New Roman" w:cs="Times New Roman"/>
          <w:iCs/>
          <w:sz w:val="28"/>
          <w:szCs w:val="28"/>
        </w:rPr>
        <w:t xml:space="preserve">oferă, </w:t>
      </w:r>
      <w:r w:rsidR="001D4EA8" w:rsidRPr="00AA7C13">
        <w:rPr>
          <w:rFonts w:ascii="Times New Roman" w:hAnsi="Times New Roman" w:cs="Times New Roman"/>
          <w:iCs/>
          <w:sz w:val="28"/>
          <w:szCs w:val="28"/>
        </w:rPr>
        <w:t xml:space="preserve">sub toate </w:t>
      </w:r>
      <w:r w:rsidR="001D4EA8">
        <w:rPr>
          <w:rFonts w:ascii="Times New Roman" w:hAnsi="Times New Roman" w:cs="Times New Roman"/>
          <w:iCs/>
          <w:sz w:val="28"/>
          <w:szCs w:val="28"/>
        </w:rPr>
        <w:t xml:space="preserve">aspectele semnificative, o imagine reală și fidelă privind executarea </w:t>
      </w:r>
      <w:r w:rsidR="00837539">
        <w:rPr>
          <w:rFonts w:ascii="Times New Roman" w:hAnsi="Times New Roman" w:cs="Times New Roman"/>
          <w:iCs/>
          <w:sz w:val="28"/>
          <w:szCs w:val="28"/>
        </w:rPr>
        <w:t xml:space="preserve">de casă a </w:t>
      </w:r>
      <w:r w:rsidR="001D4EA8">
        <w:rPr>
          <w:rFonts w:ascii="Times New Roman" w:hAnsi="Times New Roman" w:cs="Times New Roman"/>
          <w:iCs/>
          <w:sz w:val="28"/>
          <w:szCs w:val="28"/>
        </w:rPr>
        <w:t>bugetului de stat în anul</w:t>
      </w:r>
      <w:r w:rsidR="00103FDA">
        <w:rPr>
          <w:rFonts w:ascii="Times New Roman" w:hAnsi="Times New Roman" w:cs="Times New Roman"/>
          <w:iCs/>
          <w:sz w:val="28"/>
          <w:szCs w:val="28"/>
        </w:rPr>
        <w:t xml:space="preserve"> bugetar încheiat</w:t>
      </w:r>
      <w:r w:rsidR="001D4EA8">
        <w:rPr>
          <w:rFonts w:ascii="Times New Roman" w:hAnsi="Times New Roman" w:cs="Times New Roman"/>
          <w:iCs/>
          <w:sz w:val="28"/>
          <w:szCs w:val="28"/>
        </w:rPr>
        <w:t>, în conformitate cu cadrul de raportare aplicabil</w:t>
      </w:r>
      <w:r w:rsidR="001D4EA8">
        <w:rPr>
          <w:rStyle w:val="a9"/>
          <w:rFonts w:ascii="Times New Roman" w:hAnsi="Times New Roman" w:cs="Times New Roman"/>
          <w:iCs/>
          <w:sz w:val="28"/>
          <w:szCs w:val="28"/>
        </w:rPr>
        <w:footnoteReference w:id="1"/>
      </w:r>
      <w:r w:rsidR="00837539">
        <w:rPr>
          <w:rFonts w:ascii="Times New Roman" w:hAnsi="Times New Roman" w:cs="Times New Roman"/>
          <w:iCs/>
          <w:sz w:val="28"/>
          <w:szCs w:val="28"/>
        </w:rPr>
        <w:t xml:space="preserve"> </w:t>
      </w:r>
      <w:r w:rsidR="0077300C">
        <w:rPr>
          <w:rFonts w:ascii="Times New Roman" w:hAnsi="Times New Roman" w:cs="Times New Roman"/>
          <w:iCs/>
          <w:sz w:val="28"/>
          <w:szCs w:val="28"/>
        </w:rPr>
        <w:t xml:space="preserve">și cu </w:t>
      </w:r>
      <w:r w:rsidR="0077300C">
        <w:rPr>
          <w:rFonts w:ascii="Times New Roman" w:hAnsi="Times New Roman" w:cs="Times New Roman"/>
          <w:iCs/>
          <w:sz w:val="28"/>
          <w:szCs w:val="28"/>
          <w:lang w:val="ro-MD"/>
        </w:rPr>
        <w:t>datele evidenței sistemului trezorerial.</w:t>
      </w:r>
    </w:p>
    <w:p w:rsidR="00C627EE" w:rsidRPr="00065279" w:rsidRDefault="00C627EE" w:rsidP="00C627EE">
      <w:pPr>
        <w:spacing w:after="0" w:line="276" w:lineRule="auto"/>
        <w:ind w:right="49" w:firstLine="709"/>
        <w:jc w:val="both"/>
        <w:rPr>
          <w:rFonts w:ascii="Times New Roman" w:hAnsi="Times New Roman" w:cs="Times New Roman"/>
          <w:sz w:val="28"/>
          <w:szCs w:val="28"/>
        </w:rPr>
      </w:pPr>
    </w:p>
    <w:p w:rsidR="001C58B3" w:rsidRPr="00EB26BE" w:rsidRDefault="006E48DB" w:rsidP="008A3DFD">
      <w:pPr>
        <w:pStyle w:val="a5"/>
        <w:numPr>
          <w:ilvl w:val="0"/>
          <w:numId w:val="1"/>
        </w:numPr>
        <w:tabs>
          <w:tab w:val="left" w:pos="0"/>
        </w:tabs>
        <w:spacing w:after="0" w:line="276" w:lineRule="auto"/>
        <w:ind w:left="0" w:firstLine="0"/>
        <w:jc w:val="center"/>
        <w:outlineLvl w:val="0"/>
        <w:rPr>
          <w:rFonts w:ascii="Times New Roman" w:hAnsi="Times New Roman" w:cs="Times New Roman"/>
          <w:b/>
          <w:sz w:val="32"/>
          <w:szCs w:val="32"/>
        </w:rPr>
      </w:pPr>
      <w:bookmarkStart w:id="3" w:name="_Toc515518978"/>
      <w:r>
        <w:rPr>
          <w:rFonts w:ascii="Times New Roman" w:hAnsi="Times New Roman" w:cs="Times New Roman"/>
          <w:b/>
          <w:sz w:val="32"/>
          <w:szCs w:val="32"/>
        </w:rPr>
        <w:t>BAZA PENTRU OPINIE</w:t>
      </w:r>
      <w:bookmarkEnd w:id="3"/>
    </w:p>
    <w:p w:rsidR="001947BA" w:rsidRPr="00EB26BE" w:rsidRDefault="007A36B9" w:rsidP="0013728D">
      <w:pPr>
        <w:pStyle w:val="a5"/>
        <w:autoSpaceDE w:val="0"/>
        <w:autoSpaceDN w:val="0"/>
        <w:adjustRightInd w:val="0"/>
        <w:spacing w:after="0" w:line="276" w:lineRule="auto"/>
        <w:ind w:left="0" w:firstLine="709"/>
        <w:jc w:val="both"/>
        <w:rPr>
          <w:rFonts w:ascii="Times New Roman" w:hAnsi="Times New Roman" w:cs="Times New Roman"/>
          <w:sz w:val="28"/>
          <w:szCs w:val="28"/>
        </w:rPr>
      </w:pPr>
      <w:r w:rsidRPr="00EB26BE">
        <w:rPr>
          <w:rFonts w:ascii="Times New Roman" w:hAnsi="Times New Roman" w:cs="Times New Roman"/>
          <w:sz w:val="28"/>
          <w:szCs w:val="28"/>
        </w:rPr>
        <w:t>A</w:t>
      </w:r>
      <w:r w:rsidR="001C58B3" w:rsidRPr="00EB26BE">
        <w:rPr>
          <w:rFonts w:ascii="Times New Roman" w:hAnsi="Times New Roman" w:cs="Times New Roman"/>
          <w:sz w:val="28"/>
          <w:szCs w:val="28"/>
        </w:rPr>
        <w:t xml:space="preserve">uditul </w:t>
      </w:r>
      <w:r w:rsidRPr="00EB26BE">
        <w:rPr>
          <w:rFonts w:ascii="Times New Roman" w:hAnsi="Times New Roman" w:cs="Times New Roman"/>
          <w:sz w:val="28"/>
          <w:szCs w:val="28"/>
        </w:rPr>
        <w:t xml:space="preserve">a fost desfășurat </w:t>
      </w:r>
      <w:r w:rsidR="001C58B3" w:rsidRPr="00EB26BE">
        <w:rPr>
          <w:rFonts w:ascii="Times New Roman" w:hAnsi="Times New Roman" w:cs="Times New Roman"/>
          <w:sz w:val="28"/>
          <w:szCs w:val="28"/>
        </w:rPr>
        <w:t>în conformitate cu</w:t>
      </w:r>
      <w:r w:rsidR="001C58B3" w:rsidRPr="00B45AF1">
        <w:rPr>
          <w:rFonts w:ascii="Times New Roman" w:hAnsi="Times New Roman" w:cs="Times New Roman"/>
          <w:sz w:val="28"/>
          <w:szCs w:val="28"/>
        </w:rPr>
        <w:t xml:space="preserve"> </w:t>
      </w:r>
      <w:r w:rsidR="00F3504D" w:rsidRPr="00AD2CCA">
        <w:rPr>
          <w:rFonts w:ascii="Times New Roman" w:hAnsi="Times New Roman" w:cs="Times New Roman"/>
          <w:sz w:val="28"/>
          <w:szCs w:val="28"/>
        </w:rPr>
        <w:t>Standardele Internaționale de Audit</w:t>
      </w:r>
      <w:r w:rsidR="001947BA">
        <w:rPr>
          <w:rFonts w:ascii="Times New Roman" w:hAnsi="Times New Roman" w:cs="Times New Roman"/>
          <w:sz w:val="28"/>
          <w:szCs w:val="28"/>
        </w:rPr>
        <w:t xml:space="preserve"> </w:t>
      </w:r>
      <w:r w:rsidR="001D4EA8">
        <w:rPr>
          <w:rFonts w:ascii="Times New Roman" w:hAnsi="Times New Roman" w:cs="Times New Roman"/>
          <w:sz w:val="28"/>
          <w:szCs w:val="28"/>
        </w:rPr>
        <w:t>ale Instituțiilor Supreme de Audit</w:t>
      </w:r>
      <w:r w:rsidR="00F3504D" w:rsidRPr="00AD2CCA">
        <w:rPr>
          <w:rFonts w:ascii="Times New Roman" w:hAnsi="Times New Roman" w:cs="Times New Roman"/>
          <w:sz w:val="28"/>
          <w:szCs w:val="28"/>
        </w:rPr>
        <w:t xml:space="preserve">: </w:t>
      </w:r>
      <w:r w:rsidR="001C58B3" w:rsidRPr="00BC0B07">
        <w:rPr>
          <w:rFonts w:ascii="Times New Roman" w:hAnsi="Times New Roman" w:cs="Times New Roman"/>
          <w:sz w:val="28"/>
          <w:szCs w:val="28"/>
        </w:rPr>
        <w:t>ISSAI 100, ISSAI 200</w:t>
      </w:r>
      <w:r w:rsidR="00103FDA">
        <w:rPr>
          <w:rFonts w:ascii="Times New Roman" w:hAnsi="Times New Roman" w:cs="Times New Roman"/>
          <w:sz w:val="28"/>
          <w:szCs w:val="28"/>
        </w:rPr>
        <w:t xml:space="preserve"> și</w:t>
      </w:r>
      <w:r w:rsidR="001C58B3" w:rsidRPr="00BC0B07">
        <w:rPr>
          <w:rFonts w:ascii="Times New Roman" w:hAnsi="Times New Roman" w:cs="Times New Roman"/>
          <w:sz w:val="28"/>
          <w:szCs w:val="28"/>
        </w:rPr>
        <w:t xml:space="preserve"> ISSAI 1000-2999</w:t>
      </w:r>
      <w:r w:rsidR="001D4EA8" w:rsidRPr="00297AD2">
        <w:rPr>
          <w:rFonts w:ascii="Times New Roman" w:hAnsi="Times New Roman" w:cs="Times New Roman"/>
          <w:sz w:val="28"/>
          <w:szCs w:val="28"/>
          <w:vertAlign w:val="superscript"/>
        </w:rPr>
        <w:footnoteReference w:id="2"/>
      </w:r>
      <w:r w:rsidR="001D4EA8" w:rsidRPr="00297AD2">
        <w:rPr>
          <w:rFonts w:ascii="Times New Roman" w:hAnsi="Times New Roman" w:cs="Times New Roman"/>
          <w:sz w:val="28"/>
          <w:szCs w:val="28"/>
        </w:rPr>
        <w:t>.</w:t>
      </w:r>
      <w:r w:rsidR="00F07160" w:rsidRPr="00A01DFE">
        <w:rPr>
          <w:rFonts w:ascii="Times New Roman" w:hAnsi="Times New Roman" w:cs="Times New Roman"/>
          <w:sz w:val="28"/>
          <w:szCs w:val="28"/>
        </w:rPr>
        <w:t xml:space="preserve"> </w:t>
      </w:r>
      <w:r w:rsidR="001C58B3" w:rsidRPr="00EB26BE">
        <w:rPr>
          <w:rFonts w:ascii="Times New Roman" w:hAnsi="Times New Roman" w:cs="Times New Roman"/>
          <w:sz w:val="28"/>
          <w:szCs w:val="28"/>
        </w:rPr>
        <w:t xml:space="preserve">Responsabilitățile </w:t>
      </w:r>
      <w:r w:rsidR="000A1508" w:rsidRPr="00EB26BE">
        <w:rPr>
          <w:rFonts w:ascii="Times New Roman" w:hAnsi="Times New Roman" w:cs="Times New Roman"/>
          <w:sz w:val="28"/>
          <w:szCs w:val="28"/>
        </w:rPr>
        <w:t>audit</w:t>
      </w:r>
      <w:r w:rsidR="001947BA">
        <w:rPr>
          <w:rFonts w:ascii="Times New Roman" w:hAnsi="Times New Roman" w:cs="Times New Roman"/>
          <w:sz w:val="28"/>
          <w:szCs w:val="28"/>
        </w:rPr>
        <w:t>orilor</w:t>
      </w:r>
      <w:r w:rsidR="000D5BDF">
        <w:rPr>
          <w:rFonts w:ascii="Times New Roman" w:hAnsi="Times New Roman" w:cs="Times New Roman"/>
          <w:sz w:val="28"/>
          <w:szCs w:val="28"/>
        </w:rPr>
        <w:t>,</w:t>
      </w:r>
      <w:r w:rsidR="001C58B3" w:rsidRPr="00EB26BE">
        <w:rPr>
          <w:rFonts w:ascii="Times New Roman" w:hAnsi="Times New Roman" w:cs="Times New Roman"/>
          <w:sz w:val="28"/>
          <w:szCs w:val="28"/>
        </w:rPr>
        <w:t xml:space="preserve"> </w:t>
      </w:r>
      <w:r w:rsidR="00CF37FF">
        <w:rPr>
          <w:rFonts w:ascii="Times New Roman" w:hAnsi="Times New Roman" w:cs="Times New Roman"/>
          <w:sz w:val="28"/>
          <w:szCs w:val="28"/>
        </w:rPr>
        <w:t xml:space="preserve">potrivit </w:t>
      </w:r>
      <w:r w:rsidR="001C58B3" w:rsidRPr="00EB26BE">
        <w:rPr>
          <w:rFonts w:ascii="Times New Roman" w:hAnsi="Times New Roman" w:cs="Times New Roman"/>
          <w:sz w:val="28"/>
          <w:szCs w:val="28"/>
        </w:rPr>
        <w:t>standarde</w:t>
      </w:r>
      <w:r w:rsidR="00CF37FF">
        <w:rPr>
          <w:rFonts w:ascii="Times New Roman" w:hAnsi="Times New Roman" w:cs="Times New Roman"/>
          <w:sz w:val="28"/>
          <w:szCs w:val="28"/>
        </w:rPr>
        <w:t>lor menționate</w:t>
      </w:r>
      <w:r w:rsidR="000D5BDF">
        <w:rPr>
          <w:rFonts w:ascii="Times New Roman" w:hAnsi="Times New Roman" w:cs="Times New Roman"/>
          <w:sz w:val="28"/>
          <w:szCs w:val="28"/>
        </w:rPr>
        <w:t>,</w:t>
      </w:r>
      <w:r w:rsidR="001C58B3" w:rsidRPr="00EB26BE">
        <w:rPr>
          <w:rFonts w:ascii="Times New Roman" w:hAnsi="Times New Roman" w:cs="Times New Roman"/>
          <w:sz w:val="28"/>
          <w:szCs w:val="28"/>
        </w:rPr>
        <w:t xml:space="preserve"> sunt desc</w:t>
      </w:r>
      <w:r w:rsidR="000A1508" w:rsidRPr="00EB26BE">
        <w:rPr>
          <w:rFonts w:ascii="Times New Roman" w:hAnsi="Times New Roman" w:cs="Times New Roman"/>
          <w:sz w:val="28"/>
          <w:szCs w:val="28"/>
        </w:rPr>
        <w:t>rise în secțiunea ,,</w:t>
      </w:r>
      <w:r w:rsidR="00034AE8" w:rsidRPr="00EB26BE">
        <w:rPr>
          <w:rFonts w:ascii="Times New Roman" w:hAnsi="Times New Roman" w:cs="Times New Roman"/>
          <w:sz w:val="28"/>
          <w:szCs w:val="28"/>
        </w:rPr>
        <w:t xml:space="preserve">Responsabilitățile </w:t>
      </w:r>
      <w:r w:rsidR="00095B53" w:rsidRPr="00EB26BE">
        <w:rPr>
          <w:rFonts w:ascii="Times New Roman" w:hAnsi="Times New Roman" w:cs="Times New Roman"/>
          <w:sz w:val="28"/>
          <w:szCs w:val="28"/>
        </w:rPr>
        <w:t>auditorului</w:t>
      </w:r>
      <w:r w:rsidR="001C58B3" w:rsidRPr="00EB26BE">
        <w:rPr>
          <w:rFonts w:ascii="Times New Roman" w:hAnsi="Times New Roman" w:cs="Times New Roman"/>
          <w:sz w:val="28"/>
          <w:szCs w:val="28"/>
        </w:rPr>
        <w:t xml:space="preserve">” din </w:t>
      </w:r>
      <w:r w:rsidR="006F4802">
        <w:rPr>
          <w:rFonts w:ascii="Times New Roman" w:hAnsi="Times New Roman" w:cs="Times New Roman"/>
          <w:sz w:val="28"/>
          <w:szCs w:val="28"/>
        </w:rPr>
        <w:t>prezentul</w:t>
      </w:r>
      <w:r w:rsidR="001C58B3" w:rsidRPr="00EB26BE">
        <w:rPr>
          <w:rFonts w:ascii="Times New Roman" w:hAnsi="Times New Roman" w:cs="Times New Roman"/>
          <w:sz w:val="28"/>
          <w:szCs w:val="28"/>
        </w:rPr>
        <w:t xml:space="preserve"> </w:t>
      </w:r>
      <w:r w:rsidR="00AC4570" w:rsidRPr="00EB26BE">
        <w:rPr>
          <w:rFonts w:ascii="Times New Roman" w:hAnsi="Times New Roman" w:cs="Times New Roman"/>
          <w:sz w:val="28"/>
          <w:szCs w:val="28"/>
        </w:rPr>
        <w:t>R</w:t>
      </w:r>
      <w:r w:rsidR="001C58B3" w:rsidRPr="00EB26BE">
        <w:rPr>
          <w:rFonts w:ascii="Times New Roman" w:hAnsi="Times New Roman" w:cs="Times New Roman"/>
          <w:sz w:val="28"/>
          <w:szCs w:val="28"/>
        </w:rPr>
        <w:t>aport</w:t>
      </w:r>
      <w:r w:rsidR="008847E8">
        <w:rPr>
          <w:rFonts w:ascii="Times New Roman" w:hAnsi="Times New Roman" w:cs="Times New Roman"/>
          <w:sz w:val="28"/>
          <w:szCs w:val="28"/>
        </w:rPr>
        <w:t xml:space="preserve"> de audit</w:t>
      </w:r>
      <w:r w:rsidR="001C58B3" w:rsidRPr="00EB26BE">
        <w:rPr>
          <w:rFonts w:ascii="Times New Roman" w:hAnsi="Times New Roman" w:cs="Times New Roman"/>
          <w:sz w:val="28"/>
          <w:szCs w:val="28"/>
        </w:rPr>
        <w:t>.</w:t>
      </w:r>
      <w:r w:rsidR="000741FD">
        <w:rPr>
          <w:rFonts w:ascii="Times New Roman" w:hAnsi="Times New Roman" w:cs="Times New Roman"/>
          <w:sz w:val="28"/>
          <w:szCs w:val="28"/>
        </w:rPr>
        <w:t xml:space="preserve"> Pr</w:t>
      </w:r>
      <w:r w:rsidR="001C58B3" w:rsidRPr="00EB26BE">
        <w:rPr>
          <w:rFonts w:ascii="Times New Roman" w:hAnsi="Times New Roman" w:cs="Times New Roman"/>
          <w:sz w:val="28"/>
          <w:szCs w:val="28"/>
        </w:rPr>
        <w:t xml:space="preserve">obele de audit </w:t>
      </w:r>
      <w:r w:rsidR="004B44D9" w:rsidRPr="00EB26BE">
        <w:rPr>
          <w:rFonts w:ascii="Times New Roman" w:hAnsi="Times New Roman" w:cs="Times New Roman"/>
          <w:sz w:val="28"/>
          <w:szCs w:val="28"/>
        </w:rPr>
        <w:t xml:space="preserve">obținute </w:t>
      </w:r>
      <w:r w:rsidR="001C58B3" w:rsidRPr="00EB26BE">
        <w:rPr>
          <w:rFonts w:ascii="Times New Roman" w:hAnsi="Times New Roman" w:cs="Times New Roman"/>
          <w:sz w:val="28"/>
          <w:szCs w:val="28"/>
        </w:rPr>
        <w:t>sunt suficiente și adecvate pentru a oferi o bază pentru opini</w:t>
      </w:r>
      <w:r w:rsidR="001A6A90">
        <w:rPr>
          <w:rFonts w:ascii="Times New Roman" w:hAnsi="Times New Roman" w:cs="Times New Roman"/>
          <w:sz w:val="28"/>
          <w:szCs w:val="28"/>
        </w:rPr>
        <w:t>a</w:t>
      </w:r>
      <w:r w:rsidR="001C58B3" w:rsidRPr="00EB26BE">
        <w:rPr>
          <w:rFonts w:ascii="Times New Roman" w:hAnsi="Times New Roman" w:cs="Times New Roman"/>
          <w:sz w:val="28"/>
          <w:szCs w:val="28"/>
        </w:rPr>
        <w:t xml:space="preserve"> </w:t>
      </w:r>
      <w:r w:rsidR="004B44D9" w:rsidRPr="00EB26BE">
        <w:rPr>
          <w:rFonts w:ascii="Times New Roman" w:hAnsi="Times New Roman" w:cs="Times New Roman"/>
          <w:sz w:val="28"/>
          <w:szCs w:val="28"/>
        </w:rPr>
        <w:t>de audit</w:t>
      </w:r>
      <w:r w:rsidR="001947BA">
        <w:rPr>
          <w:rFonts w:ascii="Times New Roman" w:hAnsi="Times New Roman" w:cs="Times New Roman"/>
          <w:sz w:val="28"/>
          <w:szCs w:val="28"/>
        </w:rPr>
        <w:t xml:space="preserve"> cu rezerve</w:t>
      </w:r>
      <w:r w:rsidR="001C58B3" w:rsidRPr="00EB26BE">
        <w:rPr>
          <w:rFonts w:ascii="Times New Roman" w:hAnsi="Times New Roman" w:cs="Times New Roman"/>
          <w:sz w:val="28"/>
          <w:szCs w:val="28"/>
        </w:rPr>
        <w:t>.</w:t>
      </w:r>
      <w:r w:rsidR="0013728D">
        <w:rPr>
          <w:rFonts w:ascii="Times New Roman" w:hAnsi="Times New Roman" w:cs="Times New Roman"/>
          <w:sz w:val="28"/>
          <w:szCs w:val="28"/>
        </w:rPr>
        <w:t xml:space="preserve"> </w:t>
      </w:r>
      <w:r w:rsidR="001947BA">
        <w:rPr>
          <w:rFonts w:ascii="Times New Roman" w:hAnsi="Times New Roman" w:cs="Times New Roman"/>
          <w:sz w:val="28"/>
          <w:szCs w:val="28"/>
        </w:rPr>
        <w:t>Aspectele abordate, care au stat la baza exprimării opiniei cu rezerve, țin de:</w:t>
      </w:r>
    </w:p>
    <w:p w:rsidR="00A040C7" w:rsidRPr="00932483" w:rsidRDefault="00A040C7" w:rsidP="003F12B5">
      <w:pPr>
        <w:pStyle w:val="a5"/>
        <w:numPr>
          <w:ilvl w:val="0"/>
          <w:numId w:val="12"/>
        </w:numPr>
        <w:tabs>
          <w:tab w:val="left" w:pos="851"/>
        </w:tabs>
        <w:spacing w:after="0" w:line="276" w:lineRule="auto"/>
        <w:ind w:left="0" w:firstLine="709"/>
        <w:jc w:val="both"/>
        <w:rPr>
          <w:rFonts w:ascii="Times New Roman" w:hAnsi="Times New Roman"/>
          <w:b/>
          <w:i/>
          <w:sz w:val="28"/>
          <w:szCs w:val="28"/>
        </w:rPr>
      </w:pPr>
      <w:r w:rsidRPr="00932483">
        <w:rPr>
          <w:rFonts w:ascii="Times New Roman" w:hAnsi="Times New Roman"/>
          <w:i/>
          <w:sz w:val="28"/>
          <w:szCs w:val="28"/>
        </w:rPr>
        <w:t>aspecte</w:t>
      </w:r>
      <w:r w:rsidR="00103FDA">
        <w:rPr>
          <w:rFonts w:ascii="Times New Roman" w:hAnsi="Times New Roman"/>
          <w:i/>
          <w:sz w:val="28"/>
          <w:szCs w:val="28"/>
        </w:rPr>
        <w:t>le</w:t>
      </w:r>
      <w:r w:rsidRPr="00932483">
        <w:rPr>
          <w:rFonts w:ascii="Times New Roman" w:hAnsi="Times New Roman"/>
          <w:i/>
          <w:sz w:val="28"/>
          <w:szCs w:val="28"/>
        </w:rPr>
        <w:t xml:space="preserve"> financiare</w:t>
      </w:r>
      <w:r w:rsidR="001947BA" w:rsidRPr="00932483">
        <w:rPr>
          <w:rFonts w:ascii="Times New Roman" w:hAnsi="Times New Roman"/>
          <w:i/>
          <w:sz w:val="28"/>
          <w:szCs w:val="28"/>
        </w:rPr>
        <w:t>:</w:t>
      </w:r>
      <w:r w:rsidRPr="00932483">
        <w:rPr>
          <w:rFonts w:ascii="Times New Roman" w:hAnsi="Times New Roman"/>
          <w:sz w:val="28"/>
          <w:szCs w:val="28"/>
        </w:rPr>
        <w:t xml:space="preserve"> </w:t>
      </w:r>
      <w:r w:rsidRPr="00932483">
        <w:rPr>
          <w:rFonts w:ascii="Times New Roman" w:hAnsi="Times New Roman"/>
          <w:b/>
          <w:i/>
          <w:sz w:val="28"/>
          <w:szCs w:val="28"/>
        </w:rPr>
        <w:t xml:space="preserve">(i) </w:t>
      </w:r>
      <w:r w:rsidR="00932483">
        <w:rPr>
          <w:rFonts w:ascii="Times New Roman" w:hAnsi="Times New Roman"/>
          <w:sz w:val="28"/>
          <w:szCs w:val="28"/>
        </w:rPr>
        <w:t>neconfirmarea prin verificări</w:t>
      </w:r>
      <w:r w:rsidR="00932483" w:rsidRPr="00932483">
        <w:rPr>
          <w:rFonts w:ascii="Times New Roman" w:hAnsi="Times New Roman"/>
          <w:b/>
          <w:i/>
          <w:sz w:val="28"/>
          <w:szCs w:val="28"/>
        </w:rPr>
        <w:t xml:space="preserve"> </w:t>
      </w:r>
      <w:r w:rsidR="00932483" w:rsidRPr="00932483">
        <w:rPr>
          <w:rFonts w:ascii="Times New Roman" w:hAnsi="Times New Roman" w:cs="Times New Roman"/>
          <w:sz w:val="28"/>
          <w:szCs w:val="28"/>
        </w:rPr>
        <w:t xml:space="preserve">reciproce </w:t>
      </w:r>
      <w:r w:rsidR="00932483">
        <w:rPr>
          <w:rFonts w:ascii="Times New Roman" w:hAnsi="Times New Roman" w:cs="Times New Roman"/>
          <w:sz w:val="28"/>
          <w:szCs w:val="28"/>
        </w:rPr>
        <w:t>cu alți administratori a</w:t>
      </w:r>
      <w:r w:rsidR="00103FDA">
        <w:rPr>
          <w:rFonts w:ascii="Times New Roman" w:hAnsi="Times New Roman" w:cs="Times New Roman"/>
          <w:sz w:val="28"/>
          <w:szCs w:val="28"/>
        </w:rPr>
        <w:t>i</w:t>
      </w:r>
      <w:r w:rsidR="00932483">
        <w:rPr>
          <w:rFonts w:ascii="Times New Roman" w:hAnsi="Times New Roman" w:cs="Times New Roman"/>
          <w:sz w:val="28"/>
          <w:szCs w:val="28"/>
        </w:rPr>
        <w:t xml:space="preserve"> veniturilor încasate </w:t>
      </w:r>
      <w:r w:rsidR="00103FDA">
        <w:rPr>
          <w:rFonts w:ascii="Times New Roman" w:hAnsi="Times New Roman" w:cs="Times New Roman"/>
          <w:sz w:val="28"/>
          <w:szCs w:val="28"/>
        </w:rPr>
        <w:t>în</w:t>
      </w:r>
      <w:r w:rsidR="00932483">
        <w:rPr>
          <w:rFonts w:ascii="Times New Roman" w:hAnsi="Times New Roman" w:cs="Times New Roman"/>
          <w:sz w:val="28"/>
          <w:szCs w:val="28"/>
        </w:rPr>
        <w:t xml:space="preserve"> bugetul de stat în sumă </w:t>
      </w:r>
      <w:r w:rsidR="00932483" w:rsidRPr="00932483">
        <w:rPr>
          <w:rFonts w:ascii="Times New Roman" w:hAnsi="Times New Roman"/>
          <w:sz w:val="28"/>
          <w:szCs w:val="28"/>
        </w:rPr>
        <w:t>926,9 mil.lei</w:t>
      </w:r>
      <w:r w:rsidR="00932483">
        <w:rPr>
          <w:rFonts w:ascii="Times New Roman" w:hAnsi="Times New Roman"/>
          <w:sz w:val="28"/>
          <w:szCs w:val="28"/>
        </w:rPr>
        <w:t xml:space="preserve">, sau </w:t>
      </w:r>
      <w:r w:rsidR="00932483" w:rsidRPr="00932483">
        <w:rPr>
          <w:rFonts w:ascii="Times New Roman" w:hAnsi="Times New Roman"/>
          <w:sz w:val="28"/>
          <w:szCs w:val="28"/>
        </w:rPr>
        <w:t>2,7%</w:t>
      </w:r>
      <w:r w:rsidR="00932483">
        <w:rPr>
          <w:rFonts w:ascii="Times New Roman" w:hAnsi="Times New Roman"/>
          <w:sz w:val="28"/>
          <w:szCs w:val="28"/>
        </w:rPr>
        <w:t xml:space="preserve"> din totalul veniturilor</w:t>
      </w:r>
      <w:r w:rsidR="00103FDA">
        <w:rPr>
          <w:rFonts w:ascii="Times New Roman" w:hAnsi="Times New Roman"/>
          <w:sz w:val="28"/>
          <w:szCs w:val="28"/>
        </w:rPr>
        <w:t>,</w:t>
      </w:r>
      <w:r w:rsidR="00932483">
        <w:rPr>
          <w:rFonts w:ascii="Times New Roman" w:hAnsi="Times New Roman"/>
          <w:sz w:val="28"/>
          <w:szCs w:val="28"/>
        </w:rPr>
        <w:t xml:space="preserve"> a limitat </w:t>
      </w:r>
      <w:r w:rsidR="00932483" w:rsidRPr="00932483">
        <w:rPr>
          <w:rFonts w:ascii="Times New Roman" w:hAnsi="Times New Roman"/>
          <w:sz w:val="28"/>
          <w:szCs w:val="28"/>
        </w:rPr>
        <w:t xml:space="preserve">auditul în posibilitatea de a se expune asupra veridicității și plenitudinii informației </w:t>
      </w:r>
      <w:r w:rsidR="00932483">
        <w:rPr>
          <w:rFonts w:ascii="Times New Roman" w:hAnsi="Times New Roman"/>
          <w:sz w:val="28"/>
          <w:szCs w:val="28"/>
        </w:rPr>
        <w:t xml:space="preserve">aferente acestora; </w:t>
      </w:r>
      <w:r w:rsidR="00932483" w:rsidRPr="00932483">
        <w:rPr>
          <w:rFonts w:ascii="Times New Roman" w:hAnsi="Times New Roman"/>
          <w:b/>
          <w:i/>
          <w:sz w:val="28"/>
          <w:szCs w:val="28"/>
        </w:rPr>
        <w:t>(ii)</w:t>
      </w:r>
      <w:r w:rsidR="00932483">
        <w:rPr>
          <w:rFonts w:ascii="Times New Roman" w:hAnsi="Times New Roman"/>
          <w:sz w:val="28"/>
          <w:szCs w:val="28"/>
        </w:rPr>
        <w:t xml:space="preserve"> </w:t>
      </w:r>
      <w:r w:rsidRPr="00932483">
        <w:rPr>
          <w:rFonts w:ascii="Times New Roman" w:hAnsi="Times New Roman"/>
          <w:sz w:val="28"/>
          <w:szCs w:val="28"/>
        </w:rPr>
        <w:t>neasigurarea verificărilor</w:t>
      </w:r>
      <w:r w:rsidRPr="00932483">
        <w:rPr>
          <w:rFonts w:ascii="Times New Roman" w:hAnsi="Times New Roman"/>
          <w:b/>
          <w:i/>
          <w:sz w:val="28"/>
          <w:szCs w:val="28"/>
        </w:rPr>
        <w:t xml:space="preserve"> </w:t>
      </w:r>
      <w:r w:rsidRPr="00932483">
        <w:rPr>
          <w:rFonts w:ascii="Times New Roman" w:hAnsi="Times New Roman" w:cs="Times New Roman"/>
          <w:sz w:val="28"/>
          <w:szCs w:val="28"/>
        </w:rPr>
        <w:t xml:space="preserve">reciproce între </w:t>
      </w:r>
      <w:r w:rsidRPr="00932483">
        <w:rPr>
          <w:rFonts w:ascii="Times New Roman" w:hAnsi="Times New Roman"/>
          <w:sz w:val="28"/>
          <w:szCs w:val="28"/>
        </w:rPr>
        <w:t>M</w:t>
      </w:r>
      <w:r w:rsidR="00103FDA">
        <w:rPr>
          <w:rFonts w:ascii="Times New Roman" w:hAnsi="Times New Roman"/>
          <w:sz w:val="28"/>
          <w:szCs w:val="28"/>
        </w:rPr>
        <w:t xml:space="preserve">inisterul </w:t>
      </w:r>
      <w:r w:rsidRPr="00932483">
        <w:rPr>
          <w:rFonts w:ascii="Times New Roman" w:hAnsi="Times New Roman"/>
          <w:sz w:val="28"/>
          <w:szCs w:val="28"/>
        </w:rPr>
        <w:t>F</w:t>
      </w:r>
      <w:r w:rsidR="00103FDA">
        <w:rPr>
          <w:rFonts w:ascii="Times New Roman" w:hAnsi="Times New Roman"/>
          <w:sz w:val="28"/>
          <w:szCs w:val="28"/>
        </w:rPr>
        <w:t>inanțelor</w:t>
      </w:r>
      <w:r w:rsidRPr="00932483">
        <w:rPr>
          <w:rFonts w:ascii="Times New Roman" w:hAnsi="Times New Roman"/>
          <w:sz w:val="28"/>
          <w:szCs w:val="28"/>
        </w:rPr>
        <w:t xml:space="preserve"> și S</w:t>
      </w:r>
      <w:r w:rsidR="00103FDA">
        <w:rPr>
          <w:rFonts w:ascii="Times New Roman" w:hAnsi="Times New Roman"/>
          <w:sz w:val="28"/>
          <w:szCs w:val="28"/>
        </w:rPr>
        <w:t xml:space="preserve">erviciul </w:t>
      </w:r>
      <w:r w:rsidRPr="00932483">
        <w:rPr>
          <w:rFonts w:ascii="Times New Roman" w:hAnsi="Times New Roman"/>
          <w:sz w:val="28"/>
          <w:szCs w:val="28"/>
        </w:rPr>
        <w:t>F</w:t>
      </w:r>
      <w:r w:rsidR="00103FDA">
        <w:rPr>
          <w:rFonts w:ascii="Times New Roman" w:hAnsi="Times New Roman"/>
          <w:sz w:val="28"/>
          <w:szCs w:val="28"/>
        </w:rPr>
        <w:t xml:space="preserve">iscal de </w:t>
      </w:r>
      <w:r w:rsidRPr="00932483">
        <w:rPr>
          <w:rFonts w:ascii="Times New Roman" w:hAnsi="Times New Roman"/>
          <w:sz w:val="28"/>
          <w:szCs w:val="28"/>
        </w:rPr>
        <w:t>S</w:t>
      </w:r>
      <w:r w:rsidR="00103FDA">
        <w:rPr>
          <w:rFonts w:ascii="Times New Roman" w:hAnsi="Times New Roman"/>
          <w:sz w:val="28"/>
          <w:szCs w:val="28"/>
        </w:rPr>
        <w:t>tat</w:t>
      </w:r>
      <w:r w:rsidRPr="00932483">
        <w:rPr>
          <w:rFonts w:ascii="Times New Roman" w:hAnsi="Times New Roman"/>
          <w:sz w:val="28"/>
          <w:szCs w:val="28"/>
        </w:rPr>
        <w:t xml:space="preserve"> privind</w:t>
      </w:r>
      <w:r w:rsidRPr="00932483">
        <w:rPr>
          <w:rFonts w:ascii="Times New Roman" w:hAnsi="Times New Roman"/>
          <w:b/>
          <w:i/>
          <w:sz w:val="28"/>
          <w:szCs w:val="28"/>
        </w:rPr>
        <w:t xml:space="preserve"> </w:t>
      </w:r>
      <w:r w:rsidRPr="00932483">
        <w:rPr>
          <w:rFonts w:ascii="Times New Roman" w:hAnsi="Times New Roman" w:cs="Times New Roman"/>
          <w:sz w:val="28"/>
          <w:szCs w:val="28"/>
        </w:rPr>
        <w:t xml:space="preserve">contribuțiile obligatorii ale producătorilor de produse vitivinicole în sumă de 20,3 mil.lei, totodată, </w:t>
      </w:r>
      <w:r w:rsidRPr="00932483">
        <w:rPr>
          <w:rFonts w:ascii="Times New Roman" w:hAnsi="Times New Roman"/>
          <w:sz w:val="28"/>
          <w:szCs w:val="28"/>
        </w:rPr>
        <w:t xml:space="preserve">contribuțiile menționate nefiind reflectate în Registrele lunare ale </w:t>
      </w:r>
      <w:r w:rsidRPr="00932483">
        <w:rPr>
          <w:rFonts w:ascii="Times New Roman" w:hAnsi="Times New Roman" w:cs="Times New Roman"/>
          <w:sz w:val="28"/>
          <w:szCs w:val="28"/>
        </w:rPr>
        <w:t xml:space="preserve">veniturilor bugetului </w:t>
      </w:r>
      <w:r w:rsidRPr="00932483">
        <w:rPr>
          <w:rFonts w:ascii="Times New Roman" w:hAnsi="Times New Roman" w:cs="Times New Roman"/>
          <w:sz w:val="28"/>
          <w:szCs w:val="28"/>
        </w:rPr>
        <w:lastRenderedPageBreak/>
        <w:t xml:space="preserve">de stat (Forma FI-006); </w:t>
      </w:r>
      <w:r w:rsidRPr="00932483">
        <w:rPr>
          <w:rFonts w:ascii="Times New Roman" w:hAnsi="Times New Roman"/>
          <w:b/>
          <w:i/>
          <w:sz w:val="28"/>
          <w:szCs w:val="28"/>
        </w:rPr>
        <w:t>(i</w:t>
      </w:r>
      <w:r w:rsidR="00932483">
        <w:rPr>
          <w:rFonts w:ascii="Times New Roman" w:hAnsi="Times New Roman"/>
          <w:b/>
          <w:i/>
          <w:sz w:val="28"/>
          <w:szCs w:val="28"/>
        </w:rPr>
        <w:t>i</w:t>
      </w:r>
      <w:r w:rsidRPr="00932483">
        <w:rPr>
          <w:rFonts w:ascii="Times New Roman" w:hAnsi="Times New Roman"/>
          <w:b/>
          <w:i/>
          <w:sz w:val="28"/>
          <w:szCs w:val="28"/>
        </w:rPr>
        <w:t xml:space="preserve">i) </w:t>
      </w:r>
      <w:r w:rsidRPr="00932483">
        <w:rPr>
          <w:rFonts w:ascii="Times New Roman" w:hAnsi="Times New Roman" w:cs="Times New Roman"/>
          <w:sz w:val="28"/>
          <w:szCs w:val="28"/>
        </w:rPr>
        <w:t>efectuarea</w:t>
      </w:r>
      <w:r w:rsidR="00AA7C13" w:rsidRPr="00932483">
        <w:rPr>
          <w:rFonts w:ascii="Times New Roman" w:hAnsi="Times New Roman" w:cs="Times New Roman"/>
          <w:sz w:val="28"/>
          <w:szCs w:val="28"/>
        </w:rPr>
        <w:t>, contrar prevederilor legale,</w:t>
      </w:r>
      <w:r w:rsidRPr="00932483">
        <w:rPr>
          <w:rFonts w:ascii="Times New Roman" w:hAnsi="Times New Roman" w:cs="Times New Roman"/>
          <w:sz w:val="28"/>
          <w:szCs w:val="28"/>
        </w:rPr>
        <w:t xml:space="preserve"> </w:t>
      </w:r>
      <w:r w:rsidR="00AA7C13" w:rsidRPr="00932483">
        <w:rPr>
          <w:rFonts w:ascii="Times New Roman" w:hAnsi="Times New Roman" w:cs="Times New Roman"/>
          <w:sz w:val="28"/>
          <w:szCs w:val="28"/>
        </w:rPr>
        <w:t xml:space="preserve">a </w:t>
      </w:r>
      <w:r w:rsidRPr="00932483">
        <w:rPr>
          <w:rFonts w:ascii="Times New Roman" w:hAnsi="Times New Roman" w:cs="Times New Roman"/>
          <w:sz w:val="28"/>
          <w:szCs w:val="28"/>
        </w:rPr>
        <w:t>restituirii TVA în contul achitării restanțelor contribuabililor la contribuțiile obligatorii ale producătorilor de produse vitivinicole</w:t>
      </w:r>
      <w:r w:rsidR="001C0E69">
        <w:rPr>
          <w:rFonts w:ascii="Times New Roman" w:hAnsi="Times New Roman" w:cs="Times New Roman"/>
          <w:sz w:val="28"/>
          <w:szCs w:val="28"/>
        </w:rPr>
        <w:t>, în sumă totală de 9,1 mil.lei, care este sub nivelul</w:t>
      </w:r>
      <w:r w:rsidRPr="00932483">
        <w:rPr>
          <w:rFonts w:ascii="Times New Roman" w:hAnsi="Times New Roman" w:cs="Times New Roman"/>
          <w:sz w:val="28"/>
          <w:szCs w:val="28"/>
        </w:rPr>
        <w:t xml:space="preserve"> </w:t>
      </w:r>
      <w:r w:rsidR="001C0E69" w:rsidRPr="001C0E69">
        <w:rPr>
          <w:rFonts w:ascii="Times New Roman" w:hAnsi="Times New Roman" w:cs="Times New Roman"/>
          <w:sz w:val="28"/>
          <w:szCs w:val="28"/>
        </w:rPr>
        <w:t>materialității la totalul veniturilor și la poziția bugetară „restituiri TVA”, în același timp depășind nivelul stabilit la „Taxe pentru servicii specifice” (cod-1144)</w:t>
      </w:r>
      <w:r w:rsidR="001C0E69">
        <w:rPr>
          <w:rFonts w:ascii="Times New Roman" w:hAnsi="Times New Roman" w:cs="Times New Roman"/>
          <w:sz w:val="28"/>
          <w:szCs w:val="28"/>
        </w:rPr>
        <w:t xml:space="preserve">; </w:t>
      </w:r>
      <w:r w:rsidRPr="00932483">
        <w:rPr>
          <w:rFonts w:ascii="Times New Roman" w:hAnsi="Times New Roman" w:cs="Times New Roman"/>
          <w:b/>
          <w:i/>
          <w:sz w:val="28"/>
          <w:szCs w:val="28"/>
        </w:rPr>
        <w:t>(i</w:t>
      </w:r>
      <w:r w:rsidR="00103FDA">
        <w:rPr>
          <w:rFonts w:ascii="Times New Roman" w:hAnsi="Times New Roman" w:cs="Times New Roman"/>
          <w:b/>
          <w:i/>
          <w:sz w:val="28"/>
          <w:szCs w:val="28"/>
        </w:rPr>
        <w:t>v</w:t>
      </w:r>
      <w:r w:rsidRPr="00932483">
        <w:rPr>
          <w:rFonts w:ascii="Times New Roman" w:hAnsi="Times New Roman" w:cs="Times New Roman"/>
          <w:b/>
          <w:i/>
          <w:sz w:val="28"/>
          <w:szCs w:val="28"/>
        </w:rPr>
        <w:t>)</w:t>
      </w:r>
      <w:r w:rsidRPr="00932483">
        <w:rPr>
          <w:rFonts w:ascii="Times New Roman" w:hAnsi="Times New Roman"/>
          <w:sz w:val="28"/>
          <w:szCs w:val="28"/>
        </w:rPr>
        <w:t xml:space="preserve"> neînchiderea conturilor trezoreriale cu soldurile mijloacelor intrate temporar în posesie, în sumă totală de 830,6 mii lei, la 6 ministere reorganizate</w:t>
      </w:r>
      <w:r w:rsidR="001C0E69">
        <w:rPr>
          <w:rFonts w:ascii="Times New Roman" w:hAnsi="Times New Roman" w:cs="Times New Roman"/>
          <w:sz w:val="28"/>
          <w:szCs w:val="28"/>
        </w:rPr>
        <w:t xml:space="preserve">; </w:t>
      </w:r>
      <w:r w:rsidR="001C0E69" w:rsidRPr="001C0E69">
        <w:rPr>
          <w:rFonts w:ascii="Times New Roman" w:hAnsi="Times New Roman" w:cs="Times New Roman"/>
          <w:b/>
          <w:i/>
          <w:sz w:val="28"/>
          <w:szCs w:val="28"/>
        </w:rPr>
        <w:t>(v)</w:t>
      </w:r>
      <w:r w:rsidR="001C0E69">
        <w:rPr>
          <w:rFonts w:ascii="Times New Roman" w:hAnsi="Times New Roman" w:cs="Times New Roman"/>
          <w:sz w:val="28"/>
          <w:szCs w:val="28"/>
        </w:rPr>
        <w:t xml:space="preserve"> </w:t>
      </w:r>
      <w:r w:rsidR="001C0E69" w:rsidRPr="001C0E69">
        <w:rPr>
          <w:rFonts w:ascii="Times New Roman" w:hAnsi="Times New Roman" w:cs="Times New Roman"/>
          <w:sz w:val="28"/>
          <w:szCs w:val="28"/>
        </w:rPr>
        <w:t>limita</w:t>
      </w:r>
      <w:r w:rsidR="001C0E69">
        <w:rPr>
          <w:rFonts w:ascii="Times New Roman" w:hAnsi="Times New Roman" w:cs="Times New Roman"/>
          <w:sz w:val="28"/>
          <w:szCs w:val="28"/>
        </w:rPr>
        <w:t>rea auditorului</w:t>
      </w:r>
      <w:r w:rsidR="001C0E69" w:rsidRPr="001C0E69">
        <w:rPr>
          <w:rFonts w:ascii="Times New Roman" w:hAnsi="Times New Roman" w:cs="Times New Roman"/>
          <w:sz w:val="28"/>
          <w:szCs w:val="28"/>
        </w:rPr>
        <w:t xml:space="preserve"> în posibilitatea de a oferi concluzii asupra creanțelor (981,5 mil.lei) și datoriilor (743,1 mil.lei) la cheltuieli</w:t>
      </w:r>
      <w:r w:rsidR="00103FDA">
        <w:rPr>
          <w:rFonts w:ascii="Times New Roman" w:hAnsi="Times New Roman" w:cs="Times New Roman"/>
          <w:sz w:val="28"/>
          <w:szCs w:val="28"/>
        </w:rPr>
        <w:t>le</w:t>
      </w:r>
      <w:r w:rsidR="001C0E69" w:rsidRPr="001C0E69">
        <w:rPr>
          <w:rFonts w:ascii="Times New Roman" w:hAnsi="Times New Roman" w:cs="Times New Roman"/>
          <w:sz w:val="28"/>
          <w:szCs w:val="28"/>
        </w:rPr>
        <w:t xml:space="preserve"> și active</w:t>
      </w:r>
      <w:r w:rsidR="00103FDA">
        <w:rPr>
          <w:rFonts w:ascii="Times New Roman" w:hAnsi="Times New Roman" w:cs="Times New Roman"/>
          <w:sz w:val="28"/>
          <w:szCs w:val="28"/>
        </w:rPr>
        <w:t>le</w:t>
      </w:r>
      <w:r w:rsidR="001C0E69" w:rsidRPr="001C0E69">
        <w:rPr>
          <w:rFonts w:ascii="Times New Roman" w:hAnsi="Times New Roman" w:cs="Times New Roman"/>
          <w:sz w:val="28"/>
          <w:szCs w:val="28"/>
        </w:rPr>
        <w:t xml:space="preserve"> nefinanciare formate în autoritățile/instituțiile bugetare finanțate de la bugetul de stat, prezentate în Formularul nr.7 „Raportul privind creanțele și datoriile la cheltuieli și active nefinanciare formate în autoritățile/instituțiile bugetare finanțate de la bugetul de stat conform clasificației economice”</w:t>
      </w:r>
      <w:r w:rsidR="00C92C76">
        <w:rPr>
          <w:rFonts w:ascii="Times New Roman" w:hAnsi="Times New Roman" w:cs="Times New Roman"/>
          <w:sz w:val="28"/>
          <w:szCs w:val="28"/>
        </w:rPr>
        <w:t xml:space="preserve">; </w:t>
      </w:r>
      <w:r w:rsidR="00C92C76" w:rsidRPr="00C92C76">
        <w:rPr>
          <w:rFonts w:ascii="Times New Roman" w:hAnsi="Times New Roman" w:cs="Times New Roman"/>
          <w:b/>
          <w:i/>
          <w:sz w:val="28"/>
          <w:szCs w:val="28"/>
        </w:rPr>
        <w:t>(v</w:t>
      </w:r>
      <w:r w:rsidR="00103FDA">
        <w:rPr>
          <w:rFonts w:ascii="Times New Roman" w:hAnsi="Times New Roman" w:cs="Times New Roman"/>
          <w:b/>
          <w:i/>
          <w:sz w:val="28"/>
          <w:szCs w:val="28"/>
        </w:rPr>
        <w:t>i</w:t>
      </w:r>
      <w:r w:rsidR="00C92C76" w:rsidRPr="00C92C76">
        <w:rPr>
          <w:rFonts w:ascii="Times New Roman" w:hAnsi="Times New Roman" w:cs="Times New Roman"/>
          <w:b/>
          <w:i/>
          <w:sz w:val="28"/>
          <w:szCs w:val="28"/>
        </w:rPr>
        <w:t>)</w:t>
      </w:r>
      <w:r w:rsidR="00C92C76">
        <w:rPr>
          <w:rFonts w:ascii="Times New Roman" w:hAnsi="Times New Roman" w:cs="Times New Roman"/>
          <w:sz w:val="28"/>
          <w:szCs w:val="28"/>
        </w:rPr>
        <w:t xml:space="preserve"> </w:t>
      </w:r>
      <w:r w:rsidR="00C92C76" w:rsidRPr="00C92C76">
        <w:rPr>
          <w:rFonts w:ascii="Times New Roman" w:hAnsi="Times New Roman" w:cs="Times New Roman"/>
          <w:sz w:val="28"/>
          <w:szCs w:val="28"/>
        </w:rPr>
        <w:t xml:space="preserve">limitarea auditorului în posibilitatea verificării, contrapunerii și confirmării informațiilor raportate </w:t>
      </w:r>
      <w:r w:rsidR="00C92C76">
        <w:rPr>
          <w:rFonts w:ascii="Times New Roman" w:hAnsi="Times New Roman" w:cs="Times New Roman"/>
          <w:sz w:val="28"/>
          <w:szCs w:val="28"/>
        </w:rPr>
        <w:t>la</w:t>
      </w:r>
      <w:r w:rsidR="00C92C76" w:rsidRPr="00C92C76">
        <w:rPr>
          <w:rFonts w:ascii="Times New Roman" w:hAnsi="Times New Roman" w:cs="Times New Roman"/>
          <w:sz w:val="28"/>
          <w:szCs w:val="28"/>
        </w:rPr>
        <w:t xml:space="preserve"> creanțe, datorii și situații patrimoniale</w:t>
      </w:r>
      <w:r w:rsidR="00C92C76">
        <w:rPr>
          <w:rFonts w:ascii="Times New Roman" w:hAnsi="Times New Roman" w:cs="Times New Roman"/>
          <w:sz w:val="28"/>
          <w:szCs w:val="28"/>
        </w:rPr>
        <w:t>, auditul relevând</w:t>
      </w:r>
      <w:r w:rsidR="00C92C76" w:rsidRPr="00C92C76">
        <w:rPr>
          <w:rFonts w:ascii="Times New Roman" w:hAnsi="Times New Roman" w:cs="Times New Roman"/>
          <w:sz w:val="28"/>
          <w:szCs w:val="28"/>
        </w:rPr>
        <w:t xml:space="preserve"> </w:t>
      </w:r>
      <w:r w:rsidR="00103FDA">
        <w:rPr>
          <w:rFonts w:ascii="Times New Roman" w:hAnsi="Times New Roman" w:cs="Times New Roman"/>
          <w:sz w:val="28"/>
          <w:szCs w:val="28"/>
        </w:rPr>
        <w:t xml:space="preserve">caracterul </w:t>
      </w:r>
      <w:r w:rsidR="00C92C76" w:rsidRPr="00C92C76">
        <w:rPr>
          <w:rFonts w:ascii="Times New Roman" w:hAnsi="Times New Roman" w:cs="Times New Roman"/>
          <w:sz w:val="28"/>
          <w:szCs w:val="28"/>
        </w:rPr>
        <w:t>neidentic</w:t>
      </w:r>
      <w:r w:rsidR="00103FDA">
        <w:rPr>
          <w:rFonts w:ascii="Times New Roman" w:hAnsi="Times New Roman" w:cs="Times New Roman"/>
          <w:sz w:val="28"/>
          <w:szCs w:val="28"/>
        </w:rPr>
        <w:t xml:space="preserve"> al</w:t>
      </w:r>
      <w:r w:rsidR="00C92C76" w:rsidRPr="00C92C76">
        <w:rPr>
          <w:rFonts w:ascii="Times New Roman" w:hAnsi="Times New Roman" w:cs="Times New Roman"/>
          <w:sz w:val="28"/>
          <w:szCs w:val="28"/>
        </w:rPr>
        <w:t xml:space="preserve"> creanțelor și datoriilor raportate în Formularul nr.7 „Raport</w:t>
      </w:r>
      <w:r w:rsidR="00103FDA">
        <w:rPr>
          <w:rFonts w:ascii="Times New Roman" w:hAnsi="Times New Roman" w:cs="Times New Roman"/>
          <w:sz w:val="28"/>
          <w:szCs w:val="28"/>
        </w:rPr>
        <w:t>ul</w:t>
      </w:r>
      <w:r w:rsidR="00C92C76" w:rsidRPr="00C92C76">
        <w:rPr>
          <w:rFonts w:ascii="Times New Roman" w:hAnsi="Times New Roman" w:cs="Times New Roman"/>
          <w:sz w:val="28"/>
          <w:szCs w:val="28"/>
        </w:rPr>
        <w:t xml:space="preserve"> privind creanțele și datoriile la cheltuieli și active nefinanciare formate în autoritățile/instituțiile bugetare finanțate de la bugetul de stat conform clasificației economice” cu datele agregate din Bilanțurile contabile prezentate de autorități</w:t>
      </w:r>
      <w:r w:rsidR="00103FDA">
        <w:rPr>
          <w:rFonts w:ascii="Times New Roman" w:hAnsi="Times New Roman" w:cs="Times New Roman"/>
          <w:sz w:val="28"/>
          <w:szCs w:val="28"/>
        </w:rPr>
        <w:t>le</w:t>
      </w:r>
      <w:r w:rsidR="00C92C76" w:rsidRPr="00C92C76">
        <w:rPr>
          <w:rFonts w:ascii="Times New Roman" w:hAnsi="Times New Roman" w:cs="Times New Roman"/>
          <w:sz w:val="28"/>
          <w:szCs w:val="28"/>
        </w:rPr>
        <w:t>/instituții</w:t>
      </w:r>
      <w:r w:rsidR="00103FDA">
        <w:rPr>
          <w:rFonts w:ascii="Times New Roman" w:hAnsi="Times New Roman" w:cs="Times New Roman"/>
          <w:sz w:val="28"/>
          <w:szCs w:val="28"/>
        </w:rPr>
        <w:t>le</w:t>
      </w:r>
      <w:r w:rsidR="00C92C76" w:rsidRPr="00C92C76">
        <w:rPr>
          <w:rFonts w:ascii="Times New Roman" w:hAnsi="Times New Roman" w:cs="Times New Roman"/>
          <w:sz w:val="28"/>
          <w:szCs w:val="28"/>
        </w:rPr>
        <w:t xml:space="preserve"> bugetare, respectiv</w:t>
      </w:r>
      <w:r w:rsidR="00103FDA">
        <w:rPr>
          <w:rFonts w:ascii="Times New Roman" w:hAnsi="Times New Roman" w:cs="Times New Roman"/>
          <w:sz w:val="28"/>
          <w:szCs w:val="28"/>
        </w:rPr>
        <w:t>,</w:t>
      </w:r>
      <w:r w:rsidR="00C92C76" w:rsidRPr="00C92C76">
        <w:rPr>
          <w:rFonts w:ascii="Times New Roman" w:hAnsi="Times New Roman" w:cs="Times New Roman"/>
          <w:sz w:val="28"/>
          <w:szCs w:val="28"/>
        </w:rPr>
        <w:t xml:space="preserve"> de 89,9 mil.lei la creanțe și de 24,6 mil.lei la datorii, d</w:t>
      </w:r>
      <w:r w:rsidR="00103FDA">
        <w:rPr>
          <w:rFonts w:ascii="Times New Roman" w:hAnsi="Times New Roman" w:cs="Times New Roman"/>
          <w:sz w:val="28"/>
          <w:szCs w:val="28"/>
        </w:rPr>
        <w:t>epășind pragul de materialitate;</w:t>
      </w:r>
    </w:p>
    <w:p w:rsidR="00A040C7" w:rsidRPr="001947BA" w:rsidRDefault="00A040C7" w:rsidP="003F12B5">
      <w:pPr>
        <w:pStyle w:val="a5"/>
        <w:numPr>
          <w:ilvl w:val="0"/>
          <w:numId w:val="11"/>
        </w:numPr>
        <w:tabs>
          <w:tab w:val="num" w:pos="0"/>
          <w:tab w:val="left" w:pos="851"/>
        </w:tabs>
        <w:spacing w:after="0" w:line="276" w:lineRule="auto"/>
        <w:ind w:left="0" w:firstLine="709"/>
        <w:jc w:val="both"/>
        <w:rPr>
          <w:rFonts w:ascii="Times New Roman" w:hAnsi="Times New Roman" w:cs="Times New Roman"/>
          <w:b/>
          <w:iCs/>
          <w:sz w:val="28"/>
          <w:szCs w:val="28"/>
        </w:rPr>
      </w:pPr>
      <w:r w:rsidRPr="001947BA">
        <w:rPr>
          <w:rFonts w:ascii="Times New Roman" w:hAnsi="Times New Roman" w:cs="Times New Roman"/>
          <w:i/>
          <w:iCs/>
          <w:sz w:val="28"/>
          <w:szCs w:val="28"/>
        </w:rPr>
        <w:t>aspecte</w:t>
      </w:r>
      <w:r w:rsidR="00103FDA">
        <w:rPr>
          <w:rFonts w:ascii="Times New Roman" w:hAnsi="Times New Roman" w:cs="Times New Roman"/>
          <w:i/>
          <w:iCs/>
          <w:sz w:val="28"/>
          <w:szCs w:val="28"/>
        </w:rPr>
        <w:t>le</w:t>
      </w:r>
      <w:r w:rsidRPr="001947BA">
        <w:rPr>
          <w:rFonts w:ascii="Times New Roman" w:hAnsi="Times New Roman" w:cs="Times New Roman"/>
          <w:i/>
          <w:iCs/>
          <w:sz w:val="28"/>
          <w:szCs w:val="28"/>
        </w:rPr>
        <w:t xml:space="preserve"> de conformitate</w:t>
      </w:r>
      <w:r w:rsidR="001947BA">
        <w:rPr>
          <w:rFonts w:ascii="Times New Roman" w:hAnsi="Times New Roman" w:cs="Times New Roman"/>
          <w:i/>
          <w:iCs/>
          <w:sz w:val="28"/>
          <w:szCs w:val="28"/>
        </w:rPr>
        <w:t>:</w:t>
      </w:r>
      <w:r w:rsidRPr="001947BA">
        <w:rPr>
          <w:rFonts w:ascii="Times New Roman" w:hAnsi="Times New Roman" w:cs="Times New Roman"/>
          <w:iCs/>
          <w:sz w:val="28"/>
          <w:szCs w:val="28"/>
        </w:rPr>
        <w:t xml:space="preserve"> </w:t>
      </w:r>
      <w:r w:rsidRPr="00AA148D">
        <w:rPr>
          <w:rFonts w:ascii="Times New Roman" w:hAnsi="Times New Roman" w:cs="Times New Roman"/>
          <w:b/>
          <w:i/>
          <w:iCs/>
          <w:sz w:val="28"/>
          <w:szCs w:val="28"/>
        </w:rPr>
        <w:t>(i)</w:t>
      </w:r>
      <w:r w:rsidRPr="001947BA">
        <w:rPr>
          <w:rFonts w:ascii="Times New Roman" w:hAnsi="Times New Roman" w:cs="Times New Roman"/>
          <w:iCs/>
          <w:sz w:val="28"/>
          <w:szCs w:val="28"/>
        </w:rPr>
        <w:t xml:space="preserve"> nerespectarea calendarului bugetar la elaborarea, aprobarea și raportarea bugetului de stat;</w:t>
      </w:r>
      <w:r w:rsidRPr="001947BA">
        <w:rPr>
          <w:rFonts w:ascii="Times New Roman" w:hAnsi="Times New Roman" w:cs="Times New Roman"/>
          <w:b/>
          <w:iCs/>
          <w:sz w:val="28"/>
          <w:szCs w:val="28"/>
        </w:rPr>
        <w:t xml:space="preserve"> </w:t>
      </w:r>
      <w:r w:rsidRPr="00AA148D">
        <w:rPr>
          <w:rFonts w:ascii="Times New Roman" w:hAnsi="Times New Roman" w:cs="Times New Roman"/>
          <w:b/>
          <w:i/>
          <w:iCs/>
          <w:sz w:val="28"/>
          <w:szCs w:val="28"/>
        </w:rPr>
        <w:t>(ii)</w:t>
      </w:r>
      <w:r w:rsidRPr="001947BA">
        <w:rPr>
          <w:rFonts w:ascii="Times New Roman" w:hAnsi="Times New Roman" w:cs="Times New Roman"/>
          <w:iCs/>
          <w:sz w:val="28"/>
          <w:szCs w:val="28"/>
        </w:rPr>
        <w:t xml:space="preserve"> </w:t>
      </w:r>
      <w:r w:rsidRPr="001947BA">
        <w:rPr>
          <w:rFonts w:ascii="Times New Roman" w:hAnsi="Times New Roman"/>
          <w:sz w:val="28"/>
          <w:szCs w:val="28"/>
        </w:rPr>
        <w:t>ne</w:t>
      </w:r>
      <w:r w:rsidRPr="001947BA">
        <w:rPr>
          <w:rFonts w:ascii="Times New Roman" w:hAnsi="Times New Roman" w:cs="Times New Roman"/>
          <w:sz w:val="28"/>
          <w:szCs w:val="28"/>
        </w:rPr>
        <w:t xml:space="preserve">respectarea ordinii cronologice de achitare a documentelor executorii după data înregistrării setului de documente la Trezoreria de Stat și </w:t>
      </w:r>
      <w:r w:rsidR="00103FDA">
        <w:rPr>
          <w:rFonts w:ascii="Times New Roman" w:hAnsi="Times New Roman" w:cs="Times New Roman"/>
          <w:sz w:val="28"/>
          <w:szCs w:val="28"/>
        </w:rPr>
        <w:t>ce</w:t>
      </w:r>
      <w:r w:rsidRPr="001947BA">
        <w:rPr>
          <w:rFonts w:ascii="Times New Roman" w:hAnsi="Times New Roman" w:cs="Times New Roman"/>
          <w:sz w:val="28"/>
          <w:szCs w:val="28"/>
        </w:rPr>
        <w:t xml:space="preserve">a </w:t>
      </w:r>
      <w:r w:rsidR="00103FDA">
        <w:rPr>
          <w:rFonts w:ascii="Times New Roman" w:hAnsi="Times New Roman" w:cs="Times New Roman"/>
          <w:sz w:val="28"/>
          <w:szCs w:val="28"/>
        </w:rPr>
        <w:t xml:space="preserve">a </w:t>
      </w:r>
      <w:r w:rsidRPr="001947BA">
        <w:rPr>
          <w:rFonts w:ascii="Times New Roman" w:hAnsi="Times New Roman" w:cs="Times New Roman"/>
          <w:sz w:val="28"/>
          <w:szCs w:val="28"/>
        </w:rPr>
        <w:t>achitării în 144 de cazuri (7,9 mil.lei)</w:t>
      </w:r>
      <w:r w:rsidR="001C0E69">
        <w:rPr>
          <w:rFonts w:ascii="Times New Roman" w:hAnsi="Times New Roman" w:cs="Times New Roman"/>
          <w:sz w:val="28"/>
          <w:szCs w:val="28"/>
        </w:rPr>
        <w:t xml:space="preserve">, suma respectivă constituind circa 29,8% din totalul cheltuielilor executate la poziția </w:t>
      </w:r>
      <w:r w:rsidR="001C0E69" w:rsidRPr="008169DD">
        <w:rPr>
          <w:rFonts w:ascii="Times New Roman" w:hAnsi="Times New Roman" w:cs="Times New Roman"/>
          <w:sz w:val="28"/>
          <w:szCs w:val="28"/>
          <w:shd w:val="clear" w:color="auto" w:fill="FFFFFF" w:themeFill="background1"/>
        </w:rPr>
        <w:t>CBE 28136 „Plăți aferente documentelor executorii”</w:t>
      </w:r>
      <w:r w:rsidR="001C0E69">
        <w:rPr>
          <w:rFonts w:ascii="Times New Roman" w:hAnsi="Times New Roman" w:cs="Times New Roman"/>
          <w:sz w:val="28"/>
          <w:szCs w:val="28"/>
          <w:shd w:val="clear" w:color="auto" w:fill="FFFFFF" w:themeFill="background1"/>
        </w:rPr>
        <w:t>, depășind pragul de materialitate</w:t>
      </w:r>
      <w:r w:rsidRPr="001947BA">
        <w:rPr>
          <w:rFonts w:ascii="Times New Roman" w:hAnsi="Times New Roman" w:cs="Times New Roman"/>
          <w:sz w:val="28"/>
          <w:szCs w:val="28"/>
        </w:rPr>
        <w:t>;</w:t>
      </w:r>
      <w:r w:rsidRPr="001947BA">
        <w:rPr>
          <w:rFonts w:ascii="Times New Roman" w:hAnsi="Times New Roman" w:cs="Times New Roman"/>
          <w:b/>
          <w:iCs/>
          <w:sz w:val="28"/>
          <w:szCs w:val="28"/>
        </w:rPr>
        <w:t xml:space="preserve"> </w:t>
      </w:r>
      <w:r w:rsidRPr="00AA148D">
        <w:rPr>
          <w:rFonts w:ascii="Times New Roman" w:hAnsi="Times New Roman" w:cs="Times New Roman"/>
          <w:b/>
          <w:i/>
          <w:iCs/>
          <w:sz w:val="28"/>
          <w:szCs w:val="28"/>
        </w:rPr>
        <w:t>(iii)</w:t>
      </w:r>
      <w:r w:rsidRPr="001947BA">
        <w:rPr>
          <w:rFonts w:ascii="Times New Roman" w:hAnsi="Times New Roman" w:cs="Times New Roman"/>
          <w:iCs/>
          <w:sz w:val="28"/>
          <w:szCs w:val="28"/>
        </w:rPr>
        <w:t xml:space="preserve"> </w:t>
      </w:r>
      <w:r w:rsidRPr="001947BA">
        <w:rPr>
          <w:rFonts w:ascii="Times New Roman" w:hAnsi="Times New Roman"/>
          <w:sz w:val="28"/>
          <w:szCs w:val="28"/>
        </w:rPr>
        <w:t>repetitivitatea alocării mijloacelor din fondul de rezervă pentru aceleași cheltuieli (2,1 mil.lei) și lipsa</w:t>
      </w:r>
      <w:r w:rsidR="00AA7C13" w:rsidRPr="001947BA">
        <w:rPr>
          <w:rFonts w:ascii="Times New Roman" w:hAnsi="Times New Roman"/>
          <w:sz w:val="28"/>
          <w:szCs w:val="28"/>
        </w:rPr>
        <w:t>,</w:t>
      </w:r>
      <w:r w:rsidRPr="001947BA">
        <w:rPr>
          <w:rFonts w:ascii="Times New Roman" w:hAnsi="Times New Roman"/>
          <w:sz w:val="28"/>
          <w:szCs w:val="28"/>
        </w:rPr>
        <w:t xml:space="preserve"> în unele cazuri</w:t>
      </w:r>
      <w:r w:rsidR="00AA7C13" w:rsidRPr="001947BA">
        <w:rPr>
          <w:rFonts w:ascii="Times New Roman" w:hAnsi="Times New Roman"/>
          <w:sz w:val="28"/>
          <w:szCs w:val="28"/>
        </w:rPr>
        <w:t>,</w:t>
      </w:r>
      <w:r w:rsidRPr="001947BA">
        <w:rPr>
          <w:rFonts w:ascii="Times New Roman" w:hAnsi="Times New Roman"/>
          <w:sz w:val="28"/>
          <w:szCs w:val="28"/>
        </w:rPr>
        <w:t xml:space="preserve"> a avizelor din partea Ministerului Finanțelor (1,4 mil.lei);</w:t>
      </w:r>
      <w:r w:rsidRPr="001947BA">
        <w:rPr>
          <w:rFonts w:ascii="Times New Roman" w:hAnsi="Times New Roman" w:cs="Times New Roman"/>
          <w:b/>
          <w:iCs/>
          <w:sz w:val="28"/>
          <w:szCs w:val="28"/>
        </w:rPr>
        <w:t xml:space="preserve"> </w:t>
      </w:r>
      <w:r w:rsidRPr="00AA148D">
        <w:rPr>
          <w:rFonts w:ascii="Times New Roman" w:hAnsi="Times New Roman" w:cs="Times New Roman"/>
          <w:b/>
          <w:i/>
          <w:iCs/>
          <w:sz w:val="28"/>
          <w:szCs w:val="28"/>
        </w:rPr>
        <w:t>(iv)</w:t>
      </w:r>
      <w:r w:rsidRPr="001947BA">
        <w:rPr>
          <w:rFonts w:ascii="Times New Roman" w:hAnsi="Times New Roman" w:cs="Times New Roman"/>
          <w:iCs/>
          <w:sz w:val="28"/>
          <w:szCs w:val="28"/>
        </w:rPr>
        <w:t xml:space="preserve"> </w:t>
      </w:r>
      <w:r w:rsidRPr="001947BA">
        <w:rPr>
          <w:rFonts w:ascii="Times New Roman" w:hAnsi="Times New Roman" w:cs="Times New Roman"/>
          <w:sz w:val="28"/>
          <w:szCs w:val="28"/>
        </w:rPr>
        <w:t>creșterea creanțelor și datoriilor autorităților/instituțiilor bugetare la 31.12.2017, însumând 981,5 mil.lei</w:t>
      </w:r>
      <w:r w:rsidR="00064718" w:rsidRPr="001947BA">
        <w:rPr>
          <w:rFonts w:ascii="Times New Roman" w:hAnsi="Times New Roman" w:cs="Times New Roman"/>
          <w:sz w:val="28"/>
          <w:szCs w:val="28"/>
        </w:rPr>
        <w:t>,</w:t>
      </w:r>
      <w:r w:rsidRPr="001947BA">
        <w:rPr>
          <w:rFonts w:ascii="Times New Roman" w:hAnsi="Times New Roman" w:cs="Times New Roman"/>
          <w:sz w:val="28"/>
          <w:szCs w:val="28"/>
        </w:rPr>
        <w:t xml:space="preserve"> și, respectiv, 743,1 mil.lei;</w:t>
      </w:r>
      <w:r w:rsidRPr="001947BA">
        <w:rPr>
          <w:rFonts w:ascii="Times New Roman" w:hAnsi="Times New Roman" w:cs="Times New Roman"/>
          <w:b/>
          <w:iCs/>
          <w:sz w:val="28"/>
          <w:szCs w:val="28"/>
        </w:rPr>
        <w:t xml:space="preserve"> </w:t>
      </w:r>
      <w:r w:rsidRPr="00AA148D">
        <w:rPr>
          <w:rFonts w:ascii="Times New Roman" w:hAnsi="Times New Roman" w:cs="Times New Roman"/>
          <w:b/>
          <w:i/>
          <w:iCs/>
          <w:sz w:val="28"/>
          <w:szCs w:val="28"/>
        </w:rPr>
        <w:t>(v)</w:t>
      </w:r>
      <w:r w:rsidRPr="001947BA">
        <w:rPr>
          <w:rFonts w:ascii="Times New Roman" w:hAnsi="Times New Roman" w:cs="Times New Roman"/>
          <w:iCs/>
          <w:sz w:val="28"/>
          <w:szCs w:val="28"/>
        </w:rPr>
        <w:t xml:space="preserve"> </w:t>
      </w:r>
      <w:r w:rsidRPr="001947BA">
        <w:rPr>
          <w:rFonts w:ascii="Times New Roman" w:hAnsi="Times New Roman" w:cs="Times New Roman"/>
          <w:sz w:val="28"/>
          <w:szCs w:val="28"/>
        </w:rPr>
        <w:t xml:space="preserve">neasigurarea prezentării depline a informației consolidate aferente rapoartelor financiare ale APC și UAT, acestea neregăsindu-se în </w:t>
      </w:r>
      <w:r w:rsidR="00086B24">
        <w:rPr>
          <w:rFonts w:ascii="Times New Roman" w:hAnsi="Times New Roman" w:cs="Times New Roman"/>
          <w:sz w:val="28"/>
          <w:szCs w:val="28"/>
        </w:rPr>
        <w:t xml:space="preserve">formatul și componența </w:t>
      </w:r>
      <w:r w:rsidRPr="001947BA">
        <w:rPr>
          <w:rFonts w:ascii="Times New Roman" w:hAnsi="Times New Roman" w:cs="Times New Roman"/>
          <w:sz w:val="28"/>
          <w:szCs w:val="28"/>
        </w:rPr>
        <w:t>Raportul</w:t>
      </w:r>
      <w:r w:rsidR="00086B24">
        <w:rPr>
          <w:rFonts w:ascii="Times New Roman" w:hAnsi="Times New Roman" w:cs="Times New Roman"/>
          <w:sz w:val="28"/>
          <w:szCs w:val="28"/>
        </w:rPr>
        <w:t>ui Guvernului</w:t>
      </w:r>
      <w:r w:rsidRPr="001947BA">
        <w:rPr>
          <w:rFonts w:ascii="Times New Roman" w:hAnsi="Times New Roman" w:cs="Times New Roman"/>
          <w:sz w:val="28"/>
          <w:szCs w:val="28"/>
        </w:rPr>
        <w:t xml:space="preserve"> privind executarea bugetului de stat;</w:t>
      </w:r>
      <w:r w:rsidRPr="001947BA">
        <w:rPr>
          <w:rFonts w:ascii="Times New Roman" w:hAnsi="Times New Roman" w:cs="Times New Roman"/>
          <w:b/>
          <w:iCs/>
          <w:sz w:val="28"/>
          <w:szCs w:val="28"/>
        </w:rPr>
        <w:t xml:space="preserve"> </w:t>
      </w:r>
      <w:r w:rsidRPr="00AA148D">
        <w:rPr>
          <w:rFonts w:ascii="Times New Roman" w:hAnsi="Times New Roman" w:cs="Times New Roman"/>
          <w:b/>
          <w:i/>
          <w:iCs/>
          <w:sz w:val="28"/>
          <w:szCs w:val="28"/>
        </w:rPr>
        <w:t>(vi)</w:t>
      </w:r>
      <w:r w:rsidRPr="001947BA">
        <w:rPr>
          <w:rFonts w:ascii="Times New Roman" w:hAnsi="Times New Roman" w:cs="Times New Roman"/>
          <w:iCs/>
          <w:sz w:val="28"/>
          <w:szCs w:val="28"/>
        </w:rPr>
        <w:t xml:space="preserve"> </w:t>
      </w:r>
      <w:r w:rsidRPr="001947BA">
        <w:rPr>
          <w:rFonts w:ascii="Times New Roman" w:hAnsi="Times New Roman" w:cs="Times New Roman"/>
          <w:sz w:val="28"/>
          <w:szCs w:val="28"/>
        </w:rPr>
        <w:t xml:space="preserve">nerespectarea prevederilor regulamentare privind procesul de includere în buget a proiectelor pentru investiții capitale, respectând principiile de prioritizare și de conformitate ale acestora cu documentele de planificare strategică națională și sectorială etc. </w:t>
      </w:r>
    </w:p>
    <w:p w:rsidR="00A040C7" w:rsidRDefault="00A040C7" w:rsidP="008A3DFD">
      <w:pPr>
        <w:spacing w:after="0" w:line="276" w:lineRule="auto"/>
        <w:ind w:right="49"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De asemenea, auditul atestă că </w:t>
      </w:r>
      <w:r w:rsidRPr="00BA74A2">
        <w:rPr>
          <w:rFonts w:ascii="Times New Roman" w:hAnsi="Times New Roman" w:cs="Times New Roman"/>
          <w:sz w:val="28"/>
          <w:szCs w:val="28"/>
        </w:rPr>
        <w:t>procesul de returnare a datoriei urmare</w:t>
      </w:r>
      <w:r w:rsidRPr="00065279">
        <w:rPr>
          <w:rFonts w:ascii="Times New Roman" w:hAnsi="Times New Roman" w:cs="Times New Roman"/>
          <w:sz w:val="28"/>
          <w:szCs w:val="28"/>
        </w:rPr>
        <w:t xml:space="preserve"> </w:t>
      </w:r>
      <w:r>
        <w:rPr>
          <w:rFonts w:ascii="Times New Roman" w:hAnsi="Times New Roman" w:cs="Times New Roman"/>
          <w:sz w:val="28"/>
          <w:szCs w:val="28"/>
        </w:rPr>
        <w:t xml:space="preserve">a </w:t>
      </w:r>
      <w:r w:rsidRPr="00065279">
        <w:rPr>
          <w:rFonts w:ascii="Times New Roman" w:hAnsi="Times New Roman" w:cs="Times New Roman"/>
          <w:sz w:val="28"/>
          <w:szCs w:val="28"/>
        </w:rPr>
        <w:t xml:space="preserve">asumării obligațiilor de plată derivate din garanțiile de stat acordate băncilor supuse lichidării înregistrează sume nesemnificative (209,9 mil.lei), </w:t>
      </w:r>
      <w:r>
        <w:rPr>
          <w:rFonts w:ascii="Times New Roman" w:hAnsi="Times New Roman" w:cs="Times New Roman"/>
          <w:sz w:val="28"/>
          <w:szCs w:val="28"/>
        </w:rPr>
        <w:t xml:space="preserve">iar </w:t>
      </w:r>
      <w:r w:rsidRPr="00065279">
        <w:rPr>
          <w:rFonts w:ascii="Times New Roman" w:hAnsi="Times New Roman" w:cs="Times New Roman"/>
          <w:sz w:val="28"/>
          <w:szCs w:val="28"/>
        </w:rPr>
        <w:t xml:space="preserve">datoria rămasă de 13050,6 mil.lei </w:t>
      </w:r>
      <w:r>
        <w:rPr>
          <w:rFonts w:ascii="Times New Roman" w:hAnsi="Times New Roman" w:cs="Times New Roman"/>
          <w:sz w:val="28"/>
          <w:szCs w:val="28"/>
        </w:rPr>
        <w:t>poate</w:t>
      </w:r>
      <w:r w:rsidRPr="00065279">
        <w:rPr>
          <w:rFonts w:ascii="Times New Roman" w:hAnsi="Times New Roman" w:cs="Times New Roman"/>
          <w:sz w:val="28"/>
          <w:szCs w:val="28"/>
        </w:rPr>
        <w:t xml:space="preserve"> afecta grav bugetele ulterioare.</w:t>
      </w:r>
    </w:p>
    <w:p w:rsidR="00A040C7" w:rsidRPr="00C06B48" w:rsidRDefault="00A040C7" w:rsidP="008A3DFD">
      <w:pPr>
        <w:spacing w:after="0" w:line="276" w:lineRule="auto"/>
        <w:ind w:right="49" w:firstLine="709"/>
        <w:jc w:val="both"/>
        <w:rPr>
          <w:rFonts w:ascii="Times New Roman" w:hAnsi="Times New Roman" w:cs="Times New Roman"/>
          <w:sz w:val="28"/>
          <w:szCs w:val="28"/>
        </w:rPr>
      </w:pPr>
      <w:r w:rsidRPr="00C06B48">
        <w:rPr>
          <w:rFonts w:ascii="Times New Roman" w:hAnsi="Times New Roman" w:cs="Times New Roman"/>
          <w:sz w:val="28"/>
          <w:szCs w:val="28"/>
        </w:rPr>
        <w:t>O problematică majoră pentru bugetul de stat este creșterea continuă și ascendentă a dependenței financiare a bugetelor de alt nivel față de bugetul de stat, în special</w:t>
      </w:r>
      <w:r>
        <w:rPr>
          <w:rFonts w:ascii="Times New Roman" w:hAnsi="Times New Roman" w:cs="Times New Roman"/>
          <w:sz w:val="28"/>
          <w:szCs w:val="28"/>
        </w:rPr>
        <w:t>,</w:t>
      </w:r>
      <w:r w:rsidRPr="00C06B48">
        <w:rPr>
          <w:rFonts w:ascii="Times New Roman" w:hAnsi="Times New Roman" w:cs="Times New Roman"/>
          <w:sz w:val="28"/>
          <w:szCs w:val="28"/>
        </w:rPr>
        <w:t xml:space="preserve"> a</w:t>
      </w:r>
      <w:r w:rsidR="00064718">
        <w:rPr>
          <w:rFonts w:ascii="Times New Roman" w:hAnsi="Times New Roman" w:cs="Times New Roman"/>
          <w:sz w:val="28"/>
          <w:szCs w:val="28"/>
        </w:rPr>
        <w:t>le</w:t>
      </w:r>
      <w:r w:rsidRPr="00C06B48">
        <w:rPr>
          <w:rFonts w:ascii="Times New Roman" w:hAnsi="Times New Roman" w:cs="Times New Roman"/>
          <w:sz w:val="28"/>
          <w:szCs w:val="28"/>
        </w:rPr>
        <w:t xml:space="preserve"> administrațiilor APL, transferurile către acestea de la bugetul de stat depășind de circa 2,</w:t>
      </w:r>
      <w:r>
        <w:rPr>
          <w:rFonts w:ascii="Times New Roman" w:hAnsi="Times New Roman" w:cs="Times New Roman"/>
          <w:sz w:val="28"/>
          <w:szCs w:val="28"/>
        </w:rPr>
        <w:t>3</w:t>
      </w:r>
      <w:r w:rsidRPr="00C06B48">
        <w:rPr>
          <w:rFonts w:ascii="Times New Roman" w:hAnsi="Times New Roman" w:cs="Times New Roman"/>
          <w:sz w:val="28"/>
          <w:szCs w:val="28"/>
        </w:rPr>
        <w:t xml:space="preserve"> ori veniturile proprii.</w:t>
      </w:r>
      <w:r>
        <w:rPr>
          <w:rFonts w:ascii="Times New Roman" w:hAnsi="Times New Roman" w:cs="Times New Roman"/>
          <w:sz w:val="28"/>
          <w:szCs w:val="28"/>
        </w:rPr>
        <w:t xml:space="preserve"> </w:t>
      </w:r>
    </w:p>
    <w:p w:rsidR="005327B9" w:rsidRDefault="00A040C7" w:rsidP="008A3DFD">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Concomitent, se menționează că</w:t>
      </w:r>
      <w:r w:rsidRPr="00065279">
        <w:rPr>
          <w:rFonts w:ascii="Times New Roman" w:hAnsi="Times New Roman" w:cs="Times New Roman"/>
          <w:sz w:val="28"/>
          <w:szCs w:val="28"/>
        </w:rPr>
        <w:t xml:space="preserve"> procesul de întocmire a Raportului Guvernului privind executarea bugetului de stat pen</w:t>
      </w:r>
      <w:r w:rsidR="00086B24">
        <w:rPr>
          <w:rFonts w:ascii="Times New Roman" w:hAnsi="Times New Roman" w:cs="Times New Roman"/>
          <w:sz w:val="28"/>
          <w:szCs w:val="28"/>
        </w:rPr>
        <w:t>tru anul 2017 a fost influențat</w:t>
      </w:r>
      <w:r w:rsidRPr="00065279">
        <w:rPr>
          <w:rFonts w:ascii="Times New Roman" w:hAnsi="Times New Roman" w:cs="Times New Roman"/>
          <w:sz w:val="28"/>
          <w:szCs w:val="28"/>
        </w:rPr>
        <w:t xml:space="preserve"> de reforma </w:t>
      </w:r>
      <w:r>
        <w:rPr>
          <w:rFonts w:ascii="Times New Roman" w:hAnsi="Times New Roman" w:cs="Times New Roman"/>
          <w:sz w:val="28"/>
          <w:szCs w:val="28"/>
        </w:rPr>
        <w:t>APC</w:t>
      </w:r>
      <w:r w:rsidRPr="00065279">
        <w:rPr>
          <w:rFonts w:ascii="Times New Roman" w:hAnsi="Times New Roman" w:cs="Times New Roman"/>
          <w:sz w:val="28"/>
          <w:szCs w:val="28"/>
        </w:rPr>
        <w:t>. În consecinț</w:t>
      </w:r>
      <w:r>
        <w:rPr>
          <w:rFonts w:ascii="Times New Roman" w:hAnsi="Times New Roman" w:cs="Times New Roman"/>
          <w:sz w:val="28"/>
          <w:szCs w:val="28"/>
        </w:rPr>
        <w:t>ă</w:t>
      </w:r>
      <w:r w:rsidRPr="00065279">
        <w:rPr>
          <w:rFonts w:ascii="Times New Roman" w:hAnsi="Times New Roman" w:cs="Times New Roman"/>
          <w:sz w:val="28"/>
          <w:szCs w:val="28"/>
        </w:rPr>
        <w:t xml:space="preserve">, a fost prelungit termenul de prezentare a rapoartelor pentru 10 </w:t>
      </w:r>
      <w:r>
        <w:rPr>
          <w:rFonts w:ascii="Times New Roman" w:hAnsi="Times New Roman" w:cs="Times New Roman"/>
          <w:sz w:val="28"/>
          <w:szCs w:val="28"/>
        </w:rPr>
        <w:t>APC</w:t>
      </w:r>
      <w:r w:rsidRPr="00065279">
        <w:rPr>
          <w:rFonts w:ascii="Times New Roman" w:hAnsi="Times New Roman" w:cs="Times New Roman"/>
          <w:sz w:val="28"/>
          <w:szCs w:val="28"/>
        </w:rPr>
        <w:t>, iar Ministerul Educației</w:t>
      </w:r>
      <w:r>
        <w:rPr>
          <w:rFonts w:ascii="Times New Roman" w:hAnsi="Times New Roman" w:cs="Times New Roman"/>
          <w:sz w:val="28"/>
          <w:szCs w:val="28"/>
        </w:rPr>
        <w:t>,</w:t>
      </w:r>
      <w:r w:rsidR="00A42769">
        <w:rPr>
          <w:rFonts w:ascii="Times New Roman" w:hAnsi="Times New Roman" w:cs="Times New Roman"/>
          <w:sz w:val="28"/>
          <w:szCs w:val="28"/>
        </w:rPr>
        <w:t xml:space="preserve"> Culturii și Cercetării </w:t>
      </w:r>
      <w:r w:rsidRPr="00065279">
        <w:rPr>
          <w:rFonts w:ascii="Times New Roman" w:hAnsi="Times New Roman" w:cs="Times New Roman"/>
          <w:sz w:val="28"/>
          <w:szCs w:val="28"/>
        </w:rPr>
        <w:t xml:space="preserve">a prezentat </w:t>
      </w:r>
      <w:r w:rsidR="00A42769">
        <w:rPr>
          <w:rFonts w:ascii="Times New Roman" w:hAnsi="Times New Roman"/>
          <w:sz w:val="28"/>
          <w:szCs w:val="28"/>
        </w:rPr>
        <w:t xml:space="preserve">Ministerului Finanțelor </w:t>
      </w:r>
      <w:r w:rsidR="00A42769">
        <w:rPr>
          <w:rFonts w:ascii="Times New Roman" w:hAnsi="Times New Roman" w:cs="Times New Roman"/>
          <w:sz w:val="28"/>
          <w:szCs w:val="28"/>
        </w:rPr>
        <w:t>Raportul financiar pentru anul 2017</w:t>
      </w:r>
      <w:r w:rsidR="00A42769" w:rsidRPr="00E66B17">
        <w:rPr>
          <w:rFonts w:ascii="Times New Roman" w:hAnsi="Times New Roman"/>
          <w:sz w:val="28"/>
          <w:szCs w:val="28"/>
        </w:rPr>
        <w:t xml:space="preserve"> </w:t>
      </w:r>
      <w:r w:rsidR="00A42769">
        <w:rPr>
          <w:rFonts w:ascii="Times New Roman" w:hAnsi="Times New Roman"/>
          <w:sz w:val="28"/>
          <w:szCs w:val="28"/>
        </w:rPr>
        <w:t>după finalizarea auditului (24.05.2018)</w:t>
      </w:r>
      <w:r w:rsidRPr="00065279">
        <w:rPr>
          <w:rFonts w:ascii="Times New Roman" w:hAnsi="Times New Roman" w:cs="Times New Roman"/>
          <w:sz w:val="28"/>
          <w:szCs w:val="28"/>
        </w:rPr>
        <w:t>.</w:t>
      </w:r>
    </w:p>
    <w:p w:rsidR="001D3D2F" w:rsidRDefault="001D3D2F" w:rsidP="001D3D2F">
      <w:pPr>
        <w:shd w:val="clear" w:color="auto" w:fill="FFFFFF" w:themeFill="background1"/>
        <w:tabs>
          <w:tab w:val="left" w:pos="284"/>
        </w:tabs>
        <w:spacing w:after="120"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În același context, auditul menționează că M</w:t>
      </w:r>
      <w:r w:rsidR="00103FDA">
        <w:rPr>
          <w:rFonts w:ascii="Times New Roman" w:hAnsi="Times New Roman" w:cs="Times New Roman"/>
          <w:sz w:val="28"/>
          <w:szCs w:val="28"/>
        </w:rPr>
        <w:t xml:space="preserve">inisterul </w:t>
      </w:r>
      <w:r>
        <w:rPr>
          <w:rFonts w:ascii="Times New Roman" w:hAnsi="Times New Roman" w:cs="Times New Roman"/>
          <w:sz w:val="28"/>
          <w:szCs w:val="28"/>
        </w:rPr>
        <w:t>F</w:t>
      </w:r>
      <w:r w:rsidR="00103FDA">
        <w:rPr>
          <w:rFonts w:ascii="Times New Roman" w:hAnsi="Times New Roman" w:cs="Times New Roman"/>
          <w:sz w:val="28"/>
          <w:szCs w:val="28"/>
        </w:rPr>
        <w:t>inanțelor</w:t>
      </w:r>
      <w:r>
        <w:rPr>
          <w:rFonts w:ascii="Times New Roman" w:hAnsi="Times New Roman" w:cs="Times New Roman"/>
          <w:sz w:val="28"/>
          <w:szCs w:val="28"/>
        </w:rPr>
        <w:t xml:space="preserve"> urma să prezinte Guvernului Raportul anual privind executarea bugetului de stat până la 30.04.2018, </w:t>
      </w:r>
      <w:r w:rsidR="00103FDA">
        <w:rPr>
          <w:rFonts w:ascii="Times New Roman" w:hAnsi="Times New Roman" w:cs="Times New Roman"/>
          <w:sz w:val="28"/>
          <w:szCs w:val="28"/>
        </w:rPr>
        <w:t>efectiv</w:t>
      </w:r>
      <w:r>
        <w:rPr>
          <w:rFonts w:ascii="Times New Roman" w:hAnsi="Times New Roman" w:cs="Times New Roman"/>
          <w:sz w:val="28"/>
          <w:szCs w:val="28"/>
        </w:rPr>
        <w:t xml:space="preserve"> acesta fiind prezentat la data de 22.05.2018. </w:t>
      </w:r>
    </w:p>
    <w:p w:rsidR="001D3D2F" w:rsidRDefault="001D3D2F" w:rsidP="008A3DFD">
      <w:pPr>
        <w:spacing w:after="0" w:line="276" w:lineRule="auto"/>
        <w:ind w:firstLine="709"/>
        <w:jc w:val="both"/>
        <w:rPr>
          <w:rFonts w:ascii="Times New Roman" w:hAnsi="Times New Roman" w:cs="Times New Roman"/>
          <w:sz w:val="28"/>
          <w:szCs w:val="28"/>
        </w:rPr>
      </w:pPr>
    </w:p>
    <w:p w:rsidR="00754663" w:rsidRPr="00AD2CCA" w:rsidRDefault="008F47D4" w:rsidP="008A3DFD">
      <w:pPr>
        <w:pStyle w:val="a5"/>
        <w:numPr>
          <w:ilvl w:val="0"/>
          <w:numId w:val="1"/>
        </w:numPr>
        <w:spacing w:after="0" w:line="276" w:lineRule="auto"/>
        <w:ind w:left="0" w:firstLine="0"/>
        <w:jc w:val="center"/>
        <w:outlineLvl w:val="0"/>
        <w:rPr>
          <w:rFonts w:ascii="Times New Roman" w:hAnsi="Times New Roman" w:cs="Times New Roman"/>
          <w:b/>
          <w:sz w:val="32"/>
          <w:szCs w:val="32"/>
        </w:rPr>
      </w:pPr>
      <w:bookmarkStart w:id="4" w:name="_Toc515518979"/>
      <w:r w:rsidRPr="00B45AF1">
        <w:rPr>
          <w:rFonts w:ascii="Times New Roman" w:hAnsi="Times New Roman" w:cs="Times New Roman"/>
          <w:b/>
          <w:sz w:val="32"/>
          <w:szCs w:val="32"/>
        </w:rPr>
        <w:t>PREZENT</w:t>
      </w:r>
      <w:r w:rsidRPr="00AD2CCA">
        <w:rPr>
          <w:rFonts w:ascii="Times New Roman" w:hAnsi="Times New Roman" w:cs="Times New Roman"/>
          <w:b/>
          <w:sz w:val="32"/>
          <w:szCs w:val="32"/>
        </w:rPr>
        <w:t>AREA DOMENIULUI AUDITAT</w:t>
      </w:r>
      <w:bookmarkEnd w:id="4"/>
    </w:p>
    <w:p w:rsidR="00383DBB" w:rsidRPr="009E7EAD" w:rsidRDefault="00383DBB" w:rsidP="008A3DFD">
      <w:pPr>
        <w:pStyle w:val="ad"/>
        <w:spacing w:line="276" w:lineRule="auto"/>
        <w:ind w:firstLine="709"/>
        <w:rPr>
          <w:sz w:val="28"/>
          <w:szCs w:val="28"/>
          <w:lang w:val="ro-RO"/>
        </w:rPr>
      </w:pPr>
      <w:r w:rsidRPr="009E7EAD">
        <w:rPr>
          <w:sz w:val="28"/>
          <w:szCs w:val="28"/>
          <w:lang w:val="ro-RO"/>
        </w:rPr>
        <w:t xml:space="preserve">Ministerul Finanțelor este autoritatea publică centrală </w:t>
      </w:r>
      <w:r w:rsidR="007819C7" w:rsidRPr="009E7EAD">
        <w:rPr>
          <w:sz w:val="28"/>
          <w:szCs w:val="28"/>
          <w:lang w:val="ro-RO"/>
        </w:rPr>
        <w:t xml:space="preserve">autorizată cu misiunea de realizare a managementului </w:t>
      </w:r>
      <w:r w:rsidRPr="009E7EAD">
        <w:rPr>
          <w:sz w:val="28"/>
          <w:szCs w:val="28"/>
          <w:lang w:val="ro-RO"/>
        </w:rPr>
        <w:t>în domeniul finanțelor publice</w:t>
      </w:r>
      <w:r w:rsidR="000D5BDF" w:rsidRPr="009E7EAD">
        <w:rPr>
          <w:sz w:val="28"/>
          <w:szCs w:val="28"/>
          <w:lang w:val="ro-RO"/>
        </w:rPr>
        <w:t>,</w:t>
      </w:r>
      <w:r w:rsidRPr="009E7EAD">
        <w:rPr>
          <w:sz w:val="28"/>
          <w:szCs w:val="28"/>
          <w:lang w:val="ro-RO"/>
        </w:rPr>
        <w:t xml:space="preserve"> cu competențe</w:t>
      </w:r>
      <w:r w:rsidR="000D5BDF" w:rsidRPr="009E7EAD">
        <w:rPr>
          <w:sz w:val="28"/>
          <w:szCs w:val="28"/>
          <w:lang w:val="ro-RO"/>
        </w:rPr>
        <w:t>le</w:t>
      </w:r>
      <w:r w:rsidRPr="009E7EAD">
        <w:rPr>
          <w:sz w:val="28"/>
          <w:szCs w:val="28"/>
          <w:lang w:val="ro-RO"/>
        </w:rPr>
        <w:t xml:space="preserve"> și responsabilități</w:t>
      </w:r>
      <w:r w:rsidR="000D5BDF" w:rsidRPr="009E7EAD">
        <w:rPr>
          <w:sz w:val="28"/>
          <w:szCs w:val="28"/>
          <w:lang w:val="ro-RO"/>
        </w:rPr>
        <w:t>le</w:t>
      </w:r>
      <w:r w:rsidR="007819C7" w:rsidRPr="009E7EAD">
        <w:rPr>
          <w:sz w:val="28"/>
          <w:szCs w:val="28"/>
          <w:lang w:val="ro-RO"/>
        </w:rPr>
        <w:t xml:space="preserve"> respective</w:t>
      </w:r>
      <w:r w:rsidRPr="009E7EAD">
        <w:rPr>
          <w:sz w:val="28"/>
          <w:szCs w:val="28"/>
          <w:vertAlign w:val="superscript"/>
          <w:lang w:val="ro-RO"/>
        </w:rPr>
        <w:footnoteReference w:id="3"/>
      </w:r>
      <w:r w:rsidRPr="009E7EAD">
        <w:rPr>
          <w:sz w:val="28"/>
          <w:szCs w:val="28"/>
          <w:lang w:val="ro-RO"/>
        </w:rPr>
        <w:t>.</w:t>
      </w:r>
    </w:p>
    <w:p w:rsidR="007819C7" w:rsidRDefault="007819C7" w:rsidP="008A3DFD">
      <w:pPr>
        <w:spacing w:after="0" w:line="276" w:lineRule="auto"/>
        <w:ind w:firstLine="709"/>
        <w:jc w:val="both"/>
        <w:rPr>
          <w:rFonts w:ascii="Times New Roman" w:eastAsia="Times New Roman" w:hAnsi="Times New Roman" w:cs="Times New Roman"/>
          <w:sz w:val="28"/>
          <w:szCs w:val="28"/>
          <w:lang w:eastAsia="ru-RU"/>
        </w:rPr>
      </w:pPr>
      <w:r w:rsidRPr="00B81BF3">
        <w:rPr>
          <w:rFonts w:ascii="Times New Roman" w:eastAsia="Times New Roman" w:hAnsi="Times New Roman" w:cs="Times New Roman"/>
          <w:sz w:val="28"/>
          <w:szCs w:val="28"/>
          <w:lang w:eastAsia="ru-RU"/>
        </w:rPr>
        <w:t>Potrivit prevederilor legale</w:t>
      </w:r>
      <w:r w:rsidRPr="00B81BF3">
        <w:rPr>
          <w:rFonts w:ascii="Times New Roman" w:eastAsia="Times New Roman" w:hAnsi="Times New Roman" w:cs="Times New Roman"/>
          <w:sz w:val="28"/>
          <w:szCs w:val="28"/>
          <w:vertAlign w:val="superscript"/>
          <w:lang w:eastAsia="ru-RU"/>
        </w:rPr>
        <w:footnoteReference w:id="4"/>
      </w:r>
      <w:r w:rsidRPr="00B81BF3">
        <w:rPr>
          <w:rFonts w:ascii="Times New Roman" w:eastAsia="Times New Roman" w:hAnsi="Times New Roman" w:cs="Times New Roman"/>
          <w:sz w:val="28"/>
          <w:szCs w:val="28"/>
          <w:lang w:eastAsia="ru-RU"/>
        </w:rPr>
        <w:t xml:space="preserve">, </w:t>
      </w:r>
      <w:r w:rsidR="002F1B56">
        <w:rPr>
          <w:rFonts w:ascii="Times New Roman" w:eastAsia="Times New Roman" w:hAnsi="Times New Roman" w:cs="Times New Roman"/>
          <w:sz w:val="28"/>
          <w:szCs w:val="28"/>
          <w:lang w:eastAsia="ru-RU"/>
        </w:rPr>
        <w:t>MF</w:t>
      </w:r>
      <w:r w:rsidRPr="00B81BF3">
        <w:rPr>
          <w:rFonts w:ascii="Times New Roman" w:eastAsia="Times New Roman" w:hAnsi="Times New Roman" w:cs="Times New Roman"/>
          <w:sz w:val="28"/>
          <w:szCs w:val="28"/>
          <w:lang w:eastAsia="ru-RU"/>
        </w:rPr>
        <w:t xml:space="preserve"> întocmește și prezintă Guvernului, spre examinare și aprobare, Raportul anual privind executarea bugetului de stat pe anul bugetar încheiat, iar Guvernul îl prezintă spre aprobare Parlamentului</w:t>
      </w:r>
      <w:r>
        <w:rPr>
          <w:rFonts w:ascii="Times New Roman" w:eastAsia="Times New Roman" w:hAnsi="Times New Roman" w:cs="Times New Roman"/>
          <w:sz w:val="28"/>
          <w:szCs w:val="28"/>
          <w:lang w:eastAsia="ru-RU"/>
        </w:rPr>
        <w:t xml:space="preserve"> până la 01.06.2018.</w:t>
      </w:r>
    </w:p>
    <w:p w:rsidR="00383DBB" w:rsidRPr="00383DBB" w:rsidRDefault="00383DBB" w:rsidP="008A3DFD">
      <w:pPr>
        <w:spacing w:after="0" w:line="276" w:lineRule="auto"/>
        <w:ind w:firstLine="709"/>
        <w:jc w:val="both"/>
        <w:rPr>
          <w:rFonts w:ascii="Times New Roman" w:hAnsi="Times New Roman" w:cs="Times New Roman"/>
          <w:sz w:val="28"/>
          <w:szCs w:val="28"/>
        </w:rPr>
      </w:pPr>
      <w:r w:rsidRPr="00383DBB">
        <w:rPr>
          <w:rFonts w:ascii="Times New Roman" w:eastAsia="Times New Roman" w:hAnsi="Times New Roman" w:cs="Times New Roman"/>
          <w:sz w:val="28"/>
          <w:szCs w:val="28"/>
          <w:lang w:eastAsia="ru-RU"/>
        </w:rPr>
        <w:t xml:space="preserve">Trezoreria de Stat este </w:t>
      </w:r>
      <w:r w:rsidR="00583B2A">
        <w:rPr>
          <w:rFonts w:ascii="Times New Roman" w:eastAsia="Times New Roman" w:hAnsi="Times New Roman" w:cs="Times New Roman"/>
          <w:sz w:val="28"/>
          <w:szCs w:val="28"/>
          <w:lang w:eastAsia="ru-RU"/>
        </w:rPr>
        <w:t>subdiviziunea</w:t>
      </w:r>
      <w:r w:rsidR="00583B2A" w:rsidRPr="00383DBB">
        <w:rPr>
          <w:rFonts w:ascii="Times New Roman" w:eastAsia="Times New Roman" w:hAnsi="Times New Roman" w:cs="Times New Roman"/>
          <w:sz w:val="28"/>
          <w:szCs w:val="28"/>
          <w:lang w:eastAsia="ru-RU"/>
        </w:rPr>
        <w:t xml:space="preserve"> </w:t>
      </w:r>
      <w:r w:rsidRPr="00383DBB">
        <w:rPr>
          <w:rFonts w:ascii="Times New Roman" w:eastAsia="Times New Roman" w:hAnsi="Times New Roman" w:cs="Times New Roman"/>
          <w:sz w:val="28"/>
          <w:szCs w:val="28"/>
          <w:lang w:eastAsia="ru-RU"/>
        </w:rPr>
        <w:t>prin intermediul căr</w:t>
      </w:r>
      <w:r w:rsidR="00064718">
        <w:rPr>
          <w:rFonts w:ascii="Times New Roman" w:eastAsia="Times New Roman" w:hAnsi="Times New Roman" w:cs="Times New Roman"/>
          <w:sz w:val="28"/>
          <w:szCs w:val="28"/>
          <w:lang w:eastAsia="ru-RU"/>
        </w:rPr>
        <w:t>e</w:t>
      </w:r>
      <w:r w:rsidRPr="00383DBB">
        <w:rPr>
          <w:rFonts w:ascii="Times New Roman" w:eastAsia="Times New Roman" w:hAnsi="Times New Roman" w:cs="Times New Roman"/>
          <w:sz w:val="28"/>
          <w:szCs w:val="28"/>
          <w:lang w:eastAsia="ru-RU"/>
        </w:rPr>
        <w:t>ia se gestionează procesul de execuție bugetară, fiind responsabil</w:t>
      </w:r>
      <w:r w:rsidR="00583B2A">
        <w:rPr>
          <w:rFonts w:ascii="Times New Roman" w:eastAsia="Times New Roman" w:hAnsi="Times New Roman" w:cs="Times New Roman"/>
          <w:sz w:val="28"/>
          <w:szCs w:val="28"/>
          <w:lang w:eastAsia="ru-RU"/>
        </w:rPr>
        <w:t>ă</w:t>
      </w:r>
      <w:r w:rsidRPr="00383DBB">
        <w:rPr>
          <w:rFonts w:ascii="Times New Roman" w:eastAsia="Times New Roman" w:hAnsi="Times New Roman" w:cs="Times New Roman"/>
          <w:sz w:val="28"/>
          <w:szCs w:val="28"/>
          <w:lang w:eastAsia="ru-RU"/>
        </w:rPr>
        <w:t xml:space="preserve"> de ținerea evidenței, administrarea Contului Unic Trezorerial, </w:t>
      </w:r>
      <w:r w:rsidR="00583B2A">
        <w:rPr>
          <w:rFonts w:ascii="Times New Roman" w:eastAsia="Times New Roman" w:hAnsi="Times New Roman" w:cs="Times New Roman"/>
          <w:sz w:val="28"/>
          <w:szCs w:val="28"/>
          <w:lang w:eastAsia="ru-RU"/>
        </w:rPr>
        <w:t>asigurarea controlului efectuării plăților din contul bugetului de stat</w:t>
      </w:r>
      <w:r w:rsidRPr="00383DBB">
        <w:rPr>
          <w:rFonts w:ascii="Times New Roman" w:eastAsia="Times New Roman" w:hAnsi="Times New Roman" w:cs="Times New Roman"/>
          <w:sz w:val="28"/>
          <w:szCs w:val="28"/>
          <w:lang w:eastAsia="ru-RU"/>
        </w:rPr>
        <w:t>, prognozarea și gestionarea mijloacelor bănești (managementul lichidităților), raportarea și reglementarea metodologiei contabile.</w:t>
      </w:r>
    </w:p>
    <w:p w:rsidR="00CE4B64" w:rsidRDefault="00CE4B64" w:rsidP="008A3DFD">
      <w:pPr>
        <w:spacing w:after="0" w:line="276" w:lineRule="auto"/>
        <w:ind w:firstLine="709"/>
        <w:jc w:val="both"/>
        <w:rPr>
          <w:rFonts w:ascii="Times New Roman" w:eastAsia="Times New Roman" w:hAnsi="Times New Roman" w:cs="Times New Roman"/>
          <w:color w:val="000000"/>
          <w:sz w:val="28"/>
          <w:szCs w:val="28"/>
        </w:rPr>
      </w:pPr>
      <w:r w:rsidRPr="00F92648">
        <w:rPr>
          <w:rFonts w:ascii="Times New Roman" w:eastAsia="Times New Roman" w:hAnsi="Times New Roman" w:cs="Times New Roman"/>
          <w:color w:val="000000"/>
          <w:sz w:val="28"/>
          <w:szCs w:val="28"/>
        </w:rPr>
        <w:t xml:space="preserve">În contextul reformei APC </w:t>
      </w:r>
      <w:r w:rsidR="002F1B56">
        <w:rPr>
          <w:rFonts w:ascii="Times New Roman" w:eastAsia="Times New Roman" w:hAnsi="Times New Roman" w:cs="Times New Roman"/>
          <w:color w:val="000000"/>
          <w:sz w:val="28"/>
          <w:szCs w:val="28"/>
        </w:rPr>
        <w:t>din</w:t>
      </w:r>
      <w:r w:rsidRPr="00F92648">
        <w:rPr>
          <w:rFonts w:ascii="Times New Roman" w:eastAsia="Times New Roman" w:hAnsi="Times New Roman" w:cs="Times New Roman"/>
          <w:color w:val="000000"/>
          <w:sz w:val="28"/>
          <w:szCs w:val="28"/>
        </w:rPr>
        <w:t xml:space="preserve"> anul 2017</w:t>
      </w:r>
      <w:r>
        <w:rPr>
          <w:rFonts w:ascii="Times New Roman" w:eastAsia="Times New Roman" w:hAnsi="Times New Roman" w:cs="Times New Roman"/>
          <w:color w:val="000000"/>
          <w:sz w:val="28"/>
          <w:szCs w:val="28"/>
        </w:rPr>
        <w:t>,</w:t>
      </w:r>
      <w:r w:rsidRPr="00F92648">
        <w:rPr>
          <w:rFonts w:ascii="Times New Roman" w:eastAsia="Times New Roman" w:hAnsi="Times New Roman" w:cs="Times New Roman"/>
          <w:color w:val="000000"/>
          <w:sz w:val="28"/>
          <w:szCs w:val="28"/>
        </w:rPr>
        <w:t xml:space="preserve"> </w:t>
      </w:r>
      <w:r w:rsidR="002F1B56">
        <w:rPr>
          <w:rFonts w:ascii="Times New Roman" w:eastAsia="Times New Roman" w:hAnsi="Times New Roman" w:cs="Times New Roman"/>
          <w:color w:val="000000"/>
          <w:sz w:val="28"/>
          <w:szCs w:val="28"/>
        </w:rPr>
        <w:t>MF</w:t>
      </w:r>
      <w:r w:rsidRPr="00F92648">
        <w:rPr>
          <w:rFonts w:ascii="Times New Roman" w:eastAsia="Times New Roman" w:hAnsi="Times New Roman" w:cs="Times New Roman"/>
          <w:color w:val="000000"/>
          <w:sz w:val="28"/>
          <w:szCs w:val="28"/>
        </w:rPr>
        <w:t xml:space="preserve"> a </w:t>
      </w:r>
      <w:r w:rsidR="0064000D">
        <w:rPr>
          <w:rFonts w:ascii="Times New Roman" w:eastAsia="Times New Roman" w:hAnsi="Times New Roman" w:cs="Times New Roman"/>
          <w:color w:val="000000"/>
          <w:sz w:val="28"/>
          <w:szCs w:val="28"/>
        </w:rPr>
        <w:t>fost</w:t>
      </w:r>
      <w:r w:rsidRPr="00F92648">
        <w:rPr>
          <w:rFonts w:ascii="Times New Roman" w:eastAsia="Times New Roman" w:hAnsi="Times New Roman" w:cs="Times New Roman"/>
          <w:color w:val="000000"/>
          <w:sz w:val="28"/>
          <w:szCs w:val="28"/>
        </w:rPr>
        <w:t xml:space="preserve"> reorganiza</w:t>
      </w:r>
      <w:r w:rsidR="0064000D">
        <w:rPr>
          <w:rFonts w:ascii="Times New Roman" w:eastAsia="Times New Roman" w:hAnsi="Times New Roman" w:cs="Times New Roman"/>
          <w:color w:val="000000"/>
          <w:sz w:val="28"/>
          <w:szCs w:val="28"/>
        </w:rPr>
        <w:t>t</w:t>
      </w:r>
      <w:r w:rsidRPr="00F92648">
        <w:rPr>
          <w:rFonts w:ascii="Times New Roman" w:hAnsi="Times New Roman" w:cs="Times New Roman"/>
          <w:sz w:val="28"/>
          <w:szCs w:val="28"/>
          <w:vertAlign w:val="superscript"/>
        </w:rPr>
        <w:footnoteReference w:id="5"/>
      </w:r>
      <w:r w:rsidRPr="00F92648">
        <w:rPr>
          <w:rFonts w:ascii="Times New Roman" w:eastAsia="Times New Roman" w:hAnsi="Times New Roman" w:cs="Times New Roman"/>
          <w:color w:val="000000"/>
          <w:sz w:val="28"/>
          <w:szCs w:val="28"/>
        </w:rPr>
        <w:t xml:space="preserve"> </w:t>
      </w:r>
      <w:r w:rsidR="0064000D">
        <w:rPr>
          <w:rFonts w:ascii="Times New Roman" w:eastAsia="Times New Roman" w:hAnsi="Times New Roman" w:cs="Times New Roman"/>
          <w:color w:val="000000"/>
          <w:sz w:val="28"/>
          <w:szCs w:val="28"/>
        </w:rPr>
        <w:t xml:space="preserve">sub aspect </w:t>
      </w:r>
      <w:r w:rsidR="009465C8">
        <w:rPr>
          <w:rFonts w:ascii="Times New Roman" w:eastAsia="Times New Roman" w:hAnsi="Times New Roman" w:cs="Times New Roman"/>
          <w:color w:val="000000"/>
          <w:sz w:val="28"/>
          <w:szCs w:val="28"/>
        </w:rPr>
        <w:t>structural-instituțional. Urmare,</w:t>
      </w:r>
      <w:r w:rsidRPr="00F92648">
        <w:rPr>
          <w:rFonts w:ascii="Times New Roman" w:eastAsia="Times New Roman" w:hAnsi="Times New Roman" w:cs="Times New Roman"/>
          <w:color w:val="000000"/>
          <w:sz w:val="28"/>
          <w:szCs w:val="28"/>
        </w:rPr>
        <w:t xml:space="preserve"> </w:t>
      </w:r>
      <w:r w:rsidR="009465C8">
        <w:rPr>
          <w:rFonts w:ascii="Times New Roman" w:eastAsia="Times New Roman" w:hAnsi="Times New Roman" w:cs="Times New Roman"/>
          <w:color w:val="000000"/>
          <w:sz w:val="28"/>
          <w:szCs w:val="28"/>
        </w:rPr>
        <w:t>î</w:t>
      </w:r>
      <w:r w:rsidRPr="00F92648">
        <w:rPr>
          <w:rFonts w:ascii="Times New Roman" w:eastAsia="Times New Roman" w:hAnsi="Times New Roman" w:cs="Times New Roman"/>
          <w:color w:val="000000"/>
          <w:sz w:val="28"/>
          <w:szCs w:val="28"/>
        </w:rPr>
        <w:t xml:space="preserve">n cadrul </w:t>
      </w:r>
      <w:r w:rsidR="007819C7">
        <w:rPr>
          <w:rFonts w:ascii="Times New Roman" w:eastAsia="Times New Roman" w:hAnsi="Times New Roman" w:cs="Times New Roman"/>
          <w:color w:val="000000"/>
          <w:sz w:val="28"/>
          <w:szCs w:val="28"/>
        </w:rPr>
        <w:t>Trezoreriei de Stat</w:t>
      </w:r>
      <w:r w:rsidRPr="00F92648">
        <w:rPr>
          <w:rFonts w:ascii="Times New Roman" w:eastAsia="Times New Roman" w:hAnsi="Times New Roman" w:cs="Times New Roman"/>
          <w:color w:val="000000"/>
          <w:sz w:val="28"/>
          <w:szCs w:val="28"/>
        </w:rPr>
        <w:t xml:space="preserve"> au fost organizate trezorerii regionale</w:t>
      </w:r>
      <w:r w:rsidR="0064000D">
        <w:rPr>
          <w:rFonts w:ascii="Times New Roman" w:eastAsia="Times New Roman" w:hAnsi="Times New Roman" w:cs="Times New Roman"/>
          <w:color w:val="000000"/>
          <w:sz w:val="28"/>
          <w:szCs w:val="28"/>
        </w:rPr>
        <w:t>,</w:t>
      </w:r>
      <w:r w:rsidRPr="00F92648">
        <w:rPr>
          <w:rFonts w:ascii="Times New Roman" w:eastAsia="Times New Roman" w:hAnsi="Times New Roman" w:cs="Times New Roman"/>
          <w:color w:val="000000"/>
          <w:sz w:val="28"/>
          <w:szCs w:val="28"/>
        </w:rPr>
        <w:t xml:space="preserve"> ca servicii publice desconcentrate în teritoriu, fără statut de </w:t>
      </w:r>
      <w:r w:rsidRPr="00F92648">
        <w:rPr>
          <w:rFonts w:ascii="Times New Roman" w:eastAsia="Times New Roman" w:hAnsi="Times New Roman" w:cs="Times New Roman"/>
          <w:color w:val="000000"/>
          <w:sz w:val="28"/>
          <w:szCs w:val="28"/>
        </w:rPr>
        <w:lastRenderedPageBreak/>
        <w:t xml:space="preserve">persoană juridică, care exercită atribuțiile în domeniul organizării și funcționării sistemului trezorerial. </w:t>
      </w:r>
    </w:p>
    <w:p w:rsidR="00CE4B64" w:rsidRPr="009E7EAD" w:rsidRDefault="00CE4B64" w:rsidP="008A3DFD">
      <w:pPr>
        <w:pStyle w:val="ad"/>
        <w:spacing w:line="276" w:lineRule="auto"/>
        <w:ind w:firstLine="720"/>
        <w:rPr>
          <w:color w:val="000000"/>
          <w:sz w:val="28"/>
          <w:szCs w:val="28"/>
          <w:lang w:val="ro-RO"/>
        </w:rPr>
      </w:pPr>
      <w:r w:rsidRPr="00CE4B64">
        <w:rPr>
          <w:color w:val="000000"/>
          <w:sz w:val="28"/>
          <w:szCs w:val="28"/>
          <w:lang w:val="ro-RO"/>
        </w:rPr>
        <w:t xml:space="preserve">Astfel, urmare </w:t>
      </w:r>
      <w:r w:rsidR="002F1B56">
        <w:rPr>
          <w:color w:val="000000"/>
          <w:sz w:val="28"/>
          <w:szCs w:val="28"/>
          <w:lang w:val="ro-RO"/>
        </w:rPr>
        <w:t xml:space="preserve">a </w:t>
      </w:r>
      <w:r w:rsidRPr="00CE4B64">
        <w:rPr>
          <w:i/>
          <w:color w:val="000000"/>
          <w:sz w:val="28"/>
          <w:szCs w:val="28"/>
          <w:lang w:val="ro-RO"/>
        </w:rPr>
        <w:t xml:space="preserve">reorganizării </w:t>
      </w:r>
      <w:r w:rsidRPr="00CC043D">
        <w:rPr>
          <w:i/>
          <w:color w:val="000000"/>
          <w:sz w:val="28"/>
          <w:szCs w:val="28"/>
          <w:lang w:val="ro-RO"/>
        </w:rPr>
        <w:t xml:space="preserve">Trezoreriei de </w:t>
      </w:r>
      <w:r w:rsidR="002F1B56">
        <w:rPr>
          <w:i/>
          <w:color w:val="000000"/>
          <w:sz w:val="28"/>
          <w:szCs w:val="28"/>
          <w:lang w:val="ro-RO"/>
        </w:rPr>
        <w:t>S</w:t>
      </w:r>
      <w:r w:rsidRPr="00CC043D">
        <w:rPr>
          <w:i/>
          <w:color w:val="000000"/>
          <w:sz w:val="28"/>
          <w:szCs w:val="28"/>
          <w:lang w:val="ro-RO"/>
        </w:rPr>
        <w:t>tat</w:t>
      </w:r>
      <w:r w:rsidRPr="00CE4B64">
        <w:rPr>
          <w:i/>
          <w:color w:val="000000"/>
          <w:sz w:val="28"/>
          <w:szCs w:val="28"/>
          <w:lang w:val="ro-RO"/>
        </w:rPr>
        <w:t xml:space="preserve"> (cu statut de direcție generală) și a </w:t>
      </w:r>
      <w:r w:rsidRPr="00CC043D">
        <w:rPr>
          <w:i/>
          <w:color w:val="000000"/>
          <w:sz w:val="28"/>
          <w:szCs w:val="28"/>
          <w:lang w:val="ro-RO"/>
        </w:rPr>
        <w:t>38 de trezorerii teritoriale</w:t>
      </w:r>
      <w:r w:rsidRPr="00CE4B64">
        <w:rPr>
          <w:i/>
          <w:color w:val="000000"/>
          <w:sz w:val="28"/>
          <w:szCs w:val="28"/>
          <w:lang w:val="ro-RO"/>
        </w:rPr>
        <w:t xml:space="preserve"> ale MF</w:t>
      </w:r>
      <w:r w:rsidR="002F1B56">
        <w:rPr>
          <w:i/>
          <w:color w:val="000000"/>
          <w:sz w:val="28"/>
          <w:szCs w:val="28"/>
          <w:lang w:val="ro-RO"/>
        </w:rPr>
        <w:t>,</w:t>
      </w:r>
      <w:r w:rsidRPr="00CE4B64">
        <w:rPr>
          <w:color w:val="000000"/>
          <w:sz w:val="28"/>
          <w:szCs w:val="28"/>
          <w:lang w:val="ro-RO"/>
        </w:rPr>
        <w:t xml:space="preserve"> au fost </w:t>
      </w:r>
      <w:r w:rsidR="00CC043D">
        <w:rPr>
          <w:color w:val="000000"/>
          <w:sz w:val="28"/>
          <w:szCs w:val="28"/>
          <w:lang w:val="ro-RO"/>
        </w:rPr>
        <w:t>instituite</w:t>
      </w:r>
      <w:r w:rsidRPr="00CE4B64">
        <w:rPr>
          <w:color w:val="000000"/>
          <w:sz w:val="28"/>
          <w:szCs w:val="28"/>
          <w:lang w:val="ro-RO"/>
        </w:rPr>
        <w:t xml:space="preserve">: </w:t>
      </w:r>
      <w:r w:rsidRPr="00CC043D">
        <w:rPr>
          <w:color w:val="000000"/>
          <w:sz w:val="28"/>
          <w:szCs w:val="28"/>
          <w:lang w:val="ro-RO"/>
        </w:rPr>
        <w:t>Direcția Trezoreria de Stat</w:t>
      </w:r>
      <w:r w:rsidRPr="00CE4B64">
        <w:rPr>
          <w:color w:val="000000"/>
          <w:sz w:val="28"/>
          <w:szCs w:val="28"/>
          <w:lang w:val="ro-RO"/>
        </w:rPr>
        <w:t xml:space="preserve"> în cadrul MF și </w:t>
      </w:r>
      <w:r w:rsidRPr="00CC043D">
        <w:rPr>
          <w:color w:val="000000"/>
          <w:sz w:val="28"/>
          <w:szCs w:val="28"/>
          <w:lang w:val="ro-RO"/>
        </w:rPr>
        <w:t xml:space="preserve">5 </w:t>
      </w:r>
      <w:r w:rsidR="0064000D">
        <w:rPr>
          <w:color w:val="000000"/>
          <w:sz w:val="28"/>
          <w:szCs w:val="28"/>
          <w:lang w:val="ro-RO"/>
        </w:rPr>
        <w:t>t</w:t>
      </w:r>
      <w:r w:rsidRPr="00CC043D">
        <w:rPr>
          <w:color w:val="000000"/>
          <w:sz w:val="28"/>
          <w:szCs w:val="28"/>
          <w:lang w:val="ro-RO"/>
        </w:rPr>
        <w:t xml:space="preserve">rezorerii </w:t>
      </w:r>
      <w:r w:rsidR="0064000D">
        <w:rPr>
          <w:color w:val="000000"/>
          <w:sz w:val="28"/>
          <w:szCs w:val="28"/>
          <w:lang w:val="ro-RO"/>
        </w:rPr>
        <w:t>r</w:t>
      </w:r>
      <w:r w:rsidRPr="00CC043D">
        <w:rPr>
          <w:color w:val="000000"/>
          <w:sz w:val="28"/>
          <w:szCs w:val="28"/>
          <w:lang w:val="ro-RO"/>
        </w:rPr>
        <w:t>egionale</w:t>
      </w:r>
      <w:r w:rsidRPr="00CE4B64">
        <w:rPr>
          <w:color w:val="000000"/>
          <w:sz w:val="28"/>
          <w:szCs w:val="28"/>
          <w:lang w:val="ro-RO"/>
        </w:rPr>
        <w:t xml:space="preserve"> cu statut de direcție: (Nord – cu</w:t>
      </w:r>
      <w:r w:rsidR="00764D6E">
        <w:rPr>
          <w:color w:val="000000"/>
          <w:sz w:val="28"/>
          <w:szCs w:val="28"/>
          <w:lang w:val="ro-RO"/>
        </w:rPr>
        <w:t xml:space="preserve"> </w:t>
      </w:r>
      <w:r w:rsidRPr="00CE4B64">
        <w:rPr>
          <w:color w:val="000000"/>
          <w:sz w:val="28"/>
          <w:szCs w:val="28"/>
          <w:lang w:val="ro-RO"/>
        </w:rPr>
        <w:t xml:space="preserve">sediul în Bălți; Centru – cu sediul în Chișinău; Sud – cu sediul în Comrat; Cahul – cu sediul în Cahul (statut de secție) și </w:t>
      </w:r>
      <w:r w:rsidRPr="009465C8">
        <w:rPr>
          <w:color w:val="000000"/>
          <w:sz w:val="28"/>
          <w:szCs w:val="28"/>
          <w:lang w:val="ro-RO"/>
        </w:rPr>
        <w:t>Trezoreria Regională Chișinău-bugetul de stat</w:t>
      </w:r>
      <w:r w:rsidRPr="00CE4B64">
        <w:rPr>
          <w:b/>
          <w:color w:val="000000"/>
          <w:sz w:val="28"/>
          <w:szCs w:val="28"/>
          <w:lang w:val="ro-RO"/>
        </w:rPr>
        <w:t xml:space="preserve"> </w:t>
      </w:r>
      <w:r w:rsidRPr="00CE4B64">
        <w:rPr>
          <w:color w:val="000000"/>
          <w:sz w:val="28"/>
          <w:szCs w:val="28"/>
          <w:lang w:val="ro-RO"/>
        </w:rPr>
        <w:t>– cu sediul în Chișinău</w:t>
      </w:r>
      <w:r w:rsidR="00CC043D" w:rsidRPr="00035E95">
        <w:rPr>
          <w:color w:val="000000"/>
          <w:sz w:val="28"/>
          <w:szCs w:val="28"/>
          <w:lang w:val="ro-RO"/>
        </w:rPr>
        <w:t>)</w:t>
      </w:r>
      <w:r w:rsidRPr="00035E95">
        <w:rPr>
          <w:color w:val="000000"/>
          <w:sz w:val="28"/>
          <w:szCs w:val="28"/>
          <w:lang w:val="ro-RO"/>
        </w:rPr>
        <w:t xml:space="preserve">. </w:t>
      </w:r>
      <w:r w:rsidR="007819C7" w:rsidRPr="00035E95">
        <w:rPr>
          <w:color w:val="000000"/>
          <w:sz w:val="28"/>
          <w:szCs w:val="28"/>
          <w:lang w:val="ro-RO"/>
        </w:rPr>
        <w:t>E</w:t>
      </w:r>
      <w:r w:rsidRPr="009E7EAD">
        <w:rPr>
          <w:color w:val="000000"/>
          <w:sz w:val="28"/>
          <w:szCs w:val="28"/>
          <w:lang w:val="ro-RO"/>
        </w:rPr>
        <w:t xml:space="preserve">fectivul-limită al aparatului central și trezoreriilor regionale a fost stabilit în număr de 298 unități, față de 498 unități </w:t>
      </w:r>
      <w:r w:rsidR="002F1B56" w:rsidRPr="009E7EAD">
        <w:rPr>
          <w:color w:val="000000"/>
          <w:sz w:val="28"/>
          <w:szCs w:val="28"/>
          <w:lang w:val="ro-RO"/>
        </w:rPr>
        <w:t xml:space="preserve">existente </w:t>
      </w:r>
      <w:r w:rsidRPr="009E7EAD">
        <w:rPr>
          <w:color w:val="000000"/>
          <w:sz w:val="28"/>
          <w:szCs w:val="28"/>
          <w:lang w:val="ro-RO"/>
        </w:rPr>
        <w:t>până la reorganizare (</w:t>
      </w:r>
      <w:r w:rsidR="002F1B56" w:rsidRPr="009E7EAD">
        <w:rPr>
          <w:color w:val="000000"/>
          <w:sz w:val="28"/>
          <w:szCs w:val="28"/>
          <w:lang w:val="ro-RO"/>
        </w:rPr>
        <w:t>a</w:t>
      </w:r>
      <w:r w:rsidRPr="009E7EAD">
        <w:rPr>
          <w:color w:val="000000"/>
          <w:sz w:val="28"/>
          <w:szCs w:val="28"/>
          <w:lang w:val="ro-RO"/>
        </w:rPr>
        <w:t xml:space="preserve">paratul central al MF – 200 </w:t>
      </w:r>
      <w:r w:rsidR="002F1B56" w:rsidRPr="009E7EAD">
        <w:rPr>
          <w:color w:val="000000"/>
          <w:sz w:val="28"/>
          <w:szCs w:val="28"/>
          <w:lang w:val="ro-RO"/>
        </w:rPr>
        <w:t xml:space="preserve">de </w:t>
      </w:r>
      <w:r w:rsidRPr="009E7EAD">
        <w:rPr>
          <w:color w:val="000000"/>
          <w:sz w:val="28"/>
          <w:szCs w:val="28"/>
          <w:lang w:val="ro-RO"/>
        </w:rPr>
        <w:t xml:space="preserve">unități; Trezoreria de Stat – 41 </w:t>
      </w:r>
      <w:r w:rsidR="002F1B56" w:rsidRPr="009E7EAD">
        <w:rPr>
          <w:color w:val="000000"/>
          <w:sz w:val="28"/>
          <w:szCs w:val="28"/>
          <w:lang w:val="ro-RO"/>
        </w:rPr>
        <w:t xml:space="preserve">de </w:t>
      </w:r>
      <w:r w:rsidRPr="009E7EAD">
        <w:rPr>
          <w:color w:val="000000"/>
          <w:sz w:val="28"/>
          <w:szCs w:val="28"/>
          <w:lang w:val="ro-RO"/>
        </w:rPr>
        <w:t>unități, și trezoreriile teritoriale – 257 de unități).</w:t>
      </w:r>
    </w:p>
    <w:p w:rsidR="0077235C" w:rsidRDefault="00A56CBC" w:rsidP="008A3DFD">
      <w:pPr>
        <w:spacing w:after="0" w:line="276" w:lineRule="auto"/>
        <w:ind w:firstLine="709"/>
        <w:jc w:val="both"/>
        <w:rPr>
          <w:rFonts w:ascii="Times New Roman" w:eastAsia="Times New Roman" w:hAnsi="Times New Roman" w:cs="Times New Roman"/>
          <w:sz w:val="28"/>
          <w:szCs w:val="28"/>
          <w:lang w:eastAsia="ru-RU"/>
        </w:rPr>
      </w:pPr>
      <w:r w:rsidRPr="00035E95">
        <w:rPr>
          <w:rFonts w:ascii="Times New Roman" w:eastAsia="Times New Roman" w:hAnsi="Times New Roman" w:cs="Times New Roman"/>
          <w:sz w:val="28"/>
          <w:szCs w:val="28"/>
          <w:lang w:eastAsia="ru-RU"/>
        </w:rPr>
        <w:t>Calendarul activităților pentru întocmirea Raportului privind executarea bugetului de stat pe anul de gestiune</w:t>
      </w:r>
      <w:r w:rsidR="00EF772B" w:rsidRPr="008847E8">
        <w:rPr>
          <w:rFonts w:ascii="Times New Roman" w:eastAsia="Times New Roman" w:hAnsi="Times New Roman" w:cs="Times New Roman"/>
          <w:sz w:val="28"/>
          <w:szCs w:val="28"/>
          <w:lang w:eastAsia="ru-RU"/>
        </w:rPr>
        <w:t>,</w:t>
      </w:r>
      <w:r w:rsidRPr="008847E8">
        <w:rPr>
          <w:rFonts w:ascii="Times New Roman" w:eastAsia="Times New Roman" w:hAnsi="Times New Roman" w:cs="Times New Roman"/>
          <w:sz w:val="28"/>
          <w:szCs w:val="28"/>
          <w:lang w:eastAsia="ru-RU"/>
        </w:rPr>
        <w:t xml:space="preserve"> </w:t>
      </w:r>
      <w:r w:rsidR="0064000D" w:rsidRPr="008847E8">
        <w:rPr>
          <w:rFonts w:ascii="Times New Roman" w:eastAsia="Times New Roman" w:hAnsi="Times New Roman" w:cs="Times New Roman"/>
          <w:sz w:val="28"/>
          <w:szCs w:val="28"/>
          <w:lang w:eastAsia="ru-RU"/>
        </w:rPr>
        <w:t>inclusiv</w:t>
      </w:r>
      <w:r w:rsidR="0064000D">
        <w:rPr>
          <w:rFonts w:ascii="Times New Roman" w:eastAsia="Times New Roman" w:hAnsi="Times New Roman" w:cs="Times New Roman"/>
          <w:sz w:val="28"/>
          <w:szCs w:val="28"/>
          <w:lang w:eastAsia="ru-RU"/>
        </w:rPr>
        <w:t xml:space="preserve"> </w:t>
      </w:r>
      <w:r w:rsidR="00EF772B">
        <w:rPr>
          <w:rFonts w:ascii="Times New Roman" w:eastAsia="Times New Roman" w:hAnsi="Times New Roman" w:cs="Times New Roman"/>
          <w:sz w:val="28"/>
          <w:szCs w:val="28"/>
          <w:lang w:eastAsia="ru-RU"/>
        </w:rPr>
        <w:t>c</w:t>
      </w:r>
      <w:r w:rsidR="00B81BF3" w:rsidRPr="00B81BF3">
        <w:rPr>
          <w:rFonts w:ascii="Times New Roman" w:eastAsia="Times New Roman" w:hAnsi="Times New Roman" w:cs="Times New Roman"/>
          <w:sz w:val="28"/>
          <w:szCs w:val="28"/>
          <w:lang w:eastAsia="ru-RU"/>
        </w:rPr>
        <w:t xml:space="preserve">omponența și formatul </w:t>
      </w:r>
      <w:r w:rsidR="0064000D">
        <w:rPr>
          <w:rFonts w:ascii="Times New Roman" w:eastAsia="Times New Roman" w:hAnsi="Times New Roman" w:cs="Times New Roman"/>
          <w:sz w:val="28"/>
          <w:szCs w:val="28"/>
          <w:lang w:eastAsia="ru-RU"/>
        </w:rPr>
        <w:t>acestuia,</w:t>
      </w:r>
      <w:r w:rsidR="00B81BF3" w:rsidRPr="00B81BF3">
        <w:rPr>
          <w:rFonts w:ascii="Times New Roman" w:eastAsia="Times New Roman" w:hAnsi="Times New Roman" w:cs="Times New Roman"/>
          <w:sz w:val="28"/>
          <w:szCs w:val="28"/>
          <w:lang w:eastAsia="ru-RU"/>
        </w:rPr>
        <w:t xml:space="preserve"> se aprobă prin ordinele ministrului finanțelor</w:t>
      </w:r>
      <w:r w:rsidR="00B81BF3" w:rsidRPr="00B81BF3">
        <w:rPr>
          <w:rFonts w:ascii="Times New Roman" w:eastAsia="Times New Roman" w:hAnsi="Times New Roman" w:cs="Times New Roman"/>
          <w:sz w:val="28"/>
          <w:szCs w:val="28"/>
          <w:vertAlign w:val="superscript"/>
          <w:lang w:eastAsia="ru-RU"/>
        </w:rPr>
        <w:footnoteReference w:id="6"/>
      </w:r>
      <w:r>
        <w:rPr>
          <w:rFonts w:ascii="Times New Roman" w:eastAsia="Times New Roman" w:hAnsi="Times New Roman" w:cs="Times New Roman"/>
          <w:sz w:val="28"/>
          <w:szCs w:val="28"/>
          <w:lang w:eastAsia="ru-RU"/>
        </w:rPr>
        <w:t>.</w:t>
      </w:r>
      <w:r w:rsidR="00B81BF3" w:rsidRPr="00B81BF3">
        <w:rPr>
          <w:rFonts w:ascii="Times New Roman" w:eastAsia="Times New Roman" w:hAnsi="Times New Roman" w:cs="Times New Roman"/>
          <w:sz w:val="28"/>
          <w:szCs w:val="28"/>
          <w:lang w:eastAsia="ru-RU"/>
        </w:rPr>
        <w:t xml:space="preserve"> </w:t>
      </w:r>
      <w:r w:rsidRPr="00B81BF3">
        <w:rPr>
          <w:rFonts w:ascii="Times New Roman" w:eastAsia="Times New Roman" w:hAnsi="Times New Roman" w:cs="Times New Roman"/>
          <w:sz w:val="28"/>
          <w:szCs w:val="28"/>
          <w:lang w:eastAsia="ru-RU"/>
        </w:rPr>
        <w:t xml:space="preserve">Componența și formatul Raportului </w:t>
      </w:r>
      <w:r w:rsidR="00B81BF3" w:rsidRPr="00B81BF3">
        <w:rPr>
          <w:rFonts w:ascii="Times New Roman" w:eastAsia="Times New Roman" w:hAnsi="Times New Roman" w:cs="Times New Roman"/>
          <w:sz w:val="28"/>
          <w:szCs w:val="28"/>
          <w:lang w:eastAsia="ru-RU"/>
        </w:rPr>
        <w:t xml:space="preserve">includ </w:t>
      </w:r>
      <w:r w:rsidRPr="00B81BF3">
        <w:rPr>
          <w:rFonts w:ascii="Times New Roman" w:eastAsia="Times New Roman" w:hAnsi="Times New Roman" w:cs="Times New Roman"/>
          <w:sz w:val="28"/>
          <w:szCs w:val="28"/>
          <w:lang w:eastAsia="ru-RU"/>
        </w:rPr>
        <w:t>formulare</w:t>
      </w:r>
      <w:r>
        <w:rPr>
          <w:rFonts w:ascii="Times New Roman" w:eastAsia="Times New Roman" w:hAnsi="Times New Roman" w:cs="Times New Roman"/>
          <w:sz w:val="28"/>
          <w:szCs w:val="28"/>
          <w:lang w:eastAsia="ru-RU"/>
        </w:rPr>
        <w:t>le</w:t>
      </w:r>
      <w:r w:rsidRPr="00B81BF3">
        <w:rPr>
          <w:rFonts w:ascii="Times New Roman" w:eastAsia="Times New Roman" w:hAnsi="Times New Roman" w:cs="Times New Roman"/>
          <w:sz w:val="28"/>
          <w:szCs w:val="28"/>
          <w:lang w:eastAsia="ru-RU"/>
        </w:rPr>
        <w:t xml:space="preserve"> de raportare a executării bugetului de stat în </w:t>
      </w:r>
      <w:r>
        <w:rPr>
          <w:rFonts w:ascii="Times New Roman" w:eastAsia="Times New Roman" w:hAnsi="Times New Roman" w:cs="Times New Roman"/>
          <w:sz w:val="28"/>
          <w:szCs w:val="28"/>
          <w:lang w:eastAsia="ru-RU"/>
        </w:rPr>
        <w:t xml:space="preserve">toate </w:t>
      </w:r>
      <w:r w:rsidRPr="00B81BF3">
        <w:rPr>
          <w:rFonts w:ascii="Times New Roman" w:eastAsia="Times New Roman" w:hAnsi="Times New Roman" w:cs="Times New Roman"/>
          <w:sz w:val="28"/>
          <w:szCs w:val="28"/>
          <w:lang w:eastAsia="ru-RU"/>
        </w:rPr>
        <w:t>aspect</w:t>
      </w:r>
      <w:r>
        <w:rPr>
          <w:rFonts w:ascii="Times New Roman" w:eastAsia="Times New Roman" w:hAnsi="Times New Roman" w:cs="Times New Roman"/>
          <w:sz w:val="28"/>
          <w:szCs w:val="28"/>
          <w:lang w:eastAsia="ru-RU"/>
        </w:rPr>
        <w:t>e</w:t>
      </w:r>
      <w:r w:rsidRPr="00B81BF3">
        <w:rPr>
          <w:rFonts w:ascii="Times New Roman" w:eastAsia="Times New Roman" w:hAnsi="Times New Roman" w:cs="Times New Roman"/>
          <w:sz w:val="28"/>
          <w:szCs w:val="28"/>
          <w:lang w:eastAsia="ru-RU"/>
        </w:rPr>
        <w:t>l</w:t>
      </w:r>
      <w:r>
        <w:rPr>
          <w:rFonts w:ascii="Times New Roman" w:eastAsia="Times New Roman" w:hAnsi="Times New Roman" w:cs="Times New Roman"/>
          <w:sz w:val="28"/>
          <w:szCs w:val="28"/>
          <w:lang w:eastAsia="ru-RU"/>
        </w:rPr>
        <w:t>e</w:t>
      </w:r>
      <w:r w:rsidRPr="00B81BF3">
        <w:rPr>
          <w:rFonts w:ascii="Times New Roman" w:eastAsia="Times New Roman" w:hAnsi="Times New Roman" w:cs="Times New Roman"/>
          <w:sz w:val="28"/>
          <w:szCs w:val="28"/>
          <w:lang w:eastAsia="ru-RU"/>
        </w:rPr>
        <w:t xml:space="preserve"> </w:t>
      </w:r>
      <w:r w:rsidR="00FE3BCC">
        <w:rPr>
          <w:rFonts w:ascii="Times New Roman" w:eastAsia="Times New Roman" w:hAnsi="Times New Roman" w:cs="Times New Roman"/>
          <w:sz w:val="28"/>
          <w:szCs w:val="28"/>
          <w:lang w:eastAsia="ru-RU"/>
        </w:rPr>
        <w:t>C</w:t>
      </w:r>
      <w:r w:rsidRPr="00B81BF3">
        <w:rPr>
          <w:rFonts w:ascii="Times New Roman" w:eastAsia="Times New Roman" w:hAnsi="Times New Roman" w:cs="Times New Roman"/>
          <w:sz w:val="28"/>
          <w:szCs w:val="28"/>
          <w:lang w:eastAsia="ru-RU"/>
        </w:rPr>
        <w:t>lasificației bugetare</w:t>
      </w:r>
      <w:r>
        <w:rPr>
          <w:rFonts w:ascii="Times New Roman" w:eastAsia="Times New Roman" w:hAnsi="Times New Roman" w:cs="Times New Roman"/>
          <w:sz w:val="28"/>
          <w:szCs w:val="28"/>
          <w:lang w:eastAsia="ru-RU"/>
        </w:rPr>
        <w:t>,</w:t>
      </w:r>
      <w:r w:rsidRPr="00B81BF3">
        <w:rPr>
          <w:rFonts w:ascii="Times New Roman" w:eastAsia="Times New Roman" w:hAnsi="Times New Roman" w:cs="Times New Roman"/>
          <w:sz w:val="28"/>
          <w:szCs w:val="28"/>
          <w:lang w:eastAsia="ru-RU"/>
        </w:rPr>
        <w:t xml:space="preserve"> </w:t>
      </w:r>
      <w:r w:rsidR="00B81BF3" w:rsidRPr="00B81BF3">
        <w:rPr>
          <w:rFonts w:ascii="Times New Roman" w:eastAsia="Times New Roman" w:hAnsi="Times New Roman" w:cs="Times New Roman"/>
          <w:sz w:val="28"/>
          <w:szCs w:val="28"/>
          <w:lang w:eastAsia="ru-RU"/>
        </w:rPr>
        <w:t>o notă narativă p</w:t>
      </w:r>
      <w:r>
        <w:rPr>
          <w:rFonts w:ascii="Times New Roman" w:eastAsia="Times New Roman" w:hAnsi="Times New Roman" w:cs="Times New Roman"/>
          <w:sz w:val="28"/>
          <w:szCs w:val="28"/>
          <w:lang w:eastAsia="ru-RU"/>
        </w:rPr>
        <w:t>rivind politica bugetar-fiscală și f</w:t>
      </w:r>
      <w:r w:rsidRPr="009E7EAD">
        <w:rPr>
          <w:rFonts w:ascii="Times New Roman" w:eastAsia="Times New Roman" w:hAnsi="Times New Roman" w:cs="Times New Roman"/>
          <w:sz w:val="28"/>
          <w:szCs w:val="28"/>
          <w:lang w:eastAsia="ru-RU"/>
        </w:rPr>
        <w:t>ormularul</w:t>
      </w:r>
      <w:r>
        <w:rPr>
          <w:rFonts w:ascii="Times New Roman" w:eastAsia="Times New Roman" w:hAnsi="Times New Roman" w:cs="Times New Roman"/>
          <w:sz w:val="28"/>
          <w:szCs w:val="28"/>
          <w:lang w:eastAsia="ru-RU"/>
        </w:rPr>
        <w:t xml:space="preserve"> „Raport privind executarea bugetului public național”</w:t>
      </w:r>
      <w:r w:rsidR="005C3352">
        <w:rPr>
          <w:rFonts w:ascii="Times New Roman" w:eastAsia="Times New Roman" w:hAnsi="Times New Roman" w:cs="Times New Roman"/>
          <w:sz w:val="28"/>
          <w:szCs w:val="28"/>
          <w:lang w:eastAsia="ru-RU"/>
        </w:rPr>
        <w:t xml:space="preserve"> </w:t>
      </w:r>
      <w:r w:rsidR="0064000D">
        <w:rPr>
          <w:rFonts w:ascii="Times New Roman" w:eastAsia="Times New Roman" w:hAnsi="Times New Roman" w:cs="Times New Roman"/>
          <w:sz w:val="28"/>
          <w:szCs w:val="28"/>
          <w:lang w:eastAsia="ru-RU"/>
        </w:rPr>
        <w:t>(</w:t>
      </w:r>
      <w:r w:rsidR="005C3352" w:rsidRPr="005C3352">
        <w:rPr>
          <w:rFonts w:ascii="Times New Roman" w:eastAsia="Times New Roman" w:hAnsi="Times New Roman" w:cs="Times New Roman"/>
          <w:i/>
          <w:sz w:val="28"/>
          <w:szCs w:val="28"/>
          <w:lang w:eastAsia="ru-RU"/>
        </w:rPr>
        <w:t>denumirea completă a acestora se prezintă în Anexa nr.2 la prezentul Raport</w:t>
      </w:r>
      <w:r w:rsidR="0064000D">
        <w:rPr>
          <w:rFonts w:ascii="Times New Roman" w:eastAsia="Times New Roman" w:hAnsi="Times New Roman" w:cs="Times New Roman"/>
          <w:i/>
          <w:sz w:val="28"/>
          <w:szCs w:val="28"/>
          <w:lang w:eastAsia="ru-RU"/>
        </w:rPr>
        <w:t xml:space="preserve"> de audit)</w:t>
      </w:r>
      <w:r w:rsidR="005C3352" w:rsidRPr="005C3352">
        <w:rPr>
          <w:rFonts w:ascii="Times New Roman" w:eastAsia="Times New Roman" w:hAnsi="Times New Roman" w:cs="Times New Roman"/>
          <w:i/>
          <w:sz w:val="28"/>
          <w:szCs w:val="28"/>
          <w:lang w:eastAsia="ru-RU"/>
        </w:rPr>
        <w:t>.</w:t>
      </w:r>
    </w:p>
    <w:p w:rsidR="00C3766A" w:rsidRDefault="005C3352" w:rsidP="00F67536">
      <w:pPr>
        <w:shd w:val="clear" w:color="auto" w:fill="FFFFFF"/>
        <w:tabs>
          <w:tab w:val="left" w:pos="9355"/>
        </w:tabs>
        <w:spacing w:after="0" w:line="276" w:lineRule="auto"/>
        <w:ind w:left="34" w:right="-5" w:firstLine="706"/>
        <w:jc w:val="both"/>
        <w:rPr>
          <w:rFonts w:ascii="Times New Roman" w:eastAsia="Times New Roman" w:hAnsi="Times New Roman" w:cs="Times New Roman"/>
          <w:i/>
          <w:color w:val="000000"/>
          <w:spacing w:val="-1"/>
          <w:sz w:val="28"/>
          <w:szCs w:val="28"/>
          <w:lang w:eastAsia="ru-RU"/>
        </w:rPr>
      </w:pPr>
      <w:r>
        <w:rPr>
          <w:rFonts w:ascii="Times New Roman" w:hAnsi="Times New Roman"/>
          <w:sz w:val="28"/>
          <w:szCs w:val="28"/>
        </w:rPr>
        <w:t>Potrivit Raportului privind executarea bugetului public național</w:t>
      </w:r>
      <w:r>
        <w:rPr>
          <w:rStyle w:val="a9"/>
          <w:rFonts w:ascii="Times New Roman" w:hAnsi="Times New Roman"/>
          <w:sz w:val="28"/>
          <w:szCs w:val="28"/>
        </w:rPr>
        <w:footnoteReference w:id="7"/>
      </w:r>
      <w:r w:rsidR="00E15B39">
        <w:rPr>
          <w:rFonts w:ascii="Times New Roman" w:hAnsi="Times New Roman"/>
          <w:sz w:val="28"/>
          <w:szCs w:val="28"/>
        </w:rPr>
        <w:t xml:space="preserve">, </w:t>
      </w:r>
      <w:r w:rsidR="00461CE1">
        <w:rPr>
          <w:rFonts w:ascii="Times New Roman" w:hAnsi="Times New Roman"/>
          <w:sz w:val="28"/>
          <w:szCs w:val="28"/>
        </w:rPr>
        <w:t>în</w:t>
      </w:r>
      <w:r w:rsidR="00E15B39">
        <w:rPr>
          <w:rFonts w:ascii="Times New Roman" w:hAnsi="Times New Roman"/>
          <w:sz w:val="28"/>
          <w:szCs w:val="28"/>
        </w:rPr>
        <w:t xml:space="preserve"> BPN au fost încasate venituri în sumă totală de 53377,6 mil.lei, ceea ce reprezintă 35,5% din PIB. Comparativ cu indicatorii precizați, veniturile BPN au înregistrat o creștere cu 1,1%, echivalentă cu 602,8 mil.lei. Respectiv, față de anul </w:t>
      </w:r>
      <w:r w:rsidR="00E15B39" w:rsidRPr="008D3114">
        <w:rPr>
          <w:rFonts w:ascii="Times New Roman" w:hAnsi="Times New Roman" w:cs="Times New Roman"/>
          <w:sz w:val="28"/>
        </w:rPr>
        <w:t>2016</w:t>
      </w:r>
      <w:r w:rsidR="00461CE1">
        <w:rPr>
          <w:rFonts w:ascii="Times New Roman" w:hAnsi="Times New Roman" w:cs="Times New Roman"/>
          <w:sz w:val="28"/>
        </w:rPr>
        <w:t>,</w:t>
      </w:r>
      <w:r w:rsidR="00E15B39">
        <w:rPr>
          <w:rFonts w:ascii="Times New Roman" w:hAnsi="Times New Roman" w:cs="Times New Roman"/>
          <w:sz w:val="28"/>
        </w:rPr>
        <w:t xml:space="preserve"> veniturile BPN au fost în creștere cu 16,2%, sau cu </w:t>
      </w:r>
      <w:r w:rsidR="00E15B39" w:rsidRPr="008D3114">
        <w:rPr>
          <w:rFonts w:ascii="Times New Roman" w:hAnsi="Times New Roman" w:cs="Times New Roman"/>
          <w:sz w:val="28"/>
        </w:rPr>
        <w:t>7423,7 mil.lei</w:t>
      </w:r>
      <w:r w:rsidR="00E15B39">
        <w:rPr>
          <w:rFonts w:ascii="Times New Roman" w:hAnsi="Times New Roman" w:cs="Times New Roman"/>
          <w:sz w:val="28"/>
        </w:rPr>
        <w:t>.</w:t>
      </w:r>
      <w:r w:rsidR="00C3766A" w:rsidRPr="00C3766A">
        <w:rPr>
          <w:rFonts w:ascii="Times New Roman" w:eastAsia="Times New Roman" w:hAnsi="Times New Roman" w:cs="Times New Roman"/>
          <w:color w:val="000000"/>
          <w:spacing w:val="-1"/>
          <w:sz w:val="28"/>
          <w:szCs w:val="28"/>
          <w:lang w:eastAsia="ru-RU"/>
        </w:rPr>
        <w:t xml:space="preserve"> </w:t>
      </w:r>
      <w:r w:rsidR="00C3766A" w:rsidRPr="00C3766A">
        <w:rPr>
          <w:rFonts w:ascii="Times New Roman" w:eastAsia="Times New Roman" w:hAnsi="Times New Roman" w:cs="Times New Roman"/>
          <w:i/>
          <w:color w:val="000000"/>
          <w:spacing w:val="-1"/>
          <w:sz w:val="28"/>
          <w:szCs w:val="28"/>
          <w:lang w:eastAsia="ru-RU"/>
        </w:rPr>
        <w:t xml:space="preserve">Executarea principalilor indicatori ai BPN pe anul 2017 se prezintă în </w:t>
      </w:r>
      <w:r w:rsidR="00C3766A" w:rsidRPr="001774F8">
        <w:rPr>
          <w:rFonts w:ascii="Times New Roman" w:eastAsia="Times New Roman" w:hAnsi="Times New Roman" w:cs="Times New Roman"/>
          <w:i/>
          <w:color w:val="000000"/>
          <w:spacing w:val="-1"/>
          <w:sz w:val="28"/>
          <w:szCs w:val="28"/>
          <w:lang w:eastAsia="ru-RU"/>
        </w:rPr>
        <w:t>Tabelul nr.1.</w:t>
      </w:r>
    </w:p>
    <w:p w:rsidR="00C3766A" w:rsidRPr="001774F8" w:rsidRDefault="00C3766A" w:rsidP="00F67536">
      <w:pPr>
        <w:spacing w:after="0" w:line="276" w:lineRule="auto"/>
        <w:ind w:firstLine="709"/>
        <w:jc w:val="right"/>
        <w:rPr>
          <w:rFonts w:ascii="Times New Roman" w:hAnsi="Times New Roman" w:cs="Times New Roman"/>
          <w:i/>
          <w:sz w:val="28"/>
        </w:rPr>
      </w:pPr>
      <w:r w:rsidRPr="001774F8">
        <w:rPr>
          <w:rFonts w:ascii="Times New Roman" w:hAnsi="Times New Roman" w:cs="Times New Roman"/>
          <w:i/>
          <w:sz w:val="28"/>
        </w:rPr>
        <w:t>Tabelul nr.1</w:t>
      </w:r>
    </w:p>
    <w:p w:rsidR="00C3766A" w:rsidRDefault="00C3766A" w:rsidP="00F67536">
      <w:pPr>
        <w:spacing w:after="0" w:line="276" w:lineRule="auto"/>
        <w:jc w:val="center"/>
        <w:rPr>
          <w:rFonts w:ascii="Times New Roman" w:hAnsi="Times New Roman" w:cs="Times New Roman"/>
          <w:b/>
          <w:sz w:val="24"/>
        </w:rPr>
      </w:pPr>
      <w:r w:rsidRPr="00E15B39">
        <w:rPr>
          <w:rFonts w:ascii="Times New Roman" w:hAnsi="Times New Roman" w:cs="Times New Roman"/>
          <w:b/>
          <w:sz w:val="24"/>
        </w:rPr>
        <w:t>Executarea principalilor indicatori ai BPN pe tipuri de bugete pe an</w:t>
      </w:r>
      <w:r>
        <w:rPr>
          <w:rFonts w:ascii="Times New Roman" w:hAnsi="Times New Roman" w:cs="Times New Roman"/>
          <w:b/>
          <w:sz w:val="24"/>
        </w:rPr>
        <w:t>ul 2017</w:t>
      </w:r>
      <w:r w:rsidR="00461CE1">
        <w:rPr>
          <w:rFonts w:ascii="Times New Roman" w:hAnsi="Times New Roman" w:cs="Times New Roman"/>
          <w:b/>
          <w:sz w:val="24"/>
        </w:rPr>
        <w:t>,</w:t>
      </w:r>
      <w:r>
        <w:rPr>
          <w:rFonts w:ascii="Times New Roman" w:hAnsi="Times New Roman" w:cs="Times New Roman"/>
          <w:b/>
          <w:sz w:val="24"/>
        </w:rPr>
        <w:t xml:space="preserve"> comparativ cu anul 2016</w:t>
      </w:r>
      <w:r w:rsidR="00064718">
        <w:rPr>
          <w:rFonts w:ascii="Times New Roman" w:hAnsi="Times New Roman" w:cs="Times New Roman"/>
          <w:b/>
          <w:sz w:val="24"/>
        </w:rPr>
        <w:t>,</w:t>
      </w:r>
      <w:r w:rsidRPr="00E15B39">
        <w:rPr>
          <w:rFonts w:ascii="Times New Roman" w:hAnsi="Times New Roman" w:cs="Times New Roman"/>
          <w:b/>
          <w:sz w:val="24"/>
        </w:rPr>
        <w:t xml:space="preserve"> și ponderea acestora în PIB</w:t>
      </w:r>
    </w:p>
    <w:p w:rsidR="00C3766A" w:rsidRPr="00AF0CD1" w:rsidRDefault="00C3766A" w:rsidP="00F67536">
      <w:pPr>
        <w:spacing w:after="0" w:line="276" w:lineRule="auto"/>
        <w:jc w:val="right"/>
        <w:rPr>
          <w:rFonts w:ascii="Times New Roman" w:eastAsia="Times New Roman" w:hAnsi="Times New Roman" w:cs="Times New Roman"/>
          <w:i/>
          <w:iCs/>
          <w:color w:val="000000"/>
          <w:spacing w:val="2"/>
          <w:sz w:val="24"/>
          <w:szCs w:val="24"/>
          <w:lang w:eastAsia="ru-RU"/>
        </w:rPr>
      </w:pPr>
      <w:r w:rsidRPr="00AF0CD1">
        <w:rPr>
          <w:rFonts w:ascii="Times New Roman" w:hAnsi="Times New Roman" w:cs="Times New Roman"/>
          <w:b/>
          <w:i/>
          <w:sz w:val="24"/>
          <w:szCs w:val="24"/>
        </w:rPr>
        <w:t xml:space="preserve">                                                         </w:t>
      </w:r>
      <w:r w:rsidRPr="00AF0CD1">
        <w:rPr>
          <w:rFonts w:ascii="Times New Roman" w:eastAsia="Times New Roman" w:hAnsi="Times New Roman" w:cs="Times New Roman"/>
          <w:i/>
          <w:iCs/>
          <w:color w:val="000000"/>
          <w:spacing w:val="2"/>
          <w:sz w:val="24"/>
          <w:szCs w:val="24"/>
          <w:lang w:eastAsia="ru-RU"/>
        </w:rPr>
        <w:t xml:space="preserve"> (</w:t>
      </w:r>
      <w:r w:rsidRPr="00AF0CD1">
        <w:rPr>
          <w:rFonts w:ascii="Times New Roman" w:eastAsia="Times New Roman" w:hAnsi="Times New Roman" w:cs="Times New Roman"/>
          <w:bCs/>
          <w:i/>
          <w:color w:val="000000"/>
          <w:spacing w:val="-3"/>
          <w:sz w:val="24"/>
          <w:szCs w:val="24"/>
          <w:lang w:eastAsia="ru-RU"/>
        </w:rPr>
        <w:t xml:space="preserve">mil.lei) </w:t>
      </w:r>
    </w:p>
    <w:tbl>
      <w:tblPr>
        <w:tblStyle w:val="GridTable4-Accent61"/>
        <w:tblW w:w="9740" w:type="dxa"/>
        <w:jc w:val="center"/>
        <w:tblLayout w:type="fixed"/>
        <w:tblLook w:val="04A0" w:firstRow="1" w:lastRow="0" w:firstColumn="1" w:lastColumn="0" w:noHBand="0" w:noVBand="1"/>
      </w:tblPr>
      <w:tblGrid>
        <w:gridCol w:w="1129"/>
        <w:gridCol w:w="953"/>
        <w:gridCol w:w="993"/>
        <w:gridCol w:w="988"/>
        <w:gridCol w:w="989"/>
        <w:gridCol w:w="999"/>
        <w:gridCol w:w="993"/>
        <w:gridCol w:w="992"/>
        <w:gridCol w:w="850"/>
        <w:gridCol w:w="854"/>
      </w:tblGrid>
      <w:tr w:rsidR="00C3766A" w:rsidRPr="004A76B8" w:rsidTr="00264215">
        <w:trPr>
          <w:cnfStyle w:val="100000000000" w:firstRow="1" w:lastRow="0" w:firstColumn="0" w:lastColumn="0" w:oddVBand="0" w:evenVBand="0" w:oddHBand="0" w:evenHBand="0" w:firstRowFirstColumn="0" w:firstRowLastColumn="0" w:lastRowFirstColumn="0" w:lastRowLastColumn="0"/>
          <w:trHeight w:val="256"/>
          <w:jc w:val="center"/>
        </w:trPr>
        <w:tc>
          <w:tcPr>
            <w:cnfStyle w:val="001000000000" w:firstRow="0" w:lastRow="0" w:firstColumn="1" w:lastColumn="0" w:oddVBand="0" w:evenVBand="0" w:oddHBand="0" w:evenHBand="0" w:firstRowFirstColumn="0" w:firstRowLastColumn="0" w:lastRowFirstColumn="0" w:lastRowLastColumn="0"/>
            <w:tcW w:w="1129" w:type="dxa"/>
            <w:vMerge w:val="restart"/>
            <w:tcBorders>
              <w:right w:val="single" w:sz="4" w:space="0" w:color="70AD47" w:themeColor="accent6"/>
            </w:tcBorders>
            <w:shd w:val="clear" w:color="auto" w:fill="556B45"/>
            <w:vAlign w:val="center"/>
            <w:hideMark/>
          </w:tcPr>
          <w:p w:rsidR="00C3766A" w:rsidRPr="004A76B8" w:rsidRDefault="00C3766A" w:rsidP="00264215">
            <w:pPr>
              <w:ind w:left="-120"/>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Indicatori</w:t>
            </w:r>
          </w:p>
        </w:tc>
        <w:tc>
          <w:tcPr>
            <w:tcW w:w="953" w:type="dxa"/>
            <w:vMerge w:val="restart"/>
            <w:tcBorders>
              <w:left w:val="single" w:sz="4" w:space="0" w:color="70AD47" w:themeColor="accent6"/>
              <w:right w:val="single" w:sz="4" w:space="0" w:color="70AD47" w:themeColor="accent6"/>
            </w:tcBorders>
            <w:shd w:val="clear" w:color="auto" w:fill="556B45"/>
            <w:vAlign w:val="center"/>
          </w:tcPr>
          <w:p w:rsidR="00C3766A" w:rsidRPr="004A76B8" w:rsidRDefault="00C3766A" w:rsidP="00264215">
            <w:pPr>
              <w:ind w:left="-148" w:right="-115"/>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Precizat pe an</w:t>
            </w:r>
          </w:p>
        </w:tc>
        <w:tc>
          <w:tcPr>
            <w:tcW w:w="993" w:type="dxa"/>
            <w:vMerge w:val="restart"/>
            <w:tcBorders>
              <w:left w:val="single" w:sz="4" w:space="0" w:color="70AD47" w:themeColor="accent6"/>
              <w:right w:val="single" w:sz="4" w:space="0" w:color="70AD47" w:themeColor="accent6"/>
            </w:tcBorders>
            <w:shd w:val="clear" w:color="auto" w:fill="556B45"/>
            <w:vAlign w:val="center"/>
          </w:tcPr>
          <w:p w:rsidR="00C3766A" w:rsidRPr="003B4E19" w:rsidRDefault="00C3766A" w:rsidP="00264215">
            <w:pPr>
              <w:ind w:left="-101" w:right="-102"/>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sz w:val="24"/>
                <w:szCs w:val="24"/>
                <w:lang w:eastAsia="ru-RU"/>
              </w:rPr>
            </w:pPr>
            <w:r w:rsidRPr="003B4E19">
              <w:rPr>
                <w:rFonts w:ascii="Times New Roman" w:eastAsia="Times New Roman" w:hAnsi="Times New Roman" w:cs="Times New Roman"/>
                <w:bCs w:val="0"/>
                <w:sz w:val="24"/>
                <w:szCs w:val="24"/>
                <w:lang w:eastAsia="ru-RU"/>
              </w:rPr>
              <w:t xml:space="preserve">Executat </w:t>
            </w:r>
            <w:r w:rsidR="00301DE3">
              <w:rPr>
                <w:rFonts w:ascii="Times New Roman" w:eastAsia="Times New Roman" w:hAnsi="Times New Roman" w:cs="Times New Roman"/>
                <w:bCs w:val="0"/>
                <w:sz w:val="24"/>
                <w:szCs w:val="24"/>
                <w:lang w:eastAsia="ru-RU"/>
              </w:rPr>
              <w:t xml:space="preserve">în </w:t>
            </w:r>
            <w:r w:rsidRPr="003B4E19">
              <w:rPr>
                <w:rFonts w:ascii="Times New Roman" w:eastAsia="Times New Roman" w:hAnsi="Times New Roman" w:cs="Times New Roman"/>
                <w:bCs w:val="0"/>
                <w:sz w:val="24"/>
                <w:szCs w:val="24"/>
                <w:lang w:eastAsia="ru-RU"/>
              </w:rPr>
              <w:t>anul 2017</w:t>
            </w:r>
          </w:p>
        </w:tc>
        <w:tc>
          <w:tcPr>
            <w:tcW w:w="1977" w:type="dxa"/>
            <w:gridSpan w:val="2"/>
            <w:tcBorders>
              <w:left w:val="single" w:sz="4" w:space="0" w:color="70AD47" w:themeColor="accent6"/>
              <w:right w:val="single" w:sz="4" w:space="0" w:color="70AD47" w:themeColor="accent6"/>
            </w:tcBorders>
            <w:shd w:val="clear" w:color="auto" w:fill="556B45"/>
          </w:tcPr>
          <w:p w:rsidR="00C3766A" w:rsidRPr="004A76B8" w:rsidRDefault="00C3766A" w:rsidP="0026421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Executat față de precizat</w:t>
            </w:r>
          </w:p>
        </w:tc>
        <w:tc>
          <w:tcPr>
            <w:tcW w:w="999" w:type="dxa"/>
            <w:vMerge w:val="restart"/>
            <w:tcBorders>
              <w:left w:val="single" w:sz="4" w:space="0" w:color="70AD47" w:themeColor="accent6"/>
              <w:right w:val="single" w:sz="4" w:space="0" w:color="70AD47" w:themeColor="accent6"/>
            </w:tcBorders>
            <w:shd w:val="clear" w:color="auto" w:fill="556B45"/>
            <w:vAlign w:val="center"/>
            <w:hideMark/>
          </w:tcPr>
          <w:p w:rsidR="00C3766A" w:rsidRPr="004A76B8" w:rsidRDefault="00C3766A" w:rsidP="00264215">
            <w:pPr>
              <w:ind w:left="-94" w:right="-109"/>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4A76B8">
              <w:rPr>
                <w:rFonts w:ascii="Times New Roman" w:eastAsia="Times New Roman" w:hAnsi="Times New Roman" w:cs="Times New Roman"/>
                <w:sz w:val="24"/>
                <w:szCs w:val="24"/>
                <w:lang w:eastAsia="ru-RU"/>
              </w:rPr>
              <w:t>Executat</w:t>
            </w:r>
          </w:p>
          <w:p w:rsidR="00C3766A" w:rsidRPr="004A76B8" w:rsidRDefault="00C3766A" w:rsidP="00264215">
            <w:pPr>
              <w:ind w:left="-94" w:right="-109"/>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lang w:eastAsia="ru-RU"/>
              </w:rPr>
            </w:pPr>
            <w:r>
              <w:rPr>
                <w:rFonts w:ascii="Times New Roman" w:eastAsia="Times New Roman" w:hAnsi="Times New Roman" w:cs="Times New Roman"/>
                <w:sz w:val="24"/>
                <w:szCs w:val="24"/>
                <w:lang w:eastAsia="ru-RU"/>
              </w:rPr>
              <w:t xml:space="preserve">anul </w:t>
            </w:r>
            <w:r w:rsidRPr="004A76B8">
              <w:rPr>
                <w:rFonts w:ascii="Times New Roman" w:eastAsia="Times New Roman" w:hAnsi="Times New Roman" w:cs="Times New Roman"/>
                <w:sz w:val="24"/>
                <w:szCs w:val="24"/>
                <w:lang w:eastAsia="ru-RU"/>
              </w:rPr>
              <w:t>2016</w:t>
            </w:r>
          </w:p>
        </w:tc>
        <w:tc>
          <w:tcPr>
            <w:tcW w:w="1985" w:type="dxa"/>
            <w:gridSpan w:val="2"/>
            <w:tcBorders>
              <w:left w:val="single" w:sz="4" w:space="0" w:color="70AD47" w:themeColor="accent6"/>
              <w:right w:val="single" w:sz="4" w:space="0" w:color="70AD47" w:themeColor="accent6"/>
            </w:tcBorders>
            <w:shd w:val="clear" w:color="auto" w:fill="556B45"/>
            <w:vAlign w:val="center"/>
            <w:hideMark/>
          </w:tcPr>
          <w:p w:rsidR="00C3766A" w:rsidRPr="004A76B8" w:rsidRDefault="00C3766A" w:rsidP="00301DE3">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C030E4">
              <w:rPr>
                <w:rFonts w:ascii="Times New Roman" w:eastAsia="Times New Roman" w:hAnsi="Times New Roman" w:cs="Times New Roman"/>
                <w:bCs w:val="0"/>
                <w:sz w:val="24"/>
                <w:szCs w:val="24"/>
                <w:lang w:eastAsia="ru-RU"/>
              </w:rPr>
              <w:t>Executat</w:t>
            </w:r>
            <w:r w:rsidRPr="002A776E">
              <w:rPr>
                <w:rFonts w:ascii="Times New Roman" w:eastAsia="Times New Roman" w:hAnsi="Times New Roman" w:cs="Times New Roman"/>
                <w:b w:val="0"/>
                <w:bCs w:val="0"/>
                <w:sz w:val="24"/>
                <w:szCs w:val="24"/>
                <w:lang w:eastAsia="ru-RU"/>
              </w:rPr>
              <w:t xml:space="preserve"> </w:t>
            </w:r>
            <w:r w:rsidRPr="002A776E">
              <w:rPr>
                <w:rFonts w:ascii="Times New Roman" w:eastAsia="Times New Roman" w:hAnsi="Times New Roman" w:cs="Times New Roman"/>
                <w:sz w:val="24"/>
                <w:szCs w:val="24"/>
                <w:lang w:eastAsia="ru-RU"/>
              </w:rPr>
              <w:t>în 2017 față de 2016</w:t>
            </w:r>
          </w:p>
        </w:tc>
        <w:tc>
          <w:tcPr>
            <w:tcW w:w="1704" w:type="dxa"/>
            <w:gridSpan w:val="2"/>
            <w:tcBorders>
              <w:left w:val="single" w:sz="4" w:space="0" w:color="70AD47" w:themeColor="accent6"/>
            </w:tcBorders>
            <w:shd w:val="clear" w:color="auto" w:fill="556B45"/>
            <w:vAlign w:val="center"/>
            <w:hideMark/>
          </w:tcPr>
          <w:p w:rsidR="00C3766A" w:rsidRPr="004A76B8" w:rsidRDefault="00C3766A" w:rsidP="0026421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Ponderea</w:t>
            </w:r>
            <w:r w:rsidRPr="004A76B8">
              <w:rPr>
                <w:rFonts w:ascii="Times New Roman" w:eastAsia="Times New Roman" w:hAnsi="Times New Roman" w:cs="Times New Roman"/>
                <w:sz w:val="24"/>
                <w:szCs w:val="24"/>
                <w:lang w:eastAsia="ru-RU"/>
              </w:rPr>
              <w:t xml:space="preserve"> în PIB</w:t>
            </w:r>
            <w:r>
              <w:rPr>
                <w:rFonts w:ascii="Times New Roman" w:eastAsia="Times New Roman" w:hAnsi="Times New Roman" w:cs="Times New Roman"/>
                <w:sz w:val="24"/>
                <w:szCs w:val="24"/>
                <w:lang w:eastAsia="ru-RU"/>
              </w:rPr>
              <w:t xml:space="preserve"> (%)</w:t>
            </w:r>
          </w:p>
        </w:tc>
      </w:tr>
      <w:tr w:rsidR="00C3766A" w:rsidRPr="004A76B8" w:rsidTr="00264215">
        <w:trPr>
          <w:cnfStyle w:val="000000100000" w:firstRow="0" w:lastRow="0" w:firstColumn="0" w:lastColumn="0" w:oddVBand="0" w:evenVBand="0" w:oddHBand="1" w:evenHBand="0" w:firstRowFirstColumn="0" w:firstRowLastColumn="0" w:lastRowFirstColumn="0" w:lastRowLastColumn="0"/>
          <w:trHeight w:val="256"/>
          <w:jc w:val="center"/>
        </w:trPr>
        <w:tc>
          <w:tcPr>
            <w:cnfStyle w:val="001000000000" w:firstRow="0" w:lastRow="0" w:firstColumn="1" w:lastColumn="0" w:oddVBand="0" w:evenVBand="0" w:oddHBand="0" w:evenHBand="0" w:firstRowFirstColumn="0" w:firstRowLastColumn="0" w:lastRowFirstColumn="0" w:lastRowLastColumn="0"/>
            <w:tcW w:w="1129" w:type="dxa"/>
            <w:vMerge/>
            <w:tcBorders>
              <w:right w:val="single" w:sz="4" w:space="0" w:color="70AD47" w:themeColor="accent6"/>
            </w:tcBorders>
            <w:shd w:val="clear" w:color="auto" w:fill="556B45"/>
            <w:hideMark/>
          </w:tcPr>
          <w:p w:rsidR="00C3766A" w:rsidRPr="004A76B8" w:rsidRDefault="00C3766A" w:rsidP="00264215">
            <w:pPr>
              <w:rPr>
                <w:rFonts w:ascii="Times New Roman" w:eastAsia="Times New Roman" w:hAnsi="Times New Roman" w:cs="Times New Roman"/>
                <w:color w:val="FFFFFF" w:themeColor="background1"/>
                <w:sz w:val="24"/>
                <w:szCs w:val="24"/>
                <w:lang w:eastAsia="ru-RU"/>
              </w:rPr>
            </w:pPr>
          </w:p>
        </w:tc>
        <w:tc>
          <w:tcPr>
            <w:tcW w:w="953" w:type="dxa"/>
            <w:vMerge/>
            <w:tcBorders>
              <w:left w:val="single" w:sz="4" w:space="0" w:color="70AD47" w:themeColor="accent6"/>
              <w:right w:val="single" w:sz="4" w:space="0" w:color="70AD47" w:themeColor="accent6"/>
            </w:tcBorders>
            <w:shd w:val="clear" w:color="auto" w:fill="556B45"/>
            <w:vAlign w:val="center"/>
          </w:tcPr>
          <w:p w:rsidR="00C3766A" w:rsidRPr="004A76B8" w:rsidRDefault="00C3766A" w:rsidP="0026421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FFFFFF" w:themeColor="background1"/>
                <w:sz w:val="24"/>
                <w:szCs w:val="24"/>
                <w:lang w:eastAsia="ru-RU"/>
              </w:rPr>
            </w:pPr>
          </w:p>
        </w:tc>
        <w:tc>
          <w:tcPr>
            <w:tcW w:w="993" w:type="dxa"/>
            <w:vMerge/>
            <w:tcBorders>
              <w:left w:val="single" w:sz="4" w:space="0" w:color="70AD47" w:themeColor="accent6"/>
              <w:right w:val="single" w:sz="4" w:space="0" w:color="70AD47" w:themeColor="accent6"/>
            </w:tcBorders>
            <w:shd w:val="clear" w:color="auto" w:fill="556B45"/>
          </w:tcPr>
          <w:p w:rsidR="00C3766A" w:rsidRPr="004A76B8" w:rsidRDefault="00C3766A" w:rsidP="0026421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FFFFFF" w:themeColor="background1"/>
                <w:sz w:val="24"/>
                <w:szCs w:val="24"/>
                <w:lang w:eastAsia="ru-RU"/>
              </w:rPr>
            </w:pPr>
          </w:p>
        </w:tc>
        <w:tc>
          <w:tcPr>
            <w:tcW w:w="988" w:type="dxa"/>
            <w:tcBorders>
              <w:left w:val="single" w:sz="4" w:space="0" w:color="70AD47" w:themeColor="accent6"/>
              <w:right w:val="single" w:sz="4" w:space="0" w:color="70AD47" w:themeColor="accent6"/>
            </w:tcBorders>
            <w:shd w:val="clear" w:color="auto" w:fill="556B45"/>
            <w:vAlign w:val="center"/>
          </w:tcPr>
          <w:p w:rsidR="00C3766A" w:rsidRPr="004A76B8" w:rsidRDefault="00301DE3" w:rsidP="00AB198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FFFFFF" w:themeColor="background1"/>
                <w:sz w:val="24"/>
                <w:szCs w:val="24"/>
                <w:lang w:eastAsia="ru-RU"/>
              </w:rPr>
            </w:pPr>
            <w:r>
              <w:rPr>
                <w:rFonts w:ascii="Times New Roman" w:eastAsia="Times New Roman" w:hAnsi="Times New Roman" w:cs="Times New Roman"/>
                <w:b/>
                <w:bCs/>
                <w:color w:val="FFFFFF" w:themeColor="background1"/>
                <w:sz w:val="24"/>
                <w:szCs w:val="24"/>
                <w:lang w:eastAsia="ru-RU"/>
              </w:rPr>
              <w:t>s</w:t>
            </w:r>
            <w:r w:rsidR="00AB1986">
              <w:rPr>
                <w:rFonts w:ascii="Times New Roman" w:eastAsia="Times New Roman" w:hAnsi="Times New Roman" w:cs="Times New Roman"/>
                <w:b/>
                <w:bCs/>
                <w:color w:val="FFFFFF" w:themeColor="background1"/>
                <w:sz w:val="24"/>
                <w:szCs w:val="24"/>
                <w:lang w:eastAsia="ru-RU"/>
              </w:rPr>
              <w:t>uma</w:t>
            </w:r>
            <w:r w:rsidR="00C3766A" w:rsidRPr="002A776E">
              <w:rPr>
                <w:rFonts w:ascii="Times New Roman" w:eastAsia="Times New Roman" w:hAnsi="Times New Roman" w:cs="Times New Roman"/>
                <w:b/>
                <w:bCs/>
                <w:color w:val="FFFFFF" w:themeColor="background1"/>
                <w:sz w:val="24"/>
                <w:szCs w:val="24"/>
                <w:lang w:eastAsia="ru-RU"/>
              </w:rPr>
              <w:t xml:space="preserve"> (+/-)</w:t>
            </w:r>
          </w:p>
        </w:tc>
        <w:tc>
          <w:tcPr>
            <w:tcW w:w="989" w:type="dxa"/>
            <w:tcBorders>
              <w:left w:val="single" w:sz="4" w:space="0" w:color="70AD47" w:themeColor="accent6"/>
              <w:right w:val="single" w:sz="4" w:space="0" w:color="70AD47" w:themeColor="accent6"/>
            </w:tcBorders>
            <w:shd w:val="clear" w:color="auto" w:fill="556B45"/>
            <w:vAlign w:val="center"/>
          </w:tcPr>
          <w:p w:rsidR="00C3766A" w:rsidRPr="004A76B8" w:rsidRDefault="00AB1986" w:rsidP="0026421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FFFFFF" w:themeColor="background1"/>
                <w:sz w:val="24"/>
                <w:szCs w:val="24"/>
                <w:lang w:eastAsia="ru-RU"/>
              </w:rPr>
            </w:pPr>
            <w:r>
              <w:rPr>
                <w:rFonts w:ascii="Times New Roman" w:eastAsia="Times New Roman" w:hAnsi="Times New Roman" w:cs="Times New Roman"/>
                <w:b/>
                <w:bCs/>
                <w:color w:val="FFFFFF" w:themeColor="background1"/>
                <w:sz w:val="24"/>
                <w:szCs w:val="24"/>
                <w:lang w:eastAsia="ru-RU"/>
              </w:rPr>
              <w:t>%</w:t>
            </w:r>
          </w:p>
        </w:tc>
        <w:tc>
          <w:tcPr>
            <w:tcW w:w="999" w:type="dxa"/>
            <w:vMerge/>
            <w:tcBorders>
              <w:left w:val="single" w:sz="4" w:space="0" w:color="70AD47" w:themeColor="accent6"/>
              <w:right w:val="single" w:sz="4" w:space="0" w:color="70AD47" w:themeColor="accent6"/>
            </w:tcBorders>
            <w:shd w:val="clear" w:color="auto" w:fill="556B45"/>
            <w:vAlign w:val="center"/>
            <w:hideMark/>
          </w:tcPr>
          <w:p w:rsidR="00C3766A" w:rsidRPr="004A76B8" w:rsidRDefault="00C3766A" w:rsidP="0026421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FFFFFF" w:themeColor="background1"/>
                <w:sz w:val="24"/>
                <w:szCs w:val="24"/>
                <w:lang w:eastAsia="ru-RU"/>
              </w:rPr>
            </w:pPr>
          </w:p>
        </w:tc>
        <w:tc>
          <w:tcPr>
            <w:tcW w:w="993" w:type="dxa"/>
            <w:tcBorders>
              <w:left w:val="single" w:sz="4" w:space="0" w:color="70AD47" w:themeColor="accent6"/>
            </w:tcBorders>
            <w:shd w:val="clear" w:color="auto" w:fill="556B45"/>
            <w:vAlign w:val="center"/>
            <w:hideMark/>
          </w:tcPr>
          <w:p w:rsidR="00C3766A" w:rsidRPr="004A76B8" w:rsidRDefault="00301DE3" w:rsidP="00AB198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FFFFFF" w:themeColor="background1"/>
                <w:sz w:val="24"/>
                <w:szCs w:val="24"/>
                <w:lang w:eastAsia="ru-RU"/>
              </w:rPr>
            </w:pPr>
            <w:r>
              <w:rPr>
                <w:rFonts w:ascii="Times New Roman" w:eastAsia="Times New Roman" w:hAnsi="Times New Roman" w:cs="Times New Roman"/>
                <w:b/>
                <w:bCs/>
                <w:color w:val="FFFFFF" w:themeColor="background1"/>
                <w:sz w:val="24"/>
                <w:szCs w:val="24"/>
                <w:lang w:eastAsia="ru-RU"/>
              </w:rPr>
              <w:t>s</w:t>
            </w:r>
            <w:r w:rsidR="00AB1986">
              <w:rPr>
                <w:rFonts w:ascii="Times New Roman" w:eastAsia="Times New Roman" w:hAnsi="Times New Roman" w:cs="Times New Roman"/>
                <w:b/>
                <w:bCs/>
                <w:color w:val="FFFFFF" w:themeColor="background1"/>
                <w:sz w:val="24"/>
                <w:szCs w:val="24"/>
                <w:lang w:eastAsia="ru-RU"/>
              </w:rPr>
              <w:t xml:space="preserve">uma </w:t>
            </w:r>
            <w:r w:rsidR="00C3766A" w:rsidRPr="002A776E">
              <w:rPr>
                <w:rFonts w:ascii="Times New Roman" w:eastAsia="Times New Roman" w:hAnsi="Times New Roman" w:cs="Times New Roman"/>
                <w:b/>
                <w:bCs/>
                <w:color w:val="FFFFFF" w:themeColor="background1"/>
                <w:sz w:val="24"/>
                <w:szCs w:val="24"/>
                <w:lang w:eastAsia="ru-RU"/>
              </w:rPr>
              <w:t>(+/-)</w:t>
            </w:r>
          </w:p>
        </w:tc>
        <w:tc>
          <w:tcPr>
            <w:tcW w:w="992" w:type="dxa"/>
            <w:shd w:val="clear" w:color="auto" w:fill="556B45"/>
            <w:vAlign w:val="center"/>
            <w:hideMark/>
          </w:tcPr>
          <w:p w:rsidR="00C3766A" w:rsidRPr="004A76B8" w:rsidRDefault="00AB1986" w:rsidP="00264215">
            <w:pPr>
              <w:ind w:left="-104" w:right="-107"/>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FFFFFF" w:themeColor="background1"/>
                <w:sz w:val="24"/>
                <w:szCs w:val="24"/>
                <w:lang w:eastAsia="ru-RU"/>
              </w:rPr>
            </w:pPr>
            <w:r>
              <w:rPr>
                <w:rFonts w:ascii="Times New Roman" w:eastAsia="Times New Roman" w:hAnsi="Times New Roman" w:cs="Times New Roman"/>
                <w:b/>
                <w:bCs/>
                <w:color w:val="FFFFFF" w:themeColor="background1"/>
                <w:sz w:val="24"/>
                <w:szCs w:val="24"/>
                <w:lang w:eastAsia="ru-RU"/>
              </w:rPr>
              <w:t>%</w:t>
            </w:r>
          </w:p>
        </w:tc>
        <w:tc>
          <w:tcPr>
            <w:tcW w:w="850" w:type="dxa"/>
            <w:shd w:val="clear" w:color="auto" w:fill="556B45"/>
            <w:vAlign w:val="center"/>
            <w:hideMark/>
          </w:tcPr>
          <w:p w:rsidR="00C3766A" w:rsidRPr="004A76B8" w:rsidRDefault="00C3766A" w:rsidP="00264215">
            <w:pPr>
              <w:ind w:left="-8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FFFFFF" w:themeColor="background1"/>
                <w:sz w:val="24"/>
                <w:szCs w:val="24"/>
                <w:lang w:eastAsia="ru-RU"/>
              </w:rPr>
            </w:pPr>
            <w:r w:rsidRPr="004A76B8">
              <w:rPr>
                <w:rFonts w:ascii="Times New Roman" w:eastAsia="Times New Roman" w:hAnsi="Times New Roman" w:cs="Times New Roman"/>
                <w:b/>
                <w:bCs/>
                <w:color w:val="FFFFFF" w:themeColor="background1"/>
                <w:sz w:val="24"/>
                <w:szCs w:val="24"/>
                <w:lang w:eastAsia="ru-RU"/>
              </w:rPr>
              <w:t>2016</w:t>
            </w:r>
            <w:r>
              <w:rPr>
                <w:rFonts w:ascii="Times New Roman" w:eastAsia="Times New Roman" w:hAnsi="Times New Roman" w:cs="Times New Roman"/>
                <w:b/>
                <w:bCs/>
                <w:color w:val="FFFFFF" w:themeColor="background1"/>
                <w:sz w:val="24"/>
                <w:szCs w:val="24"/>
                <w:lang w:eastAsia="ru-RU"/>
              </w:rPr>
              <w:t>*</w:t>
            </w:r>
          </w:p>
        </w:tc>
        <w:tc>
          <w:tcPr>
            <w:tcW w:w="854" w:type="dxa"/>
            <w:shd w:val="clear" w:color="auto" w:fill="556B45"/>
            <w:vAlign w:val="center"/>
            <w:hideMark/>
          </w:tcPr>
          <w:p w:rsidR="00C3766A" w:rsidRPr="004A76B8" w:rsidRDefault="00C3766A" w:rsidP="00264215">
            <w:pPr>
              <w:ind w:left="-107" w:right="-112"/>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FFFFFF" w:themeColor="background1"/>
                <w:sz w:val="24"/>
                <w:szCs w:val="24"/>
                <w:lang w:eastAsia="ru-RU"/>
              </w:rPr>
            </w:pPr>
            <w:r w:rsidRPr="004A76B8">
              <w:rPr>
                <w:rFonts w:ascii="Times New Roman" w:eastAsia="Times New Roman" w:hAnsi="Times New Roman" w:cs="Times New Roman"/>
                <w:b/>
                <w:bCs/>
                <w:color w:val="FFFFFF" w:themeColor="background1"/>
                <w:sz w:val="24"/>
                <w:szCs w:val="24"/>
                <w:lang w:eastAsia="ru-RU"/>
              </w:rPr>
              <w:t>2017</w:t>
            </w:r>
            <w:r>
              <w:rPr>
                <w:rFonts w:ascii="Times New Roman" w:eastAsia="Times New Roman" w:hAnsi="Times New Roman" w:cs="Times New Roman"/>
                <w:b/>
                <w:bCs/>
                <w:color w:val="FFFFFF" w:themeColor="background1"/>
                <w:sz w:val="24"/>
                <w:szCs w:val="24"/>
                <w:lang w:eastAsia="ru-RU"/>
              </w:rPr>
              <w:t>**</w:t>
            </w:r>
          </w:p>
        </w:tc>
      </w:tr>
      <w:tr w:rsidR="00C3766A" w:rsidRPr="004A76B8" w:rsidTr="00264215">
        <w:trPr>
          <w:trHeight w:val="256"/>
          <w:jc w:val="center"/>
        </w:trPr>
        <w:tc>
          <w:tcPr>
            <w:cnfStyle w:val="001000000000" w:firstRow="0" w:lastRow="0" w:firstColumn="1" w:lastColumn="0" w:oddVBand="0" w:evenVBand="0" w:oddHBand="0" w:evenHBand="0" w:firstRowFirstColumn="0" w:firstRowLastColumn="0" w:lastRowFirstColumn="0" w:lastRowLastColumn="0"/>
            <w:tcW w:w="1129" w:type="dxa"/>
            <w:vAlign w:val="center"/>
          </w:tcPr>
          <w:p w:rsidR="00C3766A" w:rsidRPr="00EE0A42" w:rsidRDefault="00C3766A" w:rsidP="00264215">
            <w:pPr>
              <w:jc w:val="center"/>
              <w:rPr>
                <w:rFonts w:ascii="Times New Roman" w:eastAsia="Times New Roman" w:hAnsi="Times New Roman" w:cs="Times New Roman"/>
                <w:bCs w:val="0"/>
                <w:color w:val="000000"/>
                <w:sz w:val="20"/>
                <w:szCs w:val="24"/>
                <w:lang w:eastAsia="ru-RU"/>
              </w:rPr>
            </w:pPr>
            <w:r w:rsidRPr="00EE0A42">
              <w:rPr>
                <w:rFonts w:ascii="Times New Roman" w:eastAsia="Times New Roman" w:hAnsi="Times New Roman" w:cs="Times New Roman"/>
                <w:bCs w:val="0"/>
                <w:color w:val="000000"/>
                <w:sz w:val="20"/>
                <w:szCs w:val="24"/>
                <w:lang w:eastAsia="ru-RU"/>
              </w:rPr>
              <w:t>1</w:t>
            </w:r>
          </w:p>
        </w:tc>
        <w:tc>
          <w:tcPr>
            <w:tcW w:w="953" w:type="dxa"/>
            <w:vAlign w:val="center"/>
          </w:tcPr>
          <w:p w:rsidR="00C3766A" w:rsidRPr="00EE0A42" w:rsidRDefault="00C3766A" w:rsidP="002642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4"/>
                <w:lang w:eastAsia="ru-RU"/>
              </w:rPr>
            </w:pPr>
            <w:r>
              <w:rPr>
                <w:rFonts w:ascii="Times New Roman" w:eastAsia="Times New Roman" w:hAnsi="Times New Roman" w:cs="Times New Roman"/>
                <w:b/>
                <w:bCs/>
                <w:color w:val="000000"/>
                <w:sz w:val="20"/>
                <w:szCs w:val="24"/>
                <w:lang w:eastAsia="ru-RU"/>
              </w:rPr>
              <w:t>2</w:t>
            </w:r>
          </w:p>
        </w:tc>
        <w:tc>
          <w:tcPr>
            <w:tcW w:w="993" w:type="dxa"/>
            <w:vAlign w:val="center"/>
          </w:tcPr>
          <w:p w:rsidR="00C3766A" w:rsidRPr="00EE0A42" w:rsidRDefault="00C3766A" w:rsidP="002642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4"/>
                <w:lang w:eastAsia="ru-RU"/>
              </w:rPr>
            </w:pPr>
            <w:r>
              <w:rPr>
                <w:rFonts w:ascii="Times New Roman" w:eastAsia="Times New Roman" w:hAnsi="Times New Roman" w:cs="Times New Roman"/>
                <w:b/>
                <w:bCs/>
                <w:color w:val="000000"/>
                <w:sz w:val="20"/>
                <w:szCs w:val="24"/>
                <w:lang w:eastAsia="ru-RU"/>
              </w:rPr>
              <w:t>3</w:t>
            </w:r>
          </w:p>
        </w:tc>
        <w:tc>
          <w:tcPr>
            <w:tcW w:w="988" w:type="dxa"/>
            <w:vAlign w:val="center"/>
          </w:tcPr>
          <w:p w:rsidR="00C3766A" w:rsidRPr="00EE0A42" w:rsidRDefault="00C3766A" w:rsidP="002642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4"/>
                <w:lang w:eastAsia="ru-RU"/>
              </w:rPr>
            </w:pPr>
            <w:r>
              <w:rPr>
                <w:rFonts w:ascii="Times New Roman" w:eastAsia="Times New Roman" w:hAnsi="Times New Roman" w:cs="Times New Roman"/>
                <w:b/>
                <w:bCs/>
                <w:color w:val="000000"/>
                <w:sz w:val="20"/>
                <w:szCs w:val="24"/>
                <w:lang w:eastAsia="ru-RU"/>
              </w:rPr>
              <w:t>4=3-2</w:t>
            </w:r>
          </w:p>
        </w:tc>
        <w:tc>
          <w:tcPr>
            <w:tcW w:w="989" w:type="dxa"/>
            <w:vAlign w:val="center"/>
          </w:tcPr>
          <w:p w:rsidR="00C3766A" w:rsidRPr="002A776E" w:rsidRDefault="00C3766A" w:rsidP="00264215">
            <w:pPr>
              <w:ind w:left="-104" w:right="-107"/>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4"/>
                <w:lang w:eastAsia="ru-RU"/>
              </w:rPr>
            </w:pPr>
            <w:r>
              <w:rPr>
                <w:rFonts w:ascii="Times New Roman" w:eastAsia="Times New Roman" w:hAnsi="Times New Roman" w:cs="Times New Roman"/>
                <w:b/>
                <w:bCs/>
                <w:color w:val="000000"/>
                <w:sz w:val="20"/>
                <w:szCs w:val="24"/>
                <w:lang w:eastAsia="ru-RU"/>
              </w:rPr>
              <w:t>5=3/2*100</w:t>
            </w:r>
          </w:p>
        </w:tc>
        <w:tc>
          <w:tcPr>
            <w:tcW w:w="999" w:type="dxa"/>
            <w:vAlign w:val="center"/>
          </w:tcPr>
          <w:p w:rsidR="00C3766A" w:rsidRPr="002A776E" w:rsidRDefault="00C3766A" w:rsidP="002642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4"/>
                <w:lang w:eastAsia="ru-RU"/>
              </w:rPr>
            </w:pPr>
            <w:r>
              <w:rPr>
                <w:rFonts w:ascii="Times New Roman" w:eastAsia="Times New Roman" w:hAnsi="Times New Roman" w:cs="Times New Roman"/>
                <w:b/>
                <w:bCs/>
                <w:color w:val="000000"/>
                <w:sz w:val="20"/>
                <w:szCs w:val="24"/>
                <w:lang w:eastAsia="ru-RU"/>
              </w:rPr>
              <w:t>6</w:t>
            </w:r>
          </w:p>
        </w:tc>
        <w:tc>
          <w:tcPr>
            <w:tcW w:w="993" w:type="dxa"/>
            <w:vAlign w:val="center"/>
          </w:tcPr>
          <w:p w:rsidR="00C3766A" w:rsidRPr="002A776E" w:rsidRDefault="00C3766A" w:rsidP="002642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4"/>
                <w:lang w:eastAsia="ru-RU"/>
              </w:rPr>
            </w:pPr>
            <w:r>
              <w:rPr>
                <w:rFonts w:ascii="Times New Roman" w:eastAsia="Times New Roman" w:hAnsi="Times New Roman" w:cs="Times New Roman"/>
                <w:b/>
                <w:bCs/>
                <w:color w:val="000000"/>
                <w:sz w:val="20"/>
                <w:szCs w:val="24"/>
                <w:lang w:eastAsia="ru-RU"/>
              </w:rPr>
              <w:t>7=3-6</w:t>
            </w:r>
          </w:p>
        </w:tc>
        <w:tc>
          <w:tcPr>
            <w:tcW w:w="992" w:type="dxa"/>
            <w:vAlign w:val="center"/>
          </w:tcPr>
          <w:p w:rsidR="00C3766A" w:rsidRPr="002A776E" w:rsidRDefault="00C3766A" w:rsidP="00264215">
            <w:pPr>
              <w:ind w:left="-104" w:right="-107"/>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4"/>
                <w:lang w:eastAsia="ru-RU"/>
              </w:rPr>
            </w:pPr>
            <w:r>
              <w:rPr>
                <w:rFonts w:ascii="Times New Roman" w:eastAsia="Times New Roman" w:hAnsi="Times New Roman" w:cs="Times New Roman"/>
                <w:b/>
                <w:bCs/>
                <w:color w:val="000000"/>
                <w:sz w:val="20"/>
                <w:szCs w:val="24"/>
                <w:lang w:eastAsia="ru-RU"/>
              </w:rPr>
              <w:t>8=3/6*100</w:t>
            </w:r>
          </w:p>
        </w:tc>
        <w:tc>
          <w:tcPr>
            <w:tcW w:w="850" w:type="dxa"/>
            <w:vAlign w:val="center"/>
          </w:tcPr>
          <w:p w:rsidR="00C3766A" w:rsidRPr="002A776E" w:rsidRDefault="00C3766A" w:rsidP="00264215">
            <w:pPr>
              <w:ind w:left="-102"/>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4"/>
                <w:lang w:eastAsia="ru-RU"/>
              </w:rPr>
            </w:pPr>
            <w:r>
              <w:rPr>
                <w:rFonts w:ascii="Times New Roman" w:eastAsia="Times New Roman" w:hAnsi="Times New Roman" w:cs="Times New Roman"/>
                <w:b/>
                <w:bCs/>
                <w:color w:val="000000"/>
                <w:sz w:val="20"/>
                <w:szCs w:val="24"/>
                <w:lang w:eastAsia="ru-RU"/>
              </w:rPr>
              <w:t>9=6/PIB*100</w:t>
            </w:r>
          </w:p>
        </w:tc>
        <w:tc>
          <w:tcPr>
            <w:tcW w:w="854" w:type="dxa"/>
            <w:vAlign w:val="center"/>
          </w:tcPr>
          <w:p w:rsidR="00C3766A" w:rsidRPr="002A776E" w:rsidRDefault="00C3766A" w:rsidP="00264215">
            <w:pPr>
              <w:ind w:left="-107" w:right="-15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4"/>
                <w:lang w:eastAsia="ru-RU"/>
              </w:rPr>
            </w:pPr>
            <w:r>
              <w:rPr>
                <w:rFonts w:ascii="Times New Roman" w:eastAsia="Times New Roman" w:hAnsi="Times New Roman" w:cs="Times New Roman"/>
                <w:b/>
                <w:bCs/>
                <w:color w:val="000000"/>
                <w:sz w:val="20"/>
                <w:szCs w:val="24"/>
                <w:lang w:eastAsia="ru-RU"/>
              </w:rPr>
              <w:t>10=3/PIB*100</w:t>
            </w:r>
          </w:p>
        </w:tc>
      </w:tr>
      <w:tr w:rsidR="00C3766A" w:rsidRPr="004A76B8" w:rsidTr="00264215">
        <w:trPr>
          <w:cnfStyle w:val="000000100000" w:firstRow="0" w:lastRow="0" w:firstColumn="0" w:lastColumn="0" w:oddVBand="0" w:evenVBand="0" w:oddHBand="1" w:evenHBand="0" w:firstRowFirstColumn="0" w:firstRowLastColumn="0" w:lastRowFirstColumn="0" w:lastRowLastColumn="0"/>
          <w:trHeight w:val="256"/>
          <w:jc w:val="center"/>
        </w:trPr>
        <w:tc>
          <w:tcPr>
            <w:cnfStyle w:val="001000000000" w:firstRow="0" w:lastRow="0" w:firstColumn="1" w:lastColumn="0" w:oddVBand="0" w:evenVBand="0" w:oddHBand="0" w:evenHBand="0" w:firstRowFirstColumn="0" w:firstRowLastColumn="0" w:lastRowFirstColumn="0" w:lastRowLastColumn="0"/>
            <w:tcW w:w="9740" w:type="dxa"/>
            <w:gridSpan w:val="10"/>
          </w:tcPr>
          <w:p w:rsidR="00C3766A" w:rsidRPr="007957D8" w:rsidRDefault="00C3766A" w:rsidP="00264215">
            <w:pPr>
              <w:jc w:val="center"/>
              <w:rPr>
                <w:rFonts w:ascii="Times New Roman" w:eastAsia="Times New Roman" w:hAnsi="Times New Roman" w:cs="Times New Roman"/>
                <w:color w:val="000000"/>
                <w:sz w:val="26"/>
                <w:szCs w:val="26"/>
                <w:lang w:eastAsia="ru-RU"/>
              </w:rPr>
            </w:pPr>
            <w:r w:rsidRPr="007957D8">
              <w:rPr>
                <w:rFonts w:ascii="Times New Roman" w:eastAsia="Times New Roman" w:hAnsi="Times New Roman" w:cs="Times New Roman"/>
                <w:color w:val="000000"/>
                <w:sz w:val="26"/>
                <w:szCs w:val="26"/>
                <w:lang w:eastAsia="ru-RU"/>
              </w:rPr>
              <w:t>Venituri</w:t>
            </w:r>
          </w:p>
        </w:tc>
      </w:tr>
      <w:tr w:rsidR="00C3766A" w:rsidRPr="004A76B8" w:rsidTr="00264215">
        <w:trPr>
          <w:trHeight w:val="490"/>
          <w:jc w:val="center"/>
        </w:trPr>
        <w:tc>
          <w:tcPr>
            <w:cnfStyle w:val="001000000000" w:firstRow="0" w:lastRow="0" w:firstColumn="1" w:lastColumn="0" w:oddVBand="0" w:evenVBand="0" w:oddHBand="0" w:evenHBand="0" w:firstRowFirstColumn="0" w:firstRowLastColumn="0" w:lastRowFirstColumn="0" w:lastRowLastColumn="0"/>
            <w:tcW w:w="1129" w:type="dxa"/>
            <w:hideMark/>
          </w:tcPr>
          <w:p w:rsidR="00C3766A" w:rsidRPr="004A76B8" w:rsidRDefault="00C3766A" w:rsidP="00264215">
            <w:pPr>
              <w:jc w:val="both"/>
              <w:rPr>
                <w:rFonts w:ascii="Times New Roman" w:eastAsia="Times New Roman" w:hAnsi="Times New Roman" w:cs="Times New Roman"/>
                <w:color w:val="000000"/>
                <w:sz w:val="24"/>
                <w:szCs w:val="24"/>
                <w:lang w:eastAsia="ru-RU"/>
              </w:rPr>
            </w:pPr>
            <w:r w:rsidRPr="004A76B8">
              <w:rPr>
                <w:rFonts w:ascii="Times New Roman" w:eastAsia="Times New Roman" w:hAnsi="Times New Roman" w:cs="Times New Roman"/>
                <w:color w:val="000000"/>
                <w:sz w:val="24"/>
                <w:szCs w:val="24"/>
                <w:lang w:eastAsia="ru-RU"/>
              </w:rPr>
              <w:lastRenderedPageBreak/>
              <w:t xml:space="preserve">BPN, </w:t>
            </w:r>
            <w:r w:rsidRPr="004F4F87">
              <w:rPr>
                <w:rFonts w:ascii="Times New Roman" w:eastAsia="Times New Roman" w:hAnsi="Times New Roman" w:cs="Times New Roman"/>
                <w:b w:val="0"/>
                <w:i/>
                <w:iCs/>
                <w:color w:val="000000"/>
                <w:sz w:val="24"/>
                <w:szCs w:val="24"/>
                <w:lang w:eastAsia="ru-RU"/>
              </w:rPr>
              <w:t>inclusiv:</w:t>
            </w:r>
          </w:p>
        </w:tc>
        <w:tc>
          <w:tcPr>
            <w:tcW w:w="953" w:type="dxa"/>
          </w:tcPr>
          <w:p w:rsidR="00C3766A" w:rsidRPr="00724EA2" w:rsidRDefault="00C3766A" w:rsidP="00457963">
            <w:pPr>
              <w:ind w:left="-148"/>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52774,8</w:t>
            </w:r>
          </w:p>
        </w:tc>
        <w:tc>
          <w:tcPr>
            <w:tcW w:w="993" w:type="dxa"/>
          </w:tcPr>
          <w:p w:rsidR="00C3766A" w:rsidRPr="004A76B8" w:rsidRDefault="00C3766A" w:rsidP="00457963">
            <w:pPr>
              <w:ind w:left="-10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4"/>
                <w:szCs w:val="24"/>
                <w:lang w:eastAsia="ru-RU"/>
              </w:rPr>
            </w:pPr>
            <w:r w:rsidRPr="004A76B8">
              <w:rPr>
                <w:rFonts w:ascii="Times New Roman" w:eastAsia="Times New Roman" w:hAnsi="Times New Roman" w:cs="Times New Roman"/>
                <w:b/>
                <w:bCs/>
                <w:color w:val="000000"/>
                <w:sz w:val="24"/>
                <w:szCs w:val="24"/>
                <w:lang w:eastAsia="ru-RU"/>
              </w:rPr>
              <w:t>533</w:t>
            </w:r>
            <w:r>
              <w:rPr>
                <w:rFonts w:ascii="Times New Roman" w:eastAsia="Times New Roman" w:hAnsi="Times New Roman" w:cs="Times New Roman"/>
                <w:b/>
                <w:bCs/>
                <w:color w:val="000000"/>
                <w:sz w:val="24"/>
                <w:szCs w:val="24"/>
                <w:lang w:eastAsia="ru-RU"/>
              </w:rPr>
              <w:t>77,6</w:t>
            </w:r>
          </w:p>
        </w:tc>
        <w:tc>
          <w:tcPr>
            <w:tcW w:w="988" w:type="dxa"/>
          </w:tcPr>
          <w:p w:rsidR="00C3766A" w:rsidRPr="00724EA2" w:rsidRDefault="00C3766A" w:rsidP="0045796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602,8</w:t>
            </w:r>
          </w:p>
        </w:tc>
        <w:tc>
          <w:tcPr>
            <w:tcW w:w="989" w:type="dxa"/>
          </w:tcPr>
          <w:p w:rsidR="00C3766A" w:rsidRPr="00724EA2" w:rsidRDefault="00C3766A" w:rsidP="0045796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101,1</w:t>
            </w:r>
          </w:p>
        </w:tc>
        <w:tc>
          <w:tcPr>
            <w:tcW w:w="999" w:type="dxa"/>
            <w:hideMark/>
          </w:tcPr>
          <w:p w:rsidR="00C3766A" w:rsidRPr="004A76B8" w:rsidRDefault="00C3766A" w:rsidP="0045796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4"/>
                <w:szCs w:val="24"/>
                <w:lang w:eastAsia="ru-RU"/>
              </w:rPr>
            </w:pPr>
            <w:r w:rsidRPr="00724EA2">
              <w:rPr>
                <w:rFonts w:ascii="Times New Roman" w:eastAsia="Times New Roman" w:hAnsi="Times New Roman" w:cs="Times New Roman"/>
                <w:b/>
                <w:bCs/>
                <w:color w:val="000000"/>
                <w:sz w:val="24"/>
                <w:szCs w:val="24"/>
                <w:lang w:eastAsia="ru-RU"/>
              </w:rPr>
              <w:t>45953,9</w:t>
            </w:r>
          </w:p>
        </w:tc>
        <w:tc>
          <w:tcPr>
            <w:tcW w:w="993" w:type="dxa"/>
          </w:tcPr>
          <w:p w:rsidR="00C3766A" w:rsidRPr="004A76B8" w:rsidRDefault="00C3766A" w:rsidP="0045796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7423,7</w:t>
            </w:r>
          </w:p>
        </w:tc>
        <w:tc>
          <w:tcPr>
            <w:tcW w:w="992" w:type="dxa"/>
          </w:tcPr>
          <w:p w:rsidR="00C3766A" w:rsidRPr="004A76B8" w:rsidRDefault="00C3766A" w:rsidP="0045796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116,2</w:t>
            </w:r>
          </w:p>
        </w:tc>
        <w:tc>
          <w:tcPr>
            <w:tcW w:w="850" w:type="dxa"/>
            <w:hideMark/>
          </w:tcPr>
          <w:p w:rsidR="00C3766A" w:rsidRPr="004A76B8" w:rsidRDefault="00C3766A" w:rsidP="0045796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33,9</w:t>
            </w:r>
          </w:p>
        </w:tc>
        <w:tc>
          <w:tcPr>
            <w:tcW w:w="854" w:type="dxa"/>
            <w:hideMark/>
          </w:tcPr>
          <w:p w:rsidR="00C3766A" w:rsidRPr="004A76B8" w:rsidRDefault="00C3766A" w:rsidP="0045796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4"/>
                <w:szCs w:val="24"/>
                <w:lang w:eastAsia="ru-RU"/>
              </w:rPr>
            </w:pPr>
            <w:r w:rsidRPr="004A76B8">
              <w:rPr>
                <w:rFonts w:ascii="Times New Roman" w:eastAsia="Times New Roman" w:hAnsi="Times New Roman" w:cs="Times New Roman"/>
                <w:b/>
                <w:bCs/>
                <w:color w:val="000000"/>
                <w:sz w:val="24"/>
                <w:szCs w:val="24"/>
                <w:lang w:eastAsia="ru-RU"/>
              </w:rPr>
              <w:t>35,5</w:t>
            </w:r>
          </w:p>
        </w:tc>
      </w:tr>
      <w:tr w:rsidR="00C3766A" w:rsidRPr="004A76B8" w:rsidTr="00264215">
        <w:trPr>
          <w:cnfStyle w:val="000000100000" w:firstRow="0" w:lastRow="0" w:firstColumn="0" w:lastColumn="0" w:oddVBand="0" w:evenVBand="0" w:oddHBand="1" w:evenHBand="0" w:firstRowFirstColumn="0" w:firstRowLastColumn="0" w:lastRowFirstColumn="0" w:lastRowLastColumn="0"/>
          <w:trHeight w:val="256"/>
          <w:jc w:val="center"/>
        </w:trPr>
        <w:tc>
          <w:tcPr>
            <w:cnfStyle w:val="001000000000" w:firstRow="0" w:lastRow="0" w:firstColumn="1" w:lastColumn="0" w:oddVBand="0" w:evenVBand="0" w:oddHBand="0" w:evenHBand="0" w:firstRowFirstColumn="0" w:firstRowLastColumn="0" w:lastRowFirstColumn="0" w:lastRowLastColumn="0"/>
            <w:tcW w:w="1129" w:type="dxa"/>
            <w:hideMark/>
          </w:tcPr>
          <w:p w:rsidR="00C3766A" w:rsidRPr="004A76B8" w:rsidRDefault="00C3766A" w:rsidP="00264215">
            <w:pPr>
              <w:jc w:val="both"/>
              <w:rPr>
                <w:rFonts w:ascii="Times New Roman" w:eastAsia="Times New Roman" w:hAnsi="Times New Roman" w:cs="Times New Roman"/>
                <w:i/>
                <w:iCs/>
                <w:color w:val="000000"/>
                <w:sz w:val="24"/>
                <w:szCs w:val="24"/>
                <w:lang w:eastAsia="ru-RU"/>
              </w:rPr>
            </w:pPr>
            <w:r w:rsidRPr="004A76B8">
              <w:rPr>
                <w:rFonts w:ascii="Times New Roman" w:eastAsia="Times New Roman" w:hAnsi="Times New Roman" w:cs="Times New Roman"/>
                <w:i/>
                <w:iCs/>
                <w:color w:val="000000"/>
                <w:sz w:val="24"/>
                <w:szCs w:val="24"/>
                <w:lang w:eastAsia="ru-RU"/>
              </w:rPr>
              <w:t>BS</w:t>
            </w:r>
          </w:p>
        </w:tc>
        <w:tc>
          <w:tcPr>
            <w:tcW w:w="953" w:type="dxa"/>
          </w:tcPr>
          <w:p w:rsidR="00C3766A" w:rsidRPr="004F4F87" w:rsidRDefault="00C3766A" w:rsidP="00457963">
            <w:pPr>
              <w:ind w:left="-148"/>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33778,3</w:t>
            </w:r>
          </w:p>
        </w:tc>
        <w:tc>
          <w:tcPr>
            <w:tcW w:w="993" w:type="dxa"/>
          </w:tcPr>
          <w:p w:rsidR="00C3766A" w:rsidRPr="004F4F87" w:rsidRDefault="00C3766A" w:rsidP="00457963">
            <w:pPr>
              <w:ind w:left="-10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color w:val="000000"/>
                <w:sz w:val="24"/>
                <w:szCs w:val="24"/>
                <w:lang w:eastAsia="ru-RU"/>
              </w:rPr>
            </w:pPr>
            <w:r w:rsidRPr="004F4F87">
              <w:rPr>
                <w:rFonts w:ascii="Times New Roman" w:eastAsia="Times New Roman" w:hAnsi="Times New Roman" w:cs="Times New Roman"/>
                <w:iCs/>
                <w:color w:val="000000"/>
                <w:sz w:val="24"/>
                <w:szCs w:val="24"/>
                <w:lang w:eastAsia="ru-RU"/>
              </w:rPr>
              <w:t>33947,4</w:t>
            </w:r>
          </w:p>
        </w:tc>
        <w:tc>
          <w:tcPr>
            <w:tcW w:w="988" w:type="dxa"/>
          </w:tcPr>
          <w:p w:rsidR="00C3766A" w:rsidRPr="004F4F87" w:rsidRDefault="00C3766A" w:rsidP="0045796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169,1</w:t>
            </w:r>
          </w:p>
        </w:tc>
        <w:tc>
          <w:tcPr>
            <w:tcW w:w="989" w:type="dxa"/>
          </w:tcPr>
          <w:p w:rsidR="00C3766A" w:rsidRPr="004F4F87" w:rsidRDefault="00C3766A" w:rsidP="0045796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100,5</w:t>
            </w:r>
          </w:p>
        </w:tc>
        <w:tc>
          <w:tcPr>
            <w:tcW w:w="999" w:type="dxa"/>
            <w:hideMark/>
          </w:tcPr>
          <w:p w:rsidR="00C3766A" w:rsidRPr="004F4F87" w:rsidRDefault="00C3766A" w:rsidP="0045796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color w:val="000000"/>
                <w:sz w:val="24"/>
                <w:szCs w:val="24"/>
                <w:lang w:eastAsia="ru-RU"/>
              </w:rPr>
            </w:pPr>
            <w:r w:rsidRPr="004F4F87">
              <w:rPr>
                <w:rFonts w:ascii="Times New Roman" w:eastAsia="Times New Roman" w:hAnsi="Times New Roman" w:cs="Times New Roman"/>
                <w:iCs/>
                <w:color w:val="000000"/>
                <w:sz w:val="24"/>
                <w:szCs w:val="24"/>
                <w:lang w:eastAsia="ru-RU"/>
              </w:rPr>
              <w:t>28879,6</w:t>
            </w:r>
          </w:p>
        </w:tc>
        <w:tc>
          <w:tcPr>
            <w:tcW w:w="993" w:type="dxa"/>
          </w:tcPr>
          <w:p w:rsidR="00C3766A" w:rsidRPr="004F4F87" w:rsidRDefault="00C3766A" w:rsidP="0045796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color w:val="000000"/>
                <w:sz w:val="24"/>
                <w:szCs w:val="24"/>
                <w:lang w:eastAsia="ru-RU"/>
              </w:rPr>
            </w:pPr>
            <w:r w:rsidRPr="004F4F87">
              <w:rPr>
                <w:rFonts w:ascii="Times New Roman" w:eastAsia="Times New Roman" w:hAnsi="Times New Roman" w:cs="Times New Roman"/>
                <w:iCs/>
                <w:color w:val="000000"/>
                <w:sz w:val="24"/>
                <w:szCs w:val="24"/>
                <w:lang w:eastAsia="ru-RU"/>
              </w:rPr>
              <w:t>5067,8</w:t>
            </w:r>
          </w:p>
        </w:tc>
        <w:tc>
          <w:tcPr>
            <w:tcW w:w="992" w:type="dxa"/>
          </w:tcPr>
          <w:p w:rsidR="00C3766A" w:rsidRPr="004F4F87" w:rsidRDefault="00C3766A" w:rsidP="0045796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color w:val="000000"/>
                <w:sz w:val="24"/>
                <w:szCs w:val="24"/>
                <w:lang w:eastAsia="ru-RU"/>
              </w:rPr>
            </w:pPr>
            <w:r w:rsidRPr="004F4F87">
              <w:rPr>
                <w:rFonts w:ascii="Times New Roman" w:eastAsia="Times New Roman" w:hAnsi="Times New Roman" w:cs="Times New Roman"/>
                <w:iCs/>
                <w:color w:val="000000"/>
                <w:sz w:val="24"/>
                <w:szCs w:val="24"/>
                <w:lang w:eastAsia="ru-RU"/>
              </w:rPr>
              <w:t>117,5</w:t>
            </w:r>
          </w:p>
        </w:tc>
        <w:tc>
          <w:tcPr>
            <w:tcW w:w="850" w:type="dxa"/>
            <w:hideMark/>
          </w:tcPr>
          <w:p w:rsidR="00C3766A" w:rsidRPr="004F4F87" w:rsidRDefault="00C3766A" w:rsidP="0045796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color w:val="000000"/>
                <w:sz w:val="24"/>
                <w:szCs w:val="24"/>
                <w:lang w:eastAsia="ru-RU"/>
              </w:rPr>
            </w:pPr>
            <w:r w:rsidRPr="004F4F87">
              <w:rPr>
                <w:rFonts w:ascii="Times New Roman" w:eastAsia="Times New Roman" w:hAnsi="Times New Roman" w:cs="Times New Roman"/>
                <w:iCs/>
                <w:color w:val="000000"/>
                <w:sz w:val="24"/>
                <w:szCs w:val="24"/>
                <w:lang w:eastAsia="ru-RU"/>
              </w:rPr>
              <w:t>21,3</w:t>
            </w:r>
          </w:p>
        </w:tc>
        <w:tc>
          <w:tcPr>
            <w:tcW w:w="854" w:type="dxa"/>
            <w:hideMark/>
          </w:tcPr>
          <w:p w:rsidR="00C3766A" w:rsidRPr="004F4F87" w:rsidRDefault="00C3766A" w:rsidP="0045796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color w:val="000000"/>
                <w:sz w:val="24"/>
                <w:szCs w:val="24"/>
                <w:lang w:eastAsia="ru-RU"/>
              </w:rPr>
            </w:pPr>
            <w:r w:rsidRPr="004F4F87">
              <w:rPr>
                <w:rFonts w:ascii="Times New Roman" w:eastAsia="Times New Roman" w:hAnsi="Times New Roman" w:cs="Times New Roman"/>
                <w:iCs/>
                <w:color w:val="000000"/>
                <w:sz w:val="24"/>
                <w:szCs w:val="24"/>
                <w:lang w:eastAsia="ru-RU"/>
              </w:rPr>
              <w:t>22,6</w:t>
            </w:r>
          </w:p>
        </w:tc>
      </w:tr>
      <w:tr w:rsidR="00C3766A" w:rsidRPr="004A76B8" w:rsidTr="00264215">
        <w:trPr>
          <w:trHeight w:val="256"/>
          <w:jc w:val="center"/>
        </w:trPr>
        <w:tc>
          <w:tcPr>
            <w:cnfStyle w:val="001000000000" w:firstRow="0" w:lastRow="0" w:firstColumn="1" w:lastColumn="0" w:oddVBand="0" w:evenVBand="0" w:oddHBand="0" w:evenHBand="0" w:firstRowFirstColumn="0" w:firstRowLastColumn="0" w:lastRowFirstColumn="0" w:lastRowLastColumn="0"/>
            <w:tcW w:w="1129" w:type="dxa"/>
            <w:hideMark/>
          </w:tcPr>
          <w:p w:rsidR="00C3766A" w:rsidRPr="004A76B8" w:rsidRDefault="00C3766A" w:rsidP="00264215">
            <w:pPr>
              <w:jc w:val="both"/>
              <w:rPr>
                <w:rFonts w:ascii="Times New Roman" w:eastAsia="Times New Roman" w:hAnsi="Times New Roman" w:cs="Times New Roman"/>
                <w:i/>
                <w:iCs/>
                <w:color w:val="000000"/>
                <w:sz w:val="24"/>
                <w:szCs w:val="24"/>
                <w:lang w:eastAsia="ru-RU"/>
              </w:rPr>
            </w:pPr>
            <w:r w:rsidRPr="004A76B8">
              <w:rPr>
                <w:rFonts w:ascii="Times New Roman" w:eastAsia="Times New Roman" w:hAnsi="Times New Roman" w:cs="Times New Roman"/>
                <w:i/>
                <w:iCs/>
                <w:color w:val="000000"/>
                <w:sz w:val="24"/>
                <w:szCs w:val="24"/>
                <w:lang w:eastAsia="ru-RU"/>
              </w:rPr>
              <w:t>BASS</w:t>
            </w:r>
          </w:p>
        </w:tc>
        <w:tc>
          <w:tcPr>
            <w:tcW w:w="953" w:type="dxa"/>
          </w:tcPr>
          <w:p w:rsidR="00C3766A" w:rsidRPr="004F4F87" w:rsidRDefault="00C3766A" w:rsidP="00457963">
            <w:pPr>
              <w:ind w:left="-148"/>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17663,6</w:t>
            </w:r>
          </w:p>
        </w:tc>
        <w:tc>
          <w:tcPr>
            <w:tcW w:w="993" w:type="dxa"/>
          </w:tcPr>
          <w:p w:rsidR="00C3766A" w:rsidRPr="004F4F87" w:rsidRDefault="00C3766A" w:rsidP="00457963">
            <w:pPr>
              <w:ind w:left="-10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000000"/>
                <w:sz w:val="24"/>
                <w:szCs w:val="24"/>
                <w:lang w:eastAsia="ru-RU"/>
              </w:rPr>
            </w:pPr>
            <w:r w:rsidRPr="004F4F87">
              <w:rPr>
                <w:rFonts w:ascii="Times New Roman" w:eastAsia="Times New Roman" w:hAnsi="Times New Roman" w:cs="Times New Roman"/>
                <w:iCs/>
                <w:color w:val="000000"/>
                <w:sz w:val="24"/>
                <w:szCs w:val="24"/>
                <w:lang w:eastAsia="ru-RU"/>
              </w:rPr>
              <w:t>17818,7</w:t>
            </w:r>
          </w:p>
        </w:tc>
        <w:tc>
          <w:tcPr>
            <w:tcW w:w="988" w:type="dxa"/>
          </w:tcPr>
          <w:p w:rsidR="00C3766A" w:rsidRPr="004F4F87" w:rsidRDefault="00C3766A" w:rsidP="0045796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155,1</w:t>
            </w:r>
          </w:p>
        </w:tc>
        <w:tc>
          <w:tcPr>
            <w:tcW w:w="989" w:type="dxa"/>
          </w:tcPr>
          <w:p w:rsidR="00C3766A" w:rsidRPr="004F4F87" w:rsidRDefault="00C3766A" w:rsidP="0045796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100,9</w:t>
            </w:r>
          </w:p>
        </w:tc>
        <w:tc>
          <w:tcPr>
            <w:tcW w:w="999" w:type="dxa"/>
            <w:hideMark/>
          </w:tcPr>
          <w:p w:rsidR="00C3766A" w:rsidRPr="004F4F87" w:rsidRDefault="00C3766A" w:rsidP="0045796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000000"/>
                <w:sz w:val="24"/>
                <w:szCs w:val="24"/>
                <w:lang w:eastAsia="ru-RU"/>
              </w:rPr>
            </w:pPr>
            <w:r w:rsidRPr="004F4F87">
              <w:rPr>
                <w:rFonts w:ascii="Times New Roman" w:eastAsia="Times New Roman" w:hAnsi="Times New Roman" w:cs="Times New Roman"/>
                <w:iCs/>
                <w:color w:val="000000"/>
                <w:sz w:val="24"/>
                <w:szCs w:val="24"/>
                <w:lang w:eastAsia="ru-RU"/>
              </w:rPr>
              <w:t>15060,6</w:t>
            </w:r>
          </w:p>
        </w:tc>
        <w:tc>
          <w:tcPr>
            <w:tcW w:w="993" w:type="dxa"/>
          </w:tcPr>
          <w:p w:rsidR="00C3766A" w:rsidRPr="004F4F87" w:rsidRDefault="00C3766A" w:rsidP="0045796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000000"/>
                <w:sz w:val="24"/>
                <w:szCs w:val="24"/>
                <w:lang w:eastAsia="ru-RU"/>
              </w:rPr>
            </w:pPr>
            <w:r w:rsidRPr="004F4F87">
              <w:rPr>
                <w:rFonts w:ascii="Times New Roman" w:eastAsia="Times New Roman" w:hAnsi="Times New Roman" w:cs="Times New Roman"/>
                <w:iCs/>
                <w:color w:val="000000"/>
                <w:sz w:val="24"/>
                <w:szCs w:val="24"/>
                <w:lang w:eastAsia="ru-RU"/>
              </w:rPr>
              <w:t>2758,1</w:t>
            </w:r>
          </w:p>
        </w:tc>
        <w:tc>
          <w:tcPr>
            <w:tcW w:w="992" w:type="dxa"/>
          </w:tcPr>
          <w:p w:rsidR="00C3766A" w:rsidRPr="004F4F87" w:rsidRDefault="00C3766A" w:rsidP="0045796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000000"/>
                <w:sz w:val="24"/>
                <w:szCs w:val="24"/>
                <w:lang w:eastAsia="ru-RU"/>
              </w:rPr>
            </w:pPr>
            <w:r w:rsidRPr="004F4F87">
              <w:rPr>
                <w:rFonts w:ascii="Times New Roman" w:eastAsia="Times New Roman" w:hAnsi="Times New Roman" w:cs="Times New Roman"/>
                <w:iCs/>
                <w:color w:val="000000"/>
                <w:sz w:val="24"/>
                <w:szCs w:val="24"/>
                <w:lang w:eastAsia="ru-RU"/>
              </w:rPr>
              <w:t>118,3</w:t>
            </w:r>
          </w:p>
        </w:tc>
        <w:tc>
          <w:tcPr>
            <w:tcW w:w="850" w:type="dxa"/>
            <w:hideMark/>
          </w:tcPr>
          <w:p w:rsidR="00C3766A" w:rsidRPr="004F4F87" w:rsidRDefault="00C3766A" w:rsidP="0045796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000000"/>
                <w:sz w:val="24"/>
                <w:szCs w:val="24"/>
                <w:lang w:eastAsia="ru-RU"/>
              </w:rPr>
            </w:pPr>
            <w:r w:rsidRPr="004F4F87">
              <w:rPr>
                <w:rFonts w:ascii="Times New Roman" w:eastAsia="Times New Roman" w:hAnsi="Times New Roman" w:cs="Times New Roman"/>
                <w:iCs/>
                <w:color w:val="000000"/>
                <w:sz w:val="24"/>
                <w:szCs w:val="24"/>
                <w:lang w:eastAsia="ru-RU"/>
              </w:rPr>
              <w:t>11,1</w:t>
            </w:r>
          </w:p>
        </w:tc>
        <w:tc>
          <w:tcPr>
            <w:tcW w:w="854" w:type="dxa"/>
            <w:hideMark/>
          </w:tcPr>
          <w:p w:rsidR="00C3766A" w:rsidRPr="004F4F87" w:rsidRDefault="00C3766A" w:rsidP="0045796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000000"/>
                <w:sz w:val="24"/>
                <w:szCs w:val="24"/>
                <w:lang w:eastAsia="ru-RU"/>
              </w:rPr>
            </w:pPr>
            <w:r w:rsidRPr="004F4F87">
              <w:rPr>
                <w:rFonts w:ascii="Times New Roman" w:eastAsia="Times New Roman" w:hAnsi="Times New Roman" w:cs="Times New Roman"/>
                <w:iCs/>
                <w:color w:val="000000"/>
                <w:sz w:val="24"/>
                <w:szCs w:val="24"/>
                <w:lang w:eastAsia="ru-RU"/>
              </w:rPr>
              <w:t>11,8</w:t>
            </w:r>
          </w:p>
        </w:tc>
      </w:tr>
      <w:tr w:rsidR="00C3766A" w:rsidRPr="004A76B8" w:rsidTr="00264215">
        <w:trPr>
          <w:cnfStyle w:val="000000100000" w:firstRow="0" w:lastRow="0" w:firstColumn="0" w:lastColumn="0" w:oddVBand="0" w:evenVBand="0" w:oddHBand="1" w:evenHBand="0" w:firstRowFirstColumn="0" w:firstRowLastColumn="0" w:lastRowFirstColumn="0" w:lastRowLastColumn="0"/>
          <w:trHeight w:val="256"/>
          <w:jc w:val="center"/>
        </w:trPr>
        <w:tc>
          <w:tcPr>
            <w:cnfStyle w:val="001000000000" w:firstRow="0" w:lastRow="0" w:firstColumn="1" w:lastColumn="0" w:oddVBand="0" w:evenVBand="0" w:oddHBand="0" w:evenHBand="0" w:firstRowFirstColumn="0" w:firstRowLastColumn="0" w:lastRowFirstColumn="0" w:lastRowLastColumn="0"/>
            <w:tcW w:w="1129" w:type="dxa"/>
            <w:hideMark/>
          </w:tcPr>
          <w:p w:rsidR="00C3766A" w:rsidRPr="004A76B8" w:rsidRDefault="00C3766A" w:rsidP="00264215">
            <w:pPr>
              <w:jc w:val="both"/>
              <w:rPr>
                <w:rFonts w:ascii="Times New Roman" w:eastAsia="Times New Roman" w:hAnsi="Times New Roman" w:cs="Times New Roman"/>
                <w:i/>
                <w:iCs/>
                <w:color w:val="000000"/>
                <w:sz w:val="24"/>
                <w:szCs w:val="24"/>
                <w:lang w:eastAsia="ru-RU"/>
              </w:rPr>
            </w:pPr>
            <w:r w:rsidRPr="004A76B8">
              <w:rPr>
                <w:rFonts w:ascii="Times New Roman" w:eastAsia="Times New Roman" w:hAnsi="Times New Roman" w:cs="Times New Roman"/>
                <w:i/>
                <w:iCs/>
                <w:color w:val="000000"/>
                <w:sz w:val="24"/>
                <w:szCs w:val="24"/>
                <w:lang w:eastAsia="ru-RU"/>
              </w:rPr>
              <w:t>FAOAM</w:t>
            </w:r>
          </w:p>
        </w:tc>
        <w:tc>
          <w:tcPr>
            <w:tcW w:w="953" w:type="dxa"/>
          </w:tcPr>
          <w:p w:rsidR="00C3766A" w:rsidRPr="004F4F87" w:rsidRDefault="00C3766A" w:rsidP="00457963">
            <w:pPr>
              <w:ind w:left="-148"/>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6228,6</w:t>
            </w:r>
          </w:p>
        </w:tc>
        <w:tc>
          <w:tcPr>
            <w:tcW w:w="993" w:type="dxa"/>
          </w:tcPr>
          <w:p w:rsidR="00C3766A" w:rsidRPr="004F4F87" w:rsidRDefault="00C3766A" w:rsidP="00457963">
            <w:pPr>
              <w:ind w:left="-10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color w:val="000000"/>
                <w:sz w:val="24"/>
                <w:szCs w:val="24"/>
                <w:lang w:eastAsia="ru-RU"/>
              </w:rPr>
            </w:pPr>
            <w:r w:rsidRPr="004F4F87">
              <w:rPr>
                <w:rFonts w:ascii="Times New Roman" w:eastAsia="Times New Roman" w:hAnsi="Times New Roman" w:cs="Times New Roman"/>
                <w:iCs/>
                <w:color w:val="000000"/>
                <w:sz w:val="24"/>
                <w:szCs w:val="24"/>
                <w:lang w:eastAsia="ru-RU"/>
              </w:rPr>
              <w:t>6256,6</w:t>
            </w:r>
          </w:p>
        </w:tc>
        <w:tc>
          <w:tcPr>
            <w:tcW w:w="988" w:type="dxa"/>
          </w:tcPr>
          <w:p w:rsidR="00C3766A" w:rsidRPr="004F4F87" w:rsidRDefault="00C3766A" w:rsidP="0045796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28,0</w:t>
            </w:r>
          </w:p>
        </w:tc>
        <w:tc>
          <w:tcPr>
            <w:tcW w:w="989" w:type="dxa"/>
          </w:tcPr>
          <w:p w:rsidR="00C3766A" w:rsidRPr="004F4F87" w:rsidRDefault="00C3766A" w:rsidP="0045796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100,4</w:t>
            </w:r>
          </w:p>
        </w:tc>
        <w:tc>
          <w:tcPr>
            <w:tcW w:w="999" w:type="dxa"/>
            <w:hideMark/>
          </w:tcPr>
          <w:p w:rsidR="00C3766A" w:rsidRPr="004F4F87" w:rsidRDefault="00C3766A" w:rsidP="0045796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color w:val="000000"/>
                <w:sz w:val="24"/>
                <w:szCs w:val="24"/>
                <w:lang w:eastAsia="ru-RU"/>
              </w:rPr>
            </w:pPr>
            <w:r w:rsidRPr="004F4F87">
              <w:rPr>
                <w:rFonts w:ascii="Times New Roman" w:eastAsia="Times New Roman" w:hAnsi="Times New Roman" w:cs="Times New Roman"/>
                <w:iCs/>
                <w:color w:val="000000"/>
                <w:sz w:val="24"/>
                <w:szCs w:val="24"/>
                <w:lang w:eastAsia="ru-RU"/>
              </w:rPr>
              <w:t>5764,2</w:t>
            </w:r>
          </w:p>
        </w:tc>
        <w:tc>
          <w:tcPr>
            <w:tcW w:w="993" w:type="dxa"/>
          </w:tcPr>
          <w:p w:rsidR="00C3766A" w:rsidRPr="004F4F87" w:rsidRDefault="00C3766A" w:rsidP="0045796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color w:val="000000"/>
                <w:sz w:val="24"/>
                <w:szCs w:val="24"/>
                <w:lang w:eastAsia="ru-RU"/>
              </w:rPr>
            </w:pPr>
            <w:r w:rsidRPr="004F4F87">
              <w:rPr>
                <w:rFonts w:ascii="Times New Roman" w:eastAsia="Times New Roman" w:hAnsi="Times New Roman" w:cs="Times New Roman"/>
                <w:iCs/>
                <w:color w:val="000000"/>
                <w:sz w:val="24"/>
                <w:szCs w:val="24"/>
                <w:lang w:eastAsia="ru-RU"/>
              </w:rPr>
              <w:t>492,4</w:t>
            </w:r>
          </w:p>
        </w:tc>
        <w:tc>
          <w:tcPr>
            <w:tcW w:w="992" w:type="dxa"/>
          </w:tcPr>
          <w:p w:rsidR="00C3766A" w:rsidRPr="004F4F87" w:rsidRDefault="00C3766A" w:rsidP="0045796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color w:val="000000"/>
                <w:sz w:val="24"/>
                <w:szCs w:val="24"/>
                <w:lang w:eastAsia="ru-RU"/>
              </w:rPr>
            </w:pPr>
            <w:r w:rsidRPr="004F4F87">
              <w:rPr>
                <w:rFonts w:ascii="Times New Roman" w:eastAsia="Times New Roman" w:hAnsi="Times New Roman" w:cs="Times New Roman"/>
                <w:iCs/>
                <w:color w:val="000000"/>
                <w:sz w:val="24"/>
                <w:szCs w:val="24"/>
                <w:lang w:eastAsia="ru-RU"/>
              </w:rPr>
              <w:t>108,5</w:t>
            </w:r>
          </w:p>
        </w:tc>
        <w:tc>
          <w:tcPr>
            <w:tcW w:w="850" w:type="dxa"/>
            <w:hideMark/>
          </w:tcPr>
          <w:p w:rsidR="00C3766A" w:rsidRPr="004F4F87" w:rsidRDefault="00C3766A" w:rsidP="0045796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color w:val="000000"/>
                <w:sz w:val="24"/>
                <w:szCs w:val="24"/>
                <w:lang w:eastAsia="ru-RU"/>
              </w:rPr>
            </w:pPr>
            <w:r w:rsidRPr="004F4F87">
              <w:rPr>
                <w:rFonts w:ascii="Times New Roman" w:eastAsia="Times New Roman" w:hAnsi="Times New Roman" w:cs="Times New Roman"/>
                <w:iCs/>
                <w:color w:val="000000"/>
                <w:sz w:val="24"/>
                <w:szCs w:val="24"/>
                <w:lang w:eastAsia="ru-RU"/>
              </w:rPr>
              <w:t>4,2</w:t>
            </w:r>
          </w:p>
        </w:tc>
        <w:tc>
          <w:tcPr>
            <w:tcW w:w="854" w:type="dxa"/>
            <w:hideMark/>
          </w:tcPr>
          <w:p w:rsidR="00C3766A" w:rsidRPr="004F4F87" w:rsidRDefault="00C3766A" w:rsidP="0045796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color w:val="000000"/>
                <w:sz w:val="24"/>
                <w:szCs w:val="24"/>
                <w:lang w:eastAsia="ru-RU"/>
              </w:rPr>
            </w:pPr>
            <w:r w:rsidRPr="004F4F87">
              <w:rPr>
                <w:rFonts w:ascii="Times New Roman" w:eastAsia="Times New Roman" w:hAnsi="Times New Roman" w:cs="Times New Roman"/>
                <w:iCs/>
                <w:color w:val="000000"/>
                <w:sz w:val="24"/>
                <w:szCs w:val="24"/>
                <w:lang w:eastAsia="ru-RU"/>
              </w:rPr>
              <w:t>4,2</w:t>
            </w:r>
          </w:p>
        </w:tc>
      </w:tr>
      <w:tr w:rsidR="00C3766A" w:rsidRPr="004A76B8" w:rsidTr="00264215">
        <w:trPr>
          <w:trHeight w:val="256"/>
          <w:jc w:val="center"/>
        </w:trPr>
        <w:tc>
          <w:tcPr>
            <w:cnfStyle w:val="001000000000" w:firstRow="0" w:lastRow="0" w:firstColumn="1" w:lastColumn="0" w:oddVBand="0" w:evenVBand="0" w:oddHBand="0" w:evenHBand="0" w:firstRowFirstColumn="0" w:firstRowLastColumn="0" w:lastRowFirstColumn="0" w:lastRowLastColumn="0"/>
            <w:tcW w:w="1129" w:type="dxa"/>
            <w:hideMark/>
          </w:tcPr>
          <w:p w:rsidR="00C3766A" w:rsidRPr="004A76B8" w:rsidRDefault="00C3766A" w:rsidP="00264215">
            <w:pPr>
              <w:jc w:val="both"/>
              <w:rPr>
                <w:rFonts w:ascii="Times New Roman" w:eastAsia="Times New Roman" w:hAnsi="Times New Roman" w:cs="Times New Roman"/>
                <w:i/>
                <w:iCs/>
                <w:color w:val="000000"/>
                <w:sz w:val="24"/>
                <w:szCs w:val="24"/>
                <w:lang w:eastAsia="ru-RU"/>
              </w:rPr>
            </w:pPr>
            <w:r w:rsidRPr="004A76B8">
              <w:rPr>
                <w:rFonts w:ascii="Times New Roman" w:eastAsia="Times New Roman" w:hAnsi="Times New Roman" w:cs="Times New Roman"/>
                <w:i/>
                <w:iCs/>
                <w:color w:val="000000"/>
                <w:sz w:val="24"/>
                <w:szCs w:val="24"/>
                <w:lang w:eastAsia="ru-RU"/>
              </w:rPr>
              <w:t>BUAT</w:t>
            </w:r>
          </w:p>
        </w:tc>
        <w:tc>
          <w:tcPr>
            <w:tcW w:w="953" w:type="dxa"/>
          </w:tcPr>
          <w:p w:rsidR="00C3766A" w:rsidRPr="004F4F87" w:rsidRDefault="00C3766A" w:rsidP="00457963">
            <w:pPr>
              <w:ind w:left="-148"/>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13452,9</w:t>
            </w:r>
          </w:p>
        </w:tc>
        <w:tc>
          <w:tcPr>
            <w:tcW w:w="993" w:type="dxa"/>
          </w:tcPr>
          <w:p w:rsidR="00C3766A" w:rsidRPr="004F4F87" w:rsidRDefault="00C3766A" w:rsidP="00457963">
            <w:pPr>
              <w:ind w:left="-10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000000"/>
                <w:sz w:val="24"/>
                <w:szCs w:val="24"/>
                <w:lang w:eastAsia="ru-RU"/>
              </w:rPr>
            </w:pPr>
            <w:r w:rsidRPr="004F4F87">
              <w:rPr>
                <w:rFonts w:ascii="Times New Roman" w:eastAsia="Times New Roman" w:hAnsi="Times New Roman" w:cs="Times New Roman"/>
                <w:iCs/>
                <w:color w:val="000000"/>
                <w:sz w:val="24"/>
                <w:szCs w:val="24"/>
                <w:lang w:eastAsia="ru-RU"/>
              </w:rPr>
              <w:t>13461,5</w:t>
            </w:r>
          </w:p>
        </w:tc>
        <w:tc>
          <w:tcPr>
            <w:tcW w:w="988" w:type="dxa"/>
          </w:tcPr>
          <w:p w:rsidR="00C3766A" w:rsidRPr="004F4F87" w:rsidRDefault="00C3766A" w:rsidP="0045796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8,6</w:t>
            </w:r>
          </w:p>
        </w:tc>
        <w:tc>
          <w:tcPr>
            <w:tcW w:w="989" w:type="dxa"/>
          </w:tcPr>
          <w:p w:rsidR="00C3766A" w:rsidRPr="004F4F87" w:rsidRDefault="00C3766A" w:rsidP="0045796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100,1</w:t>
            </w:r>
          </w:p>
        </w:tc>
        <w:tc>
          <w:tcPr>
            <w:tcW w:w="999" w:type="dxa"/>
            <w:hideMark/>
          </w:tcPr>
          <w:p w:rsidR="00C3766A" w:rsidRPr="004F4F87" w:rsidRDefault="00C3766A" w:rsidP="0045796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000000"/>
                <w:sz w:val="24"/>
                <w:szCs w:val="24"/>
                <w:lang w:eastAsia="ru-RU"/>
              </w:rPr>
            </w:pPr>
            <w:r w:rsidRPr="004F4F87">
              <w:rPr>
                <w:rFonts w:ascii="Times New Roman" w:eastAsia="Times New Roman" w:hAnsi="Times New Roman" w:cs="Times New Roman"/>
                <w:iCs/>
                <w:color w:val="000000"/>
                <w:sz w:val="24"/>
                <w:szCs w:val="24"/>
                <w:lang w:eastAsia="ru-RU"/>
              </w:rPr>
              <w:t>12053,0</w:t>
            </w:r>
          </w:p>
        </w:tc>
        <w:tc>
          <w:tcPr>
            <w:tcW w:w="993" w:type="dxa"/>
          </w:tcPr>
          <w:p w:rsidR="00C3766A" w:rsidRPr="004F4F87" w:rsidRDefault="00C3766A" w:rsidP="0045796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000000"/>
                <w:sz w:val="24"/>
                <w:szCs w:val="24"/>
                <w:lang w:eastAsia="ru-RU"/>
              </w:rPr>
            </w:pPr>
            <w:r w:rsidRPr="004F4F87">
              <w:rPr>
                <w:rFonts w:ascii="Times New Roman" w:eastAsia="Times New Roman" w:hAnsi="Times New Roman" w:cs="Times New Roman"/>
                <w:iCs/>
                <w:color w:val="000000"/>
                <w:sz w:val="24"/>
                <w:szCs w:val="24"/>
                <w:lang w:eastAsia="ru-RU"/>
              </w:rPr>
              <w:t>1408,5</w:t>
            </w:r>
          </w:p>
        </w:tc>
        <w:tc>
          <w:tcPr>
            <w:tcW w:w="992" w:type="dxa"/>
          </w:tcPr>
          <w:p w:rsidR="00C3766A" w:rsidRPr="004F4F87" w:rsidRDefault="00C3766A" w:rsidP="0045796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000000"/>
                <w:sz w:val="24"/>
                <w:szCs w:val="24"/>
                <w:lang w:eastAsia="ru-RU"/>
              </w:rPr>
            </w:pPr>
            <w:r w:rsidRPr="004F4F87">
              <w:rPr>
                <w:rFonts w:ascii="Times New Roman" w:eastAsia="Times New Roman" w:hAnsi="Times New Roman" w:cs="Times New Roman"/>
                <w:iCs/>
                <w:color w:val="000000"/>
                <w:sz w:val="24"/>
                <w:szCs w:val="24"/>
                <w:lang w:eastAsia="ru-RU"/>
              </w:rPr>
              <w:t>111,7</w:t>
            </w:r>
          </w:p>
        </w:tc>
        <w:tc>
          <w:tcPr>
            <w:tcW w:w="850" w:type="dxa"/>
            <w:hideMark/>
          </w:tcPr>
          <w:p w:rsidR="00C3766A" w:rsidRPr="004F4F87" w:rsidRDefault="00C3766A" w:rsidP="0045796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000000"/>
                <w:sz w:val="24"/>
                <w:szCs w:val="24"/>
                <w:lang w:eastAsia="ru-RU"/>
              </w:rPr>
            </w:pPr>
            <w:r w:rsidRPr="004F4F87">
              <w:rPr>
                <w:rFonts w:ascii="Times New Roman" w:eastAsia="Times New Roman" w:hAnsi="Times New Roman" w:cs="Times New Roman"/>
                <w:iCs/>
                <w:color w:val="000000"/>
                <w:sz w:val="24"/>
                <w:szCs w:val="24"/>
                <w:lang w:eastAsia="ru-RU"/>
              </w:rPr>
              <w:t>8,9</w:t>
            </w:r>
          </w:p>
        </w:tc>
        <w:tc>
          <w:tcPr>
            <w:tcW w:w="854" w:type="dxa"/>
            <w:hideMark/>
          </w:tcPr>
          <w:p w:rsidR="00C3766A" w:rsidRPr="004F4F87" w:rsidRDefault="00C3766A" w:rsidP="0045796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000000"/>
                <w:sz w:val="24"/>
                <w:szCs w:val="24"/>
                <w:lang w:eastAsia="ru-RU"/>
              </w:rPr>
            </w:pPr>
            <w:r w:rsidRPr="004F4F87">
              <w:rPr>
                <w:rFonts w:ascii="Times New Roman" w:eastAsia="Times New Roman" w:hAnsi="Times New Roman" w:cs="Times New Roman"/>
                <w:iCs/>
                <w:color w:val="000000"/>
                <w:sz w:val="24"/>
                <w:szCs w:val="24"/>
                <w:lang w:eastAsia="ru-RU"/>
              </w:rPr>
              <w:t>8,9</w:t>
            </w:r>
          </w:p>
        </w:tc>
      </w:tr>
      <w:tr w:rsidR="00C3766A" w:rsidRPr="004A76B8" w:rsidTr="00264215">
        <w:trPr>
          <w:cnfStyle w:val="000000100000" w:firstRow="0" w:lastRow="0" w:firstColumn="0" w:lastColumn="0" w:oddVBand="0" w:evenVBand="0" w:oddHBand="1" w:evenHBand="0" w:firstRowFirstColumn="0" w:firstRowLastColumn="0" w:lastRowFirstColumn="0" w:lastRowLastColumn="0"/>
          <w:trHeight w:val="256"/>
          <w:jc w:val="center"/>
        </w:trPr>
        <w:tc>
          <w:tcPr>
            <w:cnfStyle w:val="001000000000" w:firstRow="0" w:lastRow="0" w:firstColumn="1" w:lastColumn="0" w:oddVBand="0" w:evenVBand="0" w:oddHBand="0" w:evenHBand="0" w:firstRowFirstColumn="0" w:firstRowLastColumn="0" w:lastRowFirstColumn="0" w:lastRowLastColumn="0"/>
            <w:tcW w:w="9740" w:type="dxa"/>
            <w:gridSpan w:val="10"/>
          </w:tcPr>
          <w:p w:rsidR="00C3766A" w:rsidRPr="007957D8" w:rsidRDefault="00C3766A" w:rsidP="00264215">
            <w:pPr>
              <w:jc w:val="center"/>
              <w:rPr>
                <w:rFonts w:ascii="Times New Roman" w:eastAsia="Times New Roman" w:hAnsi="Times New Roman" w:cs="Times New Roman"/>
                <w:color w:val="000000"/>
                <w:sz w:val="26"/>
                <w:szCs w:val="26"/>
                <w:lang w:eastAsia="ru-RU"/>
              </w:rPr>
            </w:pPr>
            <w:r w:rsidRPr="007957D8">
              <w:rPr>
                <w:rFonts w:ascii="Times New Roman" w:eastAsia="Times New Roman" w:hAnsi="Times New Roman" w:cs="Times New Roman"/>
                <w:color w:val="000000"/>
                <w:sz w:val="26"/>
                <w:szCs w:val="26"/>
                <w:lang w:eastAsia="ru-RU"/>
              </w:rPr>
              <w:t>Cheltuieli</w:t>
            </w:r>
          </w:p>
        </w:tc>
      </w:tr>
      <w:tr w:rsidR="00C3766A" w:rsidRPr="004A76B8" w:rsidTr="00264215">
        <w:trPr>
          <w:trHeight w:val="490"/>
          <w:jc w:val="center"/>
        </w:trPr>
        <w:tc>
          <w:tcPr>
            <w:cnfStyle w:val="001000000000" w:firstRow="0" w:lastRow="0" w:firstColumn="1" w:lastColumn="0" w:oddVBand="0" w:evenVBand="0" w:oddHBand="0" w:evenHBand="0" w:firstRowFirstColumn="0" w:firstRowLastColumn="0" w:lastRowFirstColumn="0" w:lastRowLastColumn="0"/>
            <w:tcW w:w="1129" w:type="dxa"/>
            <w:hideMark/>
          </w:tcPr>
          <w:p w:rsidR="00C3766A" w:rsidRPr="004A76B8" w:rsidRDefault="00C3766A" w:rsidP="00264215">
            <w:pPr>
              <w:jc w:val="both"/>
              <w:rPr>
                <w:rFonts w:ascii="Times New Roman" w:eastAsia="Times New Roman" w:hAnsi="Times New Roman" w:cs="Times New Roman"/>
                <w:color w:val="000000"/>
                <w:sz w:val="24"/>
                <w:szCs w:val="24"/>
                <w:lang w:eastAsia="ru-RU"/>
              </w:rPr>
            </w:pPr>
            <w:r w:rsidRPr="004A76B8">
              <w:rPr>
                <w:rFonts w:ascii="Times New Roman" w:eastAsia="Times New Roman" w:hAnsi="Times New Roman" w:cs="Times New Roman"/>
                <w:color w:val="000000"/>
                <w:sz w:val="24"/>
                <w:szCs w:val="24"/>
                <w:lang w:eastAsia="ru-RU"/>
              </w:rPr>
              <w:t xml:space="preserve">BPN, </w:t>
            </w:r>
            <w:r w:rsidRPr="004F4F87">
              <w:rPr>
                <w:rFonts w:ascii="Times New Roman" w:eastAsia="Times New Roman" w:hAnsi="Times New Roman" w:cs="Times New Roman"/>
                <w:b w:val="0"/>
                <w:i/>
                <w:iCs/>
                <w:color w:val="000000"/>
                <w:sz w:val="24"/>
                <w:szCs w:val="24"/>
                <w:lang w:eastAsia="ru-RU"/>
              </w:rPr>
              <w:t>inclusiv:</w:t>
            </w:r>
          </w:p>
        </w:tc>
        <w:tc>
          <w:tcPr>
            <w:tcW w:w="953" w:type="dxa"/>
          </w:tcPr>
          <w:p w:rsidR="00C3766A" w:rsidRPr="008174C4" w:rsidRDefault="00C3766A" w:rsidP="00457963">
            <w:pPr>
              <w:ind w:left="-148"/>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58359,9</w:t>
            </w:r>
          </w:p>
        </w:tc>
        <w:tc>
          <w:tcPr>
            <w:tcW w:w="993" w:type="dxa"/>
          </w:tcPr>
          <w:p w:rsidR="00C3766A" w:rsidRPr="004A76B8" w:rsidRDefault="00C3766A" w:rsidP="00457963">
            <w:pPr>
              <w:ind w:left="-10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4"/>
                <w:szCs w:val="24"/>
                <w:lang w:eastAsia="ru-RU"/>
              </w:rPr>
            </w:pPr>
            <w:r w:rsidRPr="004A76B8">
              <w:rPr>
                <w:rFonts w:ascii="Times New Roman" w:eastAsia="Times New Roman" w:hAnsi="Times New Roman" w:cs="Times New Roman"/>
                <w:b/>
                <w:bCs/>
                <w:color w:val="000000"/>
                <w:sz w:val="24"/>
                <w:szCs w:val="24"/>
                <w:lang w:eastAsia="ru-RU"/>
              </w:rPr>
              <w:t>5452</w:t>
            </w:r>
            <w:r>
              <w:rPr>
                <w:rFonts w:ascii="Times New Roman" w:eastAsia="Times New Roman" w:hAnsi="Times New Roman" w:cs="Times New Roman"/>
                <w:b/>
                <w:bCs/>
                <w:color w:val="000000"/>
                <w:sz w:val="24"/>
                <w:szCs w:val="24"/>
                <w:lang w:eastAsia="ru-RU"/>
              </w:rPr>
              <w:t>2,4</w:t>
            </w:r>
          </w:p>
        </w:tc>
        <w:tc>
          <w:tcPr>
            <w:tcW w:w="988" w:type="dxa"/>
          </w:tcPr>
          <w:p w:rsidR="00C3766A" w:rsidRPr="008174C4" w:rsidRDefault="00C3766A" w:rsidP="0045796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-3837,5</w:t>
            </w:r>
          </w:p>
        </w:tc>
        <w:tc>
          <w:tcPr>
            <w:tcW w:w="989" w:type="dxa"/>
          </w:tcPr>
          <w:p w:rsidR="00C3766A" w:rsidRPr="008174C4" w:rsidRDefault="00C3766A" w:rsidP="0045796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93,4</w:t>
            </w:r>
          </w:p>
        </w:tc>
        <w:tc>
          <w:tcPr>
            <w:tcW w:w="999" w:type="dxa"/>
            <w:hideMark/>
          </w:tcPr>
          <w:p w:rsidR="00C3766A" w:rsidRPr="004A76B8" w:rsidRDefault="00C3766A" w:rsidP="0045796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4"/>
                <w:szCs w:val="24"/>
                <w:lang w:eastAsia="ru-RU"/>
              </w:rPr>
            </w:pPr>
            <w:r w:rsidRPr="008174C4">
              <w:rPr>
                <w:rFonts w:ascii="Times New Roman" w:eastAsia="Times New Roman" w:hAnsi="Times New Roman" w:cs="Times New Roman"/>
                <w:b/>
                <w:bCs/>
                <w:color w:val="000000"/>
                <w:sz w:val="24"/>
                <w:szCs w:val="24"/>
                <w:lang w:eastAsia="ru-RU"/>
              </w:rPr>
              <w:t>48462,6</w:t>
            </w:r>
          </w:p>
        </w:tc>
        <w:tc>
          <w:tcPr>
            <w:tcW w:w="993" w:type="dxa"/>
          </w:tcPr>
          <w:p w:rsidR="00C3766A" w:rsidRPr="004A76B8" w:rsidRDefault="00C3766A" w:rsidP="0045796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6059,8</w:t>
            </w:r>
          </w:p>
        </w:tc>
        <w:tc>
          <w:tcPr>
            <w:tcW w:w="992" w:type="dxa"/>
          </w:tcPr>
          <w:p w:rsidR="00C3766A" w:rsidRPr="004A76B8" w:rsidRDefault="00C3766A" w:rsidP="0045796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112,5</w:t>
            </w:r>
          </w:p>
        </w:tc>
        <w:tc>
          <w:tcPr>
            <w:tcW w:w="850" w:type="dxa"/>
            <w:hideMark/>
          </w:tcPr>
          <w:p w:rsidR="00C3766A" w:rsidRPr="004A76B8" w:rsidRDefault="00C3766A" w:rsidP="0045796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4"/>
                <w:szCs w:val="24"/>
                <w:lang w:eastAsia="ru-RU"/>
              </w:rPr>
            </w:pPr>
            <w:r w:rsidRPr="004A76B8">
              <w:rPr>
                <w:rFonts w:ascii="Times New Roman" w:eastAsia="Times New Roman" w:hAnsi="Times New Roman" w:cs="Times New Roman"/>
                <w:b/>
                <w:bCs/>
                <w:color w:val="000000"/>
                <w:sz w:val="24"/>
                <w:szCs w:val="24"/>
                <w:lang w:eastAsia="ru-RU"/>
              </w:rPr>
              <w:t>35,8</w:t>
            </w:r>
          </w:p>
        </w:tc>
        <w:tc>
          <w:tcPr>
            <w:tcW w:w="854" w:type="dxa"/>
            <w:hideMark/>
          </w:tcPr>
          <w:p w:rsidR="00C3766A" w:rsidRPr="004A76B8" w:rsidRDefault="00C3766A" w:rsidP="0045796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4"/>
                <w:szCs w:val="24"/>
                <w:lang w:eastAsia="ru-RU"/>
              </w:rPr>
            </w:pPr>
            <w:r w:rsidRPr="004A76B8">
              <w:rPr>
                <w:rFonts w:ascii="Times New Roman" w:eastAsia="Times New Roman" w:hAnsi="Times New Roman" w:cs="Times New Roman"/>
                <w:b/>
                <w:bCs/>
                <w:color w:val="000000"/>
                <w:sz w:val="24"/>
                <w:szCs w:val="24"/>
                <w:lang w:eastAsia="ru-RU"/>
              </w:rPr>
              <w:t>36,3</w:t>
            </w:r>
          </w:p>
        </w:tc>
      </w:tr>
      <w:tr w:rsidR="00C3766A" w:rsidRPr="004A76B8" w:rsidTr="00264215">
        <w:trPr>
          <w:cnfStyle w:val="000000100000" w:firstRow="0" w:lastRow="0" w:firstColumn="0" w:lastColumn="0" w:oddVBand="0" w:evenVBand="0" w:oddHBand="1" w:evenHBand="0" w:firstRowFirstColumn="0" w:firstRowLastColumn="0" w:lastRowFirstColumn="0" w:lastRowLastColumn="0"/>
          <w:trHeight w:val="256"/>
          <w:jc w:val="center"/>
        </w:trPr>
        <w:tc>
          <w:tcPr>
            <w:cnfStyle w:val="001000000000" w:firstRow="0" w:lastRow="0" w:firstColumn="1" w:lastColumn="0" w:oddVBand="0" w:evenVBand="0" w:oddHBand="0" w:evenHBand="0" w:firstRowFirstColumn="0" w:firstRowLastColumn="0" w:lastRowFirstColumn="0" w:lastRowLastColumn="0"/>
            <w:tcW w:w="1129" w:type="dxa"/>
            <w:hideMark/>
          </w:tcPr>
          <w:p w:rsidR="00C3766A" w:rsidRPr="004A76B8" w:rsidRDefault="00C3766A" w:rsidP="00264215">
            <w:pPr>
              <w:jc w:val="both"/>
              <w:rPr>
                <w:rFonts w:ascii="Times New Roman" w:eastAsia="Times New Roman" w:hAnsi="Times New Roman" w:cs="Times New Roman"/>
                <w:i/>
                <w:iCs/>
                <w:color w:val="000000"/>
                <w:sz w:val="24"/>
                <w:szCs w:val="24"/>
                <w:lang w:eastAsia="ru-RU"/>
              </w:rPr>
            </w:pPr>
            <w:r w:rsidRPr="004A76B8">
              <w:rPr>
                <w:rFonts w:ascii="Times New Roman" w:eastAsia="Times New Roman" w:hAnsi="Times New Roman" w:cs="Times New Roman"/>
                <w:i/>
                <w:iCs/>
                <w:color w:val="000000"/>
                <w:sz w:val="24"/>
                <w:szCs w:val="24"/>
                <w:lang w:eastAsia="ru-RU"/>
              </w:rPr>
              <w:t>BS</w:t>
            </w:r>
          </w:p>
        </w:tc>
        <w:tc>
          <w:tcPr>
            <w:tcW w:w="953" w:type="dxa"/>
          </w:tcPr>
          <w:p w:rsidR="00C3766A" w:rsidRPr="003D1DC9" w:rsidRDefault="00C3766A" w:rsidP="00457963">
            <w:pPr>
              <w:ind w:left="-148"/>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ru-RU"/>
              </w:rPr>
            </w:pPr>
            <w:r w:rsidRPr="003D1DC9">
              <w:rPr>
                <w:rFonts w:ascii="Times New Roman" w:eastAsia="Times New Roman" w:hAnsi="Times New Roman" w:cs="Times New Roman"/>
                <w:bCs/>
                <w:color w:val="000000"/>
                <w:sz w:val="24"/>
                <w:szCs w:val="24"/>
                <w:lang w:eastAsia="ru-RU"/>
              </w:rPr>
              <w:t>37802,5</w:t>
            </w:r>
          </w:p>
        </w:tc>
        <w:tc>
          <w:tcPr>
            <w:tcW w:w="993" w:type="dxa"/>
          </w:tcPr>
          <w:p w:rsidR="00C3766A" w:rsidRPr="004F4F87" w:rsidRDefault="00C3766A" w:rsidP="00457963">
            <w:pPr>
              <w:ind w:left="-10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color w:val="000000"/>
                <w:sz w:val="24"/>
                <w:szCs w:val="24"/>
                <w:lang w:eastAsia="ru-RU"/>
              </w:rPr>
            </w:pPr>
            <w:r w:rsidRPr="004F4F87">
              <w:rPr>
                <w:rFonts w:ascii="Times New Roman" w:eastAsia="Times New Roman" w:hAnsi="Times New Roman" w:cs="Times New Roman"/>
                <w:iCs/>
                <w:color w:val="000000"/>
                <w:sz w:val="24"/>
                <w:szCs w:val="24"/>
                <w:lang w:eastAsia="ru-RU"/>
              </w:rPr>
              <w:t>35479,1</w:t>
            </w:r>
          </w:p>
        </w:tc>
        <w:tc>
          <w:tcPr>
            <w:tcW w:w="988" w:type="dxa"/>
          </w:tcPr>
          <w:p w:rsidR="00C3766A" w:rsidRPr="004F4F87" w:rsidRDefault="00C3766A" w:rsidP="0045796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-2323,4</w:t>
            </w:r>
          </w:p>
        </w:tc>
        <w:tc>
          <w:tcPr>
            <w:tcW w:w="989" w:type="dxa"/>
          </w:tcPr>
          <w:p w:rsidR="00C3766A" w:rsidRPr="004F4F87" w:rsidRDefault="00C3766A" w:rsidP="0045796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93,9</w:t>
            </w:r>
          </w:p>
        </w:tc>
        <w:tc>
          <w:tcPr>
            <w:tcW w:w="999" w:type="dxa"/>
            <w:hideMark/>
          </w:tcPr>
          <w:p w:rsidR="00C3766A" w:rsidRPr="004F4F87" w:rsidRDefault="00C3766A" w:rsidP="0045796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color w:val="000000"/>
                <w:sz w:val="24"/>
                <w:szCs w:val="24"/>
                <w:lang w:eastAsia="ru-RU"/>
              </w:rPr>
            </w:pPr>
            <w:r w:rsidRPr="004F4F87">
              <w:rPr>
                <w:rFonts w:ascii="Times New Roman" w:eastAsia="Times New Roman" w:hAnsi="Times New Roman" w:cs="Times New Roman"/>
                <w:iCs/>
                <w:color w:val="000000"/>
                <w:sz w:val="24"/>
                <w:szCs w:val="24"/>
                <w:lang w:eastAsia="ru-RU"/>
              </w:rPr>
              <w:t>32313,2</w:t>
            </w:r>
          </w:p>
        </w:tc>
        <w:tc>
          <w:tcPr>
            <w:tcW w:w="993" w:type="dxa"/>
          </w:tcPr>
          <w:p w:rsidR="00C3766A" w:rsidRPr="004F4F87" w:rsidRDefault="00C3766A" w:rsidP="0045796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color w:val="000000"/>
                <w:sz w:val="24"/>
                <w:szCs w:val="24"/>
                <w:lang w:eastAsia="ru-RU"/>
              </w:rPr>
            </w:pPr>
            <w:r w:rsidRPr="004F4F87">
              <w:rPr>
                <w:rFonts w:ascii="Times New Roman" w:eastAsia="Times New Roman" w:hAnsi="Times New Roman" w:cs="Times New Roman"/>
                <w:iCs/>
                <w:color w:val="000000"/>
                <w:sz w:val="24"/>
                <w:szCs w:val="24"/>
                <w:lang w:eastAsia="ru-RU"/>
              </w:rPr>
              <w:t>3165,9</w:t>
            </w:r>
          </w:p>
        </w:tc>
        <w:tc>
          <w:tcPr>
            <w:tcW w:w="992" w:type="dxa"/>
          </w:tcPr>
          <w:p w:rsidR="00C3766A" w:rsidRPr="004F4F87" w:rsidRDefault="00C3766A" w:rsidP="0045796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color w:val="000000"/>
                <w:sz w:val="24"/>
                <w:szCs w:val="24"/>
                <w:lang w:eastAsia="ru-RU"/>
              </w:rPr>
            </w:pPr>
            <w:r w:rsidRPr="004F4F87">
              <w:rPr>
                <w:rFonts w:ascii="Times New Roman" w:eastAsia="Times New Roman" w:hAnsi="Times New Roman" w:cs="Times New Roman"/>
                <w:iCs/>
                <w:color w:val="000000"/>
                <w:sz w:val="24"/>
                <w:szCs w:val="24"/>
                <w:lang w:eastAsia="ru-RU"/>
              </w:rPr>
              <w:t>109,8</w:t>
            </w:r>
          </w:p>
        </w:tc>
        <w:tc>
          <w:tcPr>
            <w:tcW w:w="850" w:type="dxa"/>
            <w:hideMark/>
          </w:tcPr>
          <w:p w:rsidR="00C3766A" w:rsidRPr="004F4F87" w:rsidRDefault="00C3766A" w:rsidP="0045796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color w:val="000000"/>
                <w:sz w:val="24"/>
                <w:szCs w:val="24"/>
                <w:lang w:eastAsia="ru-RU"/>
              </w:rPr>
            </w:pPr>
            <w:r w:rsidRPr="004F4F87">
              <w:rPr>
                <w:rFonts w:ascii="Times New Roman" w:eastAsia="Times New Roman" w:hAnsi="Times New Roman" w:cs="Times New Roman"/>
                <w:iCs/>
                <w:color w:val="000000"/>
                <w:sz w:val="24"/>
                <w:szCs w:val="24"/>
                <w:lang w:eastAsia="ru-RU"/>
              </w:rPr>
              <w:t>23,9</w:t>
            </w:r>
          </w:p>
        </w:tc>
        <w:tc>
          <w:tcPr>
            <w:tcW w:w="854" w:type="dxa"/>
            <w:hideMark/>
          </w:tcPr>
          <w:p w:rsidR="00C3766A" w:rsidRPr="004F4F87" w:rsidRDefault="00C3766A" w:rsidP="0045796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color w:val="000000"/>
                <w:sz w:val="24"/>
                <w:szCs w:val="24"/>
                <w:lang w:eastAsia="ru-RU"/>
              </w:rPr>
            </w:pPr>
            <w:r w:rsidRPr="004F4F87">
              <w:rPr>
                <w:rFonts w:ascii="Times New Roman" w:eastAsia="Times New Roman" w:hAnsi="Times New Roman" w:cs="Times New Roman"/>
                <w:iCs/>
                <w:color w:val="000000"/>
                <w:sz w:val="24"/>
                <w:szCs w:val="24"/>
                <w:lang w:eastAsia="ru-RU"/>
              </w:rPr>
              <w:t>23,6</w:t>
            </w:r>
          </w:p>
        </w:tc>
      </w:tr>
      <w:tr w:rsidR="00C3766A" w:rsidRPr="004A76B8" w:rsidTr="00264215">
        <w:trPr>
          <w:trHeight w:val="256"/>
          <w:jc w:val="center"/>
        </w:trPr>
        <w:tc>
          <w:tcPr>
            <w:cnfStyle w:val="001000000000" w:firstRow="0" w:lastRow="0" w:firstColumn="1" w:lastColumn="0" w:oddVBand="0" w:evenVBand="0" w:oddHBand="0" w:evenHBand="0" w:firstRowFirstColumn="0" w:firstRowLastColumn="0" w:lastRowFirstColumn="0" w:lastRowLastColumn="0"/>
            <w:tcW w:w="1129" w:type="dxa"/>
            <w:hideMark/>
          </w:tcPr>
          <w:p w:rsidR="00C3766A" w:rsidRPr="004A76B8" w:rsidRDefault="00C3766A" w:rsidP="00264215">
            <w:pPr>
              <w:jc w:val="both"/>
              <w:rPr>
                <w:rFonts w:ascii="Times New Roman" w:eastAsia="Times New Roman" w:hAnsi="Times New Roman" w:cs="Times New Roman"/>
                <w:i/>
                <w:iCs/>
                <w:color w:val="000000"/>
                <w:sz w:val="24"/>
                <w:szCs w:val="24"/>
                <w:lang w:eastAsia="ru-RU"/>
              </w:rPr>
            </w:pPr>
            <w:r w:rsidRPr="004A76B8">
              <w:rPr>
                <w:rFonts w:ascii="Times New Roman" w:eastAsia="Times New Roman" w:hAnsi="Times New Roman" w:cs="Times New Roman"/>
                <w:i/>
                <w:iCs/>
                <w:color w:val="000000"/>
                <w:sz w:val="24"/>
                <w:szCs w:val="24"/>
                <w:lang w:eastAsia="ru-RU"/>
              </w:rPr>
              <w:t>BASS</w:t>
            </w:r>
          </w:p>
        </w:tc>
        <w:tc>
          <w:tcPr>
            <w:tcW w:w="953" w:type="dxa"/>
          </w:tcPr>
          <w:p w:rsidR="00C3766A" w:rsidRPr="004F4F87" w:rsidRDefault="00C3766A" w:rsidP="00457963">
            <w:pPr>
              <w:ind w:left="-148"/>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17789,9</w:t>
            </w:r>
          </w:p>
        </w:tc>
        <w:tc>
          <w:tcPr>
            <w:tcW w:w="993" w:type="dxa"/>
          </w:tcPr>
          <w:p w:rsidR="00C3766A" w:rsidRPr="004F4F87" w:rsidRDefault="00C3766A" w:rsidP="00457963">
            <w:pPr>
              <w:ind w:left="-10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000000"/>
                <w:sz w:val="24"/>
                <w:szCs w:val="24"/>
                <w:lang w:eastAsia="ru-RU"/>
              </w:rPr>
            </w:pPr>
            <w:r w:rsidRPr="004F4F87">
              <w:rPr>
                <w:rFonts w:ascii="Times New Roman" w:eastAsia="Times New Roman" w:hAnsi="Times New Roman" w:cs="Times New Roman"/>
                <w:iCs/>
                <w:color w:val="000000"/>
                <w:sz w:val="24"/>
                <w:szCs w:val="24"/>
                <w:lang w:eastAsia="ru-RU"/>
              </w:rPr>
              <w:t>17614,5</w:t>
            </w:r>
          </w:p>
        </w:tc>
        <w:tc>
          <w:tcPr>
            <w:tcW w:w="988" w:type="dxa"/>
          </w:tcPr>
          <w:p w:rsidR="00C3766A" w:rsidRPr="004F4F87" w:rsidRDefault="00C3766A" w:rsidP="0045796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-175,4</w:t>
            </w:r>
          </w:p>
        </w:tc>
        <w:tc>
          <w:tcPr>
            <w:tcW w:w="989" w:type="dxa"/>
          </w:tcPr>
          <w:p w:rsidR="00C3766A" w:rsidRPr="004F4F87" w:rsidRDefault="00C3766A" w:rsidP="0045796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99,0</w:t>
            </w:r>
          </w:p>
        </w:tc>
        <w:tc>
          <w:tcPr>
            <w:tcW w:w="999" w:type="dxa"/>
            <w:hideMark/>
          </w:tcPr>
          <w:p w:rsidR="00C3766A" w:rsidRPr="004F4F87" w:rsidRDefault="00C3766A" w:rsidP="0045796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000000"/>
                <w:sz w:val="24"/>
                <w:szCs w:val="24"/>
                <w:lang w:eastAsia="ru-RU"/>
              </w:rPr>
            </w:pPr>
            <w:r w:rsidRPr="004F4F87">
              <w:rPr>
                <w:rFonts w:ascii="Times New Roman" w:eastAsia="Times New Roman" w:hAnsi="Times New Roman" w:cs="Times New Roman"/>
                <w:iCs/>
                <w:color w:val="000000"/>
                <w:sz w:val="24"/>
                <w:szCs w:val="24"/>
                <w:lang w:eastAsia="ru-RU"/>
              </w:rPr>
              <w:t>14964,7</w:t>
            </w:r>
          </w:p>
        </w:tc>
        <w:tc>
          <w:tcPr>
            <w:tcW w:w="993" w:type="dxa"/>
          </w:tcPr>
          <w:p w:rsidR="00C3766A" w:rsidRPr="004F4F87" w:rsidRDefault="00C3766A" w:rsidP="0045796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000000"/>
                <w:sz w:val="24"/>
                <w:szCs w:val="24"/>
                <w:lang w:eastAsia="ru-RU"/>
              </w:rPr>
            </w:pPr>
            <w:r w:rsidRPr="004F4F87">
              <w:rPr>
                <w:rFonts w:ascii="Times New Roman" w:eastAsia="Times New Roman" w:hAnsi="Times New Roman" w:cs="Times New Roman"/>
                <w:iCs/>
                <w:color w:val="000000"/>
                <w:sz w:val="24"/>
                <w:szCs w:val="24"/>
                <w:lang w:eastAsia="ru-RU"/>
              </w:rPr>
              <w:t>2649,8</w:t>
            </w:r>
          </w:p>
        </w:tc>
        <w:tc>
          <w:tcPr>
            <w:tcW w:w="992" w:type="dxa"/>
          </w:tcPr>
          <w:p w:rsidR="00C3766A" w:rsidRPr="004F4F87" w:rsidRDefault="00C3766A" w:rsidP="0045796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000000"/>
                <w:sz w:val="24"/>
                <w:szCs w:val="24"/>
                <w:lang w:eastAsia="ru-RU"/>
              </w:rPr>
            </w:pPr>
            <w:r w:rsidRPr="004F4F87">
              <w:rPr>
                <w:rFonts w:ascii="Times New Roman" w:eastAsia="Times New Roman" w:hAnsi="Times New Roman" w:cs="Times New Roman"/>
                <w:iCs/>
                <w:color w:val="000000"/>
                <w:sz w:val="24"/>
                <w:szCs w:val="24"/>
                <w:lang w:eastAsia="ru-RU"/>
              </w:rPr>
              <w:t>117,7</w:t>
            </w:r>
          </w:p>
        </w:tc>
        <w:tc>
          <w:tcPr>
            <w:tcW w:w="850" w:type="dxa"/>
            <w:hideMark/>
          </w:tcPr>
          <w:p w:rsidR="00C3766A" w:rsidRPr="004F4F87" w:rsidRDefault="00C3766A" w:rsidP="0045796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000000"/>
                <w:sz w:val="24"/>
                <w:szCs w:val="24"/>
                <w:lang w:eastAsia="ru-RU"/>
              </w:rPr>
            </w:pPr>
            <w:r w:rsidRPr="004F4F87">
              <w:rPr>
                <w:rFonts w:ascii="Times New Roman" w:eastAsia="Times New Roman" w:hAnsi="Times New Roman" w:cs="Times New Roman"/>
                <w:iCs/>
                <w:color w:val="000000"/>
                <w:sz w:val="24"/>
                <w:szCs w:val="24"/>
                <w:lang w:eastAsia="ru-RU"/>
              </w:rPr>
              <w:t>11,1</w:t>
            </w:r>
          </w:p>
        </w:tc>
        <w:tc>
          <w:tcPr>
            <w:tcW w:w="854" w:type="dxa"/>
            <w:hideMark/>
          </w:tcPr>
          <w:p w:rsidR="00C3766A" w:rsidRPr="004F4F87" w:rsidRDefault="00C3766A" w:rsidP="0045796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000000"/>
                <w:sz w:val="24"/>
                <w:szCs w:val="24"/>
                <w:lang w:eastAsia="ru-RU"/>
              </w:rPr>
            </w:pPr>
            <w:r w:rsidRPr="004F4F87">
              <w:rPr>
                <w:rFonts w:ascii="Times New Roman" w:eastAsia="Times New Roman" w:hAnsi="Times New Roman" w:cs="Times New Roman"/>
                <w:iCs/>
                <w:color w:val="000000"/>
                <w:sz w:val="24"/>
                <w:szCs w:val="24"/>
                <w:lang w:eastAsia="ru-RU"/>
              </w:rPr>
              <w:t>11,7</w:t>
            </w:r>
          </w:p>
        </w:tc>
      </w:tr>
      <w:tr w:rsidR="00C3766A" w:rsidRPr="004A76B8" w:rsidTr="00264215">
        <w:trPr>
          <w:cnfStyle w:val="000000100000" w:firstRow="0" w:lastRow="0" w:firstColumn="0" w:lastColumn="0" w:oddVBand="0" w:evenVBand="0" w:oddHBand="1" w:evenHBand="0" w:firstRowFirstColumn="0" w:firstRowLastColumn="0" w:lastRowFirstColumn="0" w:lastRowLastColumn="0"/>
          <w:trHeight w:val="256"/>
          <w:jc w:val="center"/>
        </w:trPr>
        <w:tc>
          <w:tcPr>
            <w:cnfStyle w:val="001000000000" w:firstRow="0" w:lastRow="0" w:firstColumn="1" w:lastColumn="0" w:oddVBand="0" w:evenVBand="0" w:oddHBand="0" w:evenHBand="0" w:firstRowFirstColumn="0" w:firstRowLastColumn="0" w:lastRowFirstColumn="0" w:lastRowLastColumn="0"/>
            <w:tcW w:w="1129" w:type="dxa"/>
            <w:hideMark/>
          </w:tcPr>
          <w:p w:rsidR="00C3766A" w:rsidRPr="004A76B8" w:rsidRDefault="00C3766A" w:rsidP="00264215">
            <w:pPr>
              <w:jc w:val="both"/>
              <w:rPr>
                <w:rFonts w:ascii="Times New Roman" w:eastAsia="Times New Roman" w:hAnsi="Times New Roman" w:cs="Times New Roman"/>
                <w:i/>
                <w:iCs/>
                <w:color w:val="000000"/>
                <w:sz w:val="24"/>
                <w:szCs w:val="24"/>
                <w:lang w:eastAsia="ru-RU"/>
              </w:rPr>
            </w:pPr>
            <w:r w:rsidRPr="004A76B8">
              <w:rPr>
                <w:rFonts w:ascii="Times New Roman" w:eastAsia="Times New Roman" w:hAnsi="Times New Roman" w:cs="Times New Roman"/>
                <w:i/>
                <w:iCs/>
                <w:color w:val="000000"/>
                <w:sz w:val="24"/>
                <w:szCs w:val="24"/>
                <w:lang w:eastAsia="ru-RU"/>
              </w:rPr>
              <w:t>FAOAM</w:t>
            </w:r>
          </w:p>
        </w:tc>
        <w:tc>
          <w:tcPr>
            <w:tcW w:w="953" w:type="dxa"/>
          </w:tcPr>
          <w:p w:rsidR="00C3766A" w:rsidRPr="004F4F87" w:rsidRDefault="00C3766A" w:rsidP="00457963">
            <w:pPr>
              <w:ind w:left="-148"/>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6321,4</w:t>
            </w:r>
          </w:p>
        </w:tc>
        <w:tc>
          <w:tcPr>
            <w:tcW w:w="993" w:type="dxa"/>
          </w:tcPr>
          <w:p w:rsidR="00C3766A" w:rsidRPr="004F4F87" w:rsidRDefault="00C3766A" w:rsidP="00457963">
            <w:pPr>
              <w:ind w:left="-10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color w:val="000000"/>
                <w:sz w:val="24"/>
                <w:szCs w:val="24"/>
                <w:lang w:eastAsia="ru-RU"/>
              </w:rPr>
            </w:pPr>
            <w:r w:rsidRPr="004F4F87">
              <w:rPr>
                <w:rFonts w:ascii="Times New Roman" w:eastAsia="Times New Roman" w:hAnsi="Times New Roman" w:cs="Times New Roman"/>
                <w:iCs/>
                <w:color w:val="000000"/>
                <w:sz w:val="24"/>
                <w:szCs w:val="24"/>
                <w:lang w:eastAsia="ru-RU"/>
              </w:rPr>
              <w:t>6260,8</w:t>
            </w:r>
          </w:p>
        </w:tc>
        <w:tc>
          <w:tcPr>
            <w:tcW w:w="988" w:type="dxa"/>
          </w:tcPr>
          <w:p w:rsidR="00C3766A" w:rsidRPr="004F4F87" w:rsidRDefault="00C3766A" w:rsidP="0045796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-60,6</w:t>
            </w:r>
          </w:p>
        </w:tc>
        <w:tc>
          <w:tcPr>
            <w:tcW w:w="989" w:type="dxa"/>
          </w:tcPr>
          <w:p w:rsidR="00C3766A" w:rsidRPr="004F4F87" w:rsidRDefault="00C3766A" w:rsidP="0045796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99,0</w:t>
            </w:r>
          </w:p>
        </w:tc>
        <w:tc>
          <w:tcPr>
            <w:tcW w:w="999" w:type="dxa"/>
            <w:hideMark/>
          </w:tcPr>
          <w:p w:rsidR="00C3766A" w:rsidRPr="004F4F87" w:rsidRDefault="00C3766A" w:rsidP="0045796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color w:val="000000"/>
                <w:sz w:val="24"/>
                <w:szCs w:val="24"/>
                <w:lang w:eastAsia="ru-RU"/>
              </w:rPr>
            </w:pPr>
            <w:r w:rsidRPr="004F4F87">
              <w:rPr>
                <w:rFonts w:ascii="Times New Roman" w:eastAsia="Times New Roman" w:hAnsi="Times New Roman" w:cs="Times New Roman"/>
                <w:iCs/>
                <w:color w:val="000000"/>
                <w:sz w:val="24"/>
                <w:szCs w:val="24"/>
                <w:lang w:eastAsia="ru-RU"/>
              </w:rPr>
              <w:t>5673,5</w:t>
            </w:r>
          </w:p>
        </w:tc>
        <w:tc>
          <w:tcPr>
            <w:tcW w:w="993" w:type="dxa"/>
          </w:tcPr>
          <w:p w:rsidR="00C3766A" w:rsidRPr="004F4F87" w:rsidRDefault="00C3766A" w:rsidP="0045796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color w:val="000000"/>
                <w:sz w:val="24"/>
                <w:szCs w:val="24"/>
                <w:lang w:eastAsia="ru-RU"/>
              </w:rPr>
            </w:pPr>
            <w:r w:rsidRPr="004F4F87">
              <w:rPr>
                <w:rFonts w:ascii="Times New Roman" w:eastAsia="Times New Roman" w:hAnsi="Times New Roman" w:cs="Times New Roman"/>
                <w:iCs/>
                <w:color w:val="000000"/>
                <w:sz w:val="24"/>
                <w:szCs w:val="24"/>
                <w:lang w:eastAsia="ru-RU"/>
              </w:rPr>
              <w:t>587,3</w:t>
            </w:r>
          </w:p>
        </w:tc>
        <w:tc>
          <w:tcPr>
            <w:tcW w:w="992" w:type="dxa"/>
          </w:tcPr>
          <w:p w:rsidR="00C3766A" w:rsidRPr="004F4F87" w:rsidRDefault="00C3766A" w:rsidP="0045796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color w:val="000000"/>
                <w:sz w:val="24"/>
                <w:szCs w:val="24"/>
                <w:lang w:eastAsia="ru-RU"/>
              </w:rPr>
            </w:pPr>
            <w:r w:rsidRPr="004F4F87">
              <w:rPr>
                <w:rFonts w:ascii="Times New Roman" w:eastAsia="Times New Roman" w:hAnsi="Times New Roman" w:cs="Times New Roman"/>
                <w:iCs/>
                <w:color w:val="000000"/>
                <w:sz w:val="24"/>
                <w:szCs w:val="24"/>
                <w:lang w:eastAsia="ru-RU"/>
              </w:rPr>
              <w:t>110,4</w:t>
            </w:r>
          </w:p>
        </w:tc>
        <w:tc>
          <w:tcPr>
            <w:tcW w:w="850" w:type="dxa"/>
            <w:hideMark/>
          </w:tcPr>
          <w:p w:rsidR="00C3766A" w:rsidRPr="004F4F87" w:rsidRDefault="00C3766A" w:rsidP="0045796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color w:val="000000"/>
                <w:sz w:val="24"/>
                <w:szCs w:val="24"/>
                <w:lang w:eastAsia="ru-RU"/>
              </w:rPr>
            </w:pPr>
            <w:r w:rsidRPr="004F4F87">
              <w:rPr>
                <w:rFonts w:ascii="Times New Roman" w:eastAsia="Times New Roman" w:hAnsi="Times New Roman" w:cs="Times New Roman"/>
                <w:iCs/>
                <w:color w:val="000000"/>
                <w:sz w:val="24"/>
                <w:szCs w:val="24"/>
                <w:lang w:eastAsia="ru-RU"/>
              </w:rPr>
              <w:t>4,2</w:t>
            </w:r>
          </w:p>
        </w:tc>
        <w:tc>
          <w:tcPr>
            <w:tcW w:w="854" w:type="dxa"/>
            <w:hideMark/>
          </w:tcPr>
          <w:p w:rsidR="00C3766A" w:rsidRPr="004F4F87" w:rsidRDefault="00C3766A" w:rsidP="0045796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color w:val="000000"/>
                <w:sz w:val="24"/>
                <w:szCs w:val="24"/>
                <w:lang w:eastAsia="ru-RU"/>
              </w:rPr>
            </w:pPr>
            <w:r w:rsidRPr="004F4F87">
              <w:rPr>
                <w:rFonts w:ascii="Times New Roman" w:eastAsia="Times New Roman" w:hAnsi="Times New Roman" w:cs="Times New Roman"/>
                <w:iCs/>
                <w:color w:val="000000"/>
                <w:sz w:val="24"/>
                <w:szCs w:val="24"/>
                <w:lang w:eastAsia="ru-RU"/>
              </w:rPr>
              <w:t>4,2</w:t>
            </w:r>
          </w:p>
        </w:tc>
      </w:tr>
      <w:tr w:rsidR="00C3766A" w:rsidRPr="004A76B8" w:rsidTr="00264215">
        <w:trPr>
          <w:trHeight w:val="256"/>
          <w:jc w:val="center"/>
        </w:trPr>
        <w:tc>
          <w:tcPr>
            <w:cnfStyle w:val="001000000000" w:firstRow="0" w:lastRow="0" w:firstColumn="1" w:lastColumn="0" w:oddVBand="0" w:evenVBand="0" w:oddHBand="0" w:evenHBand="0" w:firstRowFirstColumn="0" w:firstRowLastColumn="0" w:lastRowFirstColumn="0" w:lastRowLastColumn="0"/>
            <w:tcW w:w="1129" w:type="dxa"/>
            <w:hideMark/>
          </w:tcPr>
          <w:p w:rsidR="00C3766A" w:rsidRPr="004A76B8" w:rsidRDefault="00C3766A" w:rsidP="00264215">
            <w:pPr>
              <w:jc w:val="both"/>
              <w:rPr>
                <w:rFonts w:ascii="Times New Roman" w:eastAsia="Times New Roman" w:hAnsi="Times New Roman" w:cs="Times New Roman"/>
                <w:i/>
                <w:iCs/>
                <w:color w:val="000000"/>
                <w:sz w:val="24"/>
                <w:szCs w:val="24"/>
                <w:lang w:eastAsia="ru-RU"/>
              </w:rPr>
            </w:pPr>
            <w:r w:rsidRPr="004A76B8">
              <w:rPr>
                <w:rFonts w:ascii="Times New Roman" w:eastAsia="Times New Roman" w:hAnsi="Times New Roman" w:cs="Times New Roman"/>
                <w:i/>
                <w:iCs/>
                <w:color w:val="000000"/>
                <w:sz w:val="24"/>
                <w:szCs w:val="24"/>
                <w:lang w:eastAsia="ru-RU"/>
              </w:rPr>
              <w:t>BUAT</w:t>
            </w:r>
          </w:p>
        </w:tc>
        <w:tc>
          <w:tcPr>
            <w:tcW w:w="953" w:type="dxa"/>
          </w:tcPr>
          <w:p w:rsidR="00C3766A" w:rsidRPr="004F4F87" w:rsidRDefault="00C3766A" w:rsidP="00457963">
            <w:pPr>
              <w:ind w:left="-148"/>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14794,7</w:t>
            </w:r>
          </w:p>
        </w:tc>
        <w:tc>
          <w:tcPr>
            <w:tcW w:w="993" w:type="dxa"/>
          </w:tcPr>
          <w:p w:rsidR="00C3766A" w:rsidRPr="004F4F87" w:rsidRDefault="00C3766A" w:rsidP="00457963">
            <w:pPr>
              <w:ind w:left="-10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000000"/>
                <w:sz w:val="24"/>
                <w:szCs w:val="24"/>
                <w:lang w:eastAsia="ru-RU"/>
              </w:rPr>
            </w:pPr>
            <w:r w:rsidRPr="004F4F87">
              <w:rPr>
                <w:rFonts w:ascii="Times New Roman" w:eastAsia="Times New Roman" w:hAnsi="Times New Roman" w:cs="Times New Roman"/>
                <w:iCs/>
                <w:color w:val="000000"/>
                <w:sz w:val="24"/>
                <w:szCs w:val="24"/>
                <w:lang w:eastAsia="ru-RU"/>
              </w:rPr>
              <w:t>13274,6</w:t>
            </w:r>
          </w:p>
        </w:tc>
        <w:tc>
          <w:tcPr>
            <w:tcW w:w="988" w:type="dxa"/>
          </w:tcPr>
          <w:p w:rsidR="00C3766A" w:rsidRPr="004F4F87" w:rsidRDefault="00C3766A" w:rsidP="0045796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-1520,1</w:t>
            </w:r>
          </w:p>
        </w:tc>
        <w:tc>
          <w:tcPr>
            <w:tcW w:w="989" w:type="dxa"/>
          </w:tcPr>
          <w:p w:rsidR="00C3766A" w:rsidRPr="004F4F87" w:rsidRDefault="00C3766A" w:rsidP="0045796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89,7</w:t>
            </w:r>
          </w:p>
        </w:tc>
        <w:tc>
          <w:tcPr>
            <w:tcW w:w="999" w:type="dxa"/>
            <w:hideMark/>
          </w:tcPr>
          <w:p w:rsidR="00C3766A" w:rsidRPr="004F4F87" w:rsidRDefault="00C3766A" w:rsidP="0045796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000000"/>
                <w:sz w:val="24"/>
                <w:szCs w:val="24"/>
                <w:lang w:eastAsia="ru-RU"/>
              </w:rPr>
            </w:pPr>
            <w:r w:rsidRPr="004F4F87">
              <w:rPr>
                <w:rFonts w:ascii="Times New Roman" w:eastAsia="Times New Roman" w:hAnsi="Times New Roman" w:cs="Times New Roman"/>
                <w:iCs/>
                <w:color w:val="000000"/>
                <w:sz w:val="24"/>
                <w:szCs w:val="24"/>
                <w:lang w:eastAsia="ru-RU"/>
              </w:rPr>
              <w:t>11314,7</w:t>
            </w:r>
          </w:p>
        </w:tc>
        <w:tc>
          <w:tcPr>
            <w:tcW w:w="993" w:type="dxa"/>
          </w:tcPr>
          <w:p w:rsidR="00C3766A" w:rsidRPr="004F4F87" w:rsidRDefault="00C3766A" w:rsidP="0045796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000000"/>
                <w:sz w:val="24"/>
                <w:szCs w:val="24"/>
                <w:lang w:eastAsia="ru-RU"/>
              </w:rPr>
            </w:pPr>
            <w:r w:rsidRPr="004F4F87">
              <w:rPr>
                <w:rFonts w:ascii="Times New Roman" w:eastAsia="Times New Roman" w:hAnsi="Times New Roman" w:cs="Times New Roman"/>
                <w:iCs/>
                <w:color w:val="000000"/>
                <w:sz w:val="24"/>
                <w:szCs w:val="24"/>
                <w:lang w:eastAsia="ru-RU"/>
              </w:rPr>
              <w:t>1959,9</w:t>
            </w:r>
          </w:p>
        </w:tc>
        <w:tc>
          <w:tcPr>
            <w:tcW w:w="992" w:type="dxa"/>
          </w:tcPr>
          <w:p w:rsidR="00C3766A" w:rsidRPr="004F4F87" w:rsidRDefault="00C3766A" w:rsidP="0045796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000000"/>
                <w:sz w:val="24"/>
                <w:szCs w:val="24"/>
                <w:lang w:eastAsia="ru-RU"/>
              </w:rPr>
            </w:pPr>
            <w:r w:rsidRPr="004F4F87">
              <w:rPr>
                <w:rFonts w:ascii="Times New Roman" w:eastAsia="Times New Roman" w:hAnsi="Times New Roman" w:cs="Times New Roman"/>
                <w:iCs/>
                <w:color w:val="000000"/>
                <w:sz w:val="24"/>
                <w:szCs w:val="24"/>
                <w:lang w:eastAsia="ru-RU"/>
              </w:rPr>
              <w:t>117,3</w:t>
            </w:r>
          </w:p>
        </w:tc>
        <w:tc>
          <w:tcPr>
            <w:tcW w:w="850" w:type="dxa"/>
            <w:hideMark/>
          </w:tcPr>
          <w:p w:rsidR="00C3766A" w:rsidRPr="004F4F87" w:rsidRDefault="00C3766A" w:rsidP="0045796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000000"/>
                <w:sz w:val="24"/>
                <w:szCs w:val="24"/>
                <w:lang w:eastAsia="ru-RU"/>
              </w:rPr>
            </w:pPr>
            <w:r w:rsidRPr="004F4F87">
              <w:rPr>
                <w:rFonts w:ascii="Times New Roman" w:eastAsia="Times New Roman" w:hAnsi="Times New Roman" w:cs="Times New Roman"/>
                <w:iCs/>
                <w:color w:val="000000"/>
                <w:sz w:val="24"/>
                <w:szCs w:val="24"/>
                <w:lang w:eastAsia="ru-RU"/>
              </w:rPr>
              <w:t>8,4</w:t>
            </w:r>
          </w:p>
        </w:tc>
        <w:tc>
          <w:tcPr>
            <w:tcW w:w="854" w:type="dxa"/>
            <w:hideMark/>
          </w:tcPr>
          <w:p w:rsidR="00C3766A" w:rsidRPr="004F4F87" w:rsidRDefault="00C3766A" w:rsidP="0045796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000000"/>
                <w:sz w:val="24"/>
                <w:szCs w:val="24"/>
                <w:lang w:eastAsia="ru-RU"/>
              </w:rPr>
            </w:pPr>
            <w:r w:rsidRPr="004F4F87">
              <w:rPr>
                <w:rFonts w:ascii="Times New Roman" w:eastAsia="Times New Roman" w:hAnsi="Times New Roman" w:cs="Times New Roman"/>
                <w:iCs/>
                <w:color w:val="000000"/>
                <w:sz w:val="24"/>
                <w:szCs w:val="24"/>
                <w:lang w:eastAsia="ru-RU"/>
              </w:rPr>
              <w:t>8,8</w:t>
            </w:r>
          </w:p>
        </w:tc>
      </w:tr>
      <w:tr w:rsidR="00C3766A" w:rsidRPr="004A76B8" w:rsidTr="00264215">
        <w:trPr>
          <w:cnfStyle w:val="000000100000" w:firstRow="0" w:lastRow="0" w:firstColumn="0" w:lastColumn="0" w:oddVBand="0" w:evenVBand="0" w:oddHBand="1" w:evenHBand="0" w:firstRowFirstColumn="0" w:firstRowLastColumn="0" w:lastRowFirstColumn="0" w:lastRowLastColumn="0"/>
          <w:trHeight w:val="256"/>
          <w:jc w:val="center"/>
        </w:trPr>
        <w:tc>
          <w:tcPr>
            <w:cnfStyle w:val="001000000000" w:firstRow="0" w:lastRow="0" w:firstColumn="1" w:lastColumn="0" w:oddVBand="0" w:evenVBand="0" w:oddHBand="0" w:evenHBand="0" w:firstRowFirstColumn="0" w:firstRowLastColumn="0" w:lastRowFirstColumn="0" w:lastRowLastColumn="0"/>
            <w:tcW w:w="9740" w:type="dxa"/>
            <w:gridSpan w:val="10"/>
          </w:tcPr>
          <w:p w:rsidR="00C3766A" w:rsidRPr="007957D8" w:rsidRDefault="00C3766A" w:rsidP="00264215">
            <w:pPr>
              <w:jc w:val="center"/>
              <w:rPr>
                <w:rFonts w:ascii="Times New Roman" w:eastAsia="Times New Roman" w:hAnsi="Times New Roman" w:cs="Times New Roman"/>
                <w:color w:val="000000"/>
                <w:sz w:val="26"/>
                <w:szCs w:val="26"/>
                <w:lang w:eastAsia="ru-RU"/>
              </w:rPr>
            </w:pPr>
            <w:r w:rsidRPr="007957D8">
              <w:rPr>
                <w:rFonts w:ascii="Times New Roman" w:eastAsia="Times New Roman" w:hAnsi="Times New Roman" w:cs="Times New Roman"/>
                <w:color w:val="000000"/>
                <w:sz w:val="26"/>
                <w:szCs w:val="26"/>
                <w:lang w:eastAsia="ru-RU"/>
              </w:rPr>
              <w:t>Deficit (-)/excedent (+)</w:t>
            </w:r>
          </w:p>
        </w:tc>
      </w:tr>
      <w:tr w:rsidR="00C3766A" w:rsidRPr="004A76B8" w:rsidTr="00264215">
        <w:trPr>
          <w:trHeight w:val="490"/>
          <w:jc w:val="center"/>
        </w:trPr>
        <w:tc>
          <w:tcPr>
            <w:cnfStyle w:val="001000000000" w:firstRow="0" w:lastRow="0" w:firstColumn="1" w:lastColumn="0" w:oddVBand="0" w:evenVBand="0" w:oddHBand="0" w:evenHBand="0" w:firstRowFirstColumn="0" w:firstRowLastColumn="0" w:lastRowFirstColumn="0" w:lastRowLastColumn="0"/>
            <w:tcW w:w="1129" w:type="dxa"/>
            <w:hideMark/>
          </w:tcPr>
          <w:p w:rsidR="00C3766A" w:rsidRPr="004A76B8" w:rsidRDefault="00C3766A" w:rsidP="00264215">
            <w:pPr>
              <w:jc w:val="both"/>
              <w:rPr>
                <w:rFonts w:ascii="Times New Roman" w:eastAsia="Times New Roman" w:hAnsi="Times New Roman" w:cs="Times New Roman"/>
                <w:color w:val="000000"/>
                <w:sz w:val="24"/>
                <w:szCs w:val="24"/>
                <w:lang w:eastAsia="ru-RU"/>
              </w:rPr>
            </w:pPr>
            <w:r w:rsidRPr="004A76B8">
              <w:rPr>
                <w:rFonts w:ascii="Times New Roman" w:eastAsia="Times New Roman" w:hAnsi="Times New Roman" w:cs="Times New Roman"/>
                <w:color w:val="000000"/>
                <w:sz w:val="24"/>
                <w:szCs w:val="24"/>
                <w:lang w:eastAsia="ru-RU"/>
              </w:rPr>
              <w:t xml:space="preserve">BPN, </w:t>
            </w:r>
            <w:r w:rsidRPr="004F4F87">
              <w:rPr>
                <w:rFonts w:ascii="Times New Roman" w:eastAsia="Times New Roman" w:hAnsi="Times New Roman" w:cs="Times New Roman"/>
                <w:b w:val="0"/>
                <w:i/>
                <w:iCs/>
                <w:color w:val="000000"/>
                <w:sz w:val="24"/>
                <w:szCs w:val="24"/>
                <w:lang w:eastAsia="ru-RU"/>
              </w:rPr>
              <w:t>inclusiv:</w:t>
            </w:r>
          </w:p>
        </w:tc>
        <w:tc>
          <w:tcPr>
            <w:tcW w:w="953" w:type="dxa"/>
          </w:tcPr>
          <w:p w:rsidR="00C3766A" w:rsidRPr="00E77FC6" w:rsidRDefault="00C3766A" w:rsidP="00457963">
            <w:pPr>
              <w:ind w:left="-148"/>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-5585,1</w:t>
            </w:r>
          </w:p>
        </w:tc>
        <w:tc>
          <w:tcPr>
            <w:tcW w:w="993" w:type="dxa"/>
          </w:tcPr>
          <w:p w:rsidR="00C3766A" w:rsidRPr="004A76B8" w:rsidRDefault="00C3766A" w:rsidP="00457963">
            <w:pPr>
              <w:ind w:left="-10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w:t>
            </w:r>
            <w:r w:rsidRPr="004A76B8">
              <w:rPr>
                <w:rFonts w:ascii="Times New Roman" w:eastAsia="Times New Roman" w:hAnsi="Times New Roman" w:cs="Times New Roman"/>
                <w:b/>
                <w:bCs/>
                <w:color w:val="000000"/>
                <w:sz w:val="24"/>
                <w:szCs w:val="24"/>
                <w:lang w:eastAsia="ru-RU"/>
              </w:rPr>
              <w:t>14</w:t>
            </w:r>
            <w:r>
              <w:rPr>
                <w:rFonts w:ascii="Times New Roman" w:eastAsia="Times New Roman" w:hAnsi="Times New Roman" w:cs="Times New Roman"/>
                <w:b/>
                <w:bCs/>
                <w:color w:val="000000"/>
                <w:sz w:val="24"/>
                <w:szCs w:val="24"/>
                <w:lang w:eastAsia="ru-RU"/>
              </w:rPr>
              <w:t>4,8</w:t>
            </w:r>
          </w:p>
        </w:tc>
        <w:tc>
          <w:tcPr>
            <w:tcW w:w="988" w:type="dxa"/>
          </w:tcPr>
          <w:p w:rsidR="00C3766A" w:rsidRPr="00E77FC6" w:rsidRDefault="00C3766A" w:rsidP="0045796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4440,3</w:t>
            </w:r>
          </w:p>
        </w:tc>
        <w:tc>
          <w:tcPr>
            <w:tcW w:w="989" w:type="dxa"/>
          </w:tcPr>
          <w:p w:rsidR="00C3766A" w:rsidRPr="00E77FC6" w:rsidRDefault="00C3766A" w:rsidP="0045796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20,5</w:t>
            </w:r>
          </w:p>
        </w:tc>
        <w:tc>
          <w:tcPr>
            <w:tcW w:w="999" w:type="dxa"/>
            <w:hideMark/>
          </w:tcPr>
          <w:p w:rsidR="00C3766A" w:rsidRPr="004A76B8" w:rsidRDefault="00C3766A" w:rsidP="0045796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4"/>
                <w:szCs w:val="24"/>
                <w:lang w:eastAsia="ru-RU"/>
              </w:rPr>
            </w:pPr>
            <w:r w:rsidRPr="00E77FC6">
              <w:rPr>
                <w:rFonts w:ascii="Times New Roman" w:eastAsia="Times New Roman" w:hAnsi="Times New Roman" w:cs="Times New Roman"/>
                <w:b/>
                <w:bCs/>
                <w:color w:val="000000"/>
                <w:sz w:val="24"/>
                <w:szCs w:val="24"/>
                <w:lang w:eastAsia="ru-RU"/>
              </w:rPr>
              <w:t>-2508,7</w:t>
            </w:r>
          </w:p>
        </w:tc>
        <w:tc>
          <w:tcPr>
            <w:tcW w:w="993" w:type="dxa"/>
          </w:tcPr>
          <w:p w:rsidR="00C3766A" w:rsidRPr="004A76B8" w:rsidRDefault="00C3766A" w:rsidP="0045796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1363,9</w:t>
            </w:r>
          </w:p>
        </w:tc>
        <w:tc>
          <w:tcPr>
            <w:tcW w:w="992" w:type="dxa"/>
          </w:tcPr>
          <w:p w:rsidR="00C3766A" w:rsidRPr="004A76B8" w:rsidRDefault="00C3766A" w:rsidP="0045796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45,6</w:t>
            </w:r>
          </w:p>
        </w:tc>
        <w:tc>
          <w:tcPr>
            <w:tcW w:w="850" w:type="dxa"/>
            <w:hideMark/>
          </w:tcPr>
          <w:p w:rsidR="00C3766A" w:rsidRPr="004A76B8" w:rsidRDefault="00C3766A" w:rsidP="0045796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4"/>
                <w:szCs w:val="24"/>
                <w:lang w:eastAsia="ru-RU"/>
              </w:rPr>
            </w:pPr>
            <w:r w:rsidRPr="004A76B8">
              <w:rPr>
                <w:rFonts w:ascii="Times New Roman" w:eastAsia="Times New Roman" w:hAnsi="Times New Roman" w:cs="Times New Roman"/>
                <w:b/>
                <w:bCs/>
                <w:color w:val="000000"/>
                <w:sz w:val="24"/>
                <w:szCs w:val="24"/>
                <w:lang w:eastAsia="ru-RU"/>
              </w:rPr>
              <w:t>-1,8</w:t>
            </w:r>
          </w:p>
        </w:tc>
        <w:tc>
          <w:tcPr>
            <w:tcW w:w="854" w:type="dxa"/>
            <w:hideMark/>
          </w:tcPr>
          <w:p w:rsidR="00C3766A" w:rsidRPr="004A76B8" w:rsidRDefault="00C3766A" w:rsidP="0045796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4"/>
                <w:szCs w:val="24"/>
                <w:lang w:eastAsia="ru-RU"/>
              </w:rPr>
            </w:pPr>
            <w:r w:rsidRPr="004A76B8">
              <w:rPr>
                <w:rFonts w:ascii="Times New Roman" w:eastAsia="Times New Roman" w:hAnsi="Times New Roman" w:cs="Times New Roman"/>
                <w:b/>
                <w:bCs/>
                <w:color w:val="000000"/>
                <w:sz w:val="24"/>
                <w:szCs w:val="24"/>
                <w:lang w:eastAsia="ru-RU"/>
              </w:rPr>
              <w:t>-0,</w:t>
            </w:r>
            <w:r>
              <w:rPr>
                <w:rFonts w:ascii="Times New Roman" w:eastAsia="Times New Roman" w:hAnsi="Times New Roman" w:cs="Times New Roman"/>
                <w:b/>
                <w:bCs/>
                <w:color w:val="000000"/>
                <w:sz w:val="24"/>
                <w:szCs w:val="24"/>
                <w:lang w:eastAsia="ru-RU"/>
              </w:rPr>
              <w:t>8</w:t>
            </w:r>
          </w:p>
        </w:tc>
      </w:tr>
      <w:tr w:rsidR="00C3766A" w:rsidRPr="004A76B8" w:rsidTr="00264215">
        <w:trPr>
          <w:cnfStyle w:val="000000100000" w:firstRow="0" w:lastRow="0" w:firstColumn="0" w:lastColumn="0" w:oddVBand="0" w:evenVBand="0" w:oddHBand="1" w:evenHBand="0" w:firstRowFirstColumn="0" w:firstRowLastColumn="0" w:lastRowFirstColumn="0" w:lastRowLastColumn="0"/>
          <w:trHeight w:val="256"/>
          <w:jc w:val="center"/>
        </w:trPr>
        <w:tc>
          <w:tcPr>
            <w:cnfStyle w:val="001000000000" w:firstRow="0" w:lastRow="0" w:firstColumn="1" w:lastColumn="0" w:oddVBand="0" w:evenVBand="0" w:oddHBand="0" w:evenHBand="0" w:firstRowFirstColumn="0" w:firstRowLastColumn="0" w:lastRowFirstColumn="0" w:lastRowLastColumn="0"/>
            <w:tcW w:w="1129" w:type="dxa"/>
            <w:hideMark/>
          </w:tcPr>
          <w:p w:rsidR="00C3766A" w:rsidRPr="004A76B8" w:rsidRDefault="00C3766A" w:rsidP="00264215">
            <w:pPr>
              <w:jc w:val="both"/>
              <w:rPr>
                <w:rFonts w:ascii="Times New Roman" w:eastAsia="Times New Roman" w:hAnsi="Times New Roman" w:cs="Times New Roman"/>
                <w:i/>
                <w:iCs/>
                <w:color w:val="000000"/>
                <w:sz w:val="24"/>
                <w:szCs w:val="24"/>
                <w:lang w:eastAsia="ru-RU"/>
              </w:rPr>
            </w:pPr>
            <w:r w:rsidRPr="004A76B8">
              <w:rPr>
                <w:rFonts w:ascii="Times New Roman" w:eastAsia="Times New Roman" w:hAnsi="Times New Roman" w:cs="Times New Roman"/>
                <w:i/>
                <w:iCs/>
                <w:color w:val="000000"/>
                <w:sz w:val="24"/>
                <w:szCs w:val="24"/>
                <w:lang w:eastAsia="ru-RU"/>
              </w:rPr>
              <w:t>BS</w:t>
            </w:r>
          </w:p>
        </w:tc>
        <w:tc>
          <w:tcPr>
            <w:tcW w:w="953" w:type="dxa"/>
          </w:tcPr>
          <w:p w:rsidR="00C3766A" w:rsidRPr="004F4F87" w:rsidRDefault="00C3766A" w:rsidP="00457963">
            <w:pPr>
              <w:ind w:left="-148"/>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-4024,2</w:t>
            </w:r>
          </w:p>
        </w:tc>
        <w:tc>
          <w:tcPr>
            <w:tcW w:w="993" w:type="dxa"/>
          </w:tcPr>
          <w:p w:rsidR="00C3766A" w:rsidRPr="004F4F87" w:rsidRDefault="00C3766A" w:rsidP="00457963">
            <w:pPr>
              <w:ind w:left="-10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color w:val="000000"/>
                <w:sz w:val="24"/>
                <w:szCs w:val="24"/>
                <w:lang w:eastAsia="ru-RU"/>
              </w:rPr>
            </w:pPr>
            <w:r w:rsidRPr="004F4F87">
              <w:rPr>
                <w:rFonts w:ascii="Times New Roman" w:eastAsia="Times New Roman" w:hAnsi="Times New Roman" w:cs="Times New Roman"/>
                <w:iCs/>
                <w:color w:val="000000"/>
                <w:sz w:val="24"/>
                <w:szCs w:val="24"/>
                <w:lang w:eastAsia="ru-RU"/>
              </w:rPr>
              <w:t>-1531,7</w:t>
            </w:r>
          </w:p>
        </w:tc>
        <w:tc>
          <w:tcPr>
            <w:tcW w:w="988" w:type="dxa"/>
          </w:tcPr>
          <w:p w:rsidR="00C3766A" w:rsidRPr="004F4F87" w:rsidRDefault="00C3766A" w:rsidP="0045796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2492,5</w:t>
            </w:r>
          </w:p>
        </w:tc>
        <w:tc>
          <w:tcPr>
            <w:tcW w:w="989" w:type="dxa"/>
          </w:tcPr>
          <w:p w:rsidR="00C3766A" w:rsidRPr="004F4F87" w:rsidRDefault="00C3766A" w:rsidP="0045796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38,1</w:t>
            </w:r>
          </w:p>
        </w:tc>
        <w:tc>
          <w:tcPr>
            <w:tcW w:w="999" w:type="dxa"/>
            <w:hideMark/>
          </w:tcPr>
          <w:p w:rsidR="00C3766A" w:rsidRPr="004F4F87" w:rsidRDefault="00C3766A" w:rsidP="0045796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color w:val="000000"/>
                <w:sz w:val="24"/>
                <w:szCs w:val="24"/>
                <w:lang w:eastAsia="ru-RU"/>
              </w:rPr>
            </w:pPr>
            <w:r w:rsidRPr="004F4F87">
              <w:rPr>
                <w:rFonts w:ascii="Times New Roman" w:eastAsia="Times New Roman" w:hAnsi="Times New Roman" w:cs="Times New Roman"/>
                <w:iCs/>
                <w:color w:val="000000"/>
                <w:sz w:val="24"/>
                <w:szCs w:val="24"/>
                <w:lang w:eastAsia="ru-RU"/>
              </w:rPr>
              <w:t>-3433,6</w:t>
            </w:r>
          </w:p>
        </w:tc>
        <w:tc>
          <w:tcPr>
            <w:tcW w:w="993" w:type="dxa"/>
          </w:tcPr>
          <w:p w:rsidR="00C3766A" w:rsidRPr="004F4F87" w:rsidRDefault="00C3766A" w:rsidP="0045796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color w:val="000000"/>
                <w:sz w:val="24"/>
                <w:szCs w:val="24"/>
                <w:lang w:eastAsia="ru-RU"/>
              </w:rPr>
            </w:pPr>
            <w:r w:rsidRPr="004F4F87">
              <w:rPr>
                <w:rFonts w:ascii="Times New Roman" w:eastAsia="Times New Roman" w:hAnsi="Times New Roman" w:cs="Times New Roman"/>
                <w:iCs/>
                <w:color w:val="000000"/>
                <w:sz w:val="24"/>
                <w:szCs w:val="24"/>
                <w:lang w:eastAsia="ru-RU"/>
              </w:rPr>
              <w:t>1901,9</w:t>
            </w:r>
          </w:p>
        </w:tc>
        <w:tc>
          <w:tcPr>
            <w:tcW w:w="992" w:type="dxa"/>
          </w:tcPr>
          <w:p w:rsidR="00C3766A" w:rsidRPr="004F4F87" w:rsidRDefault="00C3766A" w:rsidP="0045796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color w:val="000000"/>
                <w:sz w:val="24"/>
                <w:szCs w:val="24"/>
                <w:lang w:eastAsia="ru-RU"/>
              </w:rPr>
            </w:pPr>
            <w:r w:rsidRPr="004F4F87">
              <w:rPr>
                <w:rFonts w:ascii="Times New Roman" w:eastAsia="Times New Roman" w:hAnsi="Times New Roman" w:cs="Times New Roman"/>
                <w:iCs/>
                <w:color w:val="000000"/>
                <w:sz w:val="24"/>
                <w:szCs w:val="24"/>
                <w:lang w:eastAsia="ru-RU"/>
              </w:rPr>
              <w:t>44,6</w:t>
            </w:r>
          </w:p>
        </w:tc>
        <w:tc>
          <w:tcPr>
            <w:tcW w:w="850" w:type="dxa"/>
            <w:hideMark/>
          </w:tcPr>
          <w:p w:rsidR="00C3766A" w:rsidRPr="004F4F87" w:rsidRDefault="00C3766A" w:rsidP="0045796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color w:val="000000"/>
                <w:sz w:val="24"/>
                <w:szCs w:val="24"/>
                <w:lang w:eastAsia="ru-RU"/>
              </w:rPr>
            </w:pPr>
            <w:r w:rsidRPr="004F4F87">
              <w:rPr>
                <w:rFonts w:ascii="Times New Roman" w:eastAsia="Times New Roman" w:hAnsi="Times New Roman" w:cs="Times New Roman"/>
                <w:iCs/>
                <w:color w:val="000000"/>
                <w:sz w:val="24"/>
                <w:szCs w:val="24"/>
                <w:lang w:eastAsia="ru-RU"/>
              </w:rPr>
              <w:t>-2,5</w:t>
            </w:r>
          </w:p>
        </w:tc>
        <w:tc>
          <w:tcPr>
            <w:tcW w:w="854" w:type="dxa"/>
            <w:hideMark/>
          </w:tcPr>
          <w:p w:rsidR="00C3766A" w:rsidRPr="004F4F87" w:rsidRDefault="00C3766A" w:rsidP="0045796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color w:val="000000"/>
                <w:sz w:val="24"/>
                <w:szCs w:val="24"/>
                <w:lang w:eastAsia="ru-RU"/>
              </w:rPr>
            </w:pPr>
            <w:r w:rsidRPr="004F4F87">
              <w:rPr>
                <w:rFonts w:ascii="Times New Roman" w:eastAsia="Times New Roman" w:hAnsi="Times New Roman" w:cs="Times New Roman"/>
                <w:iCs/>
                <w:color w:val="000000"/>
                <w:sz w:val="24"/>
                <w:szCs w:val="24"/>
                <w:lang w:eastAsia="ru-RU"/>
              </w:rPr>
              <w:t>-1,0</w:t>
            </w:r>
          </w:p>
        </w:tc>
      </w:tr>
      <w:tr w:rsidR="00C3766A" w:rsidRPr="004A76B8" w:rsidTr="00264215">
        <w:trPr>
          <w:trHeight w:val="256"/>
          <w:jc w:val="center"/>
        </w:trPr>
        <w:tc>
          <w:tcPr>
            <w:cnfStyle w:val="001000000000" w:firstRow="0" w:lastRow="0" w:firstColumn="1" w:lastColumn="0" w:oddVBand="0" w:evenVBand="0" w:oddHBand="0" w:evenHBand="0" w:firstRowFirstColumn="0" w:firstRowLastColumn="0" w:lastRowFirstColumn="0" w:lastRowLastColumn="0"/>
            <w:tcW w:w="1129" w:type="dxa"/>
            <w:hideMark/>
          </w:tcPr>
          <w:p w:rsidR="00C3766A" w:rsidRPr="004A76B8" w:rsidRDefault="00C3766A" w:rsidP="00264215">
            <w:pPr>
              <w:jc w:val="both"/>
              <w:rPr>
                <w:rFonts w:ascii="Times New Roman" w:eastAsia="Times New Roman" w:hAnsi="Times New Roman" w:cs="Times New Roman"/>
                <w:i/>
                <w:iCs/>
                <w:color w:val="000000"/>
                <w:sz w:val="24"/>
                <w:szCs w:val="24"/>
                <w:lang w:eastAsia="ru-RU"/>
              </w:rPr>
            </w:pPr>
            <w:r w:rsidRPr="004A76B8">
              <w:rPr>
                <w:rFonts w:ascii="Times New Roman" w:eastAsia="Times New Roman" w:hAnsi="Times New Roman" w:cs="Times New Roman"/>
                <w:i/>
                <w:iCs/>
                <w:color w:val="000000"/>
                <w:sz w:val="24"/>
                <w:szCs w:val="24"/>
                <w:lang w:eastAsia="ru-RU"/>
              </w:rPr>
              <w:t>BASS</w:t>
            </w:r>
          </w:p>
        </w:tc>
        <w:tc>
          <w:tcPr>
            <w:tcW w:w="953" w:type="dxa"/>
          </w:tcPr>
          <w:p w:rsidR="00C3766A" w:rsidRPr="004F4F87" w:rsidRDefault="00C3766A" w:rsidP="00457963">
            <w:pPr>
              <w:ind w:left="-148"/>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-126,3</w:t>
            </w:r>
          </w:p>
        </w:tc>
        <w:tc>
          <w:tcPr>
            <w:tcW w:w="993" w:type="dxa"/>
          </w:tcPr>
          <w:p w:rsidR="00C3766A" w:rsidRPr="004F4F87" w:rsidRDefault="00C3766A" w:rsidP="00457963">
            <w:pPr>
              <w:ind w:left="-10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000000"/>
                <w:sz w:val="24"/>
                <w:szCs w:val="24"/>
                <w:lang w:eastAsia="ru-RU"/>
              </w:rPr>
            </w:pPr>
            <w:r w:rsidRPr="004F4F87">
              <w:rPr>
                <w:rFonts w:ascii="Times New Roman" w:eastAsia="Times New Roman" w:hAnsi="Times New Roman" w:cs="Times New Roman"/>
                <w:iCs/>
                <w:color w:val="000000"/>
                <w:sz w:val="24"/>
                <w:szCs w:val="24"/>
                <w:lang w:eastAsia="ru-RU"/>
              </w:rPr>
              <w:t>204,2</w:t>
            </w:r>
          </w:p>
        </w:tc>
        <w:tc>
          <w:tcPr>
            <w:tcW w:w="988" w:type="dxa"/>
          </w:tcPr>
          <w:p w:rsidR="00C3766A" w:rsidRPr="004F4F87" w:rsidRDefault="00C3766A" w:rsidP="0045796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330,5</w:t>
            </w:r>
          </w:p>
        </w:tc>
        <w:tc>
          <w:tcPr>
            <w:tcW w:w="989" w:type="dxa"/>
          </w:tcPr>
          <w:p w:rsidR="00C3766A" w:rsidRPr="004F4F87" w:rsidRDefault="00C3766A" w:rsidP="0045796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&lt;0</w:t>
            </w:r>
          </w:p>
        </w:tc>
        <w:tc>
          <w:tcPr>
            <w:tcW w:w="999" w:type="dxa"/>
            <w:hideMark/>
          </w:tcPr>
          <w:p w:rsidR="00C3766A" w:rsidRPr="004F4F87" w:rsidRDefault="00C3766A" w:rsidP="0045796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000000"/>
                <w:sz w:val="24"/>
                <w:szCs w:val="24"/>
                <w:lang w:eastAsia="ru-RU"/>
              </w:rPr>
            </w:pPr>
            <w:r w:rsidRPr="004F4F87">
              <w:rPr>
                <w:rFonts w:ascii="Times New Roman" w:eastAsia="Times New Roman" w:hAnsi="Times New Roman" w:cs="Times New Roman"/>
                <w:iCs/>
                <w:color w:val="000000"/>
                <w:sz w:val="24"/>
                <w:szCs w:val="24"/>
                <w:lang w:eastAsia="ru-RU"/>
              </w:rPr>
              <w:t>95,9</w:t>
            </w:r>
          </w:p>
        </w:tc>
        <w:tc>
          <w:tcPr>
            <w:tcW w:w="993" w:type="dxa"/>
          </w:tcPr>
          <w:p w:rsidR="00C3766A" w:rsidRPr="004F4F87" w:rsidRDefault="00C3766A" w:rsidP="0045796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000000"/>
                <w:sz w:val="24"/>
                <w:szCs w:val="24"/>
                <w:lang w:eastAsia="ru-RU"/>
              </w:rPr>
            </w:pPr>
            <w:r w:rsidRPr="004F4F87">
              <w:rPr>
                <w:rFonts w:ascii="Times New Roman" w:eastAsia="Times New Roman" w:hAnsi="Times New Roman" w:cs="Times New Roman"/>
                <w:iCs/>
                <w:color w:val="000000"/>
                <w:sz w:val="24"/>
                <w:szCs w:val="24"/>
                <w:lang w:eastAsia="ru-RU"/>
              </w:rPr>
              <w:t>108,3</w:t>
            </w:r>
          </w:p>
        </w:tc>
        <w:tc>
          <w:tcPr>
            <w:tcW w:w="992" w:type="dxa"/>
          </w:tcPr>
          <w:p w:rsidR="00C3766A" w:rsidRPr="004F4F87" w:rsidRDefault="00C3766A" w:rsidP="0045796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000000"/>
                <w:sz w:val="24"/>
                <w:szCs w:val="24"/>
                <w:lang w:eastAsia="ru-RU"/>
              </w:rPr>
            </w:pPr>
            <w:r w:rsidRPr="004F4F87">
              <w:rPr>
                <w:rFonts w:ascii="Times New Roman" w:eastAsia="Times New Roman" w:hAnsi="Times New Roman" w:cs="Times New Roman"/>
                <w:iCs/>
                <w:color w:val="000000"/>
                <w:sz w:val="24"/>
                <w:szCs w:val="24"/>
                <w:lang w:eastAsia="ru-RU"/>
              </w:rPr>
              <w:t>212,9</w:t>
            </w:r>
          </w:p>
        </w:tc>
        <w:tc>
          <w:tcPr>
            <w:tcW w:w="850" w:type="dxa"/>
            <w:hideMark/>
          </w:tcPr>
          <w:p w:rsidR="00C3766A" w:rsidRPr="004F4F87" w:rsidRDefault="00C3766A" w:rsidP="0045796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000000"/>
                <w:sz w:val="24"/>
                <w:szCs w:val="24"/>
                <w:lang w:eastAsia="ru-RU"/>
              </w:rPr>
            </w:pPr>
            <w:r w:rsidRPr="004F4F87">
              <w:rPr>
                <w:rFonts w:ascii="Times New Roman" w:eastAsia="Times New Roman" w:hAnsi="Times New Roman" w:cs="Times New Roman"/>
                <w:iCs/>
                <w:color w:val="000000"/>
                <w:sz w:val="24"/>
                <w:szCs w:val="24"/>
                <w:lang w:eastAsia="ru-RU"/>
              </w:rPr>
              <w:t>0,1</w:t>
            </w:r>
          </w:p>
        </w:tc>
        <w:tc>
          <w:tcPr>
            <w:tcW w:w="854" w:type="dxa"/>
            <w:hideMark/>
          </w:tcPr>
          <w:p w:rsidR="00C3766A" w:rsidRPr="004F4F87" w:rsidRDefault="00C3766A" w:rsidP="0045796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000000"/>
                <w:sz w:val="24"/>
                <w:szCs w:val="24"/>
                <w:lang w:eastAsia="ru-RU"/>
              </w:rPr>
            </w:pPr>
            <w:r w:rsidRPr="004F4F87">
              <w:rPr>
                <w:rFonts w:ascii="Times New Roman" w:eastAsia="Times New Roman" w:hAnsi="Times New Roman" w:cs="Times New Roman"/>
                <w:iCs/>
                <w:color w:val="000000"/>
                <w:sz w:val="24"/>
                <w:szCs w:val="24"/>
                <w:lang w:eastAsia="ru-RU"/>
              </w:rPr>
              <w:t>0,1</w:t>
            </w:r>
          </w:p>
        </w:tc>
      </w:tr>
      <w:tr w:rsidR="00C3766A" w:rsidRPr="004A76B8" w:rsidTr="00264215">
        <w:trPr>
          <w:cnfStyle w:val="000000100000" w:firstRow="0" w:lastRow="0" w:firstColumn="0" w:lastColumn="0" w:oddVBand="0" w:evenVBand="0" w:oddHBand="1" w:evenHBand="0" w:firstRowFirstColumn="0" w:firstRowLastColumn="0" w:lastRowFirstColumn="0" w:lastRowLastColumn="0"/>
          <w:trHeight w:val="256"/>
          <w:jc w:val="center"/>
        </w:trPr>
        <w:tc>
          <w:tcPr>
            <w:cnfStyle w:val="001000000000" w:firstRow="0" w:lastRow="0" w:firstColumn="1" w:lastColumn="0" w:oddVBand="0" w:evenVBand="0" w:oddHBand="0" w:evenHBand="0" w:firstRowFirstColumn="0" w:firstRowLastColumn="0" w:lastRowFirstColumn="0" w:lastRowLastColumn="0"/>
            <w:tcW w:w="1129" w:type="dxa"/>
            <w:hideMark/>
          </w:tcPr>
          <w:p w:rsidR="00C3766A" w:rsidRPr="004A76B8" w:rsidRDefault="00C3766A" w:rsidP="00264215">
            <w:pPr>
              <w:jc w:val="both"/>
              <w:rPr>
                <w:rFonts w:ascii="Times New Roman" w:eastAsia="Times New Roman" w:hAnsi="Times New Roman" w:cs="Times New Roman"/>
                <w:i/>
                <w:iCs/>
                <w:color w:val="000000"/>
                <w:sz w:val="24"/>
                <w:szCs w:val="24"/>
                <w:lang w:eastAsia="ru-RU"/>
              </w:rPr>
            </w:pPr>
            <w:r w:rsidRPr="004A76B8">
              <w:rPr>
                <w:rFonts w:ascii="Times New Roman" w:eastAsia="Times New Roman" w:hAnsi="Times New Roman" w:cs="Times New Roman"/>
                <w:i/>
                <w:iCs/>
                <w:color w:val="000000"/>
                <w:sz w:val="24"/>
                <w:szCs w:val="24"/>
                <w:lang w:eastAsia="ru-RU"/>
              </w:rPr>
              <w:t>FAOAM</w:t>
            </w:r>
          </w:p>
        </w:tc>
        <w:tc>
          <w:tcPr>
            <w:tcW w:w="953" w:type="dxa"/>
          </w:tcPr>
          <w:p w:rsidR="00C3766A" w:rsidRPr="004F4F87" w:rsidRDefault="00C3766A" w:rsidP="00457963">
            <w:pPr>
              <w:ind w:left="-148"/>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-92,8</w:t>
            </w:r>
          </w:p>
        </w:tc>
        <w:tc>
          <w:tcPr>
            <w:tcW w:w="993" w:type="dxa"/>
          </w:tcPr>
          <w:p w:rsidR="00C3766A" w:rsidRPr="004F4F87" w:rsidRDefault="00C3766A" w:rsidP="00457963">
            <w:pPr>
              <w:ind w:left="-10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color w:val="000000"/>
                <w:sz w:val="24"/>
                <w:szCs w:val="24"/>
                <w:lang w:eastAsia="ru-RU"/>
              </w:rPr>
            </w:pPr>
            <w:r w:rsidRPr="004F4F87">
              <w:rPr>
                <w:rFonts w:ascii="Times New Roman" w:eastAsia="Times New Roman" w:hAnsi="Times New Roman" w:cs="Times New Roman"/>
                <w:iCs/>
                <w:color w:val="000000"/>
                <w:sz w:val="24"/>
                <w:szCs w:val="24"/>
                <w:lang w:eastAsia="ru-RU"/>
              </w:rPr>
              <w:t>-4,2</w:t>
            </w:r>
          </w:p>
        </w:tc>
        <w:tc>
          <w:tcPr>
            <w:tcW w:w="988" w:type="dxa"/>
          </w:tcPr>
          <w:p w:rsidR="00C3766A" w:rsidRPr="004F4F87" w:rsidRDefault="00C3766A" w:rsidP="0045796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88,6</w:t>
            </w:r>
          </w:p>
        </w:tc>
        <w:tc>
          <w:tcPr>
            <w:tcW w:w="989" w:type="dxa"/>
          </w:tcPr>
          <w:p w:rsidR="00C3766A" w:rsidRPr="004F4F87" w:rsidRDefault="00C3766A" w:rsidP="0045796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4,5</w:t>
            </w:r>
          </w:p>
        </w:tc>
        <w:tc>
          <w:tcPr>
            <w:tcW w:w="999" w:type="dxa"/>
            <w:hideMark/>
          </w:tcPr>
          <w:p w:rsidR="00C3766A" w:rsidRPr="004F4F87" w:rsidRDefault="00C3766A" w:rsidP="0045796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color w:val="000000"/>
                <w:sz w:val="24"/>
                <w:szCs w:val="24"/>
                <w:lang w:eastAsia="ru-RU"/>
              </w:rPr>
            </w:pPr>
            <w:r w:rsidRPr="004F4F87">
              <w:rPr>
                <w:rFonts w:ascii="Times New Roman" w:eastAsia="Times New Roman" w:hAnsi="Times New Roman" w:cs="Times New Roman"/>
                <w:iCs/>
                <w:color w:val="000000"/>
                <w:sz w:val="24"/>
                <w:szCs w:val="24"/>
                <w:lang w:eastAsia="ru-RU"/>
              </w:rPr>
              <w:t>90,7</w:t>
            </w:r>
          </w:p>
        </w:tc>
        <w:tc>
          <w:tcPr>
            <w:tcW w:w="993" w:type="dxa"/>
          </w:tcPr>
          <w:p w:rsidR="00C3766A" w:rsidRPr="004F4F87" w:rsidRDefault="00C3766A" w:rsidP="0045796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color w:val="000000"/>
                <w:sz w:val="24"/>
                <w:szCs w:val="24"/>
                <w:lang w:eastAsia="ru-RU"/>
              </w:rPr>
            </w:pPr>
            <w:r w:rsidRPr="004F4F87">
              <w:rPr>
                <w:rFonts w:ascii="Times New Roman" w:eastAsia="Times New Roman" w:hAnsi="Times New Roman" w:cs="Times New Roman"/>
                <w:iCs/>
                <w:color w:val="000000"/>
                <w:sz w:val="24"/>
                <w:szCs w:val="24"/>
                <w:lang w:eastAsia="ru-RU"/>
              </w:rPr>
              <w:t>-94,9</w:t>
            </w:r>
          </w:p>
        </w:tc>
        <w:tc>
          <w:tcPr>
            <w:tcW w:w="992" w:type="dxa"/>
          </w:tcPr>
          <w:p w:rsidR="00C3766A" w:rsidRPr="004F4F87" w:rsidRDefault="00C3766A" w:rsidP="0045796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color w:val="000000"/>
                <w:sz w:val="24"/>
                <w:szCs w:val="24"/>
                <w:lang w:eastAsia="ru-RU"/>
              </w:rPr>
            </w:pPr>
            <w:r w:rsidRPr="004F4F87">
              <w:rPr>
                <w:rFonts w:ascii="Times New Roman" w:eastAsia="Times New Roman" w:hAnsi="Times New Roman" w:cs="Times New Roman"/>
                <w:iCs/>
                <w:color w:val="000000"/>
                <w:sz w:val="24"/>
                <w:szCs w:val="24"/>
                <w:lang w:eastAsia="ru-RU"/>
              </w:rPr>
              <w:t>-</w:t>
            </w:r>
          </w:p>
        </w:tc>
        <w:tc>
          <w:tcPr>
            <w:tcW w:w="850" w:type="dxa"/>
            <w:hideMark/>
          </w:tcPr>
          <w:p w:rsidR="00C3766A" w:rsidRPr="004F4F87" w:rsidRDefault="00C3766A" w:rsidP="0045796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color w:val="000000"/>
                <w:sz w:val="24"/>
                <w:szCs w:val="24"/>
                <w:lang w:eastAsia="ru-RU"/>
              </w:rPr>
            </w:pPr>
            <w:r w:rsidRPr="004F4F87">
              <w:rPr>
                <w:rFonts w:ascii="Times New Roman" w:eastAsia="Times New Roman" w:hAnsi="Times New Roman" w:cs="Times New Roman"/>
                <w:iCs/>
                <w:color w:val="000000"/>
                <w:sz w:val="24"/>
                <w:szCs w:val="24"/>
                <w:lang w:eastAsia="ru-RU"/>
              </w:rPr>
              <w:t>0,1</w:t>
            </w:r>
          </w:p>
        </w:tc>
        <w:tc>
          <w:tcPr>
            <w:tcW w:w="854" w:type="dxa"/>
            <w:hideMark/>
          </w:tcPr>
          <w:p w:rsidR="00C3766A" w:rsidRPr="004F4F87" w:rsidRDefault="00C3766A" w:rsidP="0045796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color w:val="000000"/>
                <w:sz w:val="24"/>
                <w:szCs w:val="24"/>
                <w:lang w:eastAsia="ru-RU"/>
              </w:rPr>
            </w:pPr>
            <w:r w:rsidRPr="004F4F87">
              <w:rPr>
                <w:rFonts w:ascii="Times New Roman" w:eastAsia="Times New Roman" w:hAnsi="Times New Roman" w:cs="Times New Roman"/>
                <w:iCs/>
                <w:color w:val="000000"/>
                <w:sz w:val="24"/>
                <w:szCs w:val="24"/>
                <w:lang w:eastAsia="ru-RU"/>
              </w:rPr>
              <w:t>-</w:t>
            </w:r>
          </w:p>
        </w:tc>
      </w:tr>
      <w:tr w:rsidR="00C3766A" w:rsidRPr="004A76B8" w:rsidTr="00264215">
        <w:trPr>
          <w:trHeight w:val="256"/>
          <w:jc w:val="center"/>
        </w:trPr>
        <w:tc>
          <w:tcPr>
            <w:cnfStyle w:val="001000000000" w:firstRow="0" w:lastRow="0" w:firstColumn="1" w:lastColumn="0" w:oddVBand="0" w:evenVBand="0" w:oddHBand="0" w:evenHBand="0" w:firstRowFirstColumn="0" w:firstRowLastColumn="0" w:lastRowFirstColumn="0" w:lastRowLastColumn="0"/>
            <w:tcW w:w="1129" w:type="dxa"/>
            <w:noWrap/>
            <w:hideMark/>
          </w:tcPr>
          <w:p w:rsidR="00C3766A" w:rsidRPr="004A76B8" w:rsidRDefault="00C3766A" w:rsidP="00264215">
            <w:pPr>
              <w:rPr>
                <w:rFonts w:ascii="Times New Roman" w:eastAsia="Times New Roman" w:hAnsi="Times New Roman" w:cs="Times New Roman"/>
                <w:i/>
                <w:iCs/>
                <w:color w:val="000000"/>
                <w:sz w:val="24"/>
                <w:szCs w:val="24"/>
                <w:lang w:eastAsia="ru-RU"/>
              </w:rPr>
            </w:pPr>
            <w:r w:rsidRPr="004A76B8">
              <w:rPr>
                <w:rFonts w:ascii="Times New Roman" w:eastAsia="Times New Roman" w:hAnsi="Times New Roman" w:cs="Times New Roman"/>
                <w:i/>
                <w:iCs/>
                <w:color w:val="000000"/>
                <w:sz w:val="24"/>
                <w:szCs w:val="24"/>
                <w:lang w:eastAsia="ru-RU"/>
              </w:rPr>
              <w:t>BUAT</w:t>
            </w:r>
          </w:p>
        </w:tc>
        <w:tc>
          <w:tcPr>
            <w:tcW w:w="953" w:type="dxa"/>
          </w:tcPr>
          <w:p w:rsidR="00C3766A" w:rsidRPr="004F4F87" w:rsidRDefault="00C3766A" w:rsidP="00457963">
            <w:pPr>
              <w:ind w:left="-148"/>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-1341,8</w:t>
            </w:r>
          </w:p>
        </w:tc>
        <w:tc>
          <w:tcPr>
            <w:tcW w:w="993" w:type="dxa"/>
          </w:tcPr>
          <w:p w:rsidR="00C3766A" w:rsidRPr="004F4F87" w:rsidRDefault="00C3766A" w:rsidP="00457963">
            <w:pPr>
              <w:ind w:left="-10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000000"/>
                <w:sz w:val="24"/>
                <w:szCs w:val="24"/>
                <w:lang w:eastAsia="ru-RU"/>
              </w:rPr>
            </w:pPr>
            <w:r w:rsidRPr="004F4F87">
              <w:rPr>
                <w:rFonts w:ascii="Times New Roman" w:eastAsia="Times New Roman" w:hAnsi="Times New Roman" w:cs="Times New Roman"/>
                <w:iCs/>
                <w:color w:val="000000"/>
                <w:sz w:val="24"/>
                <w:szCs w:val="24"/>
                <w:lang w:eastAsia="ru-RU"/>
              </w:rPr>
              <w:t>186,9</w:t>
            </w:r>
          </w:p>
        </w:tc>
        <w:tc>
          <w:tcPr>
            <w:tcW w:w="988" w:type="dxa"/>
          </w:tcPr>
          <w:p w:rsidR="00C3766A" w:rsidRPr="004F4F87" w:rsidRDefault="00C3766A" w:rsidP="0045796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1528,7</w:t>
            </w:r>
          </w:p>
        </w:tc>
        <w:tc>
          <w:tcPr>
            <w:tcW w:w="989" w:type="dxa"/>
          </w:tcPr>
          <w:p w:rsidR="00C3766A" w:rsidRPr="004F4F87" w:rsidRDefault="00C3766A" w:rsidP="0045796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-13,9</w:t>
            </w:r>
          </w:p>
        </w:tc>
        <w:tc>
          <w:tcPr>
            <w:tcW w:w="999" w:type="dxa"/>
            <w:hideMark/>
          </w:tcPr>
          <w:p w:rsidR="00C3766A" w:rsidRPr="004F4F87" w:rsidRDefault="00C3766A" w:rsidP="0045796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000000"/>
                <w:sz w:val="24"/>
                <w:szCs w:val="24"/>
                <w:lang w:eastAsia="ru-RU"/>
              </w:rPr>
            </w:pPr>
            <w:r w:rsidRPr="004F4F87">
              <w:rPr>
                <w:rFonts w:ascii="Times New Roman" w:eastAsia="Times New Roman" w:hAnsi="Times New Roman" w:cs="Times New Roman"/>
                <w:iCs/>
                <w:color w:val="000000"/>
                <w:sz w:val="24"/>
                <w:szCs w:val="24"/>
                <w:lang w:eastAsia="ru-RU"/>
              </w:rPr>
              <w:t>738,3</w:t>
            </w:r>
          </w:p>
        </w:tc>
        <w:tc>
          <w:tcPr>
            <w:tcW w:w="993" w:type="dxa"/>
          </w:tcPr>
          <w:p w:rsidR="00C3766A" w:rsidRPr="004F4F87" w:rsidRDefault="00C3766A" w:rsidP="0045796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000000"/>
                <w:sz w:val="24"/>
                <w:szCs w:val="24"/>
                <w:lang w:eastAsia="ru-RU"/>
              </w:rPr>
            </w:pPr>
            <w:r w:rsidRPr="004F4F87">
              <w:rPr>
                <w:rFonts w:ascii="Times New Roman" w:eastAsia="Times New Roman" w:hAnsi="Times New Roman" w:cs="Times New Roman"/>
                <w:iCs/>
                <w:color w:val="000000"/>
                <w:sz w:val="24"/>
                <w:szCs w:val="24"/>
                <w:lang w:eastAsia="ru-RU"/>
              </w:rPr>
              <w:t>-551,4</w:t>
            </w:r>
          </w:p>
        </w:tc>
        <w:tc>
          <w:tcPr>
            <w:tcW w:w="992" w:type="dxa"/>
          </w:tcPr>
          <w:p w:rsidR="00C3766A" w:rsidRPr="004F4F87" w:rsidRDefault="00C3766A" w:rsidP="0045796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000000"/>
                <w:sz w:val="24"/>
                <w:szCs w:val="24"/>
                <w:lang w:eastAsia="ru-RU"/>
              </w:rPr>
            </w:pPr>
            <w:r w:rsidRPr="004F4F87">
              <w:rPr>
                <w:rFonts w:ascii="Times New Roman" w:eastAsia="Times New Roman" w:hAnsi="Times New Roman" w:cs="Times New Roman"/>
                <w:iCs/>
                <w:color w:val="000000"/>
                <w:sz w:val="24"/>
                <w:szCs w:val="24"/>
                <w:lang w:eastAsia="ru-RU"/>
              </w:rPr>
              <w:t>25,3</w:t>
            </w:r>
          </w:p>
        </w:tc>
        <w:tc>
          <w:tcPr>
            <w:tcW w:w="850" w:type="dxa"/>
            <w:hideMark/>
          </w:tcPr>
          <w:p w:rsidR="00C3766A" w:rsidRPr="004F4F87" w:rsidRDefault="00C3766A" w:rsidP="0045796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000000"/>
                <w:sz w:val="24"/>
                <w:szCs w:val="24"/>
                <w:lang w:eastAsia="ru-RU"/>
              </w:rPr>
            </w:pPr>
            <w:r w:rsidRPr="004F4F87">
              <w:rPr>
                <w:rFonts w:ascii="Times New Roman" w:eastAsia="Times New Roman" w:hAnsi="Times New Roman" w:cs="Times New Roman"/>
                <w:iCs/>
                <w:color w:val="000000"/>
                <w:sz w:val="24"/>
                <w:szCs w:val="24"/>
                <w:lang w:eastAsia="ru-RU"/>
              </w:rPr>
              <w:t>0,5</w:t>
            </w:r>
          </w:p>
        </w:tc>
        <w:tc>
          <w:tcPr>
            <w:tcW w:w="854" w:type="dxa"/>
            <w:hideMark/>
          </w:tcPr>
          <w:p w:rsidR="00C3766A" w:rsidRPr="004F4F87" w:rsidRDefault="00C3766A" w:rsidP="0045796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000000"/>
                <w:sz w:val="24"/>
                <w:szCs w:val="24"/>
                <w:lang w:eastAsia="ru-RU"/>
              </w:rPr>
            </w:pPr>
            <w:r w:rsidRPr="004F4F87">
              <w:rPr>
                <w:rFonts w:ascii="Times New Roman" w:eastAsia="Times New Roman" w:hAnsi="Times New Roman" w:cs="Times New Roman"/>
                <w:iCs/>
                <w:color w:val="000000"/>
                <w:sz w:val="24"/>
                <w:szCs w:val="24"/>
                <w:lang w:eastAsia="ru-RU"/>
              </w:rPr>
              <w:t>0,1</w:t>
            </w:r>
          </w:p>
        </w:tc>
      </w:tr>
      <w:tr w:rsidR="00C3766A" w:rsidRPr="00064718" w:rsidTr="00264215">
        <w:trPr>
          <w:cnfStyle w:val="000000100000" w:firstRow="0" w:lastRow="0" w:firstColumn="0" w:lastColumn="0" w:oddVBand="0" w:evenVBand="0" w:oddHBand="1" w:evenHBand="0" w:firstRowFirstColumn="0" w:firstRowLastColumn="0" w:lastRowFirstColumn="0" w:lastRowLastColumn="0"/>
          <w:trHeight w:val="256"/>
          <w:jc w:val="center"/>
        </w:trPr>
        <w:tc>
          <w:tcPr>
            <w:cnfStyle w:val="001000000000" w:firstRow="0" w:lastRow="0" w:firstColumn="1" w:lastColumn="0" w:oddVBand="0" w:evenVBand="0" w:oddHBand="0" w:evenHBand="0" w:firstRowFirstColumn="0" w:firstRowLastColumn="0" w:lastRowFirstColumn="0" w:lastRowLastColumn="0"/>
            <w:tcW w:w="9740" w:type="dxa"/>
            <w:gridSpan w:val="10"/>
          </w:tcPr>
          <w:p w:rsidR="00C3766A" w:rsidRPr="007F6CA4" w:rsidRDefault="00C3766A" w:rsidP="00264215">
            <w:pPr>
              <w:ind w:left="23"/>
              <w:jc w:val="both"/>
              <w:rPr>
                <w:rFonts w:ascii="Times New Roman" w:eastAsia="Times New Roman" w:hAnsi="Times New Roman" w:cs="Times New Roman"/>
                <w:b w:val="0"/>
                <w:sz w:val="20"/>
                <w:szCs w:val="24"/>
                <w:lang w:eastAsia="ru-RU"/>
              </w:rPr>
            </w:pPr>
            <w:r w:rsidRPr="007F6CA4">
              <w:rPr>
                <w:rFonts w:ascii="Times New Roman" w:eastAsia="Times New Roman" w:hAnsi="Times New Roman" w:cs="Times New Roman"/>
                <w:b w:val="0"/>
                <w:sz w:val="20"/>
                <w:szCs w:val="24"/>
                <w:lang w:eastAsia="ru-RU"/>
              </w:rPr>
              <w:t>* Produsul intern brut luat în calcul pentru anul 2016, conform datelor BNS</w:t>
            </w:r>
            <w:r w:rsidR="00064718">
              <w:rPr>
                <w:rFonts w:ascii="Times New Roman" w:eastAsia="Times New Roman" w:hAnsi="Times New Roman" w:cs="Times New Roman"/>
                <w:b w:val="0"/>
                <w:sz w:val="20"/>
                <w:szCs w:val="24"/>
                <w:lang w:eastAsia="ru-RU"/>
              </w:rPr>
              <w:t>,</w:t>
            </w:r>
            <w:r w:rsidRPr="007F6CA4">
              <w:rPr>
                <w:rFonts w:ascii="Times New Roman" w:eastAsia="Times New Roman" w:hAnsi="Times New Roman" w:cs="Times New Roman"/>
                <w:b w:val="0"/>
                <w:sz w:val="20"/>
                <w:szCs w:val="24"/>
                <w:lang w:eastAsia="ru-RU"/>
              </w:rPr>
              <w:t xml:space="preserve"> este de 135 397,0 mil.lei</w:t>
            </w:r>
            <w:r w:rsidR="00064718">
              <w:rPr>
                <w:rFonts w:ascii="Times New Roman" w:eastAsia="Times New Roman" w:hAnsi="Times New Roman" w:cs="Times New Roman"/>
                <w:b w:val="0"/>
                <w:sz w:val="20"/>
                <w:szCs w:val="24"/>
                <w:lang w:eastAsia="ru-RU"/>
              </w:rPr>
              <w:t>.</w:t>
            </w:r>
          </w:p>
          <w:p w:rsidR="00C3766A" w:rsidRPr="007F6CA4" w:rsidRDefault="00C3766A" w:rsidP="00793F31">
            <w:pPr>
              <w:jc w:val="both"/>
              <w:rPr>
                <w:rFonts w:ascii="Times New Roman" w:eastAsia="Times New Roman" w:hAnsi="Times New Roman" w:cs="Times New Roman"/>
                <w:b w:val="0"/>
                <w:iCs/>
                <w:color w:val="000000"/>
                <w:sz w:val="24"/>
                <w:szCs w:val="24"/>
                <w:lang w:eastAsia="ru-RU"/>
              </w:rPr>
            </w:pPr>
            <w:r w:rsidRPr="007F6CA4">
              <w:rPr>
                <w:rFonts w:ascii="Times New Roman" w:eastAsia="Times New Roman" w:hAnsi="Times New Roman" w:cs="Times New Roman"/>
                <w:b w:val="0"/>
                <w:sz w:val="20"/>
                <w:szCs w:val="24"/>
                <w:lang w:eastAsia="ru-RU"/>
              </w:rPr>
              <w:t>** Produsul intern brut luat în calcul pentru anul 2017, conform datelor preliminare ale BNS</w:t>
            </w:r>
            <w:r w:rsidR="00064718">
              <w:rPr>
                <w:rFonts w:ascii="Times New Roman" w:eastAsia="Times New Roman" w:hAnsi="Times New Roman" w:cs="Times New Roman"/>
                <w:b w:val="0"/>
                <w:sz w:val="20"/>
                <w:szCs w:val="24"/>
                <w:lang w:eastAsia="ru-RU"/>
              </w:rPr>
              <w:t>,</w:t>
            </w:r>
            <w:r w:rsidRPr="007F6CA4">
              <w:rPr>
                <w:rFonts w:ascii="Times New Roman" w:eastAsia="Times New Roman" w:hAnsi="Times New Roman" w:cs="Times New Roman"/>
                <w:b w:val="0"/>
                <w:sz w:val="20"/>
                <w:szCs w:val="24"/>
                <w:lang w:eastAsia="ru-RU"/>
              </w:rPr>
              <w:t xml:space="preserve"> este de 150 369,0 mil.lei</w:t>
            </w:r>
            <w:r w:rsidR="00064718">
              <w:rPr>
                <w:rFonts w:ascii="Times New Roman" w:eastAsia="Times New Roman" w:hAnsi="Times New Roman" w:cs="Times New Roman"/>
                <w:b w:val="0"/>
                <w:sz w:val="20"/>
                <w:szCs w:val="24"/>
                <w:lang w:eastAsia="ru-RU"/>
              </w:rPr>
              <w:t>.</w:t>
            </w:r>
          </w:p>
        </w:tc>
      </w:tr>
    </w:tbl>
    <w:p w:rsidR="00C3766A" w:rsidRPr="00CB5B47" w:rsidRDefault="00C3766A" w:rsidP="00C3766A">
      <w:pPr>
        <w:spacing w:after="0"/>
        <w:rPr>
          <w:rFonts w:ascii="Times New Roman" w:hAnsi="Times New Roman" w:cs="Times New Roman"/>
          <w:i/>
          <w:sz w:val="20"/>
        </w:rPr>
      </w:pPr>
      <w:r>
        <w:rPr>
          <w:rFonts w:ascii="Times New Roman" w:hAnsi="Times New Roman" w:cs="Times New Roman"/>
          <w:b/>
          <w:sz w:val="20"/>
        </w:rPr>
        <w:t>Notă:</w:t>
      </w:r>
      <w:r w:rsidRPr="008F4CC3">
        <w:rPr>
          <w:rFonts w:ascii="Times New Roman" w:hAnsi="Times New Roman" w:cs="Times New Roman"/>
          <w:b/>
          <w:sz w:val="20"/>
        </w:rPr>
        <w:t xml:space="preserve"> </w:t>
      </w:r>
      <w:r w:rsidRPr="00CB5B47">
        <w:rPr>
          <w:rFonts w:ascii="Times New Roman" w:hAnsi="Times New Roman" w:cs="Times New Roman"/>
          <w:i/>
          <w:sz w:val="20"/>
        </w:rPr>
        <w:t xml:space="preserve">Datele referitor la venituri și cheltuieli </w:t>
      </w:r>
      <w:r>
        <w:rPr>
          <w:rFonts w:ascii="Times New Roman" w:hAnsi="Times New Roman" w:cs="Times New Roman"/>
          <w:i/>
          <w:sz w:val="20"/>
        </w:rPr>
        <w:t>ale componentelor BPN sunt preze</w:t>
      </w:r>
      <w:r w:rsidRPr="00CB5B47">
        <w:rPr>
          <w:rFonts w:ascii="Times New Roman" w:hAnsi="Times New Roman" w:cs="Times New Roman"/>
          <w:i/>
          <w:sz w:val="20"/>
        </w:rPr>
        <w:t>ntate cu transferuri</w:t>
      </w:r>
      <w:r w:rsidR="00301DE3">
        <w:rPr>
          <w:rFonts w:ascii="Times New Roman" w:hAnsi="Times New Roman" w:cs="Times New Roman"/>
          <w:i/>
          <w:sz w:val="20"/>
        </w:rPr>
        <w:t>le</w:t>
      </w:r>
      <w:r w:rsidRPr="00CB5B47">
        <w:rPr>
          <w:rFonts w:ascii="Times New Roman" w:hAnsi="Times New Roman" w:cs="Times New Roman"/>
          <w:i/>
          <w:sz w:val="20"/>
        </w:rPr>
        <w:t xml:space="preserve"> între bugete.</w:t>
      </w:r>
    </w:p>
    <w:p w:rsidR="00E15B39" w:rsidRDefault="00C3766A" w:rsidP="00C3766A">
      <w:pPr>
        <w:spacing w:after="0" w:line="276" w:lineRule="auto"/>
        <w:jc w:val="both"/>
        <w:rPr>
          <w:rFonts w:ascii="Times New Roman" w:hAnsi="Times New Roman" w:cs="Times New Roman"/>
          <w:sz w:val="28"/>
        </w:rPr>
      </w:pPr>
      <w:r w:rsidRPr="00A91F57">
        <w:rPr>
          <w:rFonts w:ascii="Times New Roman" w:hAnsi="Times New Roman" w:cs="Times New Roman"/>
          <w:b/>
          <w:sz w:val="20"/>
        </w:rPr>
        <w:t>Surs</w:t>
      </w:r>
      <w:r w:rsidR="00064718">
        <w:rPr>
          <w:rFonts w:ascii="Times New Roman" w:hAnsi="Times New Roman" w:cs="Times New Roman"/>
          <w:b/>
          <w:sz w:val="20"/>
        </w:rPr>
        <w:t>ă</w:t>
      </w:r>
      <w:r w:rsidRPr="00A91F57">
        <w:rPr>
          <w:rFonts w:ascii="Times New Roman" w:hAnsi="Times New Roman" w:cs="Times New Roman"/>
          <w:b/>
          <w:sz w:val="20"/>
        </w:rPr>
        <w:t>:</w:t>
      </w:r>
      <w:r w:rsidRPr="00A91F57">
        <w:rPr>
          <w:rFonts w:ascii="Times New Roman" w:hAnsi="Times New Roman" w:cs="Times New Roman"/>
          <w:sz w:val="20"/>
        </w:rPr>
        <w:t xml:space="preserve"> </w:t>
      </w:r>
      <w:r>
        <w:rPr>
          <w:rFonts w:ascii="Times New Roman" w:hAnsi="Times New Roman" w:cs="Times New Roman"/>
          <w:i/>
          <w:sz w:val="20"/>
        </w:rPr>
        <w:t>Date generalizate de echipa de audit din R</w:t>
      </w:r>
      <w:r w:rsidRPr="00A91F57">
        <w:rPr>
          <w:rFonts w:ascii="Times New Roman" w:hAnsi="Times New Roman" w:cs="Times New Roman"/>
          <w:i/>
          <w:sz w:val="20"/>
        </w:rPr>
        <w:t>aportul privind executarea bugetului de stat pentru anul 2016</w:t>
      </w:r>
      <w:r>
        <w:rPr>
          <w:rFonts w:ascii="Times New Roman" w:hAnsi="Times New Roman" w:cs="Times New Roman"/>
          <w:i/>
          <w:sz w:val="20"/>
        </w:rPr>
        <w:t xml:space="preserve"> și Raportul privind executarea bugetului de stat pentru anul 2017.</w:t>
      </w:r>
    </w:p>
    <w:p w:rsidR="00E15B39" w:rsidRDefault="007819C7" w:rsidP="008D3B4F">
      <w:pPr>
        <w:spacing w:before="120" w:after="0" w:line="276" w:lineRule="auto"/>
        <w:ind w:firstLine="709"/>
        <w:jc w:val="both"/>
        <w:rPr>
          <w:rFonts w:ascii="Times New Roman" w:hAnsi="Times New Roman" w:cs="Times New Roman"/>
          <w:sz w:val="28"/>
        </w:rPr>
      </w:pPr>
      <w:r>
        <w:rPr>
          <w:rFonts w:ascii="Times New Roman" w:hAnsi="Times New Roman" w:cs="Times New Roman"/>
          <w:sz w:val="28"/>
        </w:rPr>
        <w:t xml:space="preserve">Ponderea veniturilor BPN </w:t>
      </w:r>
      <w:r w:rsidR="00E15B39">
        <w:rPr>
          <w:rFonts w:ascii="Times New Roman" w:hAnsi="Times New Roman" w:cs="Times New Roman"/>
          <w:sz w:val="28"/>
        </w:rPr>
        <w:t xml:space="preserve">a evoluat în PIB cu 1,6 p.p. față de anul 2016, înregistrând 35,5% în anul 2017. </w:t>
      </w:r>
      <w:r w:rsidR="00C3766A">
        <w:rPr>
          <w:rFonts w:ascii="Times New Roman" w:hAnsi="Times New Roman" w:cs="Times New Roman"/>
          <w:sz w:val="28"/>
        </w:rPr>
        <w:t>Î</w:t>
      </w:r>
      <w:r w:rsidR="00E15B39">
        <w:rPr>
          <w:rFonts w:ascii="Times New Roman" w:hAnsi="Times New Roman" w:cs="Times New Roman"/>
          <w:sz w:val="28"/>
        </w:rPr>
        <w:t>ncasarea veniturilor peste nivelul precizat a fost asigurată la toate 4 bugete componente ale BPN, variind de la 100,1%, înregistrat la BUAT, până la 100,9%, raportat la BASS.</w:t>
      </w:r>
    </w:p>
    <w:p w:rsidR="00F00009" w:rsidRDefault="00E15B39" w:rsidP="008D3B4F">
      <w:pPr>
        <w:spacing w:after="0" w:line="276" w:lineRule="auto"/>
        <w:ind w:firstLine="709"/>
        <w:jc w:val="both"/>
        <w:rPr>
          <w:rFonts w:ascii="Times New Roman" w:hAnsi="Times New Roman" w:cs="Times New Roman"/>
          <w:sz w:val="28"/>
        </w:rPr>
      </w:pPr>
      <w:r>
        <w:rPr>
          <w:rFonts w:ascii="Times New Roman" w:hAnsi="Times New Roman" w:cs="Times New Roman"/>
          <w:sz w:val="28"/>
        </w:rPr>
        <w:t xml:space="preserve">La partea de cheltuieli, execuția BPN în anul 2017 a fost sub nivelul precizat cu 6,6%, sau cu </w:t>
      </w:r>
      <w:r w:rsidRPr="007A117C">
        <w:rPr>
          <w:rFonts w:ascii="Times New Roman" w:hAnsi="Times New Roman" w:cs="Times New Roman"/>
          <w:sz w:val="28"/>
        </w:rPr>
        <w:t>3837,5</w:t>
      </w:r>
      <w:r>
        <w:rPr>
          <w:rFonts w:ascii="Times New Roman" w:hAnsi="Times New Roman" w:cs="Times New Roman"/>
          <w:sz w:val="28"/>
        </w:rPr>
        <w:t xml:space="preserve"> mil.lei mai puțin. </w:t>
      </w:r>
      <w:r w:rsidRPr="003F71CD">
        <w:rPr>
          <w:rFonts w:ascii="Times New Roman" w:hAnsi="Times New Roman" w:cs="Times New Roman"/>
          <w:sz w:val="28"/>
        </w:rPr>
        <w:t>Comparativ cu anul 2016, cheltuielile s-au majorat cu 6059,8 m</w:t>
      </w:r>
      <w:r w:rsidR="007819C7" w:rsidRPr="003F71CD">
        <w:rPr>
          <w:rFonts w:ascii="Times New Roman" w:hAnsi="Times New Roman" w:cs="Times New Roman"/>
          <w:sz w:val="28"/>
        </w:rPr>
        <w:t>il.lei</w:t>
      </w:r>
      <w:r w:rsidR="00301DE3" w:rsidRPr="003F71CD">
        <w:rPr>
          <w:rFonts w:ascii="Times New Roman" w:hAnsi="Times New Roman" w:cs="Times New Roman"/>
          <w:sz w:val="28"/>
        </w:rPr>
        <w:t>,</w:t>
      </w:r>
      <w:r w:rsidR="007819C7" w:rsidRPr="003F71CD">
        <w:rPr>
          <w:rFonts w:ascii="Times New Roman" w:hAnsi="Times New Roman" w:cs="Times New Roman"/>
          <w:sz w:val="28"/>
        </w:rPr>
        <w:t xml:space="preserve"> sau </w:t>
      </w:r>
      <w:r w:rsidR="00301DE3" w:rsidRPr="003F71CD">
        <w:rPr>
          <w:rFonts w:ascii="Times New Roman" w:hAnsi="Times New Roman" w:cs="Times New Roman"/>
          <w:sz w:val="28"/>
        </w:rPr>
        <w:t xml:space="preserve">cu </w:t>
      </w:r>
      <w:r w:rsidR="007819C7" w:rsidRPr="003F71CD">
        <w:rPr>
          <w:rFonts w:ascii="Times New Roman" w:hAnsi="Times New Roman" w:cs="Times New Roman"/>
          <w:sz w:val="28"/>
        </w:rPr>
        <w:t>12,5%</w:t>
      </w:r>
      <w:r w:rsidRPr="003F71CD">
        <w:rPr>
          <w:rFonts w:ascii="Times New Roman" w:hAnsi="Times New Roman" w:cs="Times New Roman"/>
          <w:sz w:val="28"/>
        </w:rPr>
        <w:t xml:space="preserve"> ca pondere în PIB, </w:t>
      </w:r>
      <w:r w:rsidR="00301DE3" w:rsidRPr="00F00009">
        <w:rPr>
          <w:rFonts w:ascii="Times New Roman" w:hAnsi="Times New Roman" w:cs="Times New Roman"/>
          <w:sz w:val="28"/>
        </w:rPr>
        <w:t xml:space="preserve">ceea ce semnifică </w:t>
      </w:r>
      <w:r w:rsidRPr="003F71CD">
        <w:rPr>
          <w:rFonts w:ascii="Times New Roman" w:hAnsi="Times New Roman" w:cs="Times New Roman"/>
          <w:sz w:val="28"/>
        </w:rPr>
        <w:t>o creștere de 0,5 p.p.</w:t>
      </w:r>
      <w:r w:rsidR="00764D6E" w:rsidRPr="00F00009">
        <w:rPr>
          <w:rFonts w:ascii="Times New Roman" w:hAnsi="Times New Roman" w:cs="Times New Roman"/>
          <w:sz w:val="28"/>
        </w:rPr>
        <w:t xml:space="preserve"> </w:t>
      </w:r>
    </w:p>
    <w:p w:rsidR="00E15B39" w:rsidRDefault="00E15B39" w:rsidP="008D3B4F">
      <w:pPr>
        <w:spacing w:after="0" w:line="276" w:lineRule="auto"/>
        <w:ind w:firstLine="709"/>
        <w:jc w:val="both"/>
        <w:rPr>
          <w:rFonts w:ascii="Times New Roman" w:hAnsi="Times New Roman" w:cs="Times New Roman"/>
          <w:sz w:val="28"/>
        </w:rPr>
      </w:pPr>
      <w:r w:rsidRPr="003F71CD">
        <w:rPr>
          <w:rFonts w:ascii="Times New Roman" w:hAnsi="Times New Roman" w:cs="Times New Roman"/>
          <w:sz w:val="28"/>
        </w:rPr>
        <w:t>În anul 2017, cheltuielile bugetelor componente ale BPN au fost executate sub</w:t>
      </w:r>
      <w:r>
        <w:rPr>
          <w:rFonts w:ascii="Times New Roman" w:hAnsi="Times New Roman" w:cs="Times New Roman"/>
          <w:sz w:val="28"/>
        </w:rPr>
        <w:t xml:space="preserve"> nivelul precizat. Astfel, cel mai scăzut nivel </w:t>
      </w:r>
      <w:r w:rsidR="00C3766A">
        <w:rPr>
          <w:rFonts w:ascii="Times New Roman" w:hAnsi="Times New Roman" w:cs="Times New Roman"/>
          <w:sz w:val="28"/>
        </w:rPr>
        <w:t xml:space="preserve">a </w:t>
      </w:r>
      <w:r>
        <w:rPr>
          <w:rFonts w:ascii="Times New Roman" w:hAnsi="Times New Roman" w:cs="Times New Roman"/>
          <w:sz w:val="28"/>
        </w:rPr>
        <w:t>f</w:t>
      </w:r>
      <w:r w:rsidR="00C3766A">
        <w:rPr>
          <w:rFonts w:ascii="Times New Roman" w:hAnsi="Times New Roman" w:cs="Times New Roman"/>
          <w:sz w:val="28"/>
        </w:rPr>
        <w:t>ost</w:t>
      </w:r>
      <w:r>
        <w:rPr>
          <w:rFonts w:ascii="Times New Roman" w:hAnsi="Times New Roman" w:cs="Times New Roman"/>
          <w:sz w:val="28"/>
        </w:rPr>
        <w:t xml:space="preserve"> raportat de BUAT – 89,7% față de cheltuielile precizate pentru executare, urmate fiind de cheltuielile raportate la BS – 93,9%, iar cheltuielile la BASS și FAOAM au înregistrat o execuție de 99,0%.</w:t>
      </w:r>
    </w:p>
    <w:p w:rsidR="007819C7" w:rsidRPr="008847E8" w:rsidRDefault="00E15B39" w:rsidP="008D3B4F">
      <w:pPr>
        <w:spacing w:after="0" w:line="276" w:lineRule="auto"/>
        <w:ind w:firstLine="709"/>
        <w:jc w:val="both"/>
        <w:rPr>
          <w:rFonts w:ascii="Times New Roman" w:hAnsi="Times New Roman" w:cs="Times New Roman"/>
          <w:sz w:val="28"/>
        </w:rPr>
      </w:pPr>
      <w:r>
        <w:rPr>
          <w:rFonts w:ascii="Times New Roman" w:hAnsi="Times New Roman" w:cs="Times New Roman"/>
          <w:sz w:val="28"/>
        </w:rPr>
        <w:t xml:space="preserve">BPN s-a încheiat cu un deficit de 1144,8 mil.lei, înregistrând o scădere de 4440,3 mil.lei față de nivelul precizat și cu </w:t>
      </w:r>
      <w:r w:rsidRPr="002D6E88">
        <w:rPr>
          <w:rFonts w:ascii="Times New Roman" w:hAnsi="Times New Roman" w:cs="Times New Roman"/>
          <w:sz w:val="28"/>
        </w:rPr>
        <w:t>1363,9</w:t>
      </w:r>
      <w:r>
        <w:rPr>
          <w:rFonts w:ascii="Times New Roman" w:hAnsi="Times New Roman" w:cs="Times New Roman"/>
          <w:sz w:val="28"/>
        </w:rPr>
        <w:t xml:space="preserve"> mil.lei mai puțin comparativ cu </w:t>
      </w:r>
      <w:r w:rsidRPr="00035E95">
        <w:rPr>
          <w:rFonts w:ascii="Times New Roman" w:hAnsi="Times New Roman" w:cs="Times New Roman"/>
          <w:sz w:val="28"/>
        </w:rPr>
        <w:t xml:space="preserve">deficitul </w:t>
      </w:r>
      <w:r w:rsidR="000E1BAF" w:rsidRPr="00035E95">
        <w:rPr>
          <w:rFonts w:ascii="Times New Roman" w:hAnsi="Times New Roman" w:cs="Times New Roman"/>
          <w:sz w:val="28"/>
        </w:rPr>
        <w:t xml:space="preserve">executat </w:t>
      </w:r>
      <w:r w:rsidRPr="00035E95">
        <w:rPr>
          <w:rFonts w:ascii="Times New Roman" w:hAnsi="Times New Roman" w:cs="Times New Roman"/>
          <w:sz w:val="28"/>
        </w:rPr>
        <w:t xml:space="preserve">în anul 2016. </w:t>
      </w:r>
      <w:r w:rsidR="007819C7" w:rsidRPr="00035E95">
        <w:rPr>
          <w:rFonts w:ascii="Times New Roman" w:hAnsi="Times New Roman" w:cs="Times New Roman"/>
          <w:sz w:val="28"/>
        </w:rPr>
        <w:t>Deficitul raportat la PIB</w:t>
      </w:r>
      <w:r w:rsidRPr="00035E95">
        <w:rPr>
          <w:rFonts w:ascii="Times New Roman" w:hAnsi="Times New Roman" w:cs="Times New Roman"/>
          <w:sz w:val="28"/>
        </w:rPr>
        <w:t xml:space="preserve"> reprezintă (-0,8%), </w:t>
      </w:r>
      <w:r w:rsidR="00301DE3" w:rsidRPr="00035E95">
        <w:rPr>
          <w:rFonts w:ascii="Times New Roman" w:hAnsi="Times New Roman" w:cs="Times New Roman"/>
          <w:sz w:val="28"/>
        </w:rPr>
        <w:t xml:space="preserve">sau </w:t>
      </w:r>
      <w:r w:rsidRPr="00035E95">
        <w:rPr>
          <w:rFonts w:ascii="Times New Roman" w:hAnsi="Times New Roman" w:cs="Times New Roman"/>
          <w:sz w:val="28"/>
        </w:rPr>
        <w:t xml:space="preserve">cu 1,0 p.p. mai puțin decât în anul 2016. </w:t>
      </w:r>
    </w:p>
    <w:p w:rsidR="00E15B39" w:rsidRPr="00035E95" w:rsidRDefault="00E15B39" w:rsidP="008D3B4F">
      <w:pPr>
        <w:spacing w:after="0" w:line="276" w:lineRule="auto"/>
        <w:ind w:firstLine="709"/>
        <w:jc w:val="both"/>
        <w:rPr>
          <w:rFonts w:ascii="Times New Roman" w:hAnsi="Times New Roman" w:cs="Times New Roman"/>
          <w:sz w:val="28"/>
        </w:rPr>
      </w:pPr>
      <w:r w:rsidRPr="008847E8">
        <w:rPr>
          <w:rFonts w:ascii="Times New Roman" w:hAnsi="Times New Roman" w:cs="Times New Roman"/>
          <w:sz w:val="28"/>
        </w:rPr>
        <w:t xml:space="preserve">Se atestă că exercițiul bugetar </w:t>
      </w:r>
      <w:r w:rsidR="00035E95">
        <w:rPr>
          <w:rFonts w:ascii="Times New Roman" w:hAnsi="Times New Roman" w:cs="Times New Roman"/>
          <w:sz w:val="28"/>
        </w:rPr>
        <w:t>al</w:t>
      </w:r>
      <w:r w:rsidR="00035E95" w:rsidRPr="00035E95">
        <w:rPr>
          <w:rFonts w:ascii="Times New Roman" w:hAnsi="Times New Roman" w:cs="Times New Roman"/>
          <w:sz w:val="28"/>
        </w:rPr>
        <w:t xml:space="preserve"> </w:t>
      </w:r>
      <w:r w:rsidR="007819C7" w:rsidRPr="00035E95">
        <w:rPr>
          <w:rFonts w:ascii="Times New Roman" w:hAnsi="Times New Roman" w:cs="Times New Roman"/>
          <w:sz w:val="28"/>
        </w:rPr>
        <w:t xml:space="preserve">BS </w:t>
      </w:r>
      <w:r w:rsidRPr="00035E95">
        <w:rPr>
          <w:rFonts w:ascii="Times New Roman" w:hAnsi="Times New Roman" w:cs="Times New Roman"/>
          <w:sz w:val="28"/>
        </w:rPr>
        <w:t xml:space="preserve">pentru anul 2017 a fost încheiat cu </w:t>
      </w:r>
      <w:r w:rsidR="00301DE3" w:rsidRPr="00035E95">
        <w:rPr>
          <w:rFonts w:ascii="Times New Roman" w:hAnsi="Times New Roman" w:cs="Times New Roman"/>
          <w:sz w:val="28"/>
        </w:rPr>
        <w:t xml:space="preserve">un </w:t>
      </w:r>
      <w:r w:rsidRPr="008847E8">
        <w:rPr>
          <w:rFonts w:ascii="Times New Roman" w:hAnsi="Times New Roman" w:cs="Times New Roman"/>
          <w:sz w:val="28"/>
        </w:rPr>
        <w:t xml:space="preserve">deficit de 1531,7 mil.lei și </w:t>
      </w:r>
      <w:r w:rsidR="007819C7" w:rsidRPr="008847E8">
        <w:rPr>
          <w:rFonts w:ascii="Times New Roman" w:hAnsi="Times New Roman" w:cs="Times New Roman"/>
          <w:sz w:val="28"/>
        </w:rPr>
        <w:t xml:space="preserve">la FAOAM </w:t>
      </w:r>
      <w:r w:rsidR="00301DE3" w:rsidRPr="008847E8">
        <w:rPr>
          <w:rFonts w:ascii="Times New Roman" w:hAnsi="Times New Roman" w:cs="Times New Roman"/>
          <w:sz w:val="28"/>
        </w:rPr>
        <w:t>– de</w:t>
      </w:r>
      <w:r w:rsidRPr="008847E8">
        <w:rPr>
          <w:rFonts w:ascii="Times New Roman" w:hAnsi="Times New Roman" w:cs="Times New Roman"/>
          <w:sz w:val="28"/>
        </w:rPr>
        <w:t xml:space="preserve"> 4,2 mil.lei. Totodată, alte 2 componente ale BPN </w:t>
      </w:r>
      <w:r w:rsidRPr="008847E8">
        <w:rPr>
          <w:rFonts w:ascii="Times New Roman" w:hAnsi="Times New Roman" w:cs="Times New Roman"/>
          <w:sz w:val="28"/>
        </w:rPr>
        <w:lastRenderedPageBreak/>
        <w:t>au fost încheiate cu un sold bugetar (excedent) d</w:t>
      </w:r>
      <w:r w:rsidRPr="00035E95">
        <w:rPr>
          <w:rFonts w:ascii="Times New Roman" w:hAnsi="Times New Roman" w:cs="Times New Roman"/>
          <w:sz w:val="28"/>
        </w:rPr>
        <w:t>e 204,2 mil.lei înregistrat la B</w:t>
      </w:r>
      <w:r w:rsidR="00752885" w:rsidRPr="00035E95">
        <w:rPr>
          <w:rFonts w:ascii="Times New Roman" w:hAnsi="Times New Roman" w:cs="Times New Roman"/>
          <w:sz w:val="28"/>
        </w:rPr>
        <w:t xml:space="preserve">ASS și </w:t>
      </w:r>
      <w:r w:rsidR="00525EED" w:rsidRPr="00035E95">
        <w:rPr>
          <w:rFonts w:ascii="Times New Roman" w:hAnsi="Times New Roman" w:cs="Times New Roman"/>
          <w:sz w:val="28"/>
        </w:rPr>
        <w:t xml:space="preserve">de </w:t>
      </w:r>
      <w:r w:rsidR="00752885" w:rsidRPr="00035E95">
        <w:rPr>
          <w:rFonts w:ascii="Times New Roman" w:hAnsi="Times New Roman" w:cs="Times New Roman"/>
          <w:sz w:val="28"/>
        </w:rPr>
        <w:t>186,9 mil.lei – la BUAT.</w:t>
      </w:r>
    </w:p>
    <w:p w:rsidR="00E15B39" w:rsidRPr="00A91F57" w:rsidRDefault="00E15B39" w:rsidP="008D3B4F">
      <w:pPr>
        <w:shd w:val="clear" w:color="auto" w:fill="FFFFFF"/>
        <w:tabs>
          <w:tab w:val="left" w:pos="9355"/>
        </w:tabs>
        <w:spacing w:after="0" w:line="276" w:lineRule="auto"/>
        <w:ind w:left="34" w:right="-5" w:firstLine="706"/>
        <w:jc w:val="both"/>
        <w:rPr>
          <w:rFonts w:ascii="Times New Roman" w:hAnsi="Times New Roman" w:cs="Times New Roman"/>
          <w:i/>
          <w:sz w:val="20"/>
        </w:rPr>
      </w:pPr>
      <w:r w:rsidRPr="009E7EAD">
        <w:rPr>
          <w:rFonts w:ascii="Times New Roman" w:hAnsi="Times New Roman" w:cs="Times New Roman"/>
          <w:sz w:val="28"/>
        </w:rPr>
        <w:t>La situația din 31.12.2017, soldurile</w:t>
      </w:r>
      <w:r w:rsidRPr="00C87728">
        <w:rPr>
          <w:rFonts w:ascii="Times New Roman" w:hAnsi="Times New Roman" w:cs="Times New Roman"/>
          <w:sz w:val="28"/>
        </w:rPr>
        <w:t xml:space="preserve"> mijloacelor bănești în conturile bugetelor componente al</w:t>
      </w:r>
      <w:r w:rsidR="00C87728">
        <w:rPr>
          <w:rFonts w:ascii="Times New Roman" w:hAnsi="Times New Roman" w:cs="Times New Roman"/>
          <w:sz w:val="28"/>
        </w:rPr>
        <w:t xml:space="preserve">e BPN </w:t>
      </w:r>
      <w:r w:rsidRPr="00C87728">
        <w:rPr>
          <w:rFonts w:ascii="Times New Roman" w:hAnsi="Times New Roman" w:cs="Times New Roman"/>
          <w:sz w:val="28"/>
        </w:rPr>
        <w:t>au</w:t>
      </w:r>
      <w:r w:rsidR="00C87728">
        <w:rPr>
          <w:rFonts w:ascii="Times New Roman" w:hAnsi="Times New Roman" w:cs="Times New Roman"/>
          <w:sz w:val="28"/>
        </w:rPr>
        <w:t xml:space="preserve"> </w:t>
      </w:r>
      <w:r w:rsidR="00525EED">
        <w:rPr>
          <w:rFonts w:ascii="Times New Roman" w:hAnsi="Times New Roman" w:cs="Times New Roman"/>
          <w:sz w:val="28"/>
        </w:rPr>
        <w:t xml:space="preserve">conturat </w:t>
      </w:r>
      <w:r w:rsidR="00C87728">
        <w:rPr>
          <w:rFonts w:ascii="Times New Roman" w:hAnsi="Times New Roman" w:cs="Times New Roman"/>
          <w:sz w:val="28"/>
        </w:rPr>
        <w:t>o tendință de creștere</w:t>
      </w:r>
      <w:r w:rsidRPr="00C87728">
        <w:rPr>
          <w:rFonts w:ascii="Times New Roman" w:hAnsi="Times New Roman" w:cs="Times New Roman"/>
          <w:sz w:val="28"/>
        </w:rPr>
        <w:t xml:space="preserve"> față</w:t>
      </w:r>
      <w:r w:rsidR="00C87728">
        <w:rPr>
          <w:rFonts w:ascii="Times New Roman" w:hAnsi="Times New Roman" w:cs="Times New Roman"/>
          <w:sz w:val="28"/>
        </w:rPr>
        <w:t xml:space="preserve"> de 31.12.2016 cu </w:t>
      </w:r>
      <w:r w:rsidRPr="00C87728">
        <w:rPr>
          <w:rFonts w:ascii="Times New Roman" w:hAnsi="Times New Roman" w:cs="Times New Roman"/>
          <w:sz w:val="28"/>
        </w:rPr>
        <w:t>1846</w:t>
      </w:r>
      <w:r w:rsidR="00C87728">
        <w:rPr>
          <w:rFonts w:ascii="Times New Roman" w:hAnsi="Times New Roman" w:cs="Times New Roman"/>
          <w:sz w:val="28"/>
        </w:rPr>
        <w:t>,0</w:t>
      </w:r>
      <w:r w:rsidRPr="00C87728">
        <w:rPr>
          <w:rFonts w:ascii="Times New Roman" w:hAnsi="Times New Roman" w:cs="Times New Roman"/>
          <w:sz w:val="28"/>
        </w:rPr>
        <w:t xml:space="preserve"> mil.lei, însumând </w:t>
      </w:r>
      <w:r w:rsidR="00C87728">
        <w:rPr>
          <w:rFonts w:ascii="Times New Roman" w:hAnsi="Times New Roman" w:cs="Times New Roman"/>
          <w:sz w:val="28"/>
        </w:rPr>
        <w:t xml:space="preserve">în total </w:t>
      </w:r>
      <w:r w:rsidRPr="00C87728">
        <w:rPr>
          <w:rFonts w:ascii="Times New Roman" w:hAnsi="Times New Roman" w:cs="Times New Roman"/>
          <w:sz w:val="28"/>
        </w:rPr>
        <w:t>6776,9 mil.lei, dintre care: BS – 4933,9 mil.lei; BUAT – 1272,8</w:t>
      </w:r>
      <w:r w:rsidR="00C87728">
        <w:rPr>
          <w:rFonts w:ascii="Times New Roman" w:hAnsi="Times New Roman" w:cs="Times New Roman"/>
          <w:sz w:val="28"/>
        </w:rPr>
        <w:t xml:space="preserve"> mil.lei; BASS – </w:t>
      </w:r>
      <w:r w:rsidRPr="00C87728">
        <w:rPr>
          <w:rFonts w:ascii="Times New Roman" w:hAnsi="Times New Roman" w:cs="Times New Roman"/>
          <w:sz w:val="28"/>
        </w:rPr>
        <w:t xml:space="preserve">330,5 mil.lei; FAOAM – </w:t>
      </w:r>
      <w:r w:rsidR="00C87728">
        <w:rPr>
          <w:rFonts w:ascii="Times New Roman" w:hAnsi="Times New Roman" w:cs="Times New Roman"/>
          <w:sz w:val="28"/>
        </w:rPr>
        <w:t>239,7</w:t>
      </w:r>
      <w:r w:rsidRPr="00C87728">
        <w:rPr>
          <w:rFonts w:ascii="Times New Roman" w:hAnsi="Times New Roman" w:cs="Times New Roman"/>
          <w:sz w:val="28"/>
        </w:rPr>
        <w:t xml:space="preserve"> mil.lei.</w:t>
      </w:r>
    </w:p>
    <w:p w:rsidR="00C3766A" w:rsidRPr="00AA2C9B" w:rsidRDefault="006B1A89" w:rsidP="008D3B4F">
      <w:pPr>
        <w:spacing w:after="0" w:line="276" w:lineRule="auto"/>
        <w:ind w:firstLine="709"/>
        <w:jc w:val="both"/>
        <w:rPr>
          <w:rFonts w:ascii="Times New Roman" w:eastAsia="Times New Roman" w:hAnsi="Times New Roman" w:cs="Times New Roman"/>
          <w:sz w:val="28"/>
          <w:szCs w:val="28"/>
          <w:lang w:eastAsia="ru-RU"/>
        </w:rPr>
      </w:pPr>
      <w:r>
        <w:rPr>
          <w:rFonts w:ascii="Times New Roman" w:hAnsi="Times New Roman"/>
          <w:sz w:val="28"/>
          <w:szCs w:val="28"/>
        </w:rPr>
        <w:t>Conform prevederilor legale</w:t>
      </w:r>
      <w:r>
        <w:rPr>
          <w:rStyle w:val="a9"/>
          <w:rFonts w:ascii="Times New Roman" w:hAnsi="Times New Roman"/>
          <w:sz w:val="28"/>
          <w:szCs w:val="28"/>
        </w:rPr>
        <w:footnoteReference w:id="8"/>
      </w:r>
      <w:r>
        <w:rPr>
          <w:rFonts w:ascii="Times New Roman" w:hAnsi="Times New Roman"/>
          <w:sz w:val="28"/>
          <w:szCs w:val="28"/>
        </w:rPr>
        <w:t xml:space="preserve">, </w:t>
      </w:r>
      <w:r w:rsidR="00F47CE3">
        <w:rPr>
          <w:rFonts w:ascii="Times New Roman" w:hAnsi="Times New Roman"/>
          <w:sz w:val="28"/>
          <w:szCs w:val="28"/>
        </w:rPr>
        <w:t xml:space="preserve">Curtea de Conturi este obligată să efectueze auditul financiar anual al Raportului Guvernului privind executarea bugetului de stat în anul bugetar încheiat. </w:t>
      </w:r>
      <w:r w:rsidRPr="00AA2C9B">
        <w:rPr>
          <w:rFonts w:ascii="Times New Roman" w:eastAsia="Times New Roman" w:hAnsi="Times New Roman" w:cs="Times New Roman"/>
          <w:sz w:val="28"/>
          <w:szCs w:val="28"/>
          <w:lang w:eastAsia="ru-RU"/>
        </w:rPr>
        <w:t>Potrivit cadrului aprobat</w:t>
      </w:r>
      <w:r w:rsidRPr="00AA2C9B">
        <w:rPr>
          <w:rStyle w:val="a9"/>
          <w:rFonts w:ascii="Times New Roman" w:eastAsia="Times New Roman" w:hAnsi="Times New Roman" w:cs="Times New Roman"/>
          <w:sz w:val="28"/>
          <w:szCs w:val="28"/>
          <w:lang w:eastAsia="ru-RU"/>
        </w:rPr>
        <w:footnoteReference w:id="9"/>
      </w:r>
      <w:r w:rsidRPr="00AA2C9B">
        <w:rPr>
          <w:rFonts w:ascii="Times New Roman" w:eastAsia="Times New Roman" w:hAnsi="Times New Roman" w:cs="Times New Roman"/>
          <w:sz w:val="28"/>
          <w:szCs w:val="28"/>
          <w:lang w:eastAsia="ru-RU"/>
        </w:rPr>
        <w:t xml:space="preserve">, </w:t>
      </w:r>
      <w:r w:rsidRPr="009E7EAD">
        <w:rPr>
          <w:rFonts w:ascii="Times New Roman" w:eastAsia="Times New Roman" w:hAnsi="Times New Roman" w:cs="Times New Roman"/>
          <w:sz w:val="28"/>
          <w:szCs w:val="28"/>
          <w:lang w:eastAsia="ru-RU"/>
        </w:rPr>
        <w:t>f</w:t>
      </w:r>
      <w:r w:rsidR="00B81BF3" w:rsidRPr="009E7EAD">
        <w:rPr>
          <w:rFonts w:ascii="Times New Roman" w:eastAsia="Times New Roman" w:hAnsi="Times New Roman" w:cs="Times New Roman"/>
          <w:sz w:val="28"/>
          <w:szCs w:val="28"/>
          <w:lang w:eastAsia="ru-RU"/>
        </w:rPr>
        <w:t>ormatul</w:t>
      </w:r>
      <w:r w:rsidR="00035E95">
        <w:rPr>
          <w:rFonts w:ascii="Times New Roman" w:eastAsia="Times New Roman" w:hAnsi="Times New Roman" w:cs="Times New Roman"/>
          <w:sz w:val="28"/>
          <w:szCs w:val="28"/>
          <w:lang w:eastAsia="ru-RU"/>
        </w:rPr>
        <w:t>/structura</w:t>
      </w:r>
      <w:r w:rsidR="00B81BF3" w:rsidRPr="00AA2C9B">
        <w:rPr>
          <w:rFonts w:ascii="Times New Roman" w:eastAsia="Times New Roman" w:hAnsi="Times New Roman" w:cs="Times New Roman"/>
          <w:sz w:val="28"/>
          <w:szCs w:val="28"/>
          <w:lang w:eastAsia="ru-RU"/>
        </w:rPr>
        <w:t xml:space="preserve"> Raportului privind executarea bugetului de stat coincide cu conținutul Legii bugetare anuale, iar toate formularele </w:t>
      </w:r>
      <w:r w:rsidR="00525EED">
        <w:rPr>
          <w:rFonts w:ascii="Times New Roman" w:eastAsia="Times New Roman" w:hAnsi="Times New Roman" w:cs="Times New Roman"/>
          <w:sz w:val="28"/>
          <w:szCs w:val="28"/>
          <w:lang w:eastAsia="ru-RU"/>
        </w:rPr>
        <w:t>R</w:t>
      </w:r>
      <w:r w:rsidR="00B81BF3" w:rsidRPr="00AA2C9B">
        <w:rPr>
          <w:rFonts w:ascii="Times New Roman" w:eastAsia="Times New Roman" w:hAnsi="Times New Roman" w:cs="Times New Roman"/>
          <w:sz w:val="28"/>
          <w:szCs w:val="28"/>
          <w:lang w:eastAsia="ru-RU"/>
        </w:rPr>
        <w:t>aportului includ</w:t>
      </w:r>
      <w:r w:rsidR="00D264DE">
        <w:rPr>
          <w:rFonts w:ascii="Times New Roman" w:eastAsia="Times New Roman" w:hAnsi="Times New Roman" w:cs="Times New Roman"/>
          <w:sz w:val="28"/>
          <w:szCs w:val="28"/>
          <w:lang w:eastAsia="ru-RU"/>
        </w:rPr>
        <w:t>:</w:t>
      </w:r>
      <w:r w:rsidR="00B81BF3" w:rsidRPr="00AA2C9B">
        <w:rPr>
          <w:rFonts w:ascii="Times New Roman" w:eastAsia="Times New Roman" w:hAnsi="Times New Roman" w:cs="Times New Roman"/>
          <w:sz w:val="28"/>
          <w:szCs w:val="28"/>
          <w:lang w:eastAsia="ru-RU"/>
        </w:rPr>
        <w:t xml:space="preserve"> indic</w:t>
      </w:r>
      <w:r w:rsidR="00C3766A" w:rsidRPr="00AA2C9B">
        <w:rPr>
          <w:rFonts w:ascii="Times New Roman" w:eastAsia="Times New Roman" w:hAnsi="Times New Roman" w:cs="Times New Roman"/>
          <w:sz w:val="28"/>
          <w:szCs w:val="28"/>
          <w:lang w:eastAsia="ru-RU"/>
        </w:rPr>
        <w:t>atorii</w:t>
      </w:r>
      <w:r w:rsidR="00B81BF3" w:rsidRPr="00AA2C9B">
        <w:rPr>
          <w:rFonts w:ascii="Times New Roman" w:eastAsia="Times New Roman" w:hAnsi="Times New Roman" w:cs="Times New Roman"/>
          <w:sz w:val="28"/>
          <w:szCs w:val="28"/>
          <w:lang w:eastAsia="ru-RU"/>
        </w:rPr>
        <w:t xml:space="preserve"> </w:t>
      </w:r>
      <w:r w:rsidR="00AA2C9B">
        <w:rPr>
          <w:rFonts w:ascii="Times New Roman" w:eastAsia="Times New Roman" w:hAnsi="Times New Roman" w:cs="Times New Roman"/>
          <w:sz w:val="28"/>
          <w:szCs w:val="28"/>
          <w:lang w:eastAsia="ru-RU"/>
        </w:rPr>
        <w:t>generali și sursele</w:t>
      </w:r>
      <w:r w:rsidR="00C3766A" w:rsidRPr="00AA2C9B">
        <w:rPr>
          <w:rFonts w:ascii="Times New Roman" w:eastAsia="Times New Roman" w:hAnsi="Times New Roman" w:cs="Times New Roman"/>
          <w:sz w:val="28"/>
          <w:szCs w:val="28"/>
          <w:lang w:eastAsia="ru-RU"/>
        </w:rPr>
        <w:t xml:space="preserve"> de finanțare ale bugetului de stat, exe</w:t>
      </w:r>
      <w:r w:rsidR="00C87728" w:rsidRPr="00AA2C9B">
        <w:rPr>
          <w:rFonts w:ascii="Times New Roman" w:eastAsia="Times New Roman" w:hAnsi="Times New Roman" w:cs="Times New Roman"/>
          <w:sz w:val="28"/>
          <w:szCs w:val="28"/>
          <w:lang w:eastAsia="ru-RU"/>
        </w:rPr>
        <w:t>cutarea veniturilor</w:t>
      </w:r>
      <w:r w:rsidR="00AA2C9B">
        <w:rPr>
          <w:rFonts w:ascii="Times New Roman" w:eastAsia="Times New Roman" w:hAnsi="Times New Roman" w:cs="Times New Roman"/>
          <w:sz w:val="28"/>
          <w:szCs w:val="28"/>
          <w:lang w:eastAsia="ru-RU"/>
        </w:rPr>
        <w:t xml:space="preserve">, cheltuielilor și activelor nefinanciare, </w:t>
      </w:r>
      <w:r w:rsidR="00AA2C9B" w:rsidRPr="00AA2C9B">
        <w:rPr>
          <w:rFonts w:ascii="Times New Roman" w:eastAsia="Times New Roman" w:hAnsi="Times New Roman" w:cs="Times New Roman"/>
          <w:sz w:val="28"/>
          <w:szCs w:val="28"/>
          <w:lang w:eastAsia="ru-RU"/>
        </w:rPr>
        <w:t>executarea bugetelor autorităților publice,</w:t>
      </w:r>
      <w:r w:rsidR="00AA2C9B">
        <w:rPr>
          <w:rFonts w:ascii="Times New Roman" w:eastAsia="Times New Roman" w:hAnsi="Times New Roman" w:cs="Times New Roman"/>
          <w:sz w:val="28"/>
          <w:szCs w:val="28"/>
          <w:lang w:eastAsia="ru-RU"/>
        </w:rPr>
        <w:t xml:space="preserve"> </w:t>
      </w:r>
      <w:r w:rsidR="00AA2C9B" w:rsidRPr="00AA2C9B">
        <w:rPr>
          <w:rFonts w:ascii="Times New Roman" w:eastAsia="Times New Roman" w:hAnsi="Times New Roman" w:cs="Times New Roman"/>
          <w:sz w:val="28"/>
          <w:szCs w:val="28"/>
          <w:lang w:eastAsia="ru-RU"/>
        </w:rPr>
        <w:t>executarea investițiilor capitale</w:t>
      </w:r>
      <w:r w:rsidR="00AA2C9B">
        <w:rPr>
          <w:rFonts w:ascii="Times New Roman" w:eastAsia="Times New Roman" w:hAnsi="Times New Roman" w:cs="Times New Roman"/>
          <w:sz w:val="28"/>
          <w:szCs w:val="28"/>
          <w:lang w:eastAsia="ru-RU"/>
        </w:rPr>
        <w:t xml:space="preserve">, </w:t>
      </w:r>
      <w:r w:rsidR="00AA2C9B" w:rsidRPr="00AA2C9B">
        <w:rPr>
          <w:rFonts w:ascii="Times New Roman" w:eastAsia="Times New Roman" w:hAnsi="Times New Roman" w:cs="Times New Roman"/>
          <w:sz w:val="28"/>
          <w:szCs w:val="28"/>
          <w:lang w:eastAsia="ru-RU"/>
        </w:rPr>
        <w:t>transferurile d</w:t>
      </w:r>
      <w:r w:rsidR="00AA2C9B">
        <w:rPr>
          <w:rFonts w:ascii="Times New Roman" w:eastAsia="Times New Roman" w:hAnsi="Times New Roman" w:cs="Times New Roman"/>
          <w:sz w:val="28"/>
          <w:szCs w:val="28"/>
          <w:lang w:eastAsia="ru-RU"/>
        </w:rPr>
        <w:t>e la bugetul de stat la bugetele locale, creanțele și datoriile la cheltuieli</w:t>
      </w:r>
      <w:r w:rsidR="00525EED">
        <w:rPr>
          <w:rFonts w:ascii="Times New Roman" w:eastAsia="Times New Roman" w:hAnsi="Times New Roman" w:cs="Times New Roman"/>
          <w:sz w:val="28"/>
          <w:szCs w:val="28"/>
          <w:lang w:eastAsia="ru-RU"/>
        </w:rPr>
        <w:t>le</w:t>
      </w:r>
      <w:r w:rsidR="00AA2C9B">
        <w:rPr>
          <w:rFonts w:ascii="Times New Roman" w:eastAsia="Times New Roman" w:hAnsi="Times New Roman" w:cs="Times New Roman"/>
          <w:sz w:val="28"/>
          <w:szCs w:val="28"/>
          <w:lang w:eastAsia="ru-RU"/>
        </w:rPr>
        <w:t xml:space="preserve"> și active</w:t>
      </w:r>
      <w:r w:rsidR="00525EED">
        <w:rPr>
          <w:rFonts w:ascii="Times New Roman" w:eastAsia="Times New Roman" w:hAnsi="Times New Roman" w:cs="Times New Roman"/>
          <w:sz w:val="28"/>
          <w:szCs w:val="28"/>
          <w:lang w:eastAsia="ru-RU"/>
        </w:rPr>
        <w:t>le</w:t>
      </w:r>
      <w:r w:rsidR="00AA2C9B">
        <w:rPr>
          <w:rFonts w:ascii="Times New Roman" w:eastAsia="Times New Roman" w:hAnsi="Times New Roman" w:cs="Times New Roman"/>
          <w:sz w:val="28"/>
          <w:szCs w:val="28"/>
          <w:lang w:eastAsia="ru-RU"/>
        </w:rPr>
        <w:t xml:space="preserve"> nefinanciare (inclusiv cu termenul expirat), </w:t>
      </w:r>
      <w:r w:rsidR="00AA2C9B" w:rsidRPr="00AA2C9B">
        <w:rPr>
          <w:rFonts w:ascii="Times New Roman" w:eastAsia="Times New Roman" w:hAnsi="Times New Roman" w:cs="Times New Roman"/>
          <w:sz w:val="28"/>
          <w:szCs w:val="28"/>
          <w:lang w:eastAsia="ru-RU"/>
        </w:rPr>
        <w:t xml:space="preserve">repartizarea și utilizarea </w:t>
      </w:r>
      <w:r w:rsidR="00AA2C9B">
        <w:rPr>
          <w:rFonts w:ascii="Times New Roman" w:eastAsia="Times New Roman" w:hAnsi="Times New Roman" w:cs="Times New Roman"/>
          <w:sz w:val="28"/>
          <w:szCs w:val="28"/>
          <w:lang w:eastAsia="ru-RU"/>
        </w:rPr>
        <w:t xml:space="preserve">mijloacelor </w:t>
      </w:r>
      <w:r w:rsidR="00AA2C9B" w:rsidRPr="00AA2C9B">
        <w:rPr>
          <w:rFonts w:ascii="Times New Roman" w:eastAsia="Times New Roman" w:hAnsi="Times New Roman" w:cs="Times New Roman"/>
          <w:sz w:val="28"/>
          <w:szCs w:val="28"/>
          <w:lang w:eastAsia="ru-RU"/>
        </w:rPr>
        <w:t>fondului de rezervă și fondului de intervenție a</w:t>
      </w:r>
      <w:r w:rsidR="00AA2C9B">
        <w:rPr>
          <w:rFonts w:ascii="Times New Roman" w:eastAsia="Times New Roman" w:hAnsi="Times New Roman" w:cs="Times New Roman"/>
          <w:sz w:val="28"/>
          <w:szCs w:val="28"/>
          <w:lang w:eastAsia="ru-RU"/>
        </w:rPr>
        <w:t>le</w:t>
      </w:r>
      <w:r w:rsidR="00AA2C9B" w:rsidRPr="00AA2C9B">
        <w:rPr>
          <w:rFonts w:ascii="Times New Roman" w:eastAsia="Times New Roman" w:hAnsi="Times New Roman" w:cs="Times New Roman"/>
          <w:sz w:val="28"/>
          <w:szCs w:val="28"/>
          <w:lang w:eastAsia="ru-RU"/>
        </w:rPr>
        <w:t xml:space="preserve"> Guvernului</w:t>
      </w:r>
      <w:r w:rsidR="00AA2C9B">
        <w:rPr>
          <w:rFonts w:ascii="Times New Roman" w:eastAsia="Times New Roman" w:hAnsi="Times New Roman" w:cs="Times New Roman"/>
          <w:sz w:val="28"/>
          <w:szCs w:val="28"/>
          <w:lang w:eastAsia="ru-RU"/>
        </w:rPr>
        <w:t>,</w:t>
      </w:r>
      <w:r w:rsidR="00AA2C9B" w:rsidRPr="00AA2C9B">
        <w:rPr>
          <w:rFonts w:ascii="Times New Roman" w:eastAsia="Times New Roman" w:hAnsi="Times New Roman" w:cs="Times New Roman"/>
          <w:sz w:val="28"/>
          <w:szCs w:val="28"/>
          <w:lang w:eastAsia="ru-RU"/>
        </w:rPr>
        <w:t xml:space="preserve"> Bilanțul contabil privind executarea bugetului de stat, precum și Raportul privind executarea bugetului public național </w:t>
      </w:r>
      <w:r w:rsidR="00AA2C9B" w:rsidRPr="00AA2C9B">
        <w:rPr>
          <w:rFonts w:ascii="Times New Roman" w:eastAsia="Times New Roman" w:hAnsi="Times New Roman" w:cs="Times New Roman"/>
          <w:i/>
          <w:sz w:val="28"/>
          <w:szCs w:val="28"/>
          <w:lang w:eastAsia="ru-RU"/>
        </w:rPr>
        <w:t>(vezi Anexa nr.2 la prezentul Raport</w:t>
      </w:r>
      <w:r w:rsidR="00525EED">
        <w:rPr>
          <w:rFonts w:ascii="Times New Roman" w:eastAsia="Times New Roman" w:hAnsi="Times New Roman" w:cs="Times New Roman"/>
          <w:i/>
          <w:sz w:val="28"/>
          <w:szCs w:val="28"/>
          <w:lang w:eastAsia="ru-RU"/>
        </w:rPr>
        <w:t xml:space="preserve"> de audit</w:t>
      </w:r>
      <w:r w:rsidR="00AA2C9B" w:rsidRPr="00AA2C9B">
        <w:rPr>
          <w:rFonts w:ascii="Times New Roman" w:eastAsia="Times New Roman" w:hAnsi="Times New Roman" w:cs="Times New Roman"/>
          <w:i/>
          <w:sz w:val="28"/>
          <w:szCs w:val="28"/>
          <w:lang w:eastAsia="ru-RU"/>
        </w:rPr>
        <w:t>)</w:t>
      </w:r>
      <w:r w:rsidR="00525EED">
        <w:rPr>
          <w:rFonts w:ascii="Times New Roman" w:eastAsia="Times New Roman" w:hAnsi="Times New Roman" w:cs="Times New Roman"/>
          <w:i/>
          <w:sz w:val="28"/>
          <w:szCs w:val="28"/>
          <w:lang w:eastAsia="ru-RU"/>
        </w:rPr>
        <w:t>.</w:t>
      </w:r>
    </w:p>
    <w:p w:rsidR="00B81BF3" w:rsidRDefault="00B81BF3" w:rsidP="008D3B4F">
      <w:pPr>
        <w:spacing w:after="0" w:line="276" w:lineRule="auto"/>
        <w:ind w:firstLine="709"/>
        <w:jc w:val="both"/>
        <w:rPr>
          <w:rFonts w:ascii="Times New Roman" w:eastAsia="Times New Roman" w:hAnsi="Times New Roman" w:cs="Times New Roman"/>
          <w:sz w:val="28"/>
          <w:szCs w:val="28"/>
          <w:lang w:eastAsia="ru-RU"/>
        </w:rPr>
      </w:pPr>
      <w:r w:rsidRPr="00B81BF3">
        <w:rPr>
          <w:rFonts w:ascii="Times New Roman" w:eastAsia="Times New Roman" w:hAnsi="Times New Roman" w:cs="Times New Roman"/>
          <w:sz w:val="28"/>
          <w:szCs w:val="28"/>
          <w:lang w:eastAsia="ru-RU"/>
        </w:rPr>
        <w:t>Datele privind indicii bugetari aprobați și precizați la venituri și cheltuieli, executarea de casă a veniturilor și cheltuielilor s</w:t>
      </w:r>
      <w:r w:rsidR="0077235C">
        <w:rPr>
          <w:rFonts w:ascii="Times New Roman" w:eastAsia="Times New Roman" w:hAnsi="Times New Roman" w:cs="Times New Roman"/>
          <w:sz w:val="28"/>
          <w:szCs w:val="28"/>
          <w:lang w:eastAsia="ru-RU"/>
        </w:rPr>
        <w:t>u</w:t>
      </w:r>
      <w:r w:rsidRPr="00B81BF3">
        <w:rPr>
          <w:rFonts w:ascii="Times New Roman" w:eastAsia="Times New Roman" w:hAnsi="Times New Roman" w:cs="Times New Roman"/>
          <w:sz w:val="28"/>
          <w:szCs w:val="28"/>
          <w:lang w:eastAsia="ru-RU"/>
        </w:rPr>
        <w:t xml:space="preserve">nt date agregate din sistemul de evidență al Ministerului Finanțelor, iar ceilalți indici se includ </w:t>
      </w:r>
      <w:r w:rsidR="00525EED">
        <w:rPr>
          <w:rFonts w:ascii="Times New Roman" w:eastAsia="Times New Roman" w:hAnsi="Times New Roman" w:cs="Times New Roman"/>
          <w:sz w:val="28"/>
          <w:szCs w:val="28"/>
          <w:lang w:eastAsia="ru-RU"/>
        </w:rPr>
        <w:t>ca</w:t>
      </w:r>
      <w:r w:rsidRPr="00B81BF3">
        <w:rPr>
          <w:rFonts w:ascii="Times New Roman" w:eastAsia="Times New Roman" w:hAnsi="Times New Roman" w:cs="Times New Roman"/>
          <w:sz w:val="28"/>
          <w:szCs w:val="28"/>
          <w:lang w:eastAsia="ru-RU"/>
        </w:rPr>
        <w:t xml:space="preserve"> rezultat</w:t>
      </w:r>
      <w:r w:rsidR="00525EED">
        <w:rPr>
          <w:rFonts w:ascii="Times New Roman" w:eastAsia="Times New Roman" w:hAnsi="Times New Roman" w:cs="Times New Roman"/>
          <w:sz w:val="28"/>
          <w:szCs w:val="28"/>
          <w:lang w:eastAsia="ru-RU"/>
        </w:rPr>
        <w:t xml:space="preserve"> al</w:t>
      </w:r>
      <w:r w:rsidRPr="00B81BF3">
        <w:rPr>
          <w:rFonts w:ascii="Times New Roman" w:eastAsia="Times New Roman" w:hAnsi="Times New Roman" w:cs="Times New Roman"/>
          <w:sz w:val="28"/>
          <w:szCs w:val="28"/>
          <w:lang w:eastAsia="ru-RU"/>
        </w:rPr>
        <w:t xml:space="preserve"> consolidării datelor rapoartelor financiare prezentate de că</w:t>
      </w:r>
      <w:r w:rsidR="0077235C">
        <w:rPr>
          <w:rFonts w:ascii="Times New Roman" w:eastAsia="Times New Roman" w:hAnsi="Times New Roman" w:cs="Times New Roman"/>
          <w:sz w:val="28"/>
          <w:szCs w:val="28"/>
          <w:lang w:eastAsia="ru-RU"/>
        </w:rPr>
        <w:t xml:space="preserve">tre </w:t>
      </w:r>
      <w:r w:rsidR="00352E50">
        <w:rPr>
          <w:rFonts w:ascii="Times New Roman" w:eastAsia="Times New Roman" w:hAnsi="Times New Roman" w:cs="Times New Roman"/>
          <w:sz w:val="28"/>
          <w:szCs w:val="28"/>
          <w:lang w:eastAsia="ru-RU"/>
        </w:rPr>
        <w:t>autoritățile/instituțiile bugetare</w:t>
      </w:r>
      <w:r w:rsidR="0077235C">
        <w:rPr>
          <w:rFonts w:ascii="Times New Roman" w:eastAsia="Times New Roman" w:hAnsi="Times New Roman" w:cs="Times New Roman"/>
          <w:sz w:val="28"/>
          <w:szCs w:val="28"/>
          <w:lang w:eastAsia="ru-RU"/>
        </w:rPr>
        <w:t>, responsabilitatea pentru corectitudinea și veridicitatea datelor revenindu-le acestora.</w:t>
      </w:r>
    </w:p>
    <w:p w:rsidR="00902499" w:rsidRDefault="00902499" w:rsidP="008D3B4F">
      <w:pPr>
        <w:shd w:val="clear" w:color="auto" w:fill="FFFFFF"/>
        <w:spacing w:after="0" w:line="276" w:lineRule="auto"/>
        <w:ind w:right="45" w:firstLine="709"/>
        <w:jc w:val="both"/>
        <w:rPr>
          <w:rFonts w:ascii="Times New Roman" w:hAnsi="Times New Roman"/>
          <w:sz w:val="28"/>
          <w:szCs w:val="28"/>
        </w:rPr>
      </w:pPr>
      <w:r w:rsidRPr="00CE2A72">
        <w:rPr>
          <w:rFonts w:ascii="Times New Roman" w:eastAsia="Times New Roman" w:hAnsi="Times New Roman" w:cs="Times New Roman"/>
          <w:bCs/>
          <w:iCs/>
          <w:sz w:val="28"/>
          <w:szCs w:val="28"/>
          <w:lang w:eastAsia="ru-RU"/>
        </w:rPr>
        <w:t>Auditul financiar exercitat a avut drept scop obținerea unei asigurări rezonabile referitor la faptul că Raportul Guvernului privind executarea bugetului de stat pe anul 2017, întocmit de Ministerul Finanțelor și prezentat Guvernului spre aprobare este elaborat</w:t>
      </w:r>
      <w:r w:rsidR="00525EED" w:rsidRPr="00CE2A72">
        <w:rPr>
          <w:rFonts w:ascii="Times New Roman" w:eastAsia="Times New Roman" w:hAnsi="Times New Roman" w:cs="Times New Roman"/>
          <w:bCs/>
          <w:iCs/>
          <w:sz w:val="28"/>
          <w:szCs w:val="28"/>
          <w:lang w:eastAsia="ru-RU"/>
        </w:rPr>
        <w:t>, în toate aspectele semnificative</w:t>
      </w:r>
      <w:r w:rsidR="00525EED">
        <w:rPr>
          <w:rFonts w:ascii="Times New Roman" w:eastAsia="Times New Roman" w:hAnsi="Times New Roman" w:cs="Times New Roman"/>
          <w:bCs/>
          <w:iCs/>
          <w:sz w:val="28"/>
          <w:szCs w:val="28"/>
          <w:lang w:eastAsia="ru-RU"/>
        </w:rPr>
        <w:t>,</w:t>
      </w:r>
      <w:r w:rsidRPr="00CE2A72">
        <w:rPr>
          <w:rFonts w:ascii="Times New Roman" w:eastAsia="Times New Roman" w:hAnsi="Times New Roman" w:cs="Times New Roman"/>
          <w:bCs/>
          <w:iCs/>
          <w:sz w:val="28"/>
          <w:szCs w:val="28"/>
          <w:lang w:eastAsia="ru-RU"/>
        </w:rPr>
        <w:t xml:space="preserve"> în conformitate cu prevederile legale și prezintă informația financiară, bazată pe datele evidenței sistemului trezorerial și datele consolidate ale rapoartelor </w:t>
      </w:r>
      <w:r w:rsidR="00352E50">
        <w:rPr>
          <w:rFonts w:ascii="Times New Roman" w:eastAsia="Times New Roman" w:hAnsi="Times New Roman" w:cs="Times New Roman"/>
          <w:bCs/>
          <w:iCs/>
          <w:sz w:val="28"/>
          <w:szCs w:val="28"/>
          <w:lang w:eastAsia="ru-RU"/>
        </w:rPr>
        <w:t>autorităților/instituțiilor bugetare</w:t>
      </w:r>
      <w:r w:rsidRPr="00CE2A72">
        <w:rPr>
          <w:rFonts w:ascii="Times New Roman" w:eastAsia="Times New Roman" w:hAnsi="Times New Roman" w:cs="Times New Roman"/>
          <w:bCs/>
          <w:iCs/>
          <w:sz w:val="28"/>
          <w:szCs w:val="28"/>
          <w:lang w:eastAsia="ru-RU"/>
        </w:rPr>
        <w:t>, iar operațiunile sunt corecte și conforme prevederilor legale</w:t>
      </w:r>
      <w:r>
        <w:rPr>
          <w:rFonts w:ascii="Times New Roman" w:eastAsia="Times New Roman" w:hAnsi="Times New Roman" w:cs="Times New Roman"/>
          <w:bCs/>
          <w:iCs/>
          <w:sz w:val="28"/>
          <w:szCs w:val="28"/>
          <w:lang w:eastAsia="ru-RU"/>
        </w:rPr>
        <w:t>.</w:t>
      </w:r>
    </w:p>
    <w:p w:rsidR="004C4CF1" w:rsidRDefault="00C87728" w:rsidP="008D3B4F">
      <w:pPr>
        <w:shd w:val="clear" w:color="auto" w:fill="FFFFFF"/>
        <w:spacing w:after="0" w:line="276" w:lineRule="auto"/>
        <w:ind w:right="45" w:firstLine="709"/>
        <w:jc w:val="both"/>
        <w:rPr>
          <w:rFonts w:ascii="Times New Roman" w:eastAsia="Times New Roman" w:hAnsi="Times New Roman" w:cs="Times New Roman"/>
          <w:sz w:val="28"/>
          <w:szCs w:val="28"/>
          <w:lang w:eastAsia="ru-RU"/>
        </w:rPr>
      </w:pPr>
      <w:r>
        <w:rPr>
          <w:rFonts w:ascii="Times New Roman" w:hAnsi="Times New Roman"/>
          <w:sz w:val="28"/>
          <w:szCs w:val="28"/>
        </w:rPr>
        <w:t>Astfel, aspectele-cheie ale prezentului audit financiar public extern se referă la rezultatele verificărilor Raportului privind executarea bugetului de stat pe anul de gestiune încheiat la 31.12.2017.</w:t>
      </w:r>
    </w:p>
    <w:p w:rsidR="00086E7B" w:rsidRDefault="00086E7B" w:rsidP="00086E7B">
      <w:pPr>
        <w:shd w:val="clear" w:color="auto" w:fill="FFFFFF"/>
        <w:spacing w:after="0" w:line="276" w:lineRule="auto"/>
        <w:ind w:right="45" w:firstLine="709"/>
        <w:jc w:val="both"/>
        <w:rPr>
          <w:rFonts w:ascii="Times New Roman" w:eastAsia="Times New Roman" w:hAnsi="Times New Roman" w:cs="Times New Roman"/>
          <w:sz w:val="28"/>
          <w:szCs w:val="28"/>
          <w:lang w:eastAsia="ru-RU"/>
        </w:rPr>
      </w:pPr>
    </w:p>
    <w:p w:rsidR="00AC3BE2" w:rsidRPr="00AD2CCA" w:rsidRDefault="008F47D4" w:rsidP="008D3B4F">
      <w:pPr>
        <w:pStyle w:val="a5"/>
        <w:numPr>
          <w:ilvl w:val="0"/>
          <w:numId w:val="1"/>
        </w:numPr>
        <w:spacing w:line="276" w:lineRule="auto"/>
        <w:ind w:left="0" w:firstLine="0"/>
        <w:jc w:val="center"/>
        <w:outlineLvl w:val="0"/>
        <w:rPr>
          <w:rFonts w:ascii="Times New Roman" w:hAnsi="Times New Roman" w:cs="Times New Roman"/>
          <w:b/>
          <w:sz w:val="32"/>
          <w:szCs w:val="32"/>
        </w:rPr>
      </w:pPr>
      <w:bookmarkStart w:id="5" w:name="_Toc515518980"/>
      <w:r w:rsidRPr="00B45AF1">
        <w:rPr>
          <w:rFonts w:ascii="Times New Roman" w:hAnsi="Times New Roman" w:cs="Times New Roman"/>
          <w:b/>
          <w:sz w:val="32"/>
          <w:szCs w:val="32"/>
        </w:rPr>
        <w:lastRenderedPageBreak/>
        <w:t>ASPECTELE</w:t>
      </w:r>
      <w:r w:rsidRPr="00AD2CCA">
        <w:rPr>
          <w:rFonts w:ascii="Times New Roman" w:hAnsi="Times New Roman" w:cs="Times New Roman"/>
          <w:b/>
          <w:sz w:val="32"/>
          <w:szCs w:val="32"/>
        </w:rPr>
        <w:t>-CHEIE DE AUDIT</w:t>
      </w:r>
      <w:bookmarkEnd w:id="5"/>
    </w:p>
    <w:p w:rsidR="00457858" w:rsidRDefault="00457858" w:rsidP="008D3B4F">
      <w:pPr>
        <w:pStyle w:val="2"/>
        <w:numPr>
          <w:ilvl w:val="1"/>
          <w:numId w:val="1"/>
        </w:numPr>
        <w:spacing w:line="276" w:lineRule="auto"/>
        <w:ind w:left="0" w:firstLine="709"/>
        <w:jc w:val="both"/>
        <w:rPr>
          <w:rFonts w:ascii="Times New Roman" w:hAnsi="Times New Roman"/>
          <w:b/>
          <w:i/>
          <w:color w:val="000000" w:themeColor="text1"/>
          <w:sz w:val="28"/>
          <w:szCs w:val="28"/>
        </w:rPr>
      </w:pPr>
      <w:bookmarkStart w:id="6" w:name="_Toc515518981"/>
      <w:r w:rsidRPr="0089751C">
        <w:rPr>
          <w:rFonts w:ascii="Times New Roman" w:hAnsi="Times New Roman"/>
          <w:b/>
          <w:i/>
          <w:color w:val="000000" w:themeColor="text1"/>
          <w:sz w:val="28"/>
          <w:szCs w:val="28"/>
        </w:rPr>
        <w:t>Aspecte</w:t>
      </w:r>
      <w:r>
        <w:rPr>
          <w:rFonts w:ascii="Times New Roman" w:hAnsi="Times New Roman"/>
          <w:b/>
          <w:i/>
          <w:color w:val="000000" w:themeColor="text1"/>
          <w:sz w:val="28"/>
          <w:szCs w:val="28"/>
        </w:rPr>
        <w:t>le financiare</w:t>
      </w:r>
      <w:bookmarkEnd w:id="6"/>
      <w:r w:rsidRPr="0089751C">
        <w:rPr>
          <w:rFonts w:ascii="Times New Roman" w:hAnsi="Times New Roman"/>
          <w:b/>
          <w:i/>
          <w:color w:val="000000" w:themeColor="text1"/>
          <w:sz w:val="28"/>
          <w:szCs w:val="28"/>
        </w:rPr>
        <w:t xml:space="preserve"> </w:t>
      </w:r>
    </w:p>
    <w:p w:rsidR="00C87728" w:rsidRPr="00BD66BF" w:rsidRDefault="00C87728" w:rsidP="008D3B4F">
      <w:pPr>
        <w:spacing w:after="0" w:line="276" w:lineRule="auto"/>
        <w:ind w:firstLine="709"/>
        <w:jc w:val="both"/>
        <w:rPr>
          <w:rFonts w:ascii="Times New Roman" w:eastAsia="Times New Roman" w:hAnsi="Times New Roman" w:cs="Times New Roman"/>
          <w:b/>
          <w:bCs/>
          <w:i/>
          <w:iCs/>
          <w:sz w:val="28"/>
          <w:szCs w:val="28"/>
          <w:lang w:eastAsia="ru-RU"/>
        </w:rPr>
      </w:pPr>
      <w:r w:rsidRPr="00BD66BF">
        <w:rPr>
          <w:rFonts w:ascii="Times New Roman" w:eastAsia="Times New Roman" w:hAnsi="Times New Roman" w:cs="Times New Roman"/>
          <w:spacing w:val="4"/>
          <w:sz w:val="28"/>
          <w:szCs w:val="28"/>
          <w:lang w:eastAsia="ru-RU"/>
        </w:rPr>
        <w:t>Bugetul de stat pe anul 2017 a fost aprobat inițial prin Legea bugetului de stat pe anul 2017</w:t>
      </w:r>
      <w:r w:rsidRPr="00BD66BF">
        <w:rPr>
          <w:rFonts w:ascii="Times New Roman" w:eastAsia="Times New Roman" w:hAnsi="Times New Roman" w:cs="Times New Roman"/>
          <w:spacing w:val="4"/>
          <w:sz w:val="28"/>
          <w:szCs w:val="28"/>
          <w:vertAlign w:val="superscript"/>
          <w:lang w:eastAsia="ru-RU"/>
        </w:rPr>
        <w:footnoteReference w:id="10"/>
      </w:r>
      <w:r w:rsidRPr="00BD66BF">
        <w:rPr>
          <w:rFonts w:ascii="Times New Roman" w:eastAsia="Times New Roman" w:hAnsi="Times New Roman" w:cs="Times New Roman"/>
          <w:spacing w:val="4"/>
          <w:sz w:val="28"/>
          <w:szCs w:val="28"/>
          <w:lang w:eastAsia="ru-RU"/>
        </w:rPr>
        <w:t xml:space="preserve">, </w:t>
      </w:r>
      <w:r w:rsidRPr="00BD66BF">
        <w:rPr>
          <w:rFonts w:ascii="Times New Roman" w:eastAsia="Times New Roman" w:hAnsi="Times New Roman" w:cs="Times New Roman"/>
          <w:sz w:val="28"/>
          <w:szCs w:val="28"/>
          <w:lang w:eastAsia="ru-RU"/>
        </w:rPr>
        <w:t xml:space="preserve">la venituri în sumă de 32839,2 </w:t>
      </w:r>
      <w:r w:rsidRPr="00BD66BF">
        <w:rPr>
          <w:rFonts w:ascii="Times New Roman" w:eastAsia="Times New Roman" w:hAnsi="Times New Roman" w:cs="Times New Roman"/>
          <w:spacing w:val="-1"/>
          <w:sz w:val="28"/>
          <w:szCs w:val="28"/>
          <w:lang w:eastAsia="ru-RU"/>
        </w:rPr>
        <w:t>mil.lei și la che</w:t>
      </w:r>
      <w:r>
        <w:rPr>
          <w:rFonts w:ascii="Times New Roman" w:eastAsia="Times New Roman" w:hAnsi="Times New Roman" w:cs="Times New Roman"/>
          <w:spacing w:val="-1"/>
          <w:sz w:val="28"/>
          <w:szCs w:val="28"/>
          <w:lang w:eastAsia="ru-RU"/>
        </w:rPr>
        <w:t xml:space="preserve">ltuieli </w:t>
      </w:r>
      <w:r w:rsidR="00525EED">
        <w:rPr>
          <w:rFonts w:ascii="Times New Roman" w:eastAsia="Times New Roman" w:hAnsi="Times New Roman" w:cs="Times New Roman"/>
          <w:spacing w:val="-1"/>
          <w:sz w:val="28"/>
          <w:szCs w:val="28"/>
          <w:lang w:eastAsia="ru-RU"/>
        </w:rPr>
        <w:t>–</w:t>
      </w:r>
      <w:r>
        <w:rPr>
          <w:rFonts w:ascii="Times New Roman" w:eastAsia="Times New Roman" w:hAnsi="Times New Roman" w:cs="Times New Roman"/>
          <w:spacing w:val="-1"/>
          <w:sz w:val="28"/>
          <w:szCs w:val="28"/>
          <w:lang w:eastAsia="ru-RU"/>
        </w:rPr>
        <w:t xml:space="preserve"> de 36994,8 mil.lei</w:t>
      </w:r>
      <w:r w:rsidRPr="00BD66BF">
        <w:rPr>
          <w:rFonts w:ascii="Times New Roman" w:eastAsia="Times New Roman" w:hAnsi="Times New Roman" w:cs="Times New Roman"/>
          <w:spacing w:val="-1"/>
          <w:sz w:val="28"/>
          <w:szCs w:val="28"/>
          <w:lang w:eastAsia="ru-RU"/>
        </w:rPr>
        <w:t>, cu o depășire a cheltuielilor asupra veniturilor de 4155,6 mil.lei.</w:t>
      </w:r>
    </w:p>
    <w:p w:rsidR="00C87728" w:rsidRPr="00BD66BF" w:rsidRDefault="00525EED" w:rsidP="008D3B4F">
      <w:pPr>
        <w:shd w:val="clear" w:color="auto" w:fill="FFFFFF"/>
        <w:tabs>
          <w:tab w:val="left" w:pos="9355"/>
        </w:tabs>
        <w:spacing w:after="0" w:line="276" w:lineRule="auto"/>
        <w:ind w:right="-5" w:firstLine="709"/>
        <w:jc w:val="both"/>
        <w:rPr>
          <w:rFonts w:ascii="Times New Roman" w:eastAsia="Times New Roman" w:hAnsi="Times New Roman" w:cs="Times New Roman"/>
          <w:color w:val="000000"/>
          <w:spacing w:val="-1"/>
          <w:sz w:val="28"/>
          <w:szCs w:val="28"/>
          <w:lang w:eastAsia="ru-RU"/>
        </w:rPr>
      </w:pPr>
      <w:r>
        <w:rPr>
          <w:rFonts w:ascii="Times New Roman" w:eastAsia="Times New Roman" w:hAnsi="Times New Roman" w:cs="Times New Roman"/>
          <w:color w:val="000000"/>
          <w:spacing w:val="2"/>
          <w:sz w:val="28"/>
          <w:szCs w:val="28"/>
          <w:lang w:eastAsia="ru-RU"/>
        </w:rPr>
        <w:t>Ca</w:t>
      </w:r>
      <w:r w:rsidR="00C87728" w:rsidRPr="00BD66BF">
        <w:rPr>
          <w:rFonts w:ascii="Times New Roman" w:eastAsia="Times New Roman" w:hAnsi="Times New Roman" w:cs="Times New Roman"/>
          <w:color w:val="000000"/>
          <w:spacing w:val="2"/>
          <w:sz w:val="28"/>
          <w:szCs w:val="28"/>
          <w:lang w:eastAsia="ru-RU"/>
        </w:rPr>
        <w:t xml:space="preserve"> rezultat</w:t>
      </w:r>
      <w:r>
        <w:rPr>
          <w:rFonts w:ascii="Times New Roman" w:eastAsia="Times New Roman" w:hAnsi="Times New Roman" w:cs="Times New Roman"/>
          <w:color w:val="000000"/>
          <w:spacing w:val="2"/>
          <w:sz w:val="28"/>
          <w:szCs w:val="28"/>
          <w:lang w:eastAsia="ru-RU"/>
        </w:rPr>
        <w:t xml:space="preserve"> al</w:t>
      </w:r>
      <w:r w:rsidR="00C87728" w:rsidRPr="00BD66BF">
        <w:rPr>
          <w:rFonts w:ascii="Times New Roman" w:eastAsia="Times New Roman" w:hAnsi="Times New Roman" w:cs="Times New Roman"/>
          <w:color w:val="000000"/>
          <w:spacing w:val="2"/>
          <w:sz w:val="28"/>
          <w:szCs w:val="28"/>
          <w:lang w:eastAsia="ru-RU"/>
        </w:rPr>
        <w:t xml:space="preserve"> modificărilor și completărilor</w:t>
      </w:r>
      <w:r w:rsidR="00C87728" w:rsidRPr="00BD66BF">
        <w:rPr>
          <w:rFonts w:ascii="Times New Roman" w:eastAsia="Times New Roman" w:hAnsi="Times New Roman" w:cs="Times New Roman"/>
          <w:color w:val="000000"/>
          <w:spacing w:val="2"/>
          <w:sz w:val="28"/>
          <w:szCs w:val="28"/>
          <w:vertAlign w:val="superscript"/>
          <w:lang w:eastAsia="ru-RU"/>
        </w:rPr>
        <w:footnoteReference w:id="11"/>
      </w:r>
      <w:r w:rsidR="00C87728" w:rsidRPr="00BD66BF">
        <w:rPr>
          <w:rFonts w:ascii="Times New Roman" w:eastAsia="Times New Roman" w:hAnsi="Times New Roman" w:cs="Times New Roman"/>
          <w:color w:val="000000"/>
          <w:spacing w:val="2"/>
          <w:sz w:val="28"/>
          <w:szCs w:val="28"/>
          <w:lang w:eastAsia="ru-RU"/>
        </w:rPr>
        <w:t xml:space="preserve">, precum și precizărilor operate de MF </w:t>
      </w:r>
      <w:r w:rsidR="00C87728" w:rsidRPr="00BD66BF">
        <w:rPr>
          <w:rFonts w:ascii="Times New Roman" w:eastAsia="Times New Roman" w:hAnsi="Times New Roman" w:cs="Times New Roman"/>
          <w:color w:val="000000"/>
          <w:spacing w:val="1"/>
          <w:sz w:val="28"/>
          <w:szCs w:val="28"/>
          <w:lang w:eastAsia="ru-RU"/>
        </w:rPr>
        <w:t>în temeiul prevederilor art.16</w:t>
      </w:r>
      <w:r w:rsidR="00764D6E">
        <w:rPr>
          <w:rFonts w:ascii="Times New Roman" w:eastAsia="Times New Roman" w:hAnsi="Times New Roman" w:cs="Times New Roman"/>
          <w:color w:val="000000"/>
          <w:spacing w:val="1"/>
          <w:sz w:val="28"/>
          <w:szCs w:val="28"/>
          <w:lang w:eastAsia="ru-RU"/>
        </w:rPr>
        <w:t xml:space="preserve"> </w:t>
      </w:r>
      <w:r w:rsidR="00C87728" w:rsidRPr="00BD66BF">
        <w:rPr>
          <w:rFonts w:ascii="Times New Roman" w:eastAsia="Times New Roman" w:hAnsi="Times New Roman" w:cs="Times New Roman"/>
          <w:color w:val="000000"/>
          <w:spacing w:val="2"/>
          <w:sz w:val="28"/>
          <w:szCs w:val="28"/>
          <w:lang w:eastAsia="ru-RU"/>
        </w:rPr>
        <w:t xml:space="preserve">din Legea bugetului de stat pentru anul 2017, parametrii precizați au </w:t>
      </w:r>
      <w:r>
        <w:rPr>
          <w:rFonts w:ascii="Times New Roman" w:eastAsia="Times New Roman" w:hAnsi="Times New Roman" w:cs="Times New Roman"/>
          <w:color w:val="000000"/>
          <w:spacing w:val="2"/>
          <w:sz w:val="28"/>
          <w:szCs w:val="28"/>
          <w:lang w:eastAsia="ru-RU"/>
        </w:rPr>
        <w:t xml:space="preserve">fost </w:t>
      </w:r>
      <w:r w:rsidR="00C87728" w:rsidRPr="00BD66BF">
        <w:rPr>
          <w:rFonts w:ascii="Times New Roman" w:eastAsia="Times New Roman" w:hAnsi="Times New Roman" w:cs="Times New Roman"/>
          <w:color w:val="000000"/>
          <w:spacing w:val="2"/>
          <w:sz w:val="28"/>
          <w:szCs w:val="28"/>
          <w:lang w:eastAsia="ru-RU"/>
        </w:rPr>
        <w:t>stabili</w:t>
      </w:r>
      <w:r>
        <w:rPr>
          <w:rFonts w:ascii="Times New Roman" w:eastAsia="Times New Roman" w:hAnsi="Times New Roman" w:cs="Times New Roman"/>
          <w:color w:val="000000"/>
          <w:spacing w:val="2"/>
          <w:sz w:val="28"/>
          <w:szCs w:val="28"/>
          <w:lang w:eastAsia="ru-RU"/>
        </w:rPr>
        <w:t>ți</w:t>
      </w:r>
      <w:r w:rsidR="00C87728" w:rsidRPr="00BD66BF">
        <w:rPr>
          <w:rFonts w:ascii="Times New Roman" w:eastAsia="Times New Roman" w:hAnsi="Times New Roman" w:cs="Times New Roman"/>
          <w:color w:val="000000"/>
          <w:spacing w:val="2"/>
          <w:sz w:val="28"/>
          <w:szCs w:val="28"/>
          <w:lang w:eastAsia="ru-RU"/>
        </w:rPr>
        <w:t xml:space="preserve"> </w:t>
      </w:r>
      <w:r w:rsidR="00C87728" w:rsidRPr="00BD66BF">
        <w:rPr>
          <w:rFonts w:ascii="Times New Roman" w:eastAsia="Times New Roman" w:hAnsi="Times New Roman" w:cs="Times New Roman"/>
          <w:color w:val="000000"/>
          <w:sz w:val="28"/>
          <w:szCs w:val="28"/>
          <w:lang w:eastAsia="ru-RU"/>
        </w:rPr>
        <w:t>la venituri în sumă de 33778,3 mil.lei și la cheltuieli – de 37802,</w:t>
      </w:r>
      <w:r w:rsidR="007564D7">
        <w:rPr>
          <w:rFonts w:ascii="Times New Roman" w:eastAsia="Times New Roman" w:hAnsi="Times New Roman" w:cs="Times New Roman"/>
          <w:color w:val="000000"/>
          <w:sz w:val="28"/>
          <w:szCs w:val="28"/>
          <w:lang w:eastAsia="ru-RU"/>
        </w:rPr>
        <w:t>5</w:t>
      </w:r>
      <w:r w:rsidR="00C87728" w:rsidRPr="00BD66BF">
        <w:rPr>
          <w:rFonts w:ascii="Times New Roman" w:eastAsia="Times New Roman" w:hAnsi="Times New Roman" w:cs="Times New Roman"/>
          <w:color w:val="000000"/>
          <w:sz w:val="28"/>
          <w:szCs w:val="28"/>
          <w:lang w:eastAsia="ru-RU"/>
        </w:rPr>
        <w:t xml:space="preserve"> mil.lei, cu un deficit bugetar de 4024,2 mil.lei</w:t>
      </w:r>
      <w:r w:rsidR="00C87728" w:rsidRPr="00BD66BF">
        <w:rPr>
          <w:rFonts w:ascii="Times New Roman" w:eastAsia="Times New Roman" w:hAnsi="Times New Roman" w:cs="Times New Roman"/>
          <w:color w:val="000000"/>
          <w:spacing w:val="-1"/>
          <w:sz w:val="28"/>
          <w:szCs w:val="28"/>
          <w:lang w:eastAsia="ru-RU"/>
        </w:rPr>
        <w:t xml:space="preserve">. </w:t>
      </w:r>
      <w:r w:rsidR="00C87728" w:rsidRPr="007B7508">
        <w:rPr>
          <w:rFonts w:ascii="Times New Roman" w:eastAsia="Times New Roman" w:hAnsi="Times New Roman" w:cs="Times New Roman"/>
          <w:i/>
          <w:color w:val="000000"/>
          <w:spacing w:val="-1"/>
          <w:sz w:val="28"/>
          <w:szCs w:val="28"/>
          <w:lang w:eastAsia="ru-RU"/>
        </w:rPr>
        <w:t xml:space="preserve">Executarea de ansamblu a bugetului de stat pe anul 2017 se prezintă în </w:t>
      </w:r>
      <w:r w:rsidR="00C87728" w:rsidRPr="00AF0CD1">
        <w:rPr>
          <w:rFonts w:ascii="Times New Roman" w:eastAsia="Times New Roman" w:hAnsi="Times New Roman" w:cs="Times New Roman"/>
          <w:i/>
          <w:color w:val="000000"/>
          <w:spacing w:val="-1"/>
          <w:sz w:val="28"/>
          <w:szCs w:val="28"/>
          <w:lang w:eastAsia="ru-RU"/>
        </w:rPr>
        <w:t>Tabelul nr.2.</w:t>
      </w:r>
    </w:p>
    <w:p w:rsidR="00C87728" w:rsidRPr="00AF0CD1" w:rsidRDefault="00C87728" w:rsidP="008D3B4F">
      <w:pPr>
        <w:spacing w:after="0" w:line="276" w:lineRule="auto"/>
        <w:ind w:firstLine="708"/>
        <w:jc w:val="right"/>
        <w:rPr>
          <w:rFonts w:ascii="Times New Roman" w:eastAsia="Times New Roman" w:hAnsi="Times New Roman" w:cs="Times New Roman"/>
          <w:i/>
          <w:iCs/>
          <w:color w:val="000000"/>
          <w:spacing w:val="2"/>
          <w:sz w:val="24"/>
          <w:szCs w:val="24"/>
          <w:lang w:eastAsia="ru-RU"/>
        </w:rPr>
      </w:pPr>
      <w:r w:rsidRPr="00AF0CD1">
        <w:rPr>
          <w:rFonts w:ascii="Times New Roman" w:eastAsia="Times New Roman" w:hAnsi="Times New Roman" w:cs="Times New Roman"/>
          <w:i/>
          <w:iCs/>
          <w:color w:val="000000"/>
          <w:spacing w:val="2"/>
          <w:sz w:val="28"/>
          <w:szCs w:val="24"/>
          <w:lang w:eastAsia="ru-RU"/>
        </w:rPr>
        <w:t>Tabelul nr.2</w:t>
      </w:r>
    </w:p>
    <w:p w:rsidR="00C87728" w:rsidRPr="00BD66BF" w:rsidRDefault="00C87728" w:rsidP="008D3B4F">
      <w:pPr>
        <w:spacing w:after="0" w:line="276" w:lineRule="auto"/>
        <w:jc w:val="center"/>
        <w:rPr>
          <w:rFonts w:ascii="Times New Roman" w:eastAsia="Times New Roman" w:hAnsi="Times New Roman" w:cs="Times New Roman"/>
          <w:iCs/>
          <w:color w:val="000000"/>
          <w:spacing w:val="2"/>
          <w:sz w:val="24"/>
          <w:szCs w:val="24"/>
          <w:lang w:eastAsia="ru-RU"/>
        </w:rPr>
      </w:pPr>
      <w:r w:rsidRPr="00BD66BF">
        <w:rPr>
          <w:rFonts w:ascii="Times New Roman" w:eastAsia="Times New Roman" w:hAnsi="Times New Roman" w:cs="Times New Roman"/>
          <w:b/>
          <w:iCs/>
          <w:color w:val="000000"/>
          <w:spacing w:val="2"/>
          <w:sz w:val="24"/>
          <w:szCs w:val="24"/>
          <w:lang w:eastAsia="ru-RU"/>
        </w:rPr>
        <w:t xml:space="preserve">Executarea bugetului de stat pe anul 2017 </w:t>
      </w:r>
    </w:p>
    <w:p w:rsidR="00C87728" w:rsidRPr="00AF0CD1" w:rsidRDefault="00C87728" w:rsidP="008D3B4F">
      <w:pPr>
        <w:spacing w:after="0" w:line="276" w:lineRule="auto"/>
        <w:jc w:val="right"/>
        <w:rPr>
          <w:rFonts w:ascii="Times New Roman" w:eastAsia="Times New Roman" w:hAnsi="Times New Roman" w:cs="Times New Roman"/>
          <w:i/>
          <w:iCs/>
          <w:color w:val="000000"/>
          <w:spacing w:val="2"/>
          <w:sz w:val="24"/>
          <w:szCs w:val="24"/>
          <w:lang w:eastAsia="ru-RU"/>
        </w:rPr>
      </w:pPr>
      <w:r w:rsidRPr="00AF0CD1">
        <w:rPr>
          <w:rFonts w:ascii="Times New Roman" w:eastAsia="Times New Roman" w:hAnsi="Times New Roman" w:cs="Times New Roman"/>
          <w:i/>
          <w:iCs/>
          <w:color w:val="000000"/>
          <w:spacing w:val="2"/>
          <w:sz w:val="24"/>
          <w:szCs w:val="24"/>
          <w:lang w:eastAsia="ru-RU"/>
        </w:rPr>
        <w:t xml:space="preserve"> (</w:t>
      </w:r>
      <w:r w:rsidRPr="00AF0CD1">
        <w:rPr>
          <w:rFonts w:ascii="Times New Roman" w:eastAsia="Times New Roman" w:hAnsi="Times New Roman" w:cs="Times New Roman"/>
          <w:bCs/>
          <w:i/>
          <w:color w:val="000000"/>
          <w:spacing w:val="-3"/>
          <w:sz w:val="24"/>
          <w:szCs w:val="24"/>
          <w:lang w:eastAsia="ru-RU"/>
        </w:rPr>
        <w:t xml:space="preserve">mil.lei) </w:t>
      </w:r>
    </w:p>
    <w:tbl>
      <w:tblPr>
        <w:tblStyle w:val="GridTable4-Accent51"/>
        <w:tblW w:w="9535" w:type="dxa"/>
        <w:tblLook w:val="04A0" w:firstRow="1" w:lastRow="0" w:firstColumn="1" w:lastColumn="0" w:noHBand="0" w:noVBand="1"/>
      </w:tblPr>
      <w:tblGrid>
        <w:gridCol w:w="1243"/>
        <w:gridCol w:w="1592"/>
        <w:gridCol w:w="1330"/>
        <w:gridCol w:w="1123"/>
        <w:gridCol w:w="958"/>
        <w:gridCol w:w="1201"/>
        <w:gridCol w:w="958"/>
        <w:gridCol w:w="1130"/>
      </w:tblGrid>
      <w:tr w:rsidR="00C87728" w:rsidRPr="00613459" w:rsidTr="00AA14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3" w:type="dxa"/>
            <w:vMerge w:val="restart"/>
            <w:tcBorders>
              <w:right w:val="single" w:sz="4" w:space="0" w:color="4472C4"/>
            </w:tcBorders>
            <w:shd w:val="clear" w:color="auto" w:fill="1F3864" w:themeFill="accent5" w:themeFillShade="80"/>
            <w:vAlign w:val="center"/>
          </w:tcPr>
          <w:p w:rsidR="00C87728" w:rsidRPr="004C4CF1" w:rsidRDefault="00C87728" w:rsidP="00264215">
            <w:pPr>
              <w:spacing w:after="160" w:line="259" w:lineRule="auto"/>
              <w:jc w:val="center"/>
              <w:rPr>
                <w:rFonts w:ascii="Times New Roman" w:eastAsia="Times New Roman" w:hAnsi="Times New Roman" w:cs="Times New Roman"/>
                <w:i/>
                <w:iCs/>
                <w:spacing w:val="-2"/>
                <w:sz w:val="24"/>
                <w:szCs w:val="24"/>
                <w:lang w:eastAsia="ru-RU"/>
              </w:rPr>
            </w:pPr>
            <w:r w:rsidRPr="004C4CF1">
              <w:rPr>
                <w:rFonts w:ascii="Times New Roman" w:eastAsia="Times New Roman" w:hAnsi="Times New Roman" w:cs="Times New Roman"/>
                <w:color w:val="auto"/>
                <w:sz w:val="24"/>
                <w:szCs w:val="24"/>
                <w:lang w:eastAsia="ru-RU"/>
              </w:rPr>
              <w:t>Indicatori sintetici</w:t>
            </w:r>
          </w:p>
        </w:tc>
        <w:tc>
          <w:tcPr>
            <w:tcW w:w="1618" w:type="dxa"/>
            <w:vMerge w:val="restart"/>
            <w:tcBorders>
              <w:left w:val="single" w:sz="4" w:space="0" w:color="4472C4"/>
              <w:right w:val="single" w:sz="4" w:space="0" w:color="4472C4"/>
            </w:tcBorders>
            <w:shd w:val="clear" w:color="auto" w:fill="1F3864" w:themeFill="accent5" w:themeFillShade="80"/>
            <w:vAlign w:val="center"/>
          </w:tcPr>
          <w:p w:rsidR="00C87728" w:rsidRPr="004C4CF1" w:rsidRDefault="00C87728" w:rsidP="00F67536">
            <w:pPr>
              <w:spacing w:line="259" w:lineRule="auto"/>
              <w:ind w:left="-74" w:right="-102"/>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iCs/>
                <w:spacing w:val="-2"/>
                <w:sz w:val="24"/>
                <w:szCs w:val="24"/>
                <w:lang w:eastAsia="ru-RU"/>
              </w:rPr>
            </w:pPr>
            <w:r w:rsidRPr="004C4CF1">
              <w:rPr>
                <w:rFonts w:ascii="Times New Roman" w:eastAsia="Times New Roman" w:hAnsi="Times New Roman" w:cs="Times New Roman"/>
                <w:color w:val="auto"/>
                <w:sz w:val="24"/>
                <w:szCs w:val="24"/>
                <w:lang w:eastAsia="ru-RU"/>
              </w:rPr>
              <w:t>Prevederi bugetare aprobate prin Legea bugetului de stat pe anul 2017</w:t>
            </w:r>
          </w:p>
        </w:tc>
        <w:tc>
          <w:tcPr>
            <w:tcW w:w="1336" w:type="dxa"/>
            <w:vMerge w:val="restart"/>
            <w:tcBorders>
              <w:left w:val="single" w:sz="4" w:space="0" w:color="4472C4"/>
              <w:right w:val="single" w:sz="4" w:space="0" w:color="4472C4"/>
            </w:tcBorders>
            <w:shd w:val="clear" w:color="auto" w:fill="1F3864" w:themeFill="accent5" w:themeFillShade="80"/>
            <w:vAlign w:val="center"/>
          </w:tcPr>
          <w:p w:rsidR="00C87728" w:rsidRPr="004C4CF1" w:rsidRDefault="00902499" w:rsidP="00902499">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iCs/>
                <w:spacing w:val="-2"/>
                <w:sz w:val="24"/>
                <w:szCs w:val="24"/>
                <w:lang w:eastAsia="ru-RU"/>
              </w:rPr>
            </w:pPr>
            <w:r w:rsidRPr="004C4CF1">
              <w:rPr>
                <w:rFonts w:ascii="Times New Roman" w:eastAsia="Times New Roman" w:hAnsi="Times New Roman" w:cs="Times New Roman"/>
                <w:color w:val="auto"/>
                <w:sz w:val="24"/>
                <w:szCs w:val="24"/>
                <w:lang w:eastAsia="ru-RU"/>
              </w:rPr>
              <w:t>Prevederi bugetare precizate</w:t>
            </w:r>
          </w:p>
        </w:tc>
        <w:tc>
          <w:tcPr>
            <w:tcW w:w="1123" w:type="dxa"/>
            <w:vMerge w:val="restart"/>
            <w:tcBorders>
              <w:left w:val="single" w:sz="4" w:space="0" w:color="4472C4"/>
              <w:right w:val="single" w:sz="4" w:space="0" w:color="4472C4"/>
            </w:tcBorders>
            <w:shd w:val="clear" w:color="auto" w:fill="1F3864" w:themeFill="accent5" w:themeFillShade="80"/>
            <w:vAlign w:val="center"/>
          </w:tcPr>
          <w:p w:rsidR="00C87728" w:rsidRPr="004C4CF1" w:rsidRDefault="00C87728" w:rsidP="00264215">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iCs/>
                <w:spacing w:val="-2"/>
                <w:sz w:val="24"/>
                <w:szCs w:val="24"/>
                <w:lang w:eastAsia="ru-RU"/>
              </w:rPr>
            </w:pPr>
            <w:r w:rsidRPr="004C4CF1">
              <w:rPr>
                <w:rFonts w:ascii="Times New Roman" w:eastAsia="Times New Roman" w:hAnsi="Times New Roman" w:cs="Times New Roman"/>
                <w:color w:val="auto"/>
                <w:sz w:val="24"/>
                <w:szCs w:val="24"/>
                <w:lang w:eastAsia="ru-RU"/>
              </w:rPr>
              <w:t>Executat</w:t>
            </w:r>
          </w:p>
        </w:tc>
        <w:tc>
          <w:tcPr>
            <w:tcW w:w="2166" w:type="dxa"/>
            <w:gridSpan w:val="2"/>
            <w:tcBorders>
              <w:left w:val="single" w:sz="4" w:space="0" w:color="4472C4"/>
              <w:right w:val="single" w:sz="4" w:space="0" w:color="4472C4"/>
            </w:tcBorders>
            <w:shd w:val="clear" w:color="auto" w:fill="1F3864" w:themeFill="accent5" w:themeFillShade="80"/>
            <w:vAlign w:val="center"/>
          </w:tcPr>
          <w:p w:rsidR="00C87728" w:rsidRPr="004C4CF1" w:rsidRDefault="00C87728" w:rsidP="00264215">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4C4CF1">
              <w:rPr>
                <w:rFonts w:ascii="Times New Roman" w:eastAsia="Times New Roman" w:hAnsi="Times New Roman" w:cs="Times New Roman"/>
                <w:color w:val="auto"/>
                <w:sz w:val="24"/>
                <w:szCs w:val="24"/>
                <w:lang w:eastAsia="ru-RU"/>
              </w:rPr>
              <w:t>Executat față de aprobat</w:t>
            </w:r>
          </w:p>
        </w:tc>
        <w:tc>
          <w:tcPr>
            <w:tcW w:w="2049" w:type="dxa"/>
            <w:gridSpan w:val="2"/>
            <w:tcBorders>
              <w:left w:val="single" w:sz="4" w:space="0" w:color="4472C4"/>
            </w:tcBorders>
            <w:shd w:val="clear" w:color="auto" w:fill="1F3864" w:themeFill="accent5" w:themeFillShade="80"/>
            <w:vAlign w:val="center"/>
          </w:tcPr>
          <w:p w:rsidR="00C87728" w:rsidRPr="004C4CF1" w:rsidRDefault="00C87728" w:rsidP="00264215">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iCs/>
                <w:spacing w:val="-2"/>
                <w:sz w:val="24"/>
                <w:szCs w:val="24"/>
                <w:lang w:eastAsia="ru-RU"/>
              </w:rPr>
            </w:pPr>
            <w:r w:rsidRPr="004C4CF1">
              <w:rPr>
                <w:rFonts w:ascii="Times New Roman" w:eastAsia="Times New Roman" w:hAnsi="Times New Roman" w:cs="Times New Roman"/>
                <w:color w:val="auto"/>
                <w:sz w:val="24"/>
                <w:szCs w:val="24"/>
                <w:lang w:eastAsia="ru-RU"/>
              </w:rPr>
              <w:t>Executat față de precizat</w:t>
            </w:r>
          </w:p>
        </w:tc>
      </w:tr>
      <w:tr w:rsidR="00902499" w:rsidRPr="00613459" w:rsidTr="00AA14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3" w:type="dxa"/>
            <w:vMerge/>
            <w:tcBorders>
              <w:right w:val="single" w:sz="4" w:space="0" w:color="4472C4"/>
            </w:tcBorders>
            <w:shd w:val="clear" w:color="auto" w:fill="1F3864" w:themeFill="accent5" w:themeFillShade="80"/>
            <w:vAlign w:val="center"/>
          </w:tcPr>
          <w:p w:rsidR="00902499" w:rsidRPr="004C4CF1" w:rsidRDefault="00902499" w:rsidP="00902499">
            <w:pPr>
              <w:spacing w:after="160" w:line="259" w:lineRule="auto"/>
              <w:rPr>
                <w:rFonts w:ascii="Times New Roman" w:eastAsia="Times New Roman" w:hAnsi="Times New Roman" w:cs="Times New Roman"/>
                <w:i/>
                <w:iCs/>
                <w:color w:val="FFFFFF" w:themeColor="background1"/>
                <w:spacing w:val="-2"/>
                <w:sz w:val="24"/>
                <w:szCs w:val="24"/>
                <w:lang w:eastAsia="ru-RU"/>
              </w:rPr>
            </w:pPr>
          </w:p>
        </w:tc>
        <w:tc>
          <w:tcPr>
            <w:tcW w:w="1618" w:type="dxa"/>
            <w:vMerge/>
            <w:tcBorders>
              <w:left w:val="single" w:sz="4" w:space="0" w:color="4472C4"/>
              <w:right w:val="single" w:sz="4" w:space="0" w:color="4472C4"/>
            </w:tcBorders>
            <w:shd w:val="clear" w:color="auto" w:fill="1F3864" w:themeFill="accent5" w:themeFillShade="80"/>
            <w:vAlign w:val="center"/>
          </w:tcPr>
          <w:p w:rsidR="00902499" w:rsidRPr="004C4CF1" w:rsidRDefault="00902499" w:rsidP="00902499">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i/>
                <w:iCs/>
                <w:color w:val="FFFFFF" w:themeColor="background1"/>
                <w:spacing w:val="-2"/>
                <w:sz w:val="24"/>
                <w:szCs w:val="24"/>
                <w:lang w:eastAsia="ru-RU"/>
              </w:rPr>
            </w:pPr>
          </w:p>
        </w:tc>
        <w:tc>
          <w:tcPr>
            <w:tcW w:w="1336" w:type="dxa"/>
            <w:vMerge/>
            <w:tcBorders>
              <w:left w:val="single" w:sz="4" w:space="0" w:color="4472C4"/>
              <w:right w:val="single" w:sz="4" w:space="0" w:color="4472C4"/>
            </w:tcBorders>
            <w:shd w:val="clear" w:color="auto" w:fill="1F3864" w:themeFill="accent5" w:themeFillShade="80"/>
            <w:vAlign w:val="center"/>
          </w:tcPr>
          <w:p w:rsidR="00902499" w:rsidRPr="004C4CF1" w:rsidRDefault="00902499" w:rsidP="00902499">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i/>
                <w:iCs/>
                <w:color w:val="FFFFFF" w:themeColor="background1"/>
                <w:spacing w:val="-2"/>
                <w:sz w:val="24"/>
                <w:szCs w:val="24"/>
                <w:lang w:eastAsia="ru-RU"/>
              </w:rPr>
            </w:pPr>
          </w:p>
        </w:tc>
        <w:tc>
          <w:tcPr>
            <w:tcW w:w="1123" w:type="dxa"/>
            <w:vMerge/>
            <w:tcBorders>
              <w:left w:val="single" w:sz="4" w:space="0" w:color="4472C4"/>
              <w:right w:val="single" w:sz="4" w:space="0" w:color="4472C4"/>
            </w:tcBorders>
            <w:shd w:val="clear" w:color="auto" w:fill="1F3864" w:themeFill="accent5" w:themeFillShade="80"/>
            <w:vAlign w:val="center"/>
          </w:tcPr>
          <w:p w:rsidR="00902499" w:rsidRPr="004C4CF1" w:rsidRDefault="00902499" w:rsidP="00902499">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i/>
                <w:iCs/>
                <w:color w:val="FFFFFF" w:themeColor="background1"/>
                <w:spacing w:val="-2"/>
                <w:sz w:val="24"/>
                <w:szCs w:val="24"/>
                <w:lang w:eastAsia="ru-RU"/>
              </w:rPr>
            </w:pPr>
          </w:p>
        </w:tc>
        <w:tc>
          <w:tcPr>
            <w:tcW w:w="963" w:type="dxa"/>
            <w:tcBorders>
              <w:left w:val="single" w:sz="4" w:space="0" w:color="4472C4"/>
              <w:right w:val="single" w:sz="4" w:space="0" w:color="4472C4"/>
            </w:tcBorders>
            <w:shd w:val="clear" w:color="auto" w:fill="1F3864" w:themeFill="accent5" w:themeFillShade="80"/>
            <w:vAlign w:val="center"/>
          </w:tcPr>
          <w:p w:rsidR="00902499" w:rsidRPr="004C4CF1" w:rsidRDefault="00414930" w:rsidP="00902499">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FFFFFF" w:themeColor="background1"/>
                <w:sz w:val="24"/>
                <w:szCs w:val="24"/>
                <w:lang w:eastAsia="ru-RU"/>
              </w:rPr>
            </w:pPr>
            <w:r w:rsidRPr="004C4CF1">
              <w:rPr>
                <w:rFonts w:ascii="Times New Roman" w:eastAsia="Times New Roman" w:hAnsi="Times New Roman" w:cs="Times New Roman"/>
                <w:b/>
                <w:bCs/>
                <w:color w:val="FFFFFF" w:themeColor="background1"/>
                <w:sz w:val="24"/>
                <w:szCs w:val="24"/>
                <w:lang w:eastAsia="ru-RU"/>
              </w:rPr>
              <w:t>s</w:t>
            </w:r>
            <w:r w:rsidR="00354691" w:rsidRPr="004C4CF1">
              <w:rPr>
                <w:rFonts w:ascii="Times New Roman" w:eastAsia="Times New Roman" w:hAnsi="Times New Roman" w:cs="Times New Roman"/>
                <w:b/>
                <w:bCs/>
                <w:color w:val="FFFFFF" w:themeColor="background1"/>
                <w:sz w:val="24"/>
                <w:szCs w:val="24"/>
                <w:lang w:eastAsia="ru-RU"/>
              </w:rPr>
              <w:t xml:space="preserve">uma </w:t>
            </w:r>
            <w:r w:rsidR="00902499" w:rsidRPr="004C4CF1">
              <w:rPr>
                <w:rFonts w:ascii="Times New Roman" w:eastAsia="Times New Roman" w:hAnsi="Times New Roman" w:cs="Times New Roman"/>
                <w:b/>
                <w:bCs/>
                <w:color w:val="FFFFFF" w:themeColor="background1"/>
                <w:sz w:val="24"/>
                <w:szCs w:val="24"/>
                <w:lang w:eastAsia="ru-RU"/>
              </w:rPr>
              <w:t>(+/-)</w:t>
            </w:r>
          </w:p>
        </w:tc>
        <w:tc>
          <w:tcPr>
            <w:tcW w:w="1203" w:type="dxa"/>
            <w:tcBorders>
              <w:left w:val="single" w:sz="4" w:space="0" w:color="4472C4"/>
              <w:right w:val="single" w:sz="4" w:space="0" w:color="4472C4"/>
            </w:tcBorders>
            <w:shd w:val="clear" w:color="auto" w:fill="1F3864" w:themeFill="accent5" w:themeFillShade="80"/>
            <w:vAlign w:val="center"/>
          </w:tcPr>
          <w:p w:rsidR="00902499" w:rsidRPr="004C4CF1" w:rsidRDefault="00414930" w:rsidP="00902499">
            <w:pPr>
              <w:spacing w:after="160" w:line="259" w:lineRule="auto"/>
              <w:ind w:left="-40" w:right="-117"/>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FFFFFF" w:themeColor="background1"/>
                <w:sz w:val="24"/>
                <w:szCs w:val="24"/>
                <w:lang w:eastAsia="ru-RU"/>
              </w:rPr>
            </w:pPr>
            <w:r w:rsidRPr="004C4CF1">
              <w:rPr>
                <w:rFonts w:ascii="Times New Roman" w:eastAsia="Times New Roman" w:hAnsi="Times New Roman" w:cs="Times New Roman"/>
                <w:b/>
                <w:bCs/>
                <w:color w:val="FFFFFF" w:themeColor="background1"/>
                <w:sz w:val="24"/>
                <w:szCs w:val="24"/>
                <w:lang w:eastAsia="ru-RU"/>
              </w:rPr>
              <w:t>n</w:t>
            </w:r>
            <w:r w:rsidR="00902499" w:rsidRPr="004C4CF1">
              <w:rPr>
                <w:rFonts w:ascii="Times New Roman" w:eastAsia="Times New Roman" w:hAnsi="Times New Roman" w:cs="Times New Roman"/>
                <w:b/>
                <w:bCs/>
                <w:color w:val="FFFFFF" w:themeColor="background1"/>
                <w:sz w:val="24"/>
                <w:szCs w:val="24"/>
                <w:lang w:eastAsia="ru-RU"/>
              </w:rPr>
              <w:t>ivelul de executare (%)</w:t>
            </w:r>
          </w:p>
        </w:tc>
        <w:tc>
          <w:tcPr>
            <w:tcW w:w="963" w:type="dxa"/>
            <w:tcBorders>
              <w:left w:val="single" w:sz="4" w:space="0" w:color="4472C4"/>
              <w:right w:val="single" w:sz="4" w:space="0" w:color="4472C4"/>
            </w:tcBorders>
            <w:shd w:val="clear" w:color="auto" w:fill="1F3864" w:themeFill="accent5" w:themeFillShade="80"/>
            <w:vAlign w:val="center"/>
          </w:tcPr>
          <w:p w:rsidR="00902499" w:rsidRPr="004C4CF1" w:rsidRDefault="00414930" w:rsidP="00902499">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FFFFFF" w:themeColor="background1"/>
                <w:sz w:val="24"/>
                <w:szCs w:val="24"/>
                <w:lang w:eastAsia="ru-RU"/>
              </w:rPr>
            </w:pPr>
            <w:r w:rsidRPr="004C4CF1">
              <w:rPr>
                <w:rFonts w:ascii="Times New Roman" w:eastAsia="Times New Roman" w:hAnsi="Times New Roman" w:cs="Times New Roman"/>
                <w:b/>
                <w:bCs/>
                <w:color w:val="FFFFFF" w:themeColor="background1"/>
                <w:sz w:val="24"/>
                <w:szCs w:val="24"/>
                <w:lang w:eastAsia="ru-RU"/>
              </w:rPr>
              <w:t>s</w:t>
            </w:r>
            <w:r w:rsidR="00354691" w:rsidRPr="004C4CF1">
              <w:rPr>
                <w:rFonts w:ascii="Times New Roman" w:eastAsia="Times New Roman" w:hAnsi="Times New Roman" w:cs="Times New Roman"/>
                <w:b/>
                <w:bCs/>
                <w:color w:val="FFFFFF" w:themeColor="background1"/>
                <w:sz w:val="24"/>
                <w:szCs w:val="24"/>
                <w:lang w:eastAsia="ru-RU"/>
              </w:rPr>
              <w:t>uma</w:t>
            </w:r>
            <w:r w:rsidR="00902499" w:rsidRPr="004C4CF1">
              <w:rPr>
                <w:rFonts w:ascii="Times New Roman" w:eastAsia="Times New Roman" w:hAnsi="Times New Roman" w:cs="Times New Roman"/>
                <w:b/>
                <w:bCs/>
                <w:color w:val="FFFFFF" w:themeColor="background1"/>
                <w:sz w:val="24"/>
                <w:szCs w:val="24"/>
                <w:lang w:eastAsia="ru-RU"/>
              </w:rPr>
              <w:t xml:space="preserve"> (+/-)</w:t>
            </w:r>
          </w:p>
        </w:tc>
        <w:tc>
          <w:tcPr>
            <w:tcW w:w="1086" w:type="dxa"/>
            <w:tcBorders>
              <w:left w:val="single" w:sz="4" w:space="0" w:color="4472C4"/>
            </w:tcBorders>
            <w:shd w:val="clear" w:color="auto" w:fill="1F3864" w:themeFill="accent5" w:themeFillShade="80"/>
            <w:vAlign w:val="center"/>
          </w:tcPr>
          <w:p w:rsidR="00902499" w:rsidRPr="004C4CF1" w:rsidRDefault="00414930" w:rsidP="00902499">
            <w:pPr>
              <w:spacing w:after="160" w:line="259" w:lineRule="auto"/>
              <w:ind w:left="-73" w:right="-7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FFFFFF" w:themeColor="background1"/>
                <w:sz w:val="24"/>
                <w:szCs w:val="24"/>
                <w:lang w:eastAsia="ru-RU"/>
              </w:rPr>
            </w:pPr>
            <w:r w:rsidRPr="004C4CF1">
              <w:rPr>
                <w:rFonts w:ascii="Times New Roman" w:eastAsia="Times New Roman" w:hAnsi="Times New Roman" w:cs="Times New Roman"/>
                <w:b/>
                <w:bCs/>
                <w:color w:val="FFFFFF" w:themeColor="background1"/>
                <w:sz w:val="24"/>
                <w:szCs w:val="24"/>
                <w:lang w:eastAsia="ru-RU"/>
              </w:rPr>
              <w:t>n</w:t>
            </w:r>
            <w:r w:rsidR="00902499" w:rsidRPr="004C4CF1">
              <w:rPr>
                <w:rFonts w:ascii="Times New Roman" w:eastAsia="Times New Roman" w:hAnsi="Times New Roman" w:cs="Times New Roman"/>
                <w:b/>
                <w:bCs/>
                <w:color w:val="FFFFFF" w:themeColor="background1"/>
                <w:sz w:val="24"/>
                <w:szCs w:val="24"/>
                <w:lang w:eastAsia="ru-RU"/>
              </w:rPr>
              <w:t>ivelul de executare (%)</w:t>
            </w:r>
          </w:p>
        </w:tc>
      </w:tr>
      <w:tr w:rsidR="00C87728" w:rsidRPr="00613459" w:rsidTr="004C4CF1">
        <w:tc>
          <w:tcPr>
            <w:cnfStyle w:val="001000000000" w:firstRow="0" w:lastRow="0" w:firstColumn="1" w:lastColumn="0" w:oddVBand="0" w:evenVBand="0" w:oddHBand="0" w:evenHBand="0" w:firstRowFirstColumn="0" w:firstRowLastColumn="0" w:lastRowFirstColumn="0" w:lastRowLastColumn="0"/>
            <w:tcW w:w="1243" w:type="dxa"/>
          </w:tcPr>
          <w:p w:rsidR="00C87728" w:rsidRPr="004C4CF1" w:rsidRDefault="00C87728" w:rsidP="00F67536">
            <w:pPr>
              <w:spacing w:line="259" w:lineRule="auto"/>
              <w:jc w:val="center"/>
              <w:rPr>
                <w:rFonts w:ascii="Times New Roman" w:eastAsia="Times New Roman" w:hAnsi="Times New Roman" w:cs="Times New Roman"/>
                <w:i/>
                <w:iCs/>
                <w:color w:val="000000"/>
                <w:spacing w:val="-2"/>
                <w:sz w:val="20"/>
                <w:szCs w:val="24"/>
                <w:lang w:eastAsia="ru-RU"/>
              </w:rPr>
            </w:pPr>
            <w:r w:rsidRPr="00BA34A4">
              <w:rPr>
                <w:rFonts w:ascii="Times New Roman" w:eastAsia="Times New Roman" w:hAnsi="Times New Roman" w:cs="Times New Roman"/>
                <w:i/>
                <w:color w:val="000000"/>
                <w:sz w:val="20"/>
                <w:szCs w:val="24"/>
                <w:lang w:eastAsia="ru-RU"/>
              </w:rPr>
              <w:t>1</w:t>
            </w:r>
          </w:p>
        </w:tc>
        <w:tc>
          <w:tcPr>
            <w:tcW w:w="1618" w:type="dxa"/>
          </w:tcPr>
          <w:p w:rsidR="00C87728" w:rsidRPr="00BA34A4" w:rsidRDefault="00C87728" w:rsidP="00F6753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i/>
                <w:iCs/>
                <w:color w:val="000000"/>
                <w:spacing w:val="-2"/>
                <w:sz w:val="20"/>
                <w:szCs w:val="24"/>
                <w:lang w:eastAsia="ru-RU"/>
              </w:rPr>
            </w:pPr>
            <w:r w:rsidRPr="00BA34A4">
              <w:rPr>
                <w:rFonts w:ascii="Times New Roman" w:eastAsia="Times New Roman" w:hAnsi="Times New Roman" w:cs="Times New Roman"/>
                <w:b/>
                <w:i/>
                <w:color w:val="000000"/>
                <w:sz w:val="20"/>
                <w:szCs w:val="24"/>
                <w:lang w:eastAsia="ru-RU"/>
              </w:rPr>
              <w:t>2</w:t>
            </w:r>
          </w:p>
        </w:tc>
        <w:tc>
          <w:tcPr>
            <w:tcW w:w="1336" w:type="dxa"/>
          </w:tcPr>
          <w:p w:rsidR="00C87728" w:rsidRPr="009D627D" w:rsidRDefault="00C87728" w:rsidP="00F6753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i/>
                <w:iCs/>
                <w:color w:val="000000"/>
                <w:spacing w:val="-2"/>
                <w:sz w:val="20"/>
                <w:szCs w:val="24"/>
                <w:lang w:eastAsia="ru-RU"/>
              </w:rPr>
            </w:pPr>
            <w:r w:rsidRPr="009D627D">
              <w:rPr>
                <w:rFonts w:ascii="Times New Roman" w:eastAsia="Times New Roman" w:hAnsi="Times New Roman" w:cs="Times New Roman"/>
                <w:b/>
                <w:i/>
                <w:color w:val="000000"/>
                <w:sz w:val="20"/>
                <w:szCs w:val="24"/>
                <w:lang w:eastAsia="ru-RU"/>
              </w:rPr>
              <w:t>3</w:t>
            </w:r>
          </w:p>
        </w:tc>
        <w:tc>
          <w:tcPr>
            <w:tcW w:w="1123" w:type="dxa"/>
          </w:tcPr>
          <w:p w:rsidR="00C87728" w:rsidRPr="00BA34A4" w:rsidRDefault="00C87728" w:rsidP="00F6753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i/>
                <w:iCs/>
                <w:color w:val="000000"/>
                <w:spacing w:val="-2"/>
                <w:sz w:val="20"/>
                <w:szCs w:val="24"/>
                <w:lang w:eastAsia="ru-RU"/>
              </w:rPr>
            </w:pPr>
            <w:r w:rsidRPr="00BA34A4">
              <w:rPr>
                <w:rFonts w:ascii="Times New Roman" w:eastAsia="Times New Roman" w:hAnsi="Times New Roman" w:cs="Times New Roman"/>
                <w:b/>
                <w:i/>
                <w:color w:val="000000"/>
                <w:sz w:val="20"/>
                <w:szCs w:val="24"/>
                <w:lang w:eastAsia="ru-RU"/>
              </w:rPr>
              <w:t>4</w:t>
            </w:r>
          </w:p>
        </w:tc>
        <w:tc>
          <w:tcPr>
            <w:tcW w:w="963" w:type="dxa"/>
          </w:tcPr>
          <w:p w:rsidR="00C87728" w:rsidRPr="00BA34A4" w:rsidRDefault="00C87728" w:rsidP="00F6753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i/>
                <w:color w:val="000000"/>
                <w:sz w:val="20"/>
                <w:szCs w:val="24"/>
                <w:lang w:eastAsia="ru-RU"/>
              </w:rPr>
            </w:pPr>
            <w:r w:rsidRPr="00BA34A4">
              <w:rPr>
                <w:rFonts w:ascii="Times New Roman" w:eastAsia="Times New Roman" w:hAnsi="Times New Roman" w:cs="Times New Roman"/>
                <w:b/>
                <w:i/>
                <w:color w:val="000000"/>
                <w:sz w:val="20"/>
                <w:szCs w:val="24"/>
                <w:lang w:eastAsia="ru-RU"/>
              </w:rPr>
              <w:t>5=4-2</w:t>
            </w:r>
          </w:p>
        </w:tc>
        <w:tc>
          <w:tcPr>
            <w:tcW w:w="1203" w:type="dxa"/>
          </w:tcPr>
          <w:p w:rsidR="00C87728" w:rsidRPr="00BA34A4" w:rsidRDefault="00C87728" w:rsidP="00F6753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i/>
                <w:iCs/>
                <w:color w:val="000000"/>
                <w:spacing w:val="-2"/>
                <w:sz w:val="20"/>
                <w:szCs w:val="24"/>
                <w:lang w:eastAsia="ru-RU"/>
              </w:rPr>
            </w:pPr>
            <w:r w:rsidRPr="00BA34A4">
              <w:rPr>
                <w:rFonts w:ascii="Times New Roman" w:eastAsia="Times New Roman" w:hAnsi="Times New Roman" w:cs="Times New Roman"/>
                <w:b/>
                <w:i/>
                <w:color w:val="000000"/>
                <w:sz w:val="20"/>
                <w:szCs w:val="24"/>
                <w:lang w:eastAsia="ru-RU"/>
              </w:rPr>
              <w:t>6=4/2</w:t>
            </w:r>
            <w:r w:rsidR="00902499" w:rsidRPr="00BA34A4">
              <w:rPr>
                <w:rFonts w:ascii="Times New Roman" w:eastAsia="Times New Roman" w:hAnsi="Times New Roman" w:cs="Times New Roman"/>
                <w:b/>
                <w:i/>
                <w:color w:val="000000"/>
                <w:sz w:val="20"/>
                <w:szCs w:val="24"/>
                <w:lang w:eastAsia="ru-RU"/>
              </w:rPr>
              <w:t>*100</w:t>
            </w:r>
          </w:p>
        </w:tc>
        <w:tc>
          <w:tcPr>
            <w:tcW w:w="963" w:type="dxa"/>
          </w:tcPr>
          <w:p w:rsidR="00C87728" w:rsidRPr="00BA34A4" w:rsidRDefault="00C87728" w:rsidP="00F6753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i/>
                <w:iCs/>
                <w:color w:val="000000"/>
                <w:spacing w:val="-2"/>
                <w:sz w:val="20"/>
                <w:szCs w:val="24"/>
                <w:lang w:eastAsia="ru-RU"/>
              </w:rPr>
            </w:pPr>
            <w:r w:rsidRPr="00BA34A4">
              <w:rPr>
                <w:rFonts w:ascii="Times New Roman" w:eastAsia="Times New Roman" w:hAnsi="Times New Roman" w:cs="Times New Roman"/>
                <w:b/>
                <w:i/>
                <w:iCs/>
                <w:color w:val="000000"/>
                <w:spacing w:val="-2"/>
                <w:sz w:val="20"/>
                <w:szCs w:val="24"/>
                <w:lang w:eastAsia="ru-RU"/>
              </w:rPr>
              <w:t>7=4-3</w:t>
            </w:r>
          </w:p>
        </w:tc>
        <w:tc>
          <w:tcPr>
            <w:tcW w:w="1086" w:type="dxa"/>
          </w:tcPr>
          <w:p w:rsidR="00C87728" w:rsidRPr="00BA34A4" w:rsidRDefault="00C87728" w:rsidP="00F6753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i/>
                <w:iCs/>
                <w:color w:val="000000"/>
                <w:spacing w:val="-2"/>
                <w:sz w:val="20"/>
                <w:szCs w:val="24"/>
                <w:lang w:eastAsia="ru-RU"/>
              </w:rPr>
            </w:pPr>
            <w:r w:rsidRPr="00BA34A4">
              <w:rPr>
                <w:rFonts w:ascii="Times New Roman" w:eastAsia="Times New Roman" w:hAnsi="Times New Roman" w:cs="Times New Roman"/>
                <w:b/>
                <w:i/>
                <w:color w:val="000000"/>
                <w:sz w:val="20"/>
                <w:szCs w:val="24"/>
                <w:lang w:eastAsia="ru-RU"/>
              </w:rPr>
              <w:t>7=4/3</w:t>
            </w:r>
            <w:r w:rsidR="00902499" w:rsidRPr="00BA34A4">
              <w:rPr>
                <w:rFonts w:ascii="Times New Roman" w:eastAsia="Times New Roman" w:hAnsi="Times New Roman" w:cs="Times New Roman"/>
                <w:b/>
                <w:i/>
                <w:color w:val="000000"/>
                <w:sz w:val="20"/>
                <w:szCs w:val="24"/>
                <w:lang w:eastAsia="ru-RU"/>
              </w:rPr>
              <w:t>*100</w:t>
            </w:r>
          </w:p>
        </w:tc>
      </w:tr>
      <w:tr w:rsidR="00C87728" w:rsidRPr="00613459" w:rsidTr="004C4C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3" w:type="dxa"/>
          </w:tcPr>
          <w:p w:rsidR="00C87728" w:rsidRPr="004C4CF1" w:rsidRDefault="00C87728" w:rsidP="00F67536">
            <w:pPr>
              <w:spacing w:line="259" w:lineRule="auto"/>
              <w:rPr>
                <w:rFonts w:ascii="Times New Roman" w:eastAsia="Times New Roman" w:hAnsi="Times New Roman" w:cs="Times New Roman"/>
                <w:i/>
                <w:iCs/>
                <w:color w:val="000000"/>
                <w:spacing w:val="-2"/>
                <w:sz w:val="24"/>
                <w:szCs w:val="24"/>
                <w:lang w:eastAsia="ru-RU"/>
              </w:rPr>
            </w:pPr>
            <w:r w:rsidRPr="00BA34A4">
              <w:rPr>
                <w:rFonts w:ascii="Times New Roman" w:eastAsia="Times New Roman" w:hAnsi="Times New Roman" w:cs="Times New Roman"/>
                <w:i/>
                <w:color w:val="000000"/>
                <w:sz w:val="24"/>
                <w:szCs w:val="24"/>
                <w:lang w:eastAsia="ru-RU"/>
              </w:rPr>
              <w:t>Venituri</w:t>
            </w:r>
          </w:p>
        </w:tc>
        <w:tc>
          <w:tcPr>
            <w:tcW w:w="1618" w:type="dxa"/>
          </w:tcPr>
          <w:p w:rsidR="00C87728" w:rsidRPr="00613459" w:rsidRDefault="00C87728" w:rsidP="0026421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i/>
                <w:iCs/>
                <w:color w:val="000000"/>
                <w:spacing w:val="-2"/>
                <w:sz w:val="24"/>
                <w:szCs w:val="24"/>
                <w:lang w:eastAsia="ru-RU"/>
              </w:rPr>
            </w:pPr>
            <w:r w:rsidRPr="00613459">
              <w:rPr>
                <w:rFonts w:ascii="Times New Roman" w:eastAsia="Times New Roman" w:hAnsi="Times New Roman" w:cs="Times New Roman"/>
                <w:color w:val="000000"/>
                <w:sz w:val="24"/>
                <w:szCs w:val="24"/>
                <w:lang w:eastAsia="ru-RU"/>
              </w:rPr>
              <w:t>32839,2</w:t>
            </w:r>
          </w:p>
        </w:tc>
        <w:tc>
          <w:tcPr>
            <w:tcW w:w="1336" w:type="dxa"/>
          </w:tcPr>
          <w:p w:rsidR="00C87728" w:rsidRPr="00613459" w:rsidRDefault="00C87728" w:rsidP="0026421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i/>
                <w:iCs/>
                <w:color w:val="000000"/>
                <w:spacing w:val="-2"/>
                <w:sz w:val="24"/>
                <w:szCs w:val="24"/>
                <w:lang w:eastAsia="ru-RU"/>
              </w:rPr>
            </w:pPr>
            <w:r w:rsidRPr="00613459">
              <w:rPr>
                <w:rFonts w:ascii="Times New Roman" w:eastAsia="Times New Roman" w:hAnsi="Times New Roman" w:cs="Times New Roman"/>
                <w:color w:val="000000"/>
                <w:sz w:val="24"/>
                <w:szCs w:val="24"/>
                <w:lang w:eastAsia="ru-RU"/>
              </w:rPr>
              <w:t>33778,3</w:t>
            </w:r>
          </w:p>
        </w:tc>
        <w:tc>
          <w:tcPr>
            <w:tcW w:w="1123" w:type="dxa"/>
          </w:tcPr>
          <w:p w:rsidR="00C87728" w:rsidRPr="00613459" w:rsidRDefault="00C87728" w:rsidP="00D8261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i/>
                <w:iCs/>
                <w:color w:val="000000"/>
                <w:spacing w:val="-2"/>
                <w:sz w:val="24"/>
                <w:szCs w:val="24"/>
                <w:lang w:eastAsia="ru-RU"/>
              </w:rPr>
            </w:pPr>
            <w:r w:rsidRPr="00613459">
              <w:rPr>
                <w:rFonts w:ascii="Times New Roman" w:eastAsia="Times New Roman" w:hAnsi="Times New Roman" w:cs="Times New Roman"/>
                <w:color w:val="000000"/>
                <w:sz w:val="24"/>
                <w:szCs w:val="24"/>
                <w:lang w:eastAsia="ru-RU"/>
              </w:rPr>
              <w:t>33947,</w:t>
            </w:r>
            <w:r w:rsidR="00D82614">
              <w:rPr>
                <w:rFonts w:ascii="Times New Roman" w:eastAsia="Times New Roman" w:hAnsi="Times New Roman" w:cs="Times New Roman"/>
                <w:color w:val="000000"/>
                <w:sz w:val="24"/>
                <w:szCs w:val="24"/>
                <w:lang w:eastAsia="ru-RU"/>
              </w:rPr>
              <w:t>4</w:t>
            </w:r>
          </w:p>
        </w:tc>
        <w:tc>
          <w:tcPr>
            <w:tcW w:w="963" w:type="dxa"/>
          </w:tcPr>
          <w:p w:rsidR="00C87728" w:rsidRPr="00613459" w:rsidRDefault="00C87728" w:rsidP="0026421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color w:val="000000"/>
                <w:spacing w:val="-2"/>
                <w:sz w:val="24"/>
                <w:szCs w:val="24"/>
                <w:lang w:eastAsia="ru-RU"/>
              </w:rPr>
            </w:pPr>
            <w:r>
              <w:rPr>
                <w:rFonts w:ascii="Times New Roman" w:eastAsia="Times New Roman" w:hAnsi="Times New Roman" w:cs="Times New Roman"/>
                <w:iCs/>
                <w:color w:val="000000"/>
                <w:spacing w:val="-2"/>
                <w:sz w:val="24"/>
                <w:szCs w:val="24"/>
                <w:lang w:eastAsia="ru-RU"/>
              </w:rPr>
              <w:t>1</w:t>
            </w:r>
            <w:r w:rsidR="00D77318">
              <w:rPr>
                <w:rFonts w:ascii="Times New Roman" w:eastAsia="Times New Roman" w:hAnsi="Times New Roman" w:cs="Times New Roman"/>
                <w:iCs/>
                <w:color w:val="000000"/>
                <w:spacing w:val="-2"/>
                <w:sz w:val="24"/>
                <w:szCs w:val="24"/>
                <w:lang w:eastAsia="ru-RU"/>
              </w:rPr>
              <w:t>108,3</w:t>
            </w:r>
          </w:p>
        </w:tc>
        <w:tc>
          <w:tcPr>
            <w:tcW w:w="1203" w:type="dxa"/>
          </w:tcPr>
          <w:p w:rsidR="00C87728" w:rsidRPr="00613459" w:rsidRDefault="00C87728" w:rsidP="00D7731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color w:val="000000"/>
                <w:spacing w:val="-2"/>
                <w:sz w:val="24"/>
                <w:szCs w:val="24"/>
                <w:lang w:eastAsia="ru-RU"/>
              </w:rPr>
            </w:pPr>
            <w:r w:rsidRPr="00613459">
              <w:rPr>
                <w:rFonts w:ascii="Times New Roman" w:eastAsia="Times New Roman" w:hAnsi="Times New Roman" w:cs="Times New Roman"/>
                <w:iCs/>
                <w:color w:val="000000"/>
                <w:spacing w:val="-2"/>
                <w:sz w:val="24"/>
                <w:szCs w:val="24"/>
                <w:lang w:eastAsia="ru-RU"/>
              </w:rPr>
              <w:t>103,</w:t>
            </w:r>
            <w:r w:rsidR="00D77318">
              <w:rPr>
                <w:rFonts w:ascii="Times New Roman" w:eastAsia="Times New Roman" w:hAnsi="Times New Roman" w:cs="Times New Roman"/>
                <w:iCs/>
                <w:color w:val="000000"/>
                <w:spacing w:val="-2"/>
                <w:sz w:val="24"/>
                <w:szCs w:val="24"/>
                <w:lang w:eastAsia="ru-RU"/>
              </w:rPr>
              <w:t>4</w:t>
            </w:r>
          </w:p>
        </w:tc>
        <w:tc>
          <w:tcPr>
            <w:tcW w:w="963" w:type="dxa"/>
          </w:tcPr>
          <w:p w:rsidR="00C87728" w:rsidRPr="00613459" w:rsidRDefault="00C87728" w:rsidP="00D8261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color w:val="000000"/>
                <w:spacing w:val="-2"/>
                <w:sz w:val="24"/>
                <w:szCs w:val="24"/>
                <w:lang w:eastAsia="ru-RU"/>
              </w:rPr>
            </w:pPr>
            <w:r>
              <w:rPr>
                <w:rFonts w:ascii="Times New Roman" w:eastAsia="Times New Roman" w:hAnsi="Times New Roman" w:cs="Times New Roman"/>
                <w:iCs/>
                <w:color w:val="000000"/>
                <w:spacing w:val="-2"/>
                <w:sz w:val="24"/>
                <w:szCs w:val="24"/>
                <w:lang w:eastAsia="ru-RU"/>
              </w:rPr>
              <w:t>169,</w:t>
            </w:r>
            <w:r w:rsidR="00D82614">
              <w:rPr>
                <w:rFonts w:ascii="Times New Roman" w:eastAsia="Times New Roman" w:hAnsi="Times New Roman" w:cs="Times New Roman"/>
                <w:iCs/>
                <w:color w:val="000000"/>
                <w:spacing w:val="-2"/>
                <w:sz w:val="24"/>
                <w:szCs w:val="24"/>
                <w:lang w:eastAsia="ru-RU"/>
              </w:rPr>
              <w:t>1</w:t>
            </w:r>
          </w:p>
        </w:tc>
        <w:tc>
          <w:tcPr>
            <w:tcW w:w="1086" w:type="dxa"/>
          </w:tcPr>
          <w:p w:rsidR="00C87728" w:rsidRPr="00613459" w:rsidRDefault="00C87728" w:rsidP="0026421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color w:val="000000"/>
                <w:spacing w:val="-2"/>
                <w:sz w:val="24"/>
                <w:szCs w:val="24"/>
                <w:lang w:eastAsia="ru-RU"/>
              </w:rPr>
            </w:pPr>
            <w:r w:rsidRPr="00613459">
              <w:rPr>
                <w:rFonts w:ascii="Times New Roman" w:eastAsia="Times New Roman" w:hAnsi="Times New Roman" w:cs="Times New Roman"/>
                <w:color w:val="000000"/>
                <w:sz w:val="24"/>
                <w:szCs w:val="24"/>
                <w:lang w:eastAsia="ru-RU"/>
              </w:rPr>
              <w:t>1</w:t>
            </w:r>
            <w:r w:rsidR="00D77318">
              <w:rPr>
                <w:rFonts w:ascii="Times New Roman" w:eastAsia="Times New Roman" w:hAnsi="Times New Roman" w:cs="Times New Roman"/>
                <w:color w:val="000000"/>
                <w:sz w:val="24"/>
                <w:szCs w:val="24"/>
                <w:lang w:eastAsia="ru-RU"/>
              </w:rPr>
              <w:t>00,5</w:t>
            </w:r>
          </w:p>
        </w:tc>
      </w:tr>
      <w:tr w:rsidR="00C87728" w:rsidRPr="00613459" w:rsidTr="004C4CF1">
        <w:tc>
          <w:tcPr>
            <w:cnfStyle w:val="001000000000" w:firstRow="0" w:lastRow="0" w:firstColumn="1" w:lastColumn="0" w:oddVBand="0" w:evenVBand="0" w:oddHBand="0" w:evenHBand="0" w:firstRowFirstColumn="0" w:firstRowLastColumn="0" w:lastRowFirstColumn="0" w:lastRowLastColumn="0"/>
            <w:tcW w:w="1243" w:type="dxa"/>
          </w:tcPr>
          <w:p w:rsidR="00C87728" w:rsidRPr="004C4CF1" w:rsidRDefault="00C87728" w:rsidP="00F67536">
            <w:pPr>
              <w:spacing w:line="259" w:lineRule="auto"/>
              <w:rPr>
                <w:rFonts w:ascii="Times New Roman" w:eastAsia="Times New Roman" w:hAnsi="Times New Roman" w:cs="Times New Roman"/>
                <w:i/>
                <w:iCs/>
                <w:color w:val="000000"/>
                <w:spacing w:val="-2"/>
                <w:sz w:val="24"/>
                <w:szCs w:val="24"/>
                <w:lang w:eastAsia="ru-RU"/>
              </w:rPr>
            </w:pPr>
            <w:r w:rsidRPr="00BA34A4">
              <w:rPr>
                <w:rFonts w:ascii="Times New Roman" w:eastAsia="Times New Roman" w:hAnsi="Times New Roman" w:cs="Times New Roman"/>
                <w:i/>
                <w:color w:val="000000"/>
                <w:sz w:val="24"/>
                <w:szCs w:val="24"/>
                <w:lang w:eastAsia="ru-RU"/>
              </w:rPr>
              <w:t>Cheltuieli</w:t>
            </w:r>
          </w:p>
        </w:tc>
        <w:tc>
          <w:tcPr>
            <w:tcW w:w="1618" w:type="dxa"/>
          </w:tcPr>
          <w:p w:rsidR="00C87728" w:rsidRPr="00613459" w:rsidRDefault="00C87728" w:rsidP="002642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i/>
                <w:iCs/>
                <w:color w:val="000000"/>
                <w:spacing w:val="-2"/>
                <w:sz w:val="24"/>
                <w:szCs w:val="24"/>
                <w:lang w:eastAsia="ru-RU"/>
              </w:rPr>
            </w:pPr>
            <w:r w:rsidRPr="00613459">
              <w:rPr>
                <w:rFonts w:ascii="Times New Roman" w:eastAsia="Times New Roman" w:hAnsi="Times New Roman" w:cs="Times New Roman"/>
                <w:color w:val="000000"/>
                <w:sz w:val="24"/>
                <w:szCs w:val="24"/>
                <w:lang w:eastAsia="ru-RU"/>
              </w:rPr>
              <w:t>36994,8</w:t>
            </w:r>
          </w:p>
        </w:tc>
        <w:tc>
          <w:tcPr>
            <w:tcW w:w="1336" w:type="dxa"/>
          </w:tcPr>
          <w:p w:rsidR="00C87728" w:rsidRPr="00613459" w:rsidRDefault="00C87728" w:rsidP="002642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i/>
                <w:iCs/>
                <w:color w:val="000000"/>
                <w:spacing w:val="-2"/>
                <w:sz w:val="24"/>
                <w:szCs w:val="24"/>
                <w:lang w:eastAsia="ru-RU"/>
              </w:rPr>
            </w:pPr>
            <w:r w:rsidRPr="00613459">
              <w:rPr>
                <w:rFonts w:ascii="Times New Roman" w:eastAsia="Times New Roman" w:hAnsi="Times New Roman" w:cs="Times New Roman"/>
                <w:color w:val="000000"/>
                <w:sz w:val="24"/>
                <w:szCs w:val="24"/>
                <w:lang w:eastAsia="ru-RU"/>
              </w:rPr>
              <w:t>37802,5</w:t>
            </w:r>
          </w:p>
        </w:tc>
        <w:tc>
          <w:tcPr>
            <w:tcW w:w="1123" w:type="dxa"/>
          </w:tcPr>
          <w:p w:rsidR="00C87728" w:rsidRPr="00613459" w:rsidRDefault="00C87728" w:rsidP="002642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i/>
                <w:iCs/>
                <w:color w:val="000000"/>
                <w:spacing w:val="-2"/>
                <w:sz w:val="24"/>
                <w:szCs w:val="24"/>
                <w:lang w:eastAsia="ru-RU"/>
              </w:rPr>
            </w:pPr>
            <w:r w:rsidRPr="00613459">
              <w:rPr>
                <w:rFonts w:ascii="Times New Roman" w:eastAsia="Times New Roman" w:hAnsi="Times New Roman" w:cs="Times New Roman"/>
                <w:color w:val="000000"/>
                <w:sz w:val="24"/>
                <w:szCs w:val="24"/>
                <w:lang w:eastAsia="ru-RU"/>
              </w:rPr>
              <w:t>35479,1</w:t>
            </w:r>
          </w:p>
        </w:tc>
        <w:tc>
          <w:tcPr>
            <w:tcW w:w="963" w:type="dxa"/>
          </w:tcPr>
          <w:p w:rsidR="00C87728" w:rsidRPr="00613459" w:rsidRDefault="00C87728" w:rsidP="002642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000000"/>
                <w:spacing w:val="-2"/>
                <w:sz w:val="24"/>
                <w:szCs w:val="24"/>
                <w:lang w:eastAsia="ru-RU"/>
              </w:rPr>
            </w:pPr>
            <w:r>
              <w:rPr>
                <w:rFonts w:ascii="Times New Roman" w:eastAsia="Times New Roman" w:hAnsi="Times New Roman" w:cs="Times New Roman"/>
                <w:iCs/>
                <w:color w:val="000000"/>
                <w:spacing w:val="-2"/>
                <w:sz w:val="24"/>
                <w:szCs w:val="24"/>
                <w:lang w:eastAsia="ru-RU"/>
              </w:rPr>
              <w:t>-1515,7</w:t>
            </w:r>
          </w:p>
        </w:tc>
        <w:tc>
          <w:tcPr>
            <w:tcW w:w="1203" w:type="dxa"/>
          </w:tcPr>
          <w:p w:rsidR="00C87728" w:rsidRPr="00613459" w:rsidRDefault="00C87728" w:rsidP="002642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000000"/>
                <w:spacing w:val="-2"/>
                <w:sz w:val="24"/>
                <w:szCs w:val="24"/>
                <w:lang w:eastAsia="ru-RU"/>
              </w:rPr>
            </w:pPr>
            <w:r w:rsidRPr="00613459">
              <w:rPr>
                <w:rFonts w:ascii="Times New Roman" w:eastAsia="Times New Roman" w:hAnsi="Times New Roman" w:cs="Times New Roman"/>
                <w:iCs/>
                <w:color w:val="000000"/>
                <w:spacing w:val="-2"/>
                <w:sz w:val="24"/>
                <w:szCs w:val="24"/>
                <w:lang w:eastAsia="ru-RU"/>
              </w:rPr>
              <w:t>96,0</w:t>
            </w:r>
          </w:p>
        </w:tc>
        <w:tc>
          <w:tcPr>
            <w:tcW w:w="963" w:type="dxa"/>
          </w:tcPr>
          <w:p w:rsidR="00C87728" w:rsidRPr="00613459" w:rsidRDefault="00C87728" w:rsidP="0026421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000000"/>
                <w:spacing w:val="-2"/>
                <w:sz w:val="24"/>
                <w:szCs w:val="24"/>
                <w:lang w:eastAsia="ru-RU"/>
              </w:rPr>
            </w:pPr>
            <w:r>
              <w:rPr>
                <w:rFonts w:ascii="Times New Roman" w:eastAsia="Times New Roman" w:hAnsi="Times New Roman" w:cs="Times New Roman"/>
                <w:iCs/>
                <w:color w:val="000000"/>
                <w:spacing w:val="-2"/>
                <w:sz w:val="24"/>
                <w:szCs w:val="24"/>
                <w:lang w:eastAsia="ru-RU"/>
              </w:rPr>
              <w:t>-2323,4</w:t>
            </w:r>
          </w:p>
        </w:tc>
        <w:tc>
          <w:tcPr>
            <w:tcW w:w="1086" w:type="dxa"/>
          </w:tcPr>
          <w:p w:rsidR="00C87728" w:rsidRPr="00613459" w:rsidRDefault="00C87728" w:rsidP="008E752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000000"/>
                <w:spacing w:val="-2"/>
                <w:sz w:val="24"/>
                <w:szCs w:val="24"/>
                <w:lang w:eastAsia="ru-RU"/>
              </w:rPr>
            </w:pPr>
            <w:r w:rsidRPr="00613459">
              <w:rPr>
                <w:rFonts w:ascii="Times New Roman" w:eastAsia="Times New Roman" w:hAnsi="Times New Roman" w:cs="Times New Roman"/>
                <w:color w:val="000000"/>
                <w:sz w:val="24"/>
                <w:szCs w:val="24"/>
                <w:lang w:eastAsia="ru-RU"/>
              </w:rPr>
              <w:t>9</w:t>
            </w:r>
            <w:r w:rsidR="008E7523">
              <w:rPr>
                <w:rFonts w:ascii="Times New Roman" w:eastAsia="Times New Roman" w:hAnsi="Times New Roman" w:cs="Times New Roman"/>
                <w:color w:val="000000"/>
                <w:sz w:val="24"/>
                <w:szCs w:val="24"/>
                <w:lang w:eastAsia="ru-RU"/>
              </w:rPr>
              <w:t>3</w:t>
            </w:r>
            <w:r w:rsidRPr="00613459">
              <w:rPr>
                <w:rFonts w:ascii="Times New Roman" w:eastAsia="Times New Roman" w:hAnsi="Times New Roman" w:cs="Times New Roman"/>
                <w:color w:val="000000"/>
                <w:sz w:val="24"/>
                <w:szCs w:val="24"/>
                <w:lang w:eastAsia="ru-RU"/>
              </w:rPr>
              <w:t>,</w:t>
            </w:r>
            <w:r w:rsidR="008E7523">
              <w:rPr>
                <w:rFonts w:ascii="Times New Roman" w:eastAsia="Times New Roman" w:hAnsi="Times New Roman" w:cs="Times New Roman"/>
                <w:color w:val="000000"/>
                <w:sz w:val="24"/>
                <w:szCs w:val="24"/>
                <w:lang w:eastAsia="ru-RU"/>
              </w:rPr>
              <w:t>9</w:t>
            </w:r>
          </w:p>
        </w:tc>
      </w:tr>
      <w:tr w:rsidR="00C87728" w:rsidRPr="00613459" w:rsidTr="004C4C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3" w:type="dxa"/>
          </w:tcPr>
          <w:p w:rsidR="00C87728" w:rsidRPr="004C4CF1" w:rsidRDefault="00C87728" w:rsidP="00F67536">
            <w:pPr>
              <w:spacing w:line="259" w:lineRule="auto"/>
              <w:rPr>
                <w:rFonts w:ascii="Times New Roman" w:eastAsia="Times New Roman" w:hAnsi="Times New Roman" w:cs="Times New Roman"/>
                <w:i/>
                <w:iCs/>
                <w:color w:val="000000"/>
                <w:spacing w:val="-2"/>
                <w:sz w:val="24"/>
                <w:szCs w:val="24"/>
                <w:lang w:eastAsia="ru-RU"/>
              </w:rPr>
            </w:pPr>
            <w:r w:rsidRPr="00BA34A4">
              <w:rPr>
                <w:rFonts w:ascii="Times New Roman" w:eastAsia="Times New Roman" w:hAnsi="Times New Roman" w:cs="Times New Roman"/>
                <w:i/>
                <w:color w:val="000000"/>
                <w:sz w:val="24"/>
                <w:szCs w:val="24"/>
                <w:lang w:eastAsia="ru-RU"/>
              </w:rPr>
              <w:t>Deficit</w:t>
            </w:r>
          </w:p>
        </w:tc>
        <w:tc>
          <w:tcPr>
            <w:tcW w:w="1618" w:type="dxa"/>
          </w:tcPr>
          <w:p w:rsidR="00C87728" w:rsidRPr="00613459" w:rsidRDefault="00C87728" w:rsidP="0026421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i/>
                <w:iCs/>
                <w:color w:val="000000"/>
                <w:spacing w:val="-2"/>
                <w:sz w:val="24"/>
                <w:szCs w:val="24"/>
                <w:lang w:eastAsia="ru-RU"/>
              </w:rPr>
            </w:pPr>
            <w:r w:rsidRPr="00613459">
              <w:rPr>
                <w:rFonts w:ascii="Times New Roman" w:eastAsia="Times New Roman" w:hAnsi="Times New Roman" w:cs="Times New Roman"/>
                <w:color w:val="000000"/>
                <w:sz w:val="24"/>
                <w:szCs w:val="24"/>
                <w:lang w:eastAsia="ru-RU"/>
              </w:rPr>
              <w:t>-4155,6</w:t>
            </w:r>
          </w:p>
        </w:tc>
        <w:tc>
          <w:tcPr>
            <w:tcW w:w="1336" w:type="dxa"/>
          </w:tcPr>
          <w:p w:rsidR="00C87728" w:rsidRPr="00613459" w:rsidRDefault="00C87728" w:rsidP="0026421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i/>
                <w:iCs/>
                <w:color w:val="000000"/>
                <w:spacing w:val="-2"/>
                <w:sz w:val="24"/>
                <w:szCs w:val="24"/>
                <w:lang w:eastAsia="ru-RU"/>
              </w:rPr>
            </w:pPr>
            <w:r w:rsidRPr="00613459">
              <w:rPr>
                <w:rFonts w:ascii="Times New Roman" w:eastAsia="Times New Roman" w:hAnsi="Times New Roman" w:cs="Times New Roman"/>
                <w:color w:val="000000"/>
                <w:sz w:val="24"/>
                <w:szCs w:val="24"/>
                <w:lang w:eastAsia="ru-RU"/>
              </w:rPr>
              <w:t>- 4024,2</w:t>
            </w:r>
          </w:p>
        </w:tc>
        <w:tc>
          <w:tcPr>
            <w:tcW w:w="1123" w:type="dxa"/>
          </w:tcPr>
          <w:p w:rsidR="00C87728" w:rsidRPr="00613459" w:rsidRDefault="00C87728" w:rsidP="0026421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i/>
                <w:iCs/>
                <w:color w:val="000000"/>
                <w:spacing w:val="-2"/>
                <w:sz w:val="24"/>
                <w:szCs w:val="24"/>
                <w:lang w:eastAsia="ru-RU"/>
              </w:rPr>
            </w:pPr>
            <w:r w:rsidRPr="00613459">
              <w:rPr>
                <w:rFonts w:ascii="Times New Roman" w:eastAsia="Times New Roman" w:hAnsi="Times New Roman" w:cs="Times New Roman"/>
                <w:color w:val="000000"/>
                <w:sz w:val="24"/>
                <w:szCs w:val="24"/>
                <w:lang w:eastAsia="ru-RU"/>
              </w:rPr>
              <w:t>-1531,7</w:t>
            </w:r>
          </w:p>
        </w:tc>
        <w:tc>
          <w:tcPr>
            <w:tcW w:w="963" w:type="dxa"/>
          </w:tcPr>
          <w:p w:rsidR="00C87728" w:rsidRPr="00613459" w:rsidRDefault="00C87728" w:rsidP="0026421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2623,9</w:t>
            </w:r>
          </w:p>
        </w:tc>
        <w:tc>
          <w:tcPr>
            <w:tcW w:w="1203" w:type="dxa"/>
          </w:tcPr>
          <w:p w:rsidR="00C87728" w:rsidRPr="00613459" w:rsidRDefault="00C87728" w:rsidP="0026421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color w:val="000000"/>
                <w:spacing w:val="-2"/>
                <w:sz w:val="24"/>
                <w:szCs w:val="24"/>
                <w:lang w:eastAsia="ru-RU"/>
              </w:rPr>
            </w:pPr>
            <w:r w:rsidRPr="00613459">
              <w:rPr>
                <w:rFonts w:ascii="Times New Roman" w:eastAsia="Times New Roman" w:hAnsi="Times New Roman" w:cs="Times New Roman"/>
                <w:color w:val="000000"/>
                <w:sz w:val="24"/>
                <w:szCs w:val="24"/>
                <w:lang w:eastAsia="ru-RU"/>
              </w:rPr>
              <w:t>37,0</w:t>
            </w:r>
          </w:p>
        </w:tc>
        <w:tc>
          <w:tcPr>
            <w:tcW w:w="963" w:type="dxa"/>
          </w:tcPr>
          <w:p w:rsidR="00C87728" w:rsidRPr="00613459" w:rsidRDefault="00C87728" w:rsidP="0026421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color w:val="000000"/>
                <w:spacing w:val="-2"/>
                <w:sz w:val="24"/>
                <w:szCs w:val="24"/>
                <w:lang w:eastAsia="ru-RU"/>
              </w:rPr>
            </w:pPr>
            <w:r>
              <w:rPr>
                <w:rFonts w:ascii="Times New Roman" w:eastAsia="Times New Roman" w:hAnsi="Times New Roman" w:cs="Times New Roman"/>
                <w:iCs/>
                <w:color w:val="000000"/>
                <w:spacing w:val="-2"/>
                <w:sz w:val="24"/>
                <w:szCs w:val="24"/>
                <w:lang w:eastAsia="ru-RU"/>
              </w:rPr>
              <w:t>2492,5</w:t>
            </w:r>
          </w:p>
        </w:tc>
        <w:tc>
          <w:tcPr>
            <w:tcW w:w="1086" w:type="dxa"/>
          </w:tcPr>
          <w:p w:rsidR="00C87728" w:rsidRPr="00613459" w:rsidRDefault="00C87728" w:rsidP="0026421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color w:val="000000"/>
                <w:spacing w:val="-2"/>
                <w:sz w:val="24"/>
                <w:szCs w:val="24"/>
                <w:lang w:eastAsia="ru-RU"/>
              </w:rPr>
            </w:pPr>
            <w:r w:rsidRPr="00613459">
              <w:rPr>
                <w:rFonts w:ascii="Times New Roman" w:eastAsia="Times New Roman" w:hAnsi="Times New Roman" w:cs="Times New Roman"/>
                <w:color w:val="000000"/>
                <w:sz w:val="24"/>
                <w:szCs w:val="24"/>
                <w:lang w:eastAsia="ru-RU"/>
              </w:rPr>
              <w:t>38,</w:t>
            </w:r>
            <w:r w:rsidR="00BA34A4">
              <w:rPr>
                <w:rFonts w:ascii="Times New Roman" w:eastAsia="Times New Roman" w:hAnsi="Times New Roman" w:cs="Times New Roman"/>
                <w:color w:val="000000"/>
                <w:sz w:val="24"/>
                <w:szCs w:val="24"/>
                <w:lang w:eastAsia="ru-RU"/>
              </w:rPr>
              <w:t>1</w:t>
            </w:r>
          </w:p>
        </w:tc>
      </w:tr>
    </w:tbl>
    <w:p w:rsidR="00C87728" w:rsidRPr="00BD66BF" w:rsidRDefault="00C87728" w:rsidP="00C87728">
      <w:pPr>
        <w:shd w:val="clear" w:color="auto" w:fill="FFFFFF"/>
        <w:spacing w:after="120" w:line="240" w:lineRule="auto"/>
        <w:rPr>
          <w:rFonts w:ascii="Times New Roman" w:eastAsia="Times New Roman" w:hAnsi="Times New Roman" w:cs="Times New Roman"/>
          <w:iCs/>
          <w:color w:val="000000"/>
          <w:spacing w:val="-2"/>
          <w:sz w:val="20"/>
          <w:szCs w:val="20"/>
          <w:lang w:eastAsia="ru-RU"/>
        </w:rPr>
      </w:pPr>
      <w:r w:rsidRPr="00BD66BF">
        <w:rPr>
          <w:rFonts w:ascii="Times New Roman" w:eastAsia="Times New Roman" w:hAnsi="Times New Roman" w:cs="Times New Roman"/>
          <w:b/>
          <w:i/>
          <w:iCs/>
          <w:color w:val="000000"/>
          <w:spacing w:val="-2"/>
          <w:sz w:val="20"/>
          <w:szCs w:val="20"/>
          <w:lang w:eastAsia="ru-RU"/>
        </w:rPr>
        <w:t>Surs</w:t>
      </w:r>
      <w:r w:rsidR="005113BA">
        <w:rPr>
          <w:rFonts w:ascii="Times New Roman" w:eastAsia="Times New Roman" w:hAnsi="Times New Roman" w:cs="Times New Roman"/>
          <w:b/>
          <w:i/>
          <w:iCs/>
          <w:color w:val="000000"/>
          <w:spacing w:val="-2"/>
          <w:sz w:val="20"/>
          <w:szCs w:val="20"/>
          <w:lang w:eastAsia="ru-RU"/>
        </w:rPr>
        <w:t>ă</w:t>
      </w:r>
      <w:r w:rsidRPr="001045D7">
        <w:rPr>
          <w:rFonts w:ascii="Times New Roman" w:eastAsia="Times New Roman" w:hAnsi="Times New Roman" w:cs="Times New Roman"/>
          <w:b/>
          <w:i/>
          <w:iCs/>
          <w:color w:val="000000"/>
          <w:spacing w:val="-2"/>
          <w:sz w:val="20"/>
          <w:szCs w:val="20"/>
          <w:lang w:eastAsia="ru-RU"/>
        </w:rPr>
        <w:t>:</w:t>
      </w:r>
      <w:r w:rsidRPr="001045D7">
        <w:rPr>
          <w:rFonts w:ascii="Times New Roman" w:eastAsia="Times New Roman" w:hAnsi="Times New Roman" w:cs="Times New Roman"/>
          <w:i/>
          <w:iCs/>
          <w:color w:val="000000"/>
          <w:spacing w:val="-2"/>
          <w:sz w:val="20"/>
          <w:szCs w:val="20"/>
          <w:lang w:eastAsia="ru-RU"/>
        </w:rPr>
        <w:t xml:space="preserve"> Datele generalizate de echipa de audit din Raportul privind executarea bugetului de stat pe anul 2017</w:t>
      </w:r>
      <w:r w:rsidR="00414930">
        <w:rPr>
          <w:rFonts w:ascii="Times New Roman" w:eastAsia="Times New Roman" w:hAnsi="Times New Roman" w:cs="Times New Roman"/>
          <w:i/>
          <w:iCs/>
          <w:color w:val="000000"/>
          <w:spacing w:val="-2"/>
          <w:sz w:val="20"/>
          <w:szCs w:val="20"/>
          <w:lang w:eastAsia="ru-RU"/>
        </w:rPr>
        <w:t>.</w:t>
      </w:r>
    </w:p>
    <w:p w:rsidR="00C87728" w:rsidRPr="00BD66BF" w:rsidRDefault="00C87728" w:rsidP="008D3B4F">
      <w:pPr>
        <w:shd w:val="clear" w:color="auto" w:fill="FFFFFF"/>
        <w:spacing w:after="0" w:line="276" w:lineRule="auto"/>
        <w:ind w:left="10" w:right="44" w:firstLine="7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Auditul, </w:t>
      </w:r>
      <w:r w:rsidRPr="00BD66BF">
        <w:rPr>
          <w:rFonts w:ascii="Times New Roman" w:eastAsia="Times New Roman" w:hAnsi="Times New Roman" w:cs="Times New Roman"/>
          <w:sz w:val="28"/>
          <w:szCs w:val="28"/>
          <w:lang w:eastAsia="ru-RU"/>
        </w:rPr>
        <w:t>analiz</w:t>
      </w:r>
      <w:r>
        <w:rPr>
          <w:rFonts w:ascii="Times New Roman" w:eastAsia="Times New Roman" w:hAnsi="Times New Roman" w:cs="Times New Roman"/>
          <w:sz w:val="28"/>
          <w:szCs w:val="28"/>
          <w:lang w:eastAsia="ru-RU"/>
        </w:rPr>
        <w:t>ând</w:t>
      </w:r>
      <w:r w:rsidRPr="00BD66BF">
        <w:rPr>
          <w:rFonts w:ascii="Times New Roman" w:eastAsia="Times New Roman" w:hAnsi="Times New Roman" w:cs="Times New Roman"/>
          <w:sz w:val="28"/>
          <w:szCs w:val="28"/>
          <w:lang w:eastAsia="ru-RU"/>
        </w:rPr>
        <w:t xml:space="preserve"> datel</w:t>
      </w:r>
      <w:r>
        <w:rPr>
          <w:rFonts w:ascii="Times New Roman" w:eastAsia="Times New Roman" w:hAnsi="Times New Roman" w:cs="Times New Roman"/>
          <w:sz w:val="28"/>
          <w:szCs w:val="28"/>
          <w:lang w:eastAsia="ru-RU"/>
        </w:rPr>
        <w:t>e</w:t>
      </w:r>
      <w:r w:rsidRPr="00BD66BF">
        <w:rPr>
          <w:rFonts w:ascii="Times New Roman" w:eastAsia="Times New Roman" w:hAnsi="Times New Roman" w:cs="Times New Roman"/>
          <w:sz w:val="28"/>
          <w:szCs w:val="28"/>
          <w:lang w:eastAsia="ru-RU"/>
        </w:rPr>
        <w:t xml:space="preserve"> privind execuția bugetului de stat pe anul 2017, rel</w:t>
      </w:r>
      <w:r>
        <w:rPr>
          <w:rFonts w:ascii="Times New Roman" w:eastAsia="Times New Roman" w:hAnsi="Times New Roman" w:cs="Times New Roman"/>
          <w:sz w:val="28"/>
          <w:szCs w:val="28"/>
          <w:lang w:eastAsia="ru-RU"/>
        </w:rPr>
        <w:t>ev</w:t>
      </w:r>
      <w:r w:rsidRPr="00BD66BF">
        <w:rPr>
          <w:rFonts w:ascii="Times New Roman" w:eastAsia="Times New Roman" w:hAnsi="Times New Roman" w:cs="Times New Roman"/>
          <w:sz w:val="28"/>
          <w:szCs w:val="28"/>
          <w:lang w:eastAsia="ru-RU"/>
        </w:rPr>
        <w:t>ă că:</w:t>
      </w:r>
    </w:p>
    <w:p w:rsidR="00C87728" w:rsidRPr="00BD66BF" w:rsidRDefault="00C87728" w:rsidP="003F12B5">
      <w:pPr>
        <w:numPr>
          <w:ilvl w:val="0"/>
          <w:numId w:val="7"/>
        </w:numPr>
        <w:shd w:val="clear" w:color="auto" w:fill="FFFFFF"/>
        <w:tabs>
          <w:tab w:val="left" w:pos="993"/>
        </w:tabs>
        <w:spacing w:after="200" w:line="276" w:lineRule="auto"/>
        <w:ind w:left="0" w:right="44" w:firstLine="709"/>
        <w:contextualSpacing/>
        <w:jc w:val="both"/>
        <w:rPr>
          <w:rFonts w:ascii="Times New Roman" w:eastAsia="Times New Roman" w:hAnsi="Times New Roman" w:cs="Times New Roman"/>
          <w:sz w:val="28"/>
          <w:szCs w:val="28"/>
          <w:lang w:eastAsia="ru-RU"/>
        </w:rPr>
      </w:pPr>
      <w:r w:rsidRPr="00BD66BF">
        <w:rPr>
          <w:rFonts w:ascii="Times New Roman" w:eastAsia="Times New Roman" w:hAnsi="Times New Roman" w:cs="Times New Roman"/>
          <w:sz w:val="28"/>
          <w:szCs w:val="28"/>
          <w:lang w:eastAsia="ru-RU"/>
        </w:rPr>
        <w:t>încasările realizate în sumă de 33947,4 mil.lei sunt cu 169,</w:t>
      </w:r>
      <w:r w:rsidR="00D82614">
        <w:rPr>
          <w:rFonts w:ascii="Times New Roman" w:eastAsia="Times New Roman" w:hAnsi="Times New Roman" w:cs="Times New Roman"/>
          <w:sz w:val="28"/>
          <w:szCs w:val="28"/>
          <w:lang w:eastAsia="ru-RU"/>
        </w:rPr>
        <w:t>1</w:t>
      </w:r>
      <w:r w:rsidRPr="00BD66BF">
        <w:rPr>
          <w:rFonts w:ascii="Times New Roman" w:eastAsia="Times New Roman" w:hAnsi="Times New Roman" w:cs="Times New Roman"/>
          <w:sz w:val="28"/>
          <w:szCs w:val="28"/>
          <w:lang w:eastAsia="ru-RU"/>
        </w:rPr>
        <w:t xml:space="preserve"> mil.lei (</w:t>
      </w:r>
      <w:r w:rsidR="002409DA">
        <w:rPr>
          <w:rFonts w:ascii="Times New Roman" w:eastAsia="Times New Roman" w:hAnsi="Times New Roman" w:cs="Times New Roman"/>
          <w:sz w:val="28"/>
          <w:szCs w:val="28"/>
          <w:lang w:eastAsia="ru-RU"/>
        </w:rPr>
        <w:t>0</w:t>
      </w:r>
      <w:r w:rsidRPr="00BD66BF">
        <w:rPr>
          <w:rFonts w:ascii="Times New Roman" w:eastAsia="Times New Roman" w:hAnsi="Times New Roman" w:cs="Times New Roman"/>
          <w:sz w:val="28"/>
          <w:szCs w:val="28"/>
          <w:lang w:eastAsia="ru-RU"/>
        </w:rPr>
        <w:t>,</w:t>
      </w:r>
      <w:r w:rsidR="002409DA">
        <w:rPr>
          <w:rFonts w:ascii="Times New Roman" w:eastAsia="Times New Roman" w:hAnsi="Times New Roman" w:cs="Times New Roman"/>
          <w:sz w:val="28"/>
          <w:szCs w:val="28"/>
          <w:lang w:eastAsia="ru-RU"/>
        </w:rPr>
        <w:t>5</w:t>
      </w:r>
      <w:r w:rsidRPr="00BD66BF">
        <w:rPr>
          <w:rFonts w:ascii="Times New Roman" w:eastAsia="Times New Roman" w:hAnsi="Times New Roman" w:cs="Times New Roman"/>
          <w:sz w:val="28"/>
          <w:szCs w:val="28"/>
          <w:lang w:eastAsia="ru-RU"/>
        </w:rPr>
        <w:t>%) peste nivelul prevederilor bugetare precizate;</w:t>
      </w:r>
    </w:p>
    <w:p w:rsidR="00C87728" w:rsidRPr="00BD66BF" w:rsidRDefault="00C87728" w:rsidP="003F12B5">
      <w:pPr>
        <w:numPr>
          <w:ilvl w:val="0"/>
          <w:numId w:val="7"/>
        </w:numPr>
        <w:shd w:val="clear" w:color="auto" w:fill="FFFFFF"/>
        <w:tabs>
          <w:tab w:val="left" w:pos="993"/>
        </w:tabs>
        <w:spacing w:after="200" w:line="276" w:lineRule="auto"/>
        <w:ind w:left="0" w:right="44" w:firstLine="709"/>
        <w:contextualSpacing/>
        <w:jc w:val="both"/>
        <w:rPr>
          <w:rFonts w:ascii="Times New Roman" w:eastAsia="Times New Roman" w:hAnsi="Times New Roman" w:cs="Times New Roman"/>
          <w:sz w:val="28"/>
          <w:szCs w:val="28"/>
          <w:lang w:eastAsia="ru-RU"/>
        </w:rPr>
      </w:pPr>
      <w:r w:rsidRPr="00BD66BF">
        <w:rPr>
          <w:rFonts w:ascii="Times New Roman" w:eastAsia="Times New Roman" w:hAnsi="Times New Roman" w:cs="Times New Roman"/>
          <w:sz w:val="28"/>
          <w:szCs w:val="28"/>
          <w:lang w:eastAsia="ru-RU"/>
        </w:rPr>
        <w:t xml:space="preserve">cheltuielile de casă în sumă de 35479,1 mil.lei sunt cu </w:t>
      </w:r>
      <w:r w:rsidR="008E7523">
        <w:rPr>
          <w:rFonts w:ascii="Times New Roman" w:eastAsia="Times New Roman" w:hAnsi="Times New Roman" w:cs="Times New Roman"/>
          <w:sz w:val="28"/>
          <w:szCs w:val="28"/>
          <w:lang w:eastAsia="ru-RU"/>
        </w:rPr>
        <w:t>(-</w:t>
      </w:r>
      <w:r w:rsidRPr="00BD66BF">
        <w:rPr>
          <w:rFonts w:ascii="Times New Roman" w:eastAsia="Times New Roman" w:hAnsi="Times New Roman" w:cs="Times New Roman"/>
          <w:sz w:val="28"/>
          <w:szCs w:val="28"/>
          <w:lang w:eastAsia="ru-RU"/>
        </w:rPr>
        <w:t>2323,4</w:t>
      </w:r>
      <w:r w:rsidR="008E7523">
        <w:rPr>
          <w:rFonts w:ascii="Times New Roman" w:eastAsia="Times New Roman" w:hAnsi="Times New Roman" w:cs="Times New Roman"/>
          <w:sz w:val="28"/>
          <w:szCs w:val="28"/>
          <w:lang w:eastAsia="ru-RU"/>
        </w:rPr>
        <w:t>)</w:t>
      </w:r>
      <w:r w:rsidRPr="00BD66BF">
        <w:rPr>
          <w:rFonts w:ascii="Times New Roman" w:eastAsia="Times New Roman" w:hAnsi="Times New Roman" w:cs="Times New Roman"/>
          <w:sz w:val="28"/>
          <w:szCs w:val="28"/>
          <w:lang w:eastAsia="ru-RU"/>
        </w:rPr>
        <w:t xml:space="preserve"> mil.lei (6,</w:t>
      </w:r>
      <w:r w:rsidR="00BA34A4">
        <w:rPr>
          <w:rFonts w:ascii="Times New Roman" w:eastAsia="Times New Roman" w:hAnsi="Times New Roman" w:cs="Times New Roman"/>
          <w:sz w:val="28"/>
          <w:szCs w:val="28"/>
          <w:lang w:eastAsia="ru-RU"/>
        </w:rPr>
        <w:t>1</w:t>
      </w:r>
      <w:r w:rsidRPr="00BD66BF">
        <w:rPr>
          <w:rFonts w:ascii="Times New Roman" w:eastAsia="Times New Roman" w:hAnsi="Times New Roman" w:cs="Times New Roman"/>
          <w:sz w:val="28"/>
          <w:szCs w:val="28"/>
          <w:lang w:eastAsia="ru-RU"/>
        </w:rPr>
        <w:t>%) sub nivelul cheltuielilor bugetare precizate;</w:t>
      </w:r>
    </w:p>
    <w:p w:rsidR="00C87728" w:rsidRPr="00BD66BF" w:rsidRDefault="00C87728" w:rsidP="003F12B5">
      <w:pPr>
        <w:numPr>
          <w:ilvl w:val="0"/>
          <w:numId w:val="7"/>
        </w:numPr>
        <w:shd w:val="clear" w:color="auto" w:fill="FFFFFF"/>
        <w:tabs>
          <w:tab w:val="left" w:pos="993"/>
        </w:tabs>
        <w:spacing w:after="0" w:line="276" w:lineRule="auto"/>
        <w:ind w:left="0" w:right="44" w:firstLine="709"/>
        <w:contextualSpacing/>
        <w:jc w:val="both"/>
        <w:rPr>
          <w:rFonts w:ascii="Times New Roman" w:eastAsia="Times New Roman" w:hAnsi="Times New Roman" w:cs="Times New Roman"/>
          <w:sz w:val="28"/>
          <w:szCs w:val="28"/>
          <w:lang w:eastAsia="ru-RU"/>
        </w:rPr>
      </w:pPr>
      <w:r w:rsidRPr="00BD66BF">
        <w:rPr>
          <w:rFonts w:ascii="Times New Roman" w:eastAsia="Times New Roman" w:hAnsi="Times New Roman" w:cs="Times New Roman"/>
          <w:sz w:val="28"/>
          <w:szCs w:val="28"/>
          <w:lang w:eastAsia="ru-RU"/>
        </w:rPr>
        <w:t xml:space="preserve">deficitul bugetar în sumă de </w:t>
      </w:r>
      <w:r w:rsidR="00414930">
        <w:rPr>
          <w:rFonts w:ascii="Times New Roman" w:eastAsia="Times New Roman" w:hAnsi="Times New Roman" w:cs="Times New Roman"/>
          <w:sz w:val="28"/>
          <w:szCs w:val="28"/>
          <w:lang w:eastAsia="ru-RU"/>
        </w:rPr>
        <w:t>(</w:t>
      </w:r>
      <w:r w:rsidRPr="00BD66BF">
        <w:rPr>
          <w:rFonts w:ascii="Times New Roman" w:eastAsia="Times New Roman" w:hAnsi="Times New Roman" w:cs="Times New Roman"/>
          <w:sz w:val="28"/>
          <w:szCs w:val="28"/>
          <w:lang w:eastAsia="ru-RU"/>
        </w:rPr>
        <w:t>-1531,7</w:t>
      </w:r>
      <w:r w:rsidR="00414930">
        <w:rPr>
          <w:rFonts w:ascii="Times New Roman" w:eastAsia="Times New Roman" w:hAnsi="Times New Roman" w:cs="Times New Roman"/>
          <w:sz w:val="28"/>
          <w:szCs w:val="28"/>
          <w:lang w:eastAsia="ru-RU"/>
        </w:rPr>
        <w:t>)</w:t>
      </w:r>
      <w:r w:rsidRPr="00BD66BF">
        <w:rPr>
          <w:rFonts w:ascii="Times New Roman" w:eastAsia="Times New Roman" w:hAnsi="Times New Roman" w:cs="Times New Roman"/>
          <w:sz w:val="28"/>
          <w:szCs w:val="28"/>
          <w:lang w:eastAsia="ru-RU"/>
        </w:rPr>
        <w:t xml:space="preserve"> mil.lei este cu (-2492,5) mil.lei (6</w:t>
      </w:r>
      <w:r w:rsidR="00BA34A4">
        <w:rPr>
          <w:rFonts w:ascii="Times New Roman" w:eastAsia="Times New Roman" w:hAnsi="Times New Roman" w:cs="Times New Roman"/>
          <w:sz w:val="28"/>
          <w:szCs w:val="28"/>
          <w:lang w:eastAsia="ru-RU"/>
        </w:rPr>
        <w:t>1</w:t>
      </w:r>
      <w:r w:rsidRPr="00BD66BF">
        <w:rPr>
          <w:rFonts w:ascii="Times New Roman" w:eastAsia="Times New Roman" w:hAnsi="Times New Roman" w:cs="Times New Roman"/>
          <w:sz w:val="28"/>
          <w:szCs w:val="28"/>
          <w:lang w:eastAsia="ru-RU"/>
        </w:rPr>
        <w:t>,</w:t>
      </w:r>
      <w:r w:rsidR="00BA34A4">
        <w:rPr>
          <w:rFonts w:ascii="Times New Roman" w:eastAsia="Times New Roman" w:hAnsi="Times New Roman" w:cs="Times New Roman"/>
          <w:sz w:val="28"/>
          <w:szCs w:val="28"/>
          <w:lang w:eastAsia="ru-RU"/>
        </w:rPr>
        <w:t>9</w:t>
      </w:r>
      <w:r w:rsidRPr="00BD66BF">
        <w:rPr>
          <w:rFonts w:ascii="Times New Roman" w:eastAsia="Times New Roman" w:hAnsi="Times New Roman" w:cs="Times New Roman"/>
          <w:sz w:val="28"/>
          <w:szCs w:val="28"/>
          <w:lang w:eastAsia="ru-RU"/>
        </w:rPr>
        <w:t xml:space="preserve">%) sub nivelul prevederilor bugetare definitive. </w:t>
      </w:r>
    </w:p>
    <w:p w:rsidR="00C87728" w:rsidRDefault="00C87728" w:rsidP="008D3B4F">
      <w:pPr>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Drept urmare</w:t>
      </w:r>
      <w:r w:rsidRPr="00BD66BF">
        <w:rPr>
          <w:rFonts w:ascii="Times New Roman" w:eastAsia="Times New Roman" w:hAnsi="Times New Roman" w:cs="Times New Roman"/>
          <w:sz w:val="28"/>
          <w:szCs w:val="28"/>
          <w:lang w:eastAsia="ru-RU"/>
        </w:rPr>
        <w:t>, e</w:t>
      </w:r>
      <w:r w:rsidRPr="00BD66BF">
        <w:rPr>
          <w:rFonts w:ascii="Times New Roman" w:eastAsia="Times New Roman" w:hAnsi="Times New Roman" w:cs="Times New Roman"/>
          <w:spacing w:val="6"/>
          <w:sz w:val="28"/>
          <w:szCs w:val="28"/>
          <w:lang w:eastAsia="ru-RU"/>
        </w:rPr>
        <w:t xml:space="preserve">xercițiul bugetar </w:t>
      </w:r>
      <w:r w:rsidRPr="00BD66BF">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7</w:t>
      </w:r>
      <w:r w:rsidRPr="00BD66BF">
        <w:rPr>
          <w:rFonts w:ascii="Times New Roman" w:eastAsia="Times New Roman" w:hAnsi="Times New Roman" w:cs="Times New Roman"/>
          <w:sz w:val="28"/>
          <w:szCs w:val="28"/>
          <w:lang w:eastAsia="ru-RU"/>
        </w:rPr>
        <w:t xml:space="preserve"> a înregistrat la venituri un nivel de executare a indicilor prec</w:t>
      </w:r>
      <w:r>
        <w:rPr>
          <w:rFonts w:ascii="Times New Roman" w:eastAsia="Times New Roman" w:hAnsi="Times New Roman" w:cs="Times New Roman"/>
          <w:sz w:val="28"/>
          <w:szCs w:val="28"/>
          <w:lang w:eastAsia="ru-RU"/>
        </w:rPr>
        <w:t>i</w:t>
      </w:r>
      <w:r w:rsidR="008E7523">
        <w:rPr>
          <w:rFonts w:ascii="Times New Roman" w:eastAsia="Times New Roman" w:hAnsi="Times New Roman" w:cs="Times New Roman"/>
          <w:sz w:val="28"/>
          <w:szCs w:val="28"/>
          <w:lang w:eastAsia="ru-RU"/>
        </w:rPr>
        <w:t>zați de 100</w:t>
      </w:r>
      <w:r w:rsidRPr="00BD66BF">
        <w:rPr>
          <w:rFonts w:ascii="Times New Roman" w:eastAsia="Times New Roman" w:hAnsi="Times New Roman" w:cs="Times New Roman"/>
          <w:sz w:val="28"/>
          <w:szCs w:val="28"/>
          <w:lang w:eastAsia="ru-RU"/>
        </w:rPr>
        <w:t>,</w:t>
      </w:r>
      <w:r w:rsidR="008E7523">
        <w:rPr>
          <w:rFonts w:ascii="Times New Roman" w:eastAsia="Times New Roman" w:hAnsi="Times New Roman" w:cs="Times New Roman"/>
          <w:sz w:val="28"/>
          <w:szCs w:val="28"/>
          <w:lang w:eastAsia="ru-RU"/>
        </w:rPr>
        <w:t>5</w:t>
      </w:r>
      <w:r w:rsidRPr="00BD66BF">
        <w:rPr>
          <w:rFonts w:ascii="Times New Roman" w:eastAsia="Times New Roman" w:hAnsi="Times New Roman" w:cs="Times New Roman"/>
          <w:sz w:val="28"/>
          <w:szCs w:val="28"/>
          <w:lang w:eastAsia="ru-RU"/>
        </w:rPr>
        <w:t>% și la cheltuieli – de 9</w:t>
      </w:r>
      <w:r w:rsidR="008E7523">
        <w:rPr>
          <w:rFonts w:ascii="Times New Roman" w:eastAsia="Times New Roman" w:hAnsi="Times New Roman" w:cs="Times New Roman"/>
          <w:sz w:val="28"/>
          <w:szCs w:val="28"/>
          <w:lang w:eastAsia="ru-RU"/>
        </w:rPr>
        <w:t>3</w:t>
      </w:r>
      <w:r w:rsidRPr="00BD66BF">
        <w:rPr>
          <w:rFonts w:ascii="Times New Roman" w:eastAsia="Times New Roman" w:hAnsi="Times New Roman" w:cs="Times New Roman"/>
          <w:sz w:val="28"/>
          <w:szCs w:val="28"/>
          <w:lang w:eastAsia="ru-RU"/>
        </w:rPr>
        <w:t>,</w:t>
      </w:r>
      <w:r w:rsidR="008E7523">
        <w:rPr>
          <w:rFonts w:ascii="Times New Roman" w:eastAsia="Times New Roman" w:hAnsi="Times New Roman" w:cs="Times New Roman"/>
          <w:sz w:val="28"/>
          <w:szCs w:val="28"/>
          <w:lang w:eastAsia="ru-RU"/>
        </w:rPr>
        <w:t>9</w:t>
      </w:r>
      <w:r w:rsidRPr="00BD66BF">
        <w:rPr>
          <w:rFonts w:ascii="Times New Roman" w:eastAsia="Times New Roman" w:hAnsi="Times New Roman" w:cs="Times New Roman"/>
          <w:sz w:val="28"/>
          <w:szCs w:val="28"/>
          <w:lang w:eastAsia="ru-RU"/>
        </w:rPr>
        <w:t xml:space="preserve">%, în același timp </w:t>
      </w:r>
      <w:r w:rsidRPr="00BD66BF">
        <w:rPr>
          <w:rFonts w:ascii="Times New Roman" w:eastAsia="Times New Roman" w:hAnsi="Times New Roman" w:cs="Times New Roman"/>
          <w:spacing w:val="6"/>
          <w:sz w:val="28"/>
          <w:szCs w:val="28"/>
          <w:lang w:eastAsia="ru-RU"/>
        </w:rPr>
        <w:t>deficitul bugetar fiind executat la nivel de</w:t>
      </w:r>
      <w:r w:rsidRPr="00BD66BF">
        <w:rPr>
          <w:rFonts w:ascii="Times New Roman" w:eastAsia="Times New Roman" w:hAnsi="Times New Roman" w:cs="Times New Roman"/>
          <w:spacing w:val="-2"/>
          <w:sz w:val="28"/>
          <w:szCs w:val="28"/>
          <w:lang w:eastAsia="ru-RU"/>
        </w:rPr>
        <w:t xml:space="preserve"> 38,</w:t>
      </w:r>
      <w:r w:rsidR="00327B87">
        <w:rPr>
          <w:rFonts w:ascii="Times New Roman" w:eastAsia="Times New Roman" w:hAnsi="Times New Roman" w:cs="Times New Roman"/>
          <w:spacing w:val="-2"/>
          <w:sz w:val="28"/>
          <w:szCs w:val="28"/>
          <w:lang w:eastAsia="ru-RU"/>
        </w:rPr>
        <w:t>1</w:t>
      </w:r>
      <w:r w:rsidRPr="00BD66BF">
        <w:rPr>
          <w:rFonts w:ascii="Times New Roman" w:eastAsia="Times New Roman" w:hAnsi="Times New Roman" w:cs="Times New Roman"/>
          <w:spacing w:val="-2"/>
          <w:sz w:val="28"/>
          <w:szCs w:val="28"/>
          <w:lang w:eastAsia="ru-RU"/>
        </w:rPr>
        <w:t>%.</w:t>
      </w:r>
    </w:p>
    <w:p w:rsidR="00C87728" w:rsidRPr="00C87728" w:rsidRDefault="00C87728" w:rsidP="008D3B4F">
      <w:pPr>
        <w:spacing w:after="0" w:line="276" w:lineRule="auto"/>
        <w:ind w:firstLine="709"/>
        <w:jc w:val="both"/>
        <w:rPr>
          <w:rFonts w:ascii="Times New Roman" w:eastAsia="Times New Roman" w:hAnsi="Times New Roman" w:cs="Times New Roman"/>
          <w:sz w:val="28"/>
          <w:szCs w:val="28"/>
          <w:lang w:eastAsia="ru-RU"/>
        </w:rPr>
      </w:pPr>
    </w:p>
    <w:p w:rsidR="003C040E" w:rsidRPr="00DC69D1" w:rsidRDefault="00457858" w:rsidP="000C09AE">
      <w:pPr>
        <w:pStyle w:val="3"/>
        <w:numPr>
          <w:ilvl w:val="2"/>
          <w:numId w:val="1"/>
        </w:numPr>
        <w:spacing w:line="276" w:lineRule="auto"/>
        <w:ind w:left="0" w:firstLine="709"/>
        <w:jc w:val="both"/>
        <w:rPr>
          <w:rFonts w:ascii="Times New Roman" w:hAnsi="Times New Roman"/>
          <w:sz w:val="28"/>
          <w:szCs w:val="28"/>
        </w:rPr>
      </w:pPr>
      <w:bookmarkStart w:id="7" w:name="_Toc515518982"/>
      <w:r>
        <w:rPr>
          <w:rFonts w:ascii="Times New Roman" w:hAnsi="Times New Roman"/>
          <w:b/>
          <w:i/>
          <w:color w:val="000000" w:themeColor="text1"/>
          <w:sz w:val="28"/>
          <w:szCs w:val="28"/>
        </w:rPr>
        <w:t>V</w:t>
      </w:r>
      <w:r w:rsidR="001A6A90" w:rsidRPr="001A6A90">
        <w:rPr>
          <w:rFonts w:ascii="Times New Roman" w:hAnsi="Times New Roman"/>
          <w:b/>
          <w:i/>
          <w:color w:val="000000" w:themeColor="text1"/>
          <w:sz w:val="28"/>
          <w:szCs w:val="28"/>
        </w:rPr>
        <w:t xml:space="preserve">eniturile încasate în </w:t>
      </w:r>
      <w:r w:rsidR="00957015">
        <w:rPr>
          <w:rFonts w:ascii="Times New Roman" w:hAnsi="Times New Roman"/>
          <w:b/>
          <w:i/>
          <w:color w:val="000000" w:themeColor="text1"/>
          <w:sz w:val="28"/>
          <w:szCs w:val="28"/>
        </w:rPr>
        <w:t>bugetul de stat</w:t>
      </w:r>
      <w:r w:rsidR="001A6A90" w:rsidRPr="001A6A90">
        <w:rPr>
          <w:rFonts w:ascii="Times New Roman" w:hAnsi="Times New Roman"/>
          <w:b/>
          <w:i/>
          <w:color w:val="000000" w:themeColor="text1"/>
          <w:sz w:val="28"/>
          <w:szCs w:val="28"/>
        </w:rPr>
        <w:t xml:space="preserve"> în anul 2017 au fost înregistrate și raportate regulamentar</w:t>
      </w:r>
      <w:r w:rsidR="003C040E" w:rsidRPr="0089751C">
        <w:rPr>
          <w:rFonts w:ascii="Times New Roman" w:hAnsi="Times New Roman"/>
          <w:b/>
          <w:i/>
          <w:color w:val="000000" w:themeColor="text1"/>
          <w:sz w:val="28"/>
          <w:szCs w:val="28"/>
        </w:rPr>
        <w:t>.</w:t>
      </w:r>
      <w:bookmarkEnd w:id="7"/>
    </w:p>
    <w:p w:rsidR="00F47CE3" w:rsidRDefault="00D82614" w:rsidP="008D3B4F">
      <w:pPr>
        <w:spacing w:after="0" w:line="276" w:lineRule="auto"/>
        <w:ind w:firstLine="720"/>
        <w:jc w:val="both"/>
        <w:rPr>
          <w:rFonts w:ascii="Times New Roman" w:hAnsi="Times New Roman"/>
          <w:sz w:val="28"/>
          <w:szCs w:val="28"/>
        </w:rPr>
      </w:pPr>
      <w:r>
        <w:rPr>
          <w:rFonts w:ascii="Times New Roman" w:hAnsi="Times New Roman"/>
          <w:i/>
          <w:sz w:val="28"/>
          <w:szCs w:val="28"/>
        </w:rPr>
        <w:t>E</w:t>
      </w:r>
      <w:r w:rsidRPr="000541DE">
        <w:rPr>
          <w:rFonts w:ascii="Times New Roman" w:hAnsi="Times New Roman"/>
          <w:i/>
          <w:sz w:val="28"/>
          <w:szCs w:val="28"/>
        </w:rPr>
        <w:t xml:space="preserve">vidența </w:t>
      </w:r>
      <w:r>
        <w:rPr>
          <w:rFonts w:ascii="Times New Roman" w:hAnsi="Times New Roman"/>
          <w:i/>
          <w:sz w:val="28"/>
          <w:szCs w:val="28"/>
        </w:rPr>
        <w:t>î</w:t>
      </w:r>
      <w:r w:rsidR="00F47CE3" w:rsidRPr="000541DE">
        <w:rPr>
          <w:rFonts w:ascii="Times New Roman" w:hAnsi="Times New Roman"/>
          <w:i/>
          <w:sz w:val="28"/>
          <w:szCs w:val="28"/>
        </w:rPr>
        <w:t>ncasăril</w:t>
      </w:r>
      <w:r>
        <w:rPr>
          <w:rFonts w:ascii="Times New Roman" w:hAnsi="Times New Roman"/>
          <w:i/>
          <w:sz w:val="28"/>
          <w:szCs w:val="28"/>
        </w:rPr>
        <w:t>or</w:t>
      </w:r>
      <w:r w:rsidR="00F47CE3" w:rsidRPr="000541DE">
        <w:rPr>
          <w:rFonts w:ascii="Times New Roman" w:hAnsi="Times New Roman"/>
          <w:i/>
          <w:sz w:val="28"/>
          <w:szCs w:val="28"/>
        </w:rPr>
        <w:t xml:space="preserve"> bugetului de stat se asigură prin conturi trezoreriale bazate pe </w:t>
      </w:r>
      <w:r w:rsidR="00FE3BCC">
        <w:rPr>
          <w:rFonts w:ascii="Times New Roman" w:hAnsi="Times New Roman"/>
          <w:i/>
          <w:sz w:val="28"/>
          <w:szCs w:val="28"/>
        </w:rPr>
        <w:t>C</w:t>
      </w:r>
      <w:r w:rsidR="00F47CE3" w:rsidRPr="000541DE">
        <w:rPr>
          <w:rFonts w:ascii="Times New Roman" w:hAnsi="Times New Roman"/>
          <w:i/>
          <w:sz w:val="28"/>
          <w:szCs w:val="28"/>
        </w:rPr>
        <w:t xml:space="preserve">lasificația bugetară și pe </w:t>
      </w:r>
      <w:r w:rsidR="008847E8">
        <w:rPr>
          <w:rFonts w:ascii="Times New Roman" w:hAnsi="Times New Roman"/>
          <w:i/>
          <w:sz w:val="28"/>
          <w:szCs w:val="28"/>
        </w:rPr>
        <w:t>P</w:t>
      </w:r>
      <w:r w:rsidR="00F47CE3" w:rsidRPr="000541DE">
        <w:rPr>
          <w:rFonts w:ascii="Times New Roman" w:hAnsi="Times New Roman"/>
          <w:i/>
          <w:sz w:val="28"/>
          <w:szCs w:val="28"/>
        </w:rPr>
        <w:t>lanul de conturi contabile</w:t>
      </w:r>
      <w:r w:rsidR="00F47CE3" w:rsidRPr="00902499">
        <w:rPr>
          <w:rStyle w:val="a9"/>
          <w:rFonts w:ascii="Times New Roman" w:hAnsi="Times New Roman"/>
          <w:i/>
          <w:sz w:val="28"/>
          <w:szCs w:val="28"/>
        </w:rPr>
        <w:footnoteReference w:id="12"/>
      </w:r>
      <w:r w:rsidR="00F47CE3">
        <w:rPr>
          <w:rFonts w:ascii="Times New Roman" w:hAnsi="Times New Roman"/>
          <w:sz w:val="28"/>
          <w:szCs w:val="28"/>
        </w:rPr>
        <w:t>.</w:t>
      </w:r>
    </w:p>
    <w:p w:rsidR="001231E3" w:rsidRDefault="001231E3" w:rsidP="008D3B4F">
      <w:pPr>
        <w:spacing w:after="0" w:line="276" w:lineRule="auto"/>
        <w:ind w:firstLine="720"/>
        <w:jc w:val="both"/>
        <w:rPr>
          <w:rFonts w:ascii="Times New Roman" w:eastAsia="Times New Roman" w:hAnsi="Times New Roman" w:cs="Times New Roman"/>
          <w:sz w:val="28"/>
          <w:szCs w:val="28"/>
          <w:lang w:eastAsia="ru-RU"/>
        </w:rPr>
      </w:pPr>
      <w:r w:rsidRPr="0042398A">
        <w:rPr>
          <w:rFonts w:ascii="Times New Roman" w:hAnsi="Times New Roman"/>
          <w:sz w:val="28"/>
          <w:szCs w:val="28"/>
        </w:rPr>
        <w:t>Verificările</w:t>
      </w:r>
      <w:r>
        <w:rPr>
          <w:rFonts w:ascii="Times New Roman" w:hAnsi="Times New Roman"/>
          <w:b/>
          <w:sz w:val="28"/>
          <w:szCs w:val="28"/>
        </w:rPr>
        <w:t xml:space="preserve"> </w:t>
      </w:r>
      <w:r w:rsidRPr="008C28DB">
        <w:rPr>
          <w:rFonts w:ascii="Times New Roman" w:hAnsi="Times New Roman"/>
          <w:sz w:val="28"/>
          <w:szCs w:val="28"/>
        </w:rPr>
        <w:t xml:space="preserve">auditului </w:t>
      </w:r>
      <w:r>
        <w:rPr>
          <w:rFonts w:ascii="Times New Roman" w:hAnsi="Times New Roman"/>
          <w:sz w:val="28"/>
          <w:szCs w:val="28"/>
        </w:rPr>
        <w:t xml:space="preserve">asupra ținerii evidenței încasărilor bugetului de stat, în aspectul conturilor trezoreriale, plenitudinii și corectitudinii raportării anuale a executării de casă </w:t>
      </w:r>
      <w:r w:rsidR="003F1ED0">
        <w:rPr>
          <w:rFonts w:ascii="Times New Roman" w:hAnsi="Times New Roman"/>
          <w:sz w:val="28"/>
          <w:szCs w:val="28"/>
        </w:rPr>
        <w:t>conform</w:t>
      </w:r>
      <w:r>
        <w:rPr>
          <w:rFonts w:ascii="Times New Roman" w:hAnsi="Times New Roman"/>
          <w:sz w:val="28"/>
          <w:szCs w:val="28"/>
        </w:rPr>
        <w:t xml:space="preserve"> </w:t>
      </w:r>
      <w:r w:rsidR="00FE3BCC">
        <w:rPr>
          <w:rFonts w:ascii="Times New Roman" w:hAnsi="Times New Roman"/>
          <w:sz w:val="28"/>
          <w:szCs w:val="28"/>
        </w:rPr>
        <w:t>C</w:t>
      </w:r>
      <w:r>
        <w:rPr>
          <w:rFonts w:ascii="Times New Roman" w:hAnsi="Times New Roman"/>
          <w:sz w:val="28"/>
          <w:szCs w:val="28"/>
        </w:rPr>
        <w:t>lasificați</w:t>
      </w:r>
      <w:r w:rsidR="00154702">
        <w:rPr>
          <w:rFonts w:ascii="Times New Roman" w:hAnsi="Times New Roman"/>
          <w:sz w:val="28"/>
          <w:szCs w:val="28"/>
        </w:rPr>
        <w:t>ei bugetare, relevă următoarele.</w:t>
      </w:r>
      <w:r w:rsidRPr="008C27A6">
        <w:rPr>
          <w:rFonts w:ascii="Times New Roman" w:eastAsia="Times New Roman" w:hAnsi="Times New Roman" w:cs="Times New Roman"/>
          <w:sz w:val="28"/>
          <w:szCs w:val="28"/>
          <w:lang w:eastAsia="ru-RU"/>
        </w:rPr>
        <w:t xml:space="preserve"> </w:t>
      </w:r>
    </w:p>
    <w:p w:rsidR="001231E3" w:rsidRPr="00EF018C" w:rsidRDefault="000541DE" w:rsidP="008D3B4F">
      <w:pPr>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Conform datelor Raportului privind executarea bugetului de stat pe anul 2017, v</w:t>
      </w:r>
      <w:r w:rsidR="001231E3" w:rsidRPr="003506E5">
        <w:rPr>
          <w:rFonts w:ascii="Times New Roman" w:eastAsia="Times New Roman" w:hAnsi="Times New Roman" w:cs="Times New Roman"/>
          <w:sz w:val="28"/>
          <w:szCs w:val="28"/>
          <w:lang w:eastAsia="ru-RU"/>
        </w:rPr>
        <w:t>enit</w:t>
      </w:r>
      <w:r w:rsidR="001231E3">
        <w:rPr>
          <w:rFonts w:ascii="Times New Roman" w:eastAsia="Times New Roman" w:hAnsi="Times New Roman" w:cs="Times New Roman"/>
          <w:sz w:val="28"/>
          <w:szCs w:val="28"/>
          <w:lang w:eastAsia="ru-RU"/>
        </w:rPr>
        <w:t>urile bugetului de stat însumează 33947,</w:t>
      </w:r>
      <w:r w:rsidR="00B8703D">
        <w:rPr>
          <w:rFonts w:ascii="Times New Roman" w:eastAsia="Times New Roman" w:hAnsi="Times New Roman" w:cs="Times New Roman"/>
          <w:sz w:val="28"/>
          <w:szCs w:val="28"/>
          <w:lang w:eastAsia="ru-RU"/>
        </w:rPr>
        <w:t>4</w:t>
      </w:r>
      <w:r w:rsidR="001231E3">
        <w:rPr>
          <w:rFonts w:ascii="Times New Roman" w:eastAsia="Times New Roman" w:hAnsi="Times New Roman" w:cs="Times New Roman"/>
          <w:sz w:val="28"/>
          <w:szCs w:val="28"/>
          <w:lang w:eastAsia="ru-RU"/>
        </w:rPr>
        <w:t xml:space="preserve"> mil.lei. Comparativ cu indicatorii precizați, veniturile încasate </w:t>
      </w:r>
      <w:r w:rsidR="000A2F32">
        <w:rPr>
          <w:rFonts w:ascii="Times New Roman" w:eastAsia="Times New Roman" w:hAnsi="Times New Roman" w:cs="Times New Roman"/>
          <w:sz w:val="28"/>
          <w:szCs w:val="28"/>
          <w:lang w:eastAsia="ru-RU"/>
        </w:rPr>
        <w:t>în</w:t>
      </w:r>
      <w:r w:rsidR="001231E3">
        <w:rPr>
          <w:rFonts w:ascii="Times New Roman" w:eastAsia="Times New Roman" w:hAnsi="Times New Roman" w:cs="Times New Roman"/>
          <w:sz w:val="28"/>
          <w:szCs w:val="28"/>
          <w:lang w:eastAsia="ru-RU"/>
        </w:rPr>
        <w:t xml:space="preserve"> bugetul de stat în perioada auditată </w:t>
      </w:r>
      <w:r w:rsidR="000A2F32">
        <w:rPr>
          <w:rFonts w:ascii="Times New Roman" w:eastAsia="Times New Roman" w:hAnsi="Times New Roman" w:cs="Times New Roman"/>
          <w:sz w:val="28"/>
          <w:szCs w:val="28"/>
          <w:lang w:eastAsia="ru-RU"/>
        </w:rPr>
        <w:t>re</w:t>
      </w:r>
      <w:r w:rsidR="001231E3">
        <w:rPr>
          <w:rFonts w:ascii="Times New Roman" w:eastAsia="Times New Roman" w:hAnsi="Times New Roman" w:cs="Times New Roman"/>
          <w:sz w:val="28"/>
          <w:szCs w:val="28"/>
          <w:lang w:eastAsia="ru-RU"/>
        </w:rPr>
        <w:t>prezintă</w:t>
      </w:r>
      <w:r w:rsidR="00B8703D">
        <w:rPr>
          <w:rFonts w:ascii="Times New Roman" w:eastAsia="Times New Roman" w:hAnsi="Times New Roman" w:cs="Times New Roman"/>
          <w:sz w:val="28"/>
          <w:szCs w:val="28"/>
          <w:lang w:eastAsia="ru-RU"/>
        </w:rPr>
        <w:t xml:space="preserve"> o creștere de 0</w:t>
      </w:r>
      <w:r w:rsidR="0042398A">
        <w:rPr>
          <w:rFonts w:ascii="Times New Roman" w:eastAsia="Times New Roman" w:hAnsi="Times New Roman" w:cs="Times New Roman"/>
          <w:sz w:val="28"/>
          <w:szCs w:val="28"/>
          <w:lang w:eastAsia="ru-RU"/>
        </w:rPr>
        <w:t>,</w:t>
      </w:r>
      <w:r w:rsidR="00B8703D">
        <w:rPr>
          <w:rFonts w:ascii="Times New Roman" w:eastAsia="Times New Roman" w:hAnsi="Times New Roman" w:cs="Times New Roman"/>
          <w:sz w:val="28"/>
          <w:szCs w:val="28"/>
          <w:lang w:eastAsia="ru-RU"/>
        </w:rPr>
        <w:t>5</w:t>
      </w:r>
      <w:r w:rsidR="0042398A">
        <w:rPr>
          <w:rFonts w:ascii="Times New Roman" w:eastAsia="Times New Roman" w:hAnsi="Times New Roman" w:cs="Times New Roman"/>
          <w:sz w:val="28"/>
          <w:szCs w:val="28"/>
          <w:lang w:eastAsia="ru-RU"/>
        </w:rPr>
        <w:t>%</w:t>
      </w:r>
      <w:r w:rsidR="000A2F32">
        <w:rPr>
          <w:rFonts w:ascii="Times New Roman" w:eastAsia="Times New Roman" w:hAnsi="Times New Roman" w:cs="Times New Roman"/>
          <w:sz w:val="28"/>
          <w:szCs w:val="28"/>
          <w:lang w:eastAsia="ru-RU"/>
        </w:rPr>
        <w:t>,</w:t>
      </w:r>
      <w:r w:rsidR="0042398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sau cu </w:t>
      </w:r>
      <w:r w:rsidR="0042398A">
        <w:rPr>
          <w:rFonts w:ascii="Times New Roman" w:eastAsia="Times New Roman" w:hAnsi="Times New Roman" w:cs="Times New Roman"/>
          <w:sz w:val="28"/>
          <w:szCs w:val="28"/>
          <w:lang w:eastAsia="ru-RU"/>
        </w:rPr>
        <w:t>169,</w:t>
      </w:r>
      <w:r w:rsidR="00B8703D">
        <w:rPr>
          <w:rFonts w:ascii="Times New Roman" w:eastAsia="Times New Roman" w:hAnsi="Times New Roman" w:cs="Times New Roman"/>
          <w:sz w:val="28"/>
          <w:szCs w:val="28"/>
          <w:lang w:eastAsia="ru-RU"/>
        </w:rPr>
        <w:t>1</w:t>
      </w:r>
      <w:r w:rsidR="0042398A">
        <w:rPr>
          <w:rFonts w:ascii="Times New Roman" w:eastAsia="Times New Roman" w:hAnsi="Times New Roman" w:cs="Times New Roman"/>
          <w:sz w:val="28"/>
          <w:szCs w:val="28"/>
          <w:lang w:eastAsia="ru-RU"/>
        </w:rPr>
        <w:t xml:space="preserve"> mil.</w:t>
      </w:r>
      <w:r w:rsidR="001231E3">
        <w:rPr>
          <w:rFonts w:ascii="Times New Roman" w:eastAsia="Times New Roman" w:hAnsi="Times New Roman" w:cs="Times New Roman"/>
          <w:sz w:val="28"/>
          <w:szCs w:val="28"/>
          <w:lang w:eastAsia="ru-RU"/>
        </w:rPr>
        <w:t>lei</w:t>
      </w:r>
      <w:r>
        <w:rPr>
          <w:rFonts w:ascii="Times New Roman" w:eastAsia="Times New Roman" w:hAnsi="Times New Roman" w:cs="Times New Roman"/>
          <w:sz w:val="28"/>
          <w:szCs w:val="28"/>
          <w:lang w:eastAsia="ru-RU"/>
        </w:rPr>
        <w:t xml:space="preserve"> mai mult</w:t>
      </w:r>
      <w:r w:rsidR="001231E3">
        <w:rPr>
          <w:rFonts w:ascii="Times New Roman" w:eastAsia="Times New Roman" w:hAnsi="Times New Roman" w:cs="Times New Roman"/>
          <w:sz w:val="28"/>
          <w:szCs w:val="28"/>
          <w:lang w:eastAsia="ru-RU"/>
        </w:rPr>
        <w:t xml:space="preserve">. </w:t>
      </w:r>
      <w:r w:rsidR="001231E3" w:rsidRPr="00902499">
        <w:rPr>
          <w:rFonts w:ascii="Times New Roman" w:hAnsi="Times New Roman"/>
          <w:i/>
          <w:sz w:val="28"/>
          <w:szCs w:val="28"/>
        </w:rPr>
        <w:t xml:space="preserve">Realizarea veniturilor </w:t>
      </w:r>
      <w:r w:rsidR="0041594C" w:rsidRPr="00902499">
        <w:rPr>
          <w:rFonts w:ascii="Times New Roman" w:hAnsi="Times New Roman"/>
          <w:i/>
          <w:sz w:val="28"/>
          <w:szCs w:val="28"/>
        </w:rPr>
        <w:t xml:space="preserve">bugetului </w:t>
      </w:r>
      <w:r w:rsidR="001231E3" w:rsidRPr="00902499">
        <w:rPr>
          <w:rFonts w:ascii="Times New Roman" w:hAnsi="Times New Roman"/>
          <w:i/>
          <w:sz w:val="28"/>
          <w:szCs w:val="28"/>
        </w:rPr>
        <w:t xml:space="preserve">de stat </w:t>
      </w:r>
      <w:r w:rsidRPr="00902499">
        <w:rPr>
          <w:rFonts w:ascii="Times New Roman" w:hAnsi="Times New Roman"/>
          <w:i/>
          <w:sz w:val="28"/>
          <w:szCs w:val="28"/>
        </w:rPr>
        <w:t>în anul 2017</w:t>
      </w:r>
      <w:r w:rsidR="000A2F32">
        <w:rPr>
          <w:rFonts w:ascii="Times New Roman" w:hAnsi="Times New Roman"/>
          <w:i/>
          <w:sz w:val="28"/>
          <w:szCs w:val="28"/>
        </w:rPr>
        <w:t>,</w:t>
      </w:r>
      <w:r w:rsidRPr="00902499">
        <w:rPr>
          <w:rFonts w:ascii="Times New Roman" w:hAnsi="Times New Roman"/>
          <w:i/>
          <w:sz w:val="28"/>
          <w:szCs w:val="28"/>
        </w:rPr>
        <w:t xml:space="preserve"> în comparație cu anii 2015</w:t>
      </w:r>
      <w:r w:rsidR="000A2F32">
        <w:rPr>
          <w:rFonts w:ascii="Times New Roman" w:hAnsi="Times New Roman"/>
          <w:i/>
          <w:sz w:val="28"/>
          <w:szCs w:val="28"/>
        </w:rPr>
        <w:t xml:space="preserve"> și</w:t>
      </w:r>
      <w:r w:rsidRPr="00902499">
        <w:rPr>
          <w:rFonts w:ascii="Times New Roman" w:hAnsi="Times New Roman"/>
          <w:i/>
          <w:sz w:val="28"/>
          <w:szCs w:val="28"/>
        </w:rPr>
        <w:t xml:space="preserve"> </w:t>
      </w:r>
      <w:r w:rsidR="001231E3" w:rsidRPr="00902499">
        <w:rPr>
          <w:rFonts w:ascii="Times New Roman" w:hAnsi="Times New Roman"/>
          <w:i/>
          <w:sz w:val="28"/>
          <w:szCs w:val="28"/>
        </w:rPr>
        <w:t>201</w:t>
      </w:r>
      <w:r w:rsidRPr="00902499">
        <w:rPr>
          <w:rFonts w:ascii="Times New Roman" w:hAnsi="Times New Roman"/>
          <w:i/>
          <w:sz w:val="28"/>
          <w:szCs w:val="28"/>
        </w:rPr>
        <w:t>6</w:t>
      </w:r>
      <w:r w:rsidR="000A2F32">
        <w:rPr>
          <w:rFonts w:ascii="Times New Roman" w:hAnsi="Times New Roman"/>
          <w:i/>
          <w:sz w:val="28"/>
          <w:szCs w:val="28"/>
        </w:rPr>
        <w:t>,</w:t>
      </w:r>
      <w:r w:rsidR="001231E3" w:rsidRPr="00902499">
        <w:rPr>
          <w:rFonts w:ascii="Times New Roman" w:hAnsi="Times New Roman"/>
          <w:i/>
          <w:sz w:val="28"/>
          <w:szCs w:val="28"/>
        </w:rPr>
        <w:t xml:space="preserve"> se prezintă în</w:t>
      </w:r>
      <w:r w:rsidR="001231E3">
        <w:rPr>
          <w:rFonts w:ascii="Times New Roman" w:hAnsi="Times New Roman"/>
          <w:sz w:val="28"/>
          <w:szCs w:val="28"/>
        </w:rPr>
        <w:t xml:space="preserve"> </w:t>
      </w:r>
      <w:r w:rsidR="001231E3" w:rsidRPr="00E51E8A">
        <w:rPr>
          <w:rFonts w:ascii="Times New Roman" w:hAnsi="Times New Roman"/>
          <w:i/>
          <w:sz w:val="28"/>
          <w:szCs w:val="28"/>
        </w:rPr>
        <w:t>Tabelul nr.</w:t>
      </w:r>
      <w:r w:rsidR="00D461AA" w:rsidRPr="00E51E8A">
        <w:rPr>
          <w:rFonts w:ascii="Times New Roman" w:hAnsi="Times New Roman"/>
          <w:i/>
          <w:sz w:val="28"/>
          <w:szCs w:val="28"/>
        </w:rPr>
        <w:t>3</w:t>
      </w:r>
      <w:r w:rsidR="001231E3" w:rsidRPr="00E51E8A">
        <w:rPr>
          <w:rFonts w:ascii="Times New Roman" w:hAnsi="Times New Roman"/>
          <w:i/>
          <w:sz w:val="28"/>
          <w:szCs w:val="28"/>
        </w:rPr>
        <w:t>.</w:t>
      </w:r>
    </w:p>
    <w:p w:rsidR="001231E3" w:rsidRPr="00E51E8A" w:rsidRDefault="001231E3" w:rsidP="008D3B4F">
      <w:pPr>
        <w:pStyle w:val="a5"/>
        <w:spacing w:after="0" w:line="276" w:lineRule="auto"/>
        <w:ind w:left="0" w:firstLine="720"/>
        <w:jc w:val="right"/>
        <w:rPr>
          <w:rFonts w:ascii="Times New Roman" w:hAnsi="Times New Roman"/>
          <w:i/>
          <w:sz w:val="28"/>
          <w:szCs w:val="28"/>
        </w:rPr>
      </w:pPr>
      <w:r w:rsidRPr="00E51E8A">
        <w:rPr>
          <w:rFonts w:ascii="Times New Roman" w:hAnsi="Times New Roman"/>
          <w:i/>
          <w:sz w:val="28"/>
          <w:szCs w:val="28"/>
        </w:rPr>
        <w:t>Tabelul nr.</w:t>
      </w:r>
      <w:r w:rsidR="00D461AA" w:rsidRPr="00E51E8A">
        <w:rPr>
          <w:rFonts w:ascii="Times New Roman" w:hAnsi="Times New Roman"/>
          <w:i/>
          <w:sz w:val="28"/>
          <w:szCs w:val="28"/>
        </w:rPr>
        <w:t>3</w:t>
      </w:r>
    </w:p>
    <w:p w:rsidR="00E51E8A" w:rsidRDefault="000541DE" w:rsidP="008D3B4F">
      <w:pPr>
        <w:spacing w:after="0" w:line="276" w:lineRule="auto"/>
        <w:jc w:val="center"/>
        <w:rPr>
          <w:rFonts w:ascii="Times New Roman" w:eastAsia="Times New Roman" w:hAnsi="Times New Roman" w:cs="Times New Roman"/>
          <w:b/>
          <w:i/>
          <w:sz w:val="24"/>
          <w:szCs w:val="24"/>
          <w:lang w:eastAsia="ru-RU"/>
        </w:rPr>
      </w:pPr>
      <w:r w:rsidRPr="00FC50C0">
        <w:rPr>
          <w:rFonts w:ascii="Times New Roman" w:eastAsia="Times New Roman" w:hAnsi="Times New Roman" w:cs="Times New Roman"/>
          <w:b/>
          <w:i/>
          <w:sz w:val="24"/>
          <w:szCs w:val="24"/>
          <w:lang w:eastAsia="ru-RU"/>
        </w:rPr>
        <w:t>E</w:t>
      </w:r>
      <w:r w:rsidR="001231E3" w:rsidRPr="00FC50C0">
        <w:rPr>
          <w:rFonts w:ascii="Times New Roman" w:eastAsia="Times New Roman" w:hAnsi="Times New Roman" w:cs="Times New Roman"/>
          <w:b/>
          <w:i/>
          <w:sz w:val="24"/>
          <w:szCs w:val="24"/>
          <w:lang w:eastAsia="ru-RU"/>
        </w:rPr>
        <w:t>xecut</w:t>
      </w:r>
      <w:r w:rsidRPr="00FC50C0">
        <w:rPr>
          <w:rFonts w:ascii="Times New Roman" w:eastAsia="Times New Roman" w:hAnsi="Times New Roman" w:cs="Times New Roman"/>
          <w:b/>
          <w:i/>
          <w:sz w:val="24"/>
          <w:szCs w:val="24"/>
          <w:lang w:eastAsia="ru-RU"/>
        </w:rPr>
        <w:t>area</w:t>
      </w:r>
      <w:r w:rsidR="001231E3" w:rsidRPr="00FC50C0">
        <w:rPr>
          <w:rFonts w:ascii="Times New Roman" w:eastAsia="Times New Roman" w:hAnsi="Times New Roman" w:cs="Times New Roman"/>
          <w:b/>
          <w:i/>
          <w:sz w:val="24"/>
          <w:szCs w:val="24"/>
          <w:lang w:eastAsia="ru-RU"/>
        </w:rPr>
        <w:t xml:space="preserve"> venituri</w:t>
      </w:r>
      <w:r w:rsidRPr="00FC50C0">
        <w:rPr>
          <w:rFonts w:ascii="Times New Roman" w:eastAsia="Times New Roman" w:hAnsi="Times New Roman" w:cs="Times New Roman"/>
          <w:b/>
          <w:i/>
          <w:sz w:val="24"/>
          <w:szCs w:val="24"/>
          <w:lang w:eastAsia="ru-RU"/>
        </w:rPr>
        <w:t>lor bugetului de stat în anii</w:t>
      </w:r>
      <w:r w:rsidR="001231E3" w:rsidRPr="00FC50C0">
        <w:rPr>
          <w:rFonts w:ascii="Times New Roman" w:eastAsia="Times New Roman" w:hAnsi="Times New Roman" w:cs="Times New Roman"/>
          <w:b/>
          <w:i/>
          <w:sz w:val="24"/>
          <w:szCs w:val="24"/>
          <w:lang w:eastAsia="ru-RU"/>
        </w:rPr>
        <w:t xml:space="preserve"> 2015-2017</w:t>
      </w:r>
      <w:r w:rsidR="0077162A">
        <w:rPr>
          <w:rFonts w:ascii="Times New Roman" w:eastAsia="Times New Roman" w:hAnsi="Times New Roman" w:cs="Times New Roman"/>
          <w:b/>
          <w:i/>
          <w:sz w:val="24"/>
          <w:szCs w:val="24"/>
          <w:lang w:eastAsia="ru-RU"/>
        </w:rPr>
        <w:t xml:space="preserve"> </w:t>
      </w:r>
    </w:p>
    <w:p w:rsidR="001231E3" w:rsidRPr="0077162A" w:rsidRDefault="001231E3" w:rsidP="008D3B4F">
      <w:pPr>
        <w:spacing w:after="0" w:line="276" w:lineRule="auto"/>
        <w:jc w:val="right"/>
        <w:rPr>
          <w:rFonts w:ascii="Times New Roman" w:eastAsia="Times New Roman" w:hAnsi="Times New Roman" w:cs="Times New Roman"/>
          <w:b/>
          <w:i/>
          <w:sz w:val="24"/>
          <w:szCs w:val="24"/>
          <w:lang w:eastAsia="ru-RU"/>
        </w:rPr>
      </w:pPr>
      <w:r w:rsidRPr="00E06960">
        <w:rPr>
          <w:rFonts w:ascii="Times New Roman" w:eastAsia="Times New Roman" w:hAnsi="Times New Roman" w:cs="Times New Roman"/>
          <w:i/>
          <w:sz w:val="24"/>
          <w:szCs w:val="24"/>
          <w:lang w:eastAsia="ru-RU"/>
        </w:rPr>
        <w:t>(mil.lei)</w:t>
      </w:r>
    </w:p>
    <w:tbl>
      <w:tblPr>
        <w:tblStyle w:val="GridTable4-Accent51"/>
        <w:tblW w:w="9562" w:type="dxa"/>
        <w:jc w:val="center"/>
        <w:tblLook w:val="04A0" w:firstRow="1" w:lastRow="0" w:firstColumn="1" w:lastColumn="0" w:noHBand="0" w:noVBand="1"/>
      </w:tblPr>
      <w:tblGrid>
        <w:gridCol w:w="2122"/>
        <w:gridCol w:w="1134"/>
        <w:gridCol w:w="996"/>
        <w:gridCol w:w="996"/>
        <w:gridCol w:w="6"/>
        <w:gridCol w:w="890"/>
        <w:gridCol w:w="1260"/>
        <w:gridCol w:w="6"/>
        <w:gridCol w:w="892"/>
        <w:gridCol w:w="1260"/>
      </w:tblGrid>
      <w:tr w:rsidR="00A50B60" w:rsidRPr="00A50B60" w:rsidTr="008D3B4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2" w:type="dxa"/>
            <w:tcBorders>
              <w:right w:val="single" w:sz="4" w:space="0" w:color="4472C4" w:themeColor="accent5"/>
            </w:tcBorders>
            <w:shd w:val="clear" w:color="auto" w:fill="1F3864" w:themeFill="accent5" w:themeFillShade="80"/>
            <w:vAlign w:val="center"/>
          </w:tcPr>
          <w:p w:rsidR="00A50B60" w:rsidRPr="00E51E8A" w:rsidRDefault="00A50B60" w:rsidP="00E51E8A">
            <w:pPr>
              <w:jc w:val="center"/>
              <w:rPr>
                <w:rFonts w:ascii="Times New Roman" w:eastAsia="Times New Roman" w:hAnsi="Times New Roman" w:cs="Times New Roman"/>
                <w:sz w:val="24"/>
                <w:szCs w:val="24"/>
                <w:lang w:eastAsia="ru-RU"/>
              </w:rPr>
            </w:pPr>
          </w:p>
        </w:tc>
        <w:tc>
          <w:tcPr>
            <w:tcW w:w="3132" w:type="dxa"/>
            <w:gridSpan w:val="4"/>
            <w:tcBorders>
              <w:left w:val="single" w:sz="4" w:space="0" w:color="4472C4" w:themeColor="accent5"/>
              <w:right w:val="single" w:sz="4" w:space="0" w:color="4472C4" w:themeColor="accent5"/>
            </w:tcBorders>
            <w:shd w:val="clear" w:color="auto" w:fill="1F3864" w:themeFill="accent5" w:themeFillShade="80"/>
            <w:vAlign w:val="center"/>
          </w:tcPr>
          <w:p w:rsidR="00A50B60" w:rsidRPr="00E51E8A" w:rsidRDefault="00A50B60" w:rsidP="00E51E8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E51E8A">
              <w:rPr>
                <w:rFonts w:ascii="Times New Roman" w:eastAsia="Times New Roman" w:hAnsi="Times New Roman" w:cs="Times New Roman"/>
                <w:sz w:val="24"/>
                <w:szCs w:val="24"/>
                <w:lang w:eastAsia="ru-RU"/>
              </w:rPr>
              <w:t>Anii</w:t>
            </w:r>
          </w:p>
        </w:tc>
        <w:tc>
          <w:tcPr>
            <w:tcW w:w="2156" w:type="dxa"/>
            <w:gridSpan w:val="3"/>
            <w:tcBorders>
              <w:left w:val="single" w:sz="4" w:space="0" w:color="4472C4" w:themeColor="accent5"/>
              <w:right w:val="single" w:sz="4" w:space="0" w:color="4472C4" w:themeColor="accent5"/>
            </w:tcBorders>
            <w:shd w:val="clear" w:color="auto" w:fill="1F3864" w:themeFill="accent5" w:themeFillShade="80"/>
            <w:vAlign w:val="center"/>
          </w:tcPr>
          <w:p w:rsidR="00A50B60" w:rsidRPr="00E51E8A" w:rsidRDefault="00A50B60" w:rsidP="00E51E8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E51E8A">
              <w:rPr>
                <w:rFonts w:ascii="Times New Roman" w:eastAsia="Times New Roman" w:hAnsi="Times New Roman" w:cs="Times New Roman"/>
                <w:sz w:val="24"/>
                <w:szCs w:val="24"/>
                <w:lang w:eastAsia="ru-RU"/>
              </w:rPr>
              <w:t>Devieri 2017/2016</w:t>
            </w:r>
          </w:p>
        </w:tc>
        <w:tc>
          <w:tcPr>
            <w:tcW w:w="2152" w:type="dxa"/>
            <w:gridSpan w:val="2"/>
            <w:tcBorders>
              <w:left w:val="single" w:sz="4" w:space="0" w:color="4472C4" w:themeColor="accent5"/>
            </w:tcBorders>
            <w:shd w:val="clear" w:color="auto" w:fill="1F3864" w:themeFill="accent5" w:themeFillShade="80"/>
            <w:vAlign w:val="center"/>
          </w:tcPr>
          <w:p w:rsidR="00A50B60" w:rsidRPr="00E51E8A" w:rsidRDefault="00A50B60" w:rsidP="00E51E8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E51E8A">
              <w:rPr>
                <w:rFonts w:ascii="Times New Roman" w:eastAsia="Times New Roman" w:hAnsi="Times New Roman" w:cs="Times New Roman"/>
                <w:sz w:val="24"/>
                <w:szCs w:val="24"/>
                <w:lang w:eastAsia="ru-RU"/>
              </w:rPr>
              <w:t>Devieri 2017/2015</w:t>
            </w:r>
          </w:p>
        </w:tc>
      </w:tr>
      <w:tr w:rsidR="00EA521E" w:rsidRPr="00A50B60" w:rsidTr="00E8383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2" w:type="dxa"/>
          </w:tcPr>
          <w:p w:rsidR="00EA521E" w:rsidRPr="00E51E8A" w:rsidRDefault="00EA521E" w:rsidP="00E51E8A">
            <w:pPr>
              <w:jc w:val="center"/>
              <w:rPr>
                <w:rFonts w:ascii="Times New Roman" w:eastAsia="Times New Roman" w:hAnsi="Times New Roman" w:cs="Times New Roman"/>
                <w:sz w:val="24"/>
                <w:szCs w:val="24"/>
                <w:lang w:eastAsia="ru-RU"/>
              </w:rPr>
            </w:pPr>
          </w:p>
        </w:tc>
        <w:tc>
          <w:tcPr>
            <w:tcW w:w="1134" w:type="dxa"/>
          </w:tcPr>
          <w:p w:rsidR="00EA521E" w:rsidRPr="00E51E8A" w:rsidRDefault="00EA521E" w:rsidP="00EE4DF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eastAsia="ru-RU"/>
              </w:rPr>
            </w:pPr>
            <w:r w:rsidRPr="00E51E8A">
              <w:rPr>
                <w:rFonts w:ascii="Times New Roman" w:eastAsia="Times New Roman" w:hAnsi="Times New Roman" w:cs="Times New Roman"/>
                <w:b/>
                <w:sz w:val="24"/>
                <w:szCs w:val="24"/>
                <w:lang w:eastAsia="ru-RU"/>
              </w:rPr>
              <w:t>2015</w:t>
            </w:r>
          </w:p>
        </w:tc>
        <w:tc>
          <w:tcPr>
            <w:tcW w:w="996" w:type="dxa"/>
          </w:tcPr>
          <w:p w:rsidR="00EA521E" w:rsidRPr="00E51E8A" w:rsidRDefault="00EA521E" w:rsidP="00EE4DF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eastAsia="ru-RU"/>
              </w:rPr>
            </w:pPr>
            <w:r w:rsidRPr="00E51E8A">
              <w:rPr>
                <w:rFonts w:ascii="Times New Roman" w:eastAsia="Times New Roman" w:hAnsi="Times New Roman" w:cs="Times New Roman"/>
                <w:b/>
                <w:sz w:val="24"/>
                <w:szCs w:val="24"/>
                <w:lang w:eastAsia="ru-RU"/>
              </w:rPr>
              <w:t>2016</w:t>
            </w:r>
          </w:p>
        </w:tc>
        <w:tc>
          <w:tcPr>
            <w:tcW w:w="996" w:type="dxa"/>
          </w:tcPr>
          <w:p w:rsidR="00EA521E" w:rsidRPr="00E51E8A" w:rsidRDefault="00EA521E" w:rsidP="00EE4DF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eastAsia="ru-RU"/>
              </w:rPr>
            </w:pPr>
            <w:r w:rsidRPr="00E51E8A">
              <w:rPr>
                <w:rFonts w:ascii="Times New Roman" w:eastAsia="Times New Roman" w:hAnsi="Times New Roman" w:cs="Times New Roman"/>
                <w:b/>
                <w:sz w:val="24"/>
                <w:szCs w:val="24"/>
                <w:lang w:eastAsia="ru-RU"/>
              </w:rPr>
              <w:t>2017</w:t>
            </w:r>
          </w:p>
        </w:tc>
        <w:tc>
          <w:tcPr>
            <w:tcW w:w="896" w:type="dxa"/>
            <w:gridSpan w:val="2"/>
          </w:tcPr>
          <w:p w:rsidR="00EA521E" w:rsidRPr="00E51E8A" w:rsidRDefault="00E51E8A" w:rsidP="00EE4DF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rPr>
              <w:t>(+/-)</w:t>
            </w:r>
          </w:p>
        </w:tc>
        <w:tc>
          <w:tcPr>
            <w:tcW w:w="1260" w:type="dxa"/>
          </w:tcPr>
          <w:p w:rsidR="00EA521E" w:rsidRPr="00E51E8A" w:rsidRDefault="00EA521E" w:rsidP="00EE4DF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eastAsia="ru-RU"/>
              </w:rPr>
            </w:pPr>
            <w:r w:rsidRPr="00E51E8A">
              <w:rPr>
                <w:rFonts w:ascii="Times New Roman" w:eastAsia="Times New Roman" w:hAnsi="Times New Roman" w:cs="Times New Roman"/>
                <w:b/>
                <w:sz w:val="24"/>
                <w:szCs w:val="24"/>
                <w:lang w:eastAsia="ru-RU"/>
              </w:rPr>
              <w:t>%</w:t>
            </w:r>
          </w:p>
        </w:tc>
        <w:tc>
          <w:tcPr>
            <w:tcW w:w="898" w:type="dxa"/>
            <w:gridSpan w:val="2"/>
          </w:tcPr>
          <w:p w:rsidR="00EA521E" w:rsidRPr="00E51E8A" w:rsidRDefault="00E51E8A" w:rsidP="00EE4DF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rPr>
              <w:t>(+/-)</w:t>
            </w:r>
          </w:p>
        </w:tc>
        <w:tc>
          <w:tcPr>
            <w:tcW w:w="1260" w:type="dxa"/>
          </w:tcPr>
          <w:p w:rsidR="00EA521E" w:rsidRPr="00E51E8A" w:rsidRDefault="00EA521E" w:rsidP="00EE4DF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eastAsia="ru-RU"/>
              </w:rPr>
            </w:pPr>
            <w:r w:rsidRPr="00E51E8A">
              <w:rPr>
                <w:rFonts w:ascii="Times New Roman" w:eastAsia="Times New Roman" w:hAnsi="Times New Roman" w:cs="Times New Roman"/>
                <w:b/>
                <w:sz w:val="24"/>
                <w:szCs w:val="24"/>
                <w:lang w:eastAsia="ru-RU"/>
              </w:rPr>
              <w:t>%</w:t>
            </w:r>
          </w:p>
        </w:tc>
      </w:tr>
      <w:tr w:rsidR="00902499" w:rsidRPr="00A50B60" w:rsidTr="008D3B4F">
        <w:trPr>
          <w:trHeight w:val="195"/>
          <w:jc w:val="center"/>
        </w:trPr>
        <w:tc>
          <w:tcPr>
            <w:cnfStyle w:val="001000000000" w:firstRow="0" w:lastRow="0" w:firstColumn="1" w:lastColumn="0" w:oddVBand="0" w:evenVBand="0" w:oddHBand="0" w:evenHBand="0" w:firstRowFirstColumn="0" w:firstRowLastColumn="0" w:lastRowFirstColumn="0" w:lastRowLastColumn="0"/>
            <w:tcW w:w="2122" w:type="dxa"/>
          </w:tcPr>
          <w:p w:rsidR="00902499" w:rsidRPr="00B57BEB" w:rsidRDefault="00902499" w:rsidP="008D3B4F">
            <w:pPr>
              <w:spacing w:line="259" w:lineRule="auto"/>
              <w:jc w:val="center"/>
              <w:rPr>
                <w:rFonts w:ascii="Times New Roman" w:eastAsia="Times New Roman" w:hAnsi="Times New Roman" w:cs="Times New Roman"/>
                <w:i/>
                <w:sz w:val="20"/>
                <w:szCs w:val="24"/>
                <w:lang w:eastAsia="ru-RU"/>
              </w:rPr>
            </w:pPr>
            <w:r w:rsidRPr="00B57BEB">
              <w:rPr>
                <w:rFonts w:ascii="Times New Roman" w:eastAsia="Times New Roman" w:hAnsi="Times New Roman" w:cs="Times New Roman"/>
                <w:i/>
                <w:sz w:val="20"/>
                <w:szCs w:val="24"/>
                <w:lang w:eastAsia="ru-RU"/>
              </w:rPr>
              <w:t>1</w:t>
            </w:r>
          </w:p>
        </w:tc>
        <w:tc>
          <w:tcPr>
            <w:tcW w:w="1134" w:type="dxa"/>
          </w:tcPr>
          <w:p w:rsidR="00902499" w:rsidRPr="00B57BEB" w:rsidRDefault="00902499" w:rsidP="008D3B4F">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i/>
                <w:sz w:val="20"/>
                <w:szCs w:val="24"/>
                <w:lang w:eastAsia="ru-RU"/>
              </w:rPr>
            </w:pPr>
            <w:r w:rsidRPr="00B57BEB">
              <w:rPr>
                <w:rFonts w:ascii="Times New Roman" w:eastAsia="Times New Roman" w:hAnsi="Times New Roman" w:cs="Times New Roman"/>
                <w:b/>
                <w:i/>
                <w:sz w:val="20"/>
                <w:szCs w:val="24"/>
                <w:lang w:eastAsia="ru-RU"/>
              </w:rPr>
              <w:t>2</w:t>
            </w:r>
          </w:p>
        </w:tc>
        <w:tc>
          <w:tcPr>
            <w:tcW w:w="996" w:type="dxa"/>
          </w:tcPr>
          <w:p w:rsidR="00902499" w:rsidRPr="00B57BEB" w:rsidRDefault="00902499" w:rsidP="008D3B4F">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i/>
                <w:sz w:val="20"/>
                <w:szCs w:val="24"/>
                <w:lang w:eastAsia="ru-RU"/>
              </w:rPr>
            </w:pPr>
            <w:r w:rsidRPr="00B57BEB">
              <w:rPr>
                <w:rFonts w:ascii="Times New Roman" w:eastAsia="Times New Roman" w:hAnsi="Times New Roman" w:cs="Times New Roman"/>
                <w:b/>
                <w:i/>
                <w:sz w:val="20"/>
                <w:szCs w:val="24"/>
                <w:lang w:eastAsia="ru-RU"/>
              </w:rPr>
              <w:t>3</w:t>
            </w:r>
          </w:p>
        </w:tc>
        <w:tc>
          <w:tcPr>
            <w:tcW w:w="996" w:type="dxa"/>
          </w:tcPr>
          <w:p w:rsidR="00902499" w:rsidRPr="00B57BEB" w:rsidRDefault="00902499" w:rsidP="008D3B4F">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i/>
                <w:sz w:val="20"/>
                <w:szCs w:val="24"/>
                <w:lang w:eastAsia="ru-RU"/>
              </w:rPr>
            </w:pPr>
            <w:r w:rsidRPr="00B57BEB">
              <w:rPr>
                <w:rFonts w:ascii="Times New Roman" w:eastAsia="Times New Roman" w:hAnsi="Times New Roman" w:cs="Times New Roman"/>
                <w:b/>
                <w:i/>
                <w:sz w:val="20"/>
                <w:szCs w:val="24"/>
                <w:lang w:eastAsia="ru-RU"/>
              </w:rPr>
              <w:t>4</w:t>
            </w:r>
          </w:p>
        </w:tc>
        <w:tc>
          <w:tcPr>
            <w:tcW w:w="896" w:type="dxa"/>
            <w:gridSpan w:val="2"/>
          </w:tcPr>
          <w:p w:rsidR="00902499" w:rsidRPr="00B57BEB" w:rsidRDefault="00902499" w:rsidP="008D3B4F">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i/>
                <w:sz w:val="20"/>
                <w:szCs w:val="24"/>
              </w:rPr>
            </w:pPr>
            <w:r w:rsidRPr="00B57BEB">
              <w:rPr>
                <w:rFonts w:ascii="Times New Roman" w:eastAsia="Times New Roman" w:hAnsi="Times New Roman" w:cs="Times New Roman"/>
                <w:b/>
                <w:i/>
                <w:sz w:val="20"/>
                <w:szCs w:val="24"/>
              </w:rPr>
              <w:t>5=4-3</w:t>
            </w:r>
          </w:p>
        </w:tc>
        <w:tc>
          <w:tcPr>
            <w:tcW w:w="1260" w:type="dxa"/>
          </w:tcPr>
          <w:p w:rsidR="00902499" w:rsidRPr="00B57BEB" w:rsidRDefault="00902499" w:rsidP="008D3B4F">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i/>
                <w:sz w:val="20"/>
                <w:szCs w:val="24"/>
                <w:lang w:eastAsia="ru-RU"/>
              </w:rPr>
            </w:pPr>
            <w:r w:rsidRPr="00B57BEB">
              <w:rPr>
                <w:rFonts w:ascii="Times New Roman" w:eastAsia="Times New Roman" w:hAnsi="Times New Roman" w:cs="Times New Roman"/>
                <w:b/>
                <w:i/>
                <w:sz w:val="20"/>
                <w:szCs w:val="24"/>
                <w:lang w:eastAsia="ru-RU"/>
              </w:rPr>
              <w:t>6=4/3*100</w:t>
            </w:r>
          </w:p>
        </w:tc>
        <w:tc>
          <w:tcPr>
            <w:tcW w:w="898" w:type="dxa"/>
            <w:gridSpan w:val="2"/>
          </w:tcPr>
          <w:p w:rsidR="00902499" w:rsidRPr="00B57BEB" w:rsidRDefault="00902499" w:rsidP="008D3B4F">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i/>
                <w:sz w:val="20"/>
                <w:szCs w:val="24"/>
              </w:rPr>
            </w:pPr>
            <w:r w:rsidRPr="00B57BEB">
              <w:rPr>
                <w:rFonts w:ascii="Times New Roman" w:eastAsia="Times New Roman" w:hAnsi="Times New Roman" w:cs="Times New Roman"/>
                <w:b/>
                <w:i/>
                <w:sz w:val="20"/>
                <w:szCs w:val="24"/>
              </w:rPr>
              <w:t>7=4-2</w:t>
            </w:r>
          </w:p>
        </w:tc>
        <w:tc>
          <w:tcPr>
            <w:tcW w:w="1260" w:type="dxa"/>
          </w:tcPr>
          <w:p w:rsidR="00902499" w:rsidRPr="00B57BEB" w:rsidRDefault="00902499" w:rsidP="008D3B4F">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i/>
                <w:sz w:val="20"/>
                <w:szCs w:val="24"/>
                <w:lang w:eastAsia="ru-RU"/>
              </w:rPr>
            </w:pPr>
            <w:r w:rsidRPr="00B57BEB">
              <w:rPr>
                <w:rFonts w:ascii="Times New Roman" w:eastAsia="Times New Roman" w:hAnsi="Times New Roman" w:cs="Times New Roman"/>
                <w:b/>
                <w:i/>
                <w:sz w:val="20"/>
                <w:szCs w:val="24"/>
                <w:lang w:eastAsia="ru-RU"/>
              </w:rPr>
              <w:t>8=4/2*100</w:t>
            </w:r>
          </w:p>
        </w:tc>
      </w:tr>
      <w:tr w:rsidR="00EA521E" w:rsidRPr="00A50B60" w:rsidTr="00E8383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2" w:type="dxa"/>
          </w:tcPr>
          <w:p w:rsidR="00EA521E" w:rsidRPr="00A50B60" w:rsidRDefault="00A50B60" w:rsidP="0022195A">
            <w:pPr>
              <w:jc w:val="both"/>
              <w:rPr>
                <w:rFonts w:ascii="Times New Roman" w:eastAsia="Times New Roman" w:hAnsi="Times New Roman" w:cs="Times New Roman"/>
                <w:sz w:val="24"/>
                <w:szCs w:val="24"/>
                <w:lang w:eastAsia="ru-RU"/>
              </w:rPr>
            </w:pPr>
            <w:r w:rsidRPr="00A50B60">
              <w:rPr>
                <w:rFonts w:ascii="Times New Roman" w:eastAsia="Times New Roman" w:hAnsi="Times New Roman" w:cs="Times New Roman"/>
                <w:sz w:val="24"/>
                <w:szCs w:val="24"/>
                <w:lang w:eastAsia="ru-RU"/>
              </w:rPr>
              <w:t>Precizat pe an</w:t>
            </w:r>
          </w:p>
        </w:tc>
        <w:tc>
          <w:tcPr>
            <w:tcW w:w="1134" w:type="dxa"/>
          </w:tcPr>
          <w:p w:rsidR="00EA521E" w:rsidRPr="00A50B60" w:rsidRDefault="00EA521E" w:rsidP="00EE4DF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A50B60">
              <w:rPr>
                <w:rFonts w:ascii="Times New Roman" w:eastAsia="Times New Roman" w:hAnsi="Times New Roman" w:cs="Times New Roman"/>
                <w:sz w:val="24"/>
                <w:szCs w:val="24"/>
                <w:lang w:eastAsia="ru-RU"/>
              </w:rPr>
              <w:t>29373,4</w:t>
            </w:r>
          </w:p>
        </w:tc>
        <w:tc>
          <w:tcPr>
            <w:tcW w:w="996" w:type="dxa"/>
          </w:tcPr>
          <w:p w:rsidR="00EA521E" w:rsidRPr="00A50B60" w:rsidRDefault="00EA521E" w:rsidP="00EE4DF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A50B60">
              <w:rPr>
                <w:rFonts w:ascii="Times New Roman" w:eastAsia="Times New Roman" w:hAnsi="Times New Roman" w:cs="Times New Roman"/>
                <w:sz w:val="24"/>
                <w:szCs w:val="24"/>
                <w:lang w:eastAsia="ru-RU"/>
              </w:rPr>
              <w:t>29655,4</w:t>
            </w:r>
          </w:p>
        </w:tc>
        <w:tc>
          <w:tcPr>
            <w:tcW w:w="996" w:type="dxa"/>
          </w:tcPr>
          <w:p w:rsidR="00EA521E" w:rsidRPr="00A50B60" w:rsidRDefault="0077162A" w:rsidP="00EE4DF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A50B60">
              <w:rPr>
                <w:rFonts w:ascii="Times New Roman" w:eastAsia="Times New Roman" w:hAnsi="Times New Roman" w:cs="Times New Roman"/>
                <w:sz w:val="24"/>
                <w:szCs w:val="24"/>
                <w:lang w:eastAsia="ru-RU"/>
              </w:rPr>
              <w:t>33778,3</w:t>
            </w:r>
          </w:p>
        </w:tc>
        <w:tc>
          <w:tcPr>
            <w:tcW w:w="896" w:type="dxa"/>
            <w:gridSpan w:val="2"/>
          </w:tcPr>
          <w:p w:rsidR="00EA521E" w:rsidRPr="00A50B60" w:rsidRDefault="0077162A" w:rsidP="00EE4DF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A50B60">
              <w:rPr>
                <w:rFonts w:ascii="Times New Roman" w:eastAsia="Times New Roman" w:hAnsi="Times New Roman" w:cs="Times New Roman"/>
                <w:sz w:val="24"/>
                <w:szCs w:val="24"/>
                <w:lang w:eastAsia="ru-RU"/>
              </w:rPr>
              <w:t>4122,9</w:t>
            </w:r>
          </w:p>
        </w:tc>
        <w:tc>
          <w:tcPr>
            <w:tcW w:w="1260" w:type="dxa"/>
          </w:tcPr>
          <w:p w:rsidR="00EA521E" w:rsidRPr="00A50B60" w:rsidRDefault="0077162A" w:rsidP="00EE4DF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A50B60">
              <w:rPr>
                <w:rFonts w:ascii="Times New Roman" w:eastAsia="Times New Roman" w:hAnsi="Times New Roman" w:cs="Times New Roman"/>
                <w:sz w:val="24"/>
                <w:szCs w:val="24"/>
                <w:lang w:eastAsia="ru-RU"/>
              </w:rPr>
              <w:t>114,0</w:t>
            </w:r>
          </w:p>
        </w:tc>
        <w:tc>
          <w:tcPr>
            <w:tcW w:w="898" w:type="dxa"/>
            <w:gridSpan w:val="2"/>
          </w:tcPr>
          <w:p w:rsidR="00EA521E" w:rsidRPr="00A50B60" w:rsidRDefault="0077162A" w:rsidP="00EE4DF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A50B60">
              <w:rPr>
                <w:rFonts w:ascii="Times New Roman" w:eastAsia="Times New Roman" w:hAnsi="Times New Roman" w:cs="Times New Roman"/>
                <w:sz w:val="24"/>
                <w:szCs w:val="24"/>
                <w:lang w:eastAsia="ru-RU"/>
              </w:rPr>
              <w:t>4404,9</w:t>
            </w:r>
          </w:p>
        </w:tc>
        <w:tc>
          <w:tcPr>
            <w:tcW w:w="1260" w:type="dxa"/>
          </w:tcPr>
          <w:p w:rsidR="00EA521E" w:rsidRPr="00A50B60" w:rsidRDefault="0077162A" w:rsidP="00EE4DF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A50B60">
              <w:rPr>
                <w:rFonts w:ascii="Times New Roman" w:eastAsia="Times New Roman" w:hAnsi="Times New Roman" w:cs="Times New Roman"/>
                <w:sz w:val="24"/>
                <w:szCs w:val="24"/>
                <w:lang w:eastAsia="ru-RU"/>
              </w:rPr>
              <w:t>115,0</w:t>
            </w:r>
          </w:p>
        </w:tc>
      </w:tr>
      <w:tr w:rsidR="00EA521E" w:rsidRPr="00A50B60" w:rsidTr="00E83832">
        <w:trPr>
          <w:jc w:val="center"/>
        </w:trPr>
        <w:tc>
          <w:tcPr>
            <w:cnfStyle w:val="001000000000" w:firstRow="0" w:lastRow="0" w:firstColumn="1" w:lastColumn="0" w:oddVBand="0" w:evenVBand="0" w:oddHBand="0" w:evenHBand="0" w:firstRowFirstColumn="0" w:firstRowLastColumn="0" w:lastRowFirstColumn="0" w:lastRowLastColumn="0"/>
            <w:tcW w:w="2122" w:type="dxa"/>
          </w:tcPr>
          <w:p w:rsidR="00EA521E" w:rsidRPr="00A50B60" w:rsidRDefault="00B8703D" w:rsidP="00B8703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Executat</w:t>
            </w:r>
            <w:r w:rsidR="00EA521E" w:rsidRPr="00A50B60">
              <w:rPr>
                <w:rFonts w:ascii="Times New Roman" w:eastAsia="Times New Roman" w:hAnsi="Times New Roman" w:cs="Times New Roman"/>
                <w:sz w:val="24"/>
                <w:szCs w:val="24"/>
                <w:lang w:eastAsia="ru-RU"/>
              </w:rPr>
              <w:t xml:space="preserve"> </w:t>
            </w:r>
          </w:p>
        </w:tc>
        <w:tc>
          <w:tcPr>
            <w:tcW w:w="1134" w:type="dxa"/>
          </w:tcPr>
          <w:p w:rsidR="00EA521E" w:rsidRPr="00A50B60" w:rsidRDefault="0077162A" w:rsidP="00EE4DF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50B60">
              <w:rPr>
                <w:rFonts w:ascii="Times New Roman" w:eastAsia="Times New Roman" w:hAnsi="Times New Roman" w:cs="Times New Roman"/>
                <w:sz w:val="24"/>
                <w:szCs w:val="24"/>
                <w:lang w:eastAsia="ru-RU"/>
              </w:rPr>
              <w:t>28037,9</w:t>
            </w:r>
          </w:p>
        </w:tc>
        <w:tc>
          <w:tcPr>
            <w:tcW w:w="996" w:type="dxa"/>
          </w:tcPr>
          <w:p w:rsidR="00EA521E" w:rsidRPr="00A50B60" w:rsidRDefault="0077162A" w:rsidP="00EE4DF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50B60">
              <w:rPr>
                <w:rFonts w:ascii="Times New Roman" w:eastAsia="Times New Roman" w:hAnsi="Times New Roman" w:cs="Times New Roman"/>
                <w:sz w:val="24"/>
                <w:szCs w:val="24"/>
                <w:lang w:eastAsia="ru-RU"/>
              </w:rPr>
              <w:t>28879,6</w:t>
            </w:r>
          </w:p>
        </w:tc>
        <w:tc>
          <w:tcPr>
            <w:tcW w:w="996" w:type="dxa"/>
          </w:tcPr>
          <w:p w:rsidR="00EA521E" w:rsidRPr="00A50B60" w:rsidRDefault="0077162A" w:rsidP="00B8703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50B60">
              <w:rPr>
                <w:rFonts w:ascii="Times New Roman" w:eastAsia="Times New Roman" w:hAnsi="Times New Roman" w:cs="Times New Roman"/>
                <w:sz w:val="24"/>
                <w:szCs w:val="24"/>
                <w:lang w:eastAsia="ru-RU"/>
              </w:rPr>
              <w:t>33947,</w:t>
            </w:r>
            <w:r w:rsidR="00B8703D">
              <w:rPr>
                <w:rFonts w:ascii="Times New Roman" w:eastAsia="Times New Roman" w:hAnsi="Times New Roman" w:cs="Times New Roman"/>
                <w:sz w:val="24"/>
                <w:szCs w:val="24"/>
                <w:lang w:eastAsia="ru-RU"/>
              </w:rPr>
              <w:t>4</w:t>
            </w:r>
          </w:p>
        </w:tc>
        <w:tc>
          <w:tcPr>
            <w:tcW w:w="896" w:type="dxa"/>
            <w:gridSpan w:val="2"/>
          </w:tcPr>
          <w:p w:rsidR="00EA521E" w:rsidRPr="00A50B60" w:rsidRDefault="0077162A" w:rsidP="00B8703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50B60">
              <w:rPr>
                <w:rFonts w:ascii="Times New Roman" w:eastAsia="Times New Roman" w:hAnsi="Times New Roman" w:cs="Times New Roman"/>
                <w:sz w:val="24"/>
                <w:szCs w:val="24"/>
                <w:lang w:eastAsia="ru-RU"/>
              </w:rPr>
              <w:t>5067,</w:t>
            </w:r>
            <w:r w:rsidR="00B8703D">
              <w:rPr>
                <w:rFonts w:ascii="Times New Roman" w:eastAsia="Times New Roman" w:hAnsi="Times New Roman" w:cs="Times New Roman"/>
                <w:sz w:val="24"/>
                <w:szCs w:val="24"/>
                <w:lang w:eastAsia="ru-RU"/>
              </w:rPr>
              <w:t>8</w:t>
            </w:r>
          </w:p>
        </w:tc>
        <w:tc>
          <w:tcPr>
            <w:tcW w:w="1260" w:type="dxa"/>
          </w:tcPr>
          <w:p w:rsidR="00EA521E" w:rsidRPr="00A50B60" w:rsidRDefault="0077162A" w:rsidP="00B8703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50B60">
              <w:rPr>
                <w:rFonts w:ascii="Times New Roman" w:eastAsia="Times New Roman" w:hAnsi="Times New Roman" w:cs="Times New Roman"/>
                <w:sz w:val="24"/>
                <w:szCs w:val="24"/>
                <w:lang w:eastAsia="ru-RU"/>
              </w:rPr>
              <w:t>11</w:t>
            </w:r>
            <w:r w:rsidR="00B8703D">
              <w:rPr>
                <w:rFonts w:ascii="Times New Roman" w:eastAsia="Times New Roman" w:hAnsi="Times New Roman" w:cs="Times New Roman"/>
                <w:sz w:val="24"/>
                <w:szCs w:val="24"/>
                <w:lang w:eastAsia="ru-RU"/>
              </w:rPr>
              <w:t>7</w:t>
            </w:r>
            <w:r w:rsidRPr="00A50B60">
              <w:rPr>
                <w:rFonts w:ascii="Times New Roman" w:eastAsia="Times New Roman" w:hAnsi="Times New Roman" w:cs="Times New Roman"/>
                <w:sz w:val="24"/>
                <w:szCs w:val="24"/>
                <w:lang w:eastAsia="ru-RU"/>
              </w:rPr>
              <w:t>,</w:t>
            </w:r>
            <w:r w:rsidR="00B8703D">
              <w:rPr>
                <w:rFonts w:ascii="Times New Roman" w:eastAsia="Times New Roman" w:hAnsi="Times New Roman" w:cs="Times New Roman"/>
                <w:sz w:val="24"/>
                <w:szCs w:val="24"/>
                <w:lang w:eastAsia="ru-RU"/>
              </w:rPr>
              <w:t>5</w:t>
            </w:r>
          </w:p>
        </w:tc>
        <w:tc>
          <w:tcPr>
            <w:tcW w:w="898" w:type="dxa"/>
            <w:gridSpan w:val="2"/>
          </w:tcPr>
          <w:p w:rsidR="00EA521E" w:rsidRPr="00A50B60" w:rsidRDefault="0077162A" w:rsidP="000B735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50B60">
              <w:rPr>
                <w:rFonts w:ascii="Times New Roman" w:eastAsia="Times New Roman" w:hAnsi="Times New Roman" w:cs="Times New Roman"/>
                <w:sz w:val="24"/>
                <w:szCs w:val="24"/>
                <w:lang w:eastAsia="ru-RU"/>
              </w:rPr>
              <w:t>5909,</w:t>
            </w:r>
            <w:r w:rsidR="000B735E">
              <w:rPr>
                <w:rFonts w:ascii="Times New Roman" w:eastAsia="Times New Roman" w:hAnsi="Times New Roman" w:cs="Times New Roman"/>
                <w:sz w:val="24"/>
                <w:szCs w:val="24"/>
                <w:lang w:eastAsia="ru-RU"/>
              </w:rPr>
              <w:t>5</w:t>
            </w:r>
          </w:p>
        </w:tc>
        <w:tc>
          <w:tcPr>
            <w:tcW w:w="1260" w:type="dxa"/>
          </w:tcPr>
          <w:p w:rsidR="00EA521E" w:rsidRPr="00A50B60" w:rsidRDefault="0077162A" w:rsidP="000B735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50B60">
              <w:rPr>
                <w:rFonts w:ascii="Times New Roman" w:eastAsia="Times New Roman" w:hAnsi="Times New Roman" w:cs="Times New Roman"/>
                <w:sz w:val="24"/>
                <w:szCs w:val="24"/>
                <w:lang w:eastAsia="ru-RU"/>
              </w:rPr>
              <w:t>121,</w:t>
            </w:r>
            <w:r w:rsidR="000B735E">
              <w:rPr>
                <w:rFonts w:ascii="Times New Roman" w:eastAsia="Times New Roman" w:hAnsi="Times New Roman" w:cs="Times New Roman"/>
                <w:sz w:val="24"/>
                <w:szCs w:val="24"/>
                <w:lang w:eastAsia="ru-RU"/>
              </w:rPr>
              <w:t>1</w:t>
            </w:r>
          </w:p>
        </w:tc>
      </w:tr>
      <w:tr w:rsidR="00EA521E" w:rsidRPr="00A50B60" w:rsidTr="00E8383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2" w:type="dxa"/>
          </w:tcPr>
          <w:p w:rsidR="00EA521E" w:rsidRPr="00A50B60" w:rsidRDefault="00EA521E" w:rsidP="0022195A">
            <w:pPr>
              <w:jc w:val="both"/>
              <w:rPr>
                <w:rFonts w:ascii="Times New Roman" w:eastAsia="Times New Roman" w:hAnsi="Times New Roman" w:cs="Times New Roman"/>
                <w:sz w:val="24"/>
                <w:szCs w:val="24"/>
                <w:lang w:eastAsia="ru-RU"/>
              </w:rPr>
            </w:pPr>
            <w:r w:rsidRPr="00A50B60">
              <w:rPr>
                <w:rFonts w:ascii="Times New Roman" w:eastAsia="Times New Roman" w:hAnsi="Times New Roman" w:cs="Times New Roman"/>
                <w:sz w:val="24"/>
                <w:szCs w:val="24"/>
                <w:lang w:eastAsia="ru-RU"/>
              </w:rPr>
              <w:t xml:space="preserve">Devieri </w:t>
            </w:r>
          </w:p>
        </w:tc>
        <w:tc>
          <w:tcPr>
            <w:tcW w:w="1134" w:type="dxa"/>
            <w:vAlign w:val="center"/>
          </w:tcPr>
          <w:p w:rsidR="00EA521E" w:rsidRPr="00A50B60" w:rsidRDefault="0077162A" w:rsidP="00EE4DF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A50B60">
              <w:rPr>
                <w:rFonts w:ascii="Times New Roman" w:eastAsia="Times New Roman" w:hAnsi="Times New Roman" w:cs="Times New Roman"/>
                <w:sz w:val="24"/>
                <w:szCs w:val="24"/>
                <w:lang w:eastAsia="ru-RU"/>
              </w:rPr>
              <w:t>(-1335,5)</w:t>
            </w:r>
          </w:p>
        </w:tc>
        <w:tc>
          <w:tcPr>
            <w:tcW w:w="996" w:type="dxa"/>
            <w:vAlign w:val="center"/>
          </w:tcPr>
          <w:p w:rsidR="00EA521E" w:rsidRPr="00A50B60" w:rsidRDefault="0077162A" w:rsidP="00EE4DF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A50B60">
              <w:rPr>
                <w:rFonts w:ascii="Times New Roman" w:eastAsia="Times New Roman" w:hAnsi="Times New Roman" w:cs="Times New Roman"/>
                <w:sz w:val="24"/>
                <w:szCs w:val="24"/>
                <w:lang w:eastAsia="ru-RU"/>
              </w:rPr>
              <w:t>(-775,8)</w:t>
            </w:r>
          </w:p>
        </w:tc>
        <w:tc>
          <w:tcPr>
            <w:tcW w:w="996" w:type="dxa"/>
            <w:vAlign w:val="center"/>
          </w:tcPr>
          <w:p w:rsidR="00EA521E" w:rsidRPr="00A50B60" w:rsidRDefault="0077162A" w:rsidP="000B735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A50B60">
              <w:rPr>
                <w:rFonts w:ascii="Times New Roman" w:eastAsia="Times New Roman" w:hAnsi="Times New Roman" w:cs="Times New Roman"/>
                <w:sz w:val="24"/>
                <w:szCs w:val="24"/>
                <w:lang w:eastAsia="ru-RU"/>
              </w:rPr>
              <w:t>169,</w:t>
            </w:r>
            <w:r w:rsidR="000B735E">
              <w:rPr>
                <w:rFonts w:ascii="Times New Roman" w:eastAsia="Times New Roman" w:hAnsi="Times New Roman" w:cs="Times New Roman"/>
                <w:sz w:val="24"/>
                <w:szCs w:val="24"/>
                <w:lang w:eastAsia="ru-RU"/>
              </w:rPr>
              <w:t>1</w:t>
            </w:r>
          </w:p>
        </w:tc>
        <w:tc>
          <w:tcPr>
            <w:tcW w:w="896" w:type="dxa"/>
            <w:gridSpan w:val="2"/>
            <w:vAlign w:val="center"/>
          </w:tcPr>
          <w:p w:rsidR="00EA521E" w:rsidRPr="00A50B60" w:rsidRDefault="0077162A" w:rsidP="00EE4DF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A50B60">
              <w:rPr>
                <w:rFonts w:ascii="Times New Roman" w:eastAsia="Times New Roman" w:hAnsi="Times New Roman" w:cs="Times New Roman"/>
                <w:sz w:val="24"/>
                <w:szCs w:val="24"/>
                <w:lang w:eastAsia="ru-RU"/>
              </w:rPr>
              <w:t>x</w:t>
            </w:r>
          </w:p>
        </w:tc>
        <w:tc>
          <w:tcPr>
            <w:tcW w:w="1260" w:type="dxa"/>
            <w:vAlign w:val="center"/>
          </w:tcPr>
          <w:p w:rsidR="00EA521E" w:rsidRPr="00A50B60" w:rsidRDefault="0077162A" w:rsidP="00EE4DF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A50B60">
              <w:rPr>
                <w:rFonts w:ascii="Times New Roman" w:eastAsia="Times New Roman" w:hAnsi="Times New Roman" w:cs="Times New Roman"/>
                <w:sz w:val="24"/>
                <w:szCs w:val="24"/>
                <w:lang w:eastAsia="ru-RU"/>
              </w:rPr>
              <w:t>x</w:t>
            </w:r>
          </w:p>
        </w:tc>
        <w:tc>
          <w:tcPr>
            <w:tcW w:w="898" w:type="dxa"/>
            <w:gridSpan w:val="2"/>
            <w:vAlign w:val="center"/>
          </w:tcPr>
          <w:p w:rsidR="00EA521E" w:rsidRPr="00A50B60" w:rsidRDefault="0077162A" w:rsidP="00EE4DF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A50B60">
              <w:rPr>
                <w:rFonts w:ascii="Times New Roman" w:eastAsia="Times New Roman" w:hAnsi="Times New Roman" w:cs="Times New Roman"/>
                <w:sz w:val="24"/>
                <w:szCs w:val="24"/>
                <w:lang w:eastAsia="ru-RU"/>
              </w:rPr>
              <w:t>x</w:t>
            </w:r>
          </w:p>
        </w:tc>
        <w:tc>
          <w:tcPr>
            <w:tcW w:w="1260" w:type="dxa"/>
            <w:vAlign w:val="center"/>
          </w:tcPr>
          <w:p w:rsidR="00EA521E" w:rsidRPr="00A50B60" w:rsidRDefault="0077162A" w:rsidP="00EE4DF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A50B60">
              <w:rPr>
                <w:rFonts w:ascii="Times New Roman" w:eastAsia="Times New Roman" w:hAnsi="Times New Roman" w:cs="Times New Roman"/>
                <w:sz w:val="24"/>
                <w:szCs w:val="24"/>
                <w:lang w:eastAsia="ru-RU"/>
              </w:rPr>
              <w:t>x</w:t>
            </w:r>
          </w:p>
        </w:tc>
      </w:tr>
      <w:tr w:rsidR="00EA521E" w:rsidRPr="00A50B60" w:rsidTr="00E83832">
        <w:trPr>
          <w:jc w:val="center"/>
        </w:trPr>
        <w:tc>
          <w:tcPr>
            <w:cnfStyle w:val="001000000000" w:firstRow="0" w:lastRow="0" w:firstColumn="1" w:lastColumn="0" w:oddVBand="0" w:evenVBand="0" w:oddHBand="0" w:evenHBand="0" w:firstRowFirstColumn="0" w:firstRowLastColumn="0" w:lastRowFirstColumn="0" w:lastRowLastColumn="0"/>
            <w:tcW w:w="2122" w:type="dxa"/>
          </w:tcPr>
          <w:p w:rsidR="00EA521E" w:rsidRPr="00A50B60" w:rsidRDefault="00EA521E" w:rsidP="0022195A">
            <w:pPr>
              <w:jc w:val="both"/>
              <w:rPr>
                <w:rFonts w:ascii="Times New Roman" w:eastAsia="Times New Roman" w:hAnsi="Times New Roman" w:cs="Times New Roman"/>
                <w:sz w:val="24"/>
                <w:szCs w:val="24"/>
                <w:lang w:eastAsia="ru-RU"/>
              </w:rPr>
            </w:pPr>
            <w:r w:rsidRPr="00A50B60">
              <w:rPr>
                <w:rFonts w:ascii="Times New Roman" w:eastAsia="Times New Roman" w:hAnsi="Times New Roman" w:cs="Times New Roman"/>
                <w:sz w:val="24"/>
                <w:szCs w:val="24"/>
                <w:lang w:eastAsia="ru-RU"/>
              </w:rPr>
              <w:t>Procentul executării</w:t>
            </w:r>
          </w:p>
        </w:tc>
        <w:tc>
          <w:tcPr>
            <w:tcW w:w="1134" w:type="dxa"/>
            <w:vAlign w:val="center"/>
          </w:tcPr>
          <w:p w:rsidR="00EA521E" w:rsidRPr="00A50B60" w:rsidRDefault="0077162A" w:rsidP="00EE4DF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50B60">
              <w:rPr>
                <w:rFonts w:ascii="Times New Roman" w:eastAsia="Times New Roman" w:hAnsi="Times New Roman" w:cs="Times New Roman"/>
                <w:sz w:val="24"/>
                <w:szCs w:val="24"/>
                <w:lang w:eastAsia="ru-RU"/>
              </w:rPr>
              <w:t>95,5</w:t>
            </w:r>
          </w:p>
        </w:tc>
        <w:tc>
          <w:tcPr>
            <w:tcW w:w="996" w:type="dxa"/>
            <w:vAlign w:val="center"/>
          </w:tcPr>
          <w:p w:rsidR="00EA521E" w:rsidRPr="00A50B60" w:rsidRDefault="0077162A" w:rsidP="00EE4DF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50B60">
              <w:rPr>
                <w:rFonts w:ascii="Times New Roman" w:eastAsia="Times New Roman" w:hAnsi="Times New Roman" w:cs="Times New Roman"/>
                <w:sz w:val="24"/>
                <w:szCs w:val="24"/>
                <w:lang w:eastAsia="ru-RU"/>
              </w:rPr>
              <w:t>97,3</w:t>
            </w:r>
          </w:p>
        </w:tc>
        <w:tc>
          <w:tcPr>
            <w:tcW w:w="996" w:type="dxa"/>
            <w:vAlign w:val="center"/>
          </w:tcPr>
          <w:p w:rsidR="00EA521E" w:rsidRPr="00A50B60" w:rsidRDefault="0077162A" w:rsidP="000B735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50B60">
              <w:rPr>
                <w:rFonts w:ascii="Times New Roman" w:eastAsia="Times New Roman" w:hAnsi="Times New Roman" w:cs="Times New Roman"/>
                <w:sz w:val="24"/>
                <w:szCs w:val="24"/>
                <w:lang w:eastAsia="ru-RU"/>
              </w:rPr>
              <w:t>100,</w:t>
            </w:r>
            <w:r w:rsidR="000B735E">
              <w:rPr>
                <w:rFonts w:ascii="Times New Roman" w:eastAsia="Times New Roman" w:hAnsi="Times New Roman" w:cs="Times New Roman"/>
                <w:sz w:val="24"/>
                <w:szCs w:val="24"/>
                <w:lang w:eastAsia="ru-RU"/>
              </w:rPr>
              <w:t>5</w:t>
            </w:r>
          </w:p>
        </w:tc>
        <w:tc>
          <w:tcPr>
            <w:tcW w:w="896" w:type="dxa"/>
            <w:gridSpan w:val="2"/>
            <w:vAlign w:val="center"/>
          </w:tcPr>
          <w:p w:rsidR="00EA521E" w:rsidRPr="00A50B60" w:rsidRDefault="0077162A" w:rsidP="00EE4DF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50B60">
              <w:rPr>
                <w:rFonts w:ascii="Times New Roman" w:eastAsia="Times New Roman" w:hAnsi="Times New Roman" w:cs="Times New Roman"/>
                <w:sz w:val="24"/>
                <w:szCs w:val="24"/>
                <w:lang w:eastAsia="ru-RU"/>
              </w:rPr>
              <w:t>x</w:t>
            </w:r>
          </w:p>
        </w:tc>
        <w:tc>
          <w:tcPr>
            <w:tcW w:w="1260" w:type="dxa"/>
            <w:vAlign w:val="center"/>
          </w:tcPr>
          <w:p w:rsidR="00EA521E" w:rsidRPr="00A50B60" w:rsidRDefault="0077162A" w:rsidP="00EE4DF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50B60">
              <w:rPr>
                <w:rFonts w:ascii="Times New Roman" w:eastAsia="Times New Roman" w:hAnsi="Times New Roman" w:cs="Times New Roman"/>
                <w:sz w:val="24"/>
                <w:szCs w:val="24"/>
                <w:lang w:eastAsia="ru-RU"/>
              </w:rPr>
              <w:t>x</w:t>
            </w:r>
          </w:p>
        </w:tc>
        <w:tc>
          <w:tcPr>
            <w:tcW w:w="898" w:type="dxa"/>
            <w:gridSpan w:val="2"/>
            <w:vAlign w:val="center"/>
          </w:tcPr>
          <w:p w:rsidR="00EA521E" w:rsidRPr="00A50B60" w:rsidRDefault="0077162A" w:rsidP="00EE4DF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50B60">
              <w:rPr>
                <w:rFonts w:ascii="Times New Roman" w:eastAsia="Times New Roman" w:hAnsi="Times New Roman" w:cs="Times New Roman"/>
                <w:sz w:val="24"/>
                <w:szCs w:val="24"/>
                <w:lang w:eastAsia="ru-RU"/>
              </w:rPr>
              <w:t>x</w:t>
            </w:r>
          </w:p>
        </w:tc>
        <w:tc>
          <w:tcPr>
            <w:tcW w:w="1260" w:type="dxa"/>
            <w:vAlign w:val="center"/>
          </w:tcPr>
          <w:p w:rsidR="00EA521E" w:rsidRPr="00A50B60" w:rsidRDefault="0077162A" w:rsidP="00EE4DF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50B60">
              <w:rPr>
                <w:rFonts w:ascii="Times New Roman" w:eastAsia="Times New Roman" w:hAnsi="Times New Roman" w:cs="Times New Roman"/>
                <w:sz w:val="24"/>
                <w:szCs w:val="24"/>
                <w:lang w:eastAsia="ru-RU"/>
              </w:rPr>
              <w:t>x</w:t>
            </w:r>
          </w:p>
        </w:tc>
      </w:tr>
    </w:tbl>
    <w:p w:rsidR="00EA521E" w:rsidRDefault="0077162A" w:rsidP="00E83832">
      <w:pPr>
        <w:spacing w:after="120" w:line="276" w:lineRule="auto"/>
        <w:jc w:val="both"/>
        <w:rPr>
          <w:rFonts w:ascii="Times New Roman" w:eastAsia="Times New Roman" w:hAnsi="Times New Roman" w:cs="Times New Roman"/>
          <w:sz w:val="28"/>
          <w:szCs w:val="28"/>
          <w:lang w:eastAsia="ru-RU"/>
        </w:rPr>
      </w:pPr>
      <w:r w:rsidRPr="00E06960">
        <w:rPr>
          <w:rFonts w:ascii="Times New Roman" w:eastAsia="Times New Roman" w:hAnsi="Times New Roman" w:cs="Times New Roman"/>
          <w:b/>
          <w:i/>
          <w:sz w:val="20"/>
          <w:szCs w:val="24"/>
          <w:lang w:eastAsia="ru-RU"/>
        </w:rPr>
        <w:t>Surs</w:t>
      </w:r>
      <w:r w:rsidR="008847E8">
        <w:rPr>
          <w:rFonts w:ascii="Times New Roman" w:eastAsia="Times New Roman" w:hAnsi="Times New Roman" w:cs="Times New Roman"/>
          <w:b/>
          <w:i/>
          <w:sz w:val="20"/>
          <w:szCs w:val="24"/>
          <w:lang w:eastAsia="ru-RU"/>
        </w:rPr>
        <w:t>ă</w:t>
      </w:r>
      <w:r w:rsidRPr="00E06960">
        <w:rPr>
          <w:rFonts w:ascii="Times New Roman" w:eastAsia="Times New Roman" w:hAnsi="Times New Roman" w:cs="Times New Roman"/>
          <w:b/>
          <w:i/>
          <w:sz w:val="20"/>
          <w:szCs w:val="24"/>
          <w:lang w:eastAsia="ru-RU"/>
        </w:rPr>
        <w:t xml:space="preserve">: </w:t>
      </w:r>
      <w:r w:rsidR="007E663A" w:rsidRPr="007E663A">
        <w:rPr>
          <w:rFonts w:ascii="Times New Roman" w:eastAsia="Times New Roman" w:hAnsi="Times New Roman" w:cs="Times New Roman"/>
          <w:i/>
          <w:sz w:val="20"/>
          <w:szCs w:val="24"/>
          <w:lang w:eastAsia="ru-RU"/>
        </w:rPr>
        <w:t xml:space="preserve">Informații generalizate de </w:t>
      </w:r>
      <w:r w:rsidR="00764D6E">
        <w:rPr>
          <w:rFonts w:ascii="Times New Roman" w:eastAsia="Times New Roman" w:hAnsi="Times New Roman" w:cs="Times New Roman"/>
          <w:i/>
          <w:sz w:val="20"/>
          <w:szCs w:val="24"/>
          <w:lang w:eastAsia="ru-RU"/>
        </w:rPr>
        <w:t xml:space="preserve">echipa de </w:t>
      </w:r>
      <w:r w:rsidR="007E663A" w:rsidRPr="007E663A">
        <w:rPr>
          <w:rFonts w:ascii="Times New Roman" w:eastAsia="Times New Roman" w:hAnsi="Times New Roman" w:cs="Times New Roman"/>
          <w:i/>
          <w:sz w:val="20"/>
          <w:szCs w:val="24"/>
          <w:lang w:eastAsia="ru-RU"/>
        </w:rPr>
        <w:t xml:space="preserve">audit din </w:t>
      </w:r>
      <w:r w:rsidRPr="00E06960">
        <w:rPr>
          <w:rFonts w:ascii="Times New Roman" w:eastAsia="Times New Roman" w:hAnsi="Times New Roman" w:cs="Times New Roman"/>
          <w:i/>
          <w:sz w:val="20"/>
          <w:szCs w:val="24"/>
          <w:lang w:eastAsia="ru-RU"/>
        </w:rPr>
        <w:t>Rapoartele privind executarea bugetului de stat pe anii 2015-2017</w:t>
      </w:r>
      <w:r w:rsidR="000A2F32">
        <w:rPr>
          <w:rFonts w:ascii="Times New Roman" w:eastAsia="Times New Roman" w:hAnsi="Times New Roman" w:cs="Times New Roman"/>
          <w:i/>
          <w:sz w:val="20"/>
          <w:szCs w:val="24"/>
          <w:lang w:eastAsia="ru-RU"/>
        </w:rPr>
        <w:t>.</w:t>
      </w:r>
    </w:p>
    <w:p w:rsidR="001231E3" w:rsidRDefault="0022195A" w:rsidP="008D3B4F">
      <w:pPr>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Analiza d</w:t>
      </w:r>
      <w:r w:rsidR="001231E3">
        <w:rPr>
          <w:rFonts w:ascii="Times New Roman" w:eastAsia="Times New Roman" w:hAnsi="Times New Roman" w:cs="Times New Roman"/>
          <w:sz w:val="28"/>
          <w:szCs w:val="28"/>
          <w:lang w:eastAsia="ru-RU"/>
        </w:rPr>
        <w:t>atel</w:t>
      </w:r>
      <w:r>
        <w:rPr>
          <w:rFonts w:ascii="Times New Roman" w:eastAsia="Times New Roman" w:hAnsi="Times New Roman" w:cs="Times New Roman"/>
          <w:sz w:val="28"/>
          <w:szCs w:val="28"/>
          <w:lang w:eastAsia="ru-RU"/>
        </w:rPr>
        <w:t>or</w:t>
      </w:r>
      <w:r w:rsidR="001231E3">
        <w:rPr>
          <w:rFonts w:ascii="Times New Roman" w:eastAsia="Times New Roman" w:hAnsi="Times New Roman" w:cs="Times New Roman"/>
          <w:sz w:val="28"/>
          <w:szCs w:val="28"/>
          <w:lang w:eastAsia="ru-RU"/>
        </w:rPr>
        <w:t xml:space="preserve"> din tabel denotă că veniturile </w:t>
      </w:r>
      <w:r w:rsidR="000B735E">
        <w:rPr>
          <w:rFonts w:ascii="Times New Roman" w:eastAsia="Times New Roman" w:hAnsi="Times New Roman" w:cs="Times New Roman"/>
          <w:sz w:val="28"/>
          <w:szCs w:val="28"/>
          <w:lang w:eastAsia="ru-RU"/>
        </w:rPr>
        <w:t>execut</w:t>
      </w:r>
      <w:r w:rsidR="001231E3">
        <w:rPr>
          <w:rFonts w:ascii="Times New Roman" w:eastAsia="Times New Roman" w:hAnsi="Times New Roman" w:cs="Times New Roman"/>
          <w:sz w:val="28"/>
          <w:szCs w:val="28"/>
          <w:lang w:eastAsia="ru-RU"/>
        </w:rPr>
        <w:t xml:space="preserve">ate </w:t>
      </w:r>
      <w:r>
        <w:rPr>
          <w:rFonts w:ascii="Times New Roman" w:eastAsia="Times New Roman" w:hAnsi="Times New Roman" w:cs="Times New Roman"/>
          <w:sz w:val="28"/>
          <w:szCs w:val="28"/>
          <w:lang w:eastAsia="ru-RU"/>
        </w:rPr>
        <w:t>în anul 2017</w:t>
      </w:r>
      <w:r w:rsidR="008847E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1231E3">
        <w:rPr>
          <w:rFonts w:ascii="Times New Roman" w:eastAsia="Times New Roman" w:hAnsi="Times New Roman" w:cs="Times New Roman"/>
          <w:sz w:val="28"/>
          <w:szCs w:val="28"/>
          <w:lang w:eastAsia="ru-RU"/>
        </w:rPr>
        <w:t>față de perioadele precedente</w:t>
      </w:r>
      <w:r w:rsidR="008847E8">
        <w:rPr>
          <w:rFonts w:ascii="Times New Roman" w:eastAsia="Times New Roman" w:hAnsi="Times New Roman" w:cs="Times New Roman"/>
          <w:sz w:val="28"/>
          <w:szCs w:val="28"/>
          <w:lang w:eastAsia="ru-RU"/>
        </w:rPr>
        <w:t>,</w:t>
      </w:r>
      <w:r w:rsidR="001231E3">
        <w:rPr>
          <w:rFonts w:ascii="Times New Roman" w:eastAsia="Times New Roman" w:hAnsi="Times New Roman" w:cs="Times New Roman"/>
          <w:sz w:val="28"/>
          <w:szCs w:val="28"/>
          <w:lang w:eastAsia="ru-RU"/>
        </w:rPr>
        <w:t xml:space="preserve"> relevă o </w:t>
      </w:r>
      <w:r>
        <w:rPr>
          <w:rFonts w:ascii="Times New Roman" w:eastAsia="Times New Roman" w:hAnsi="Times New Roman" w:cs="Times New Roman"/>
          <w:sz w:val="28"/>
          <w:szCs w:val="28"/>
          <w:lang w:eastAsia="ru-RU"/>
        </w:rPr>
        <w:t xml:space="preserve">tendință de </w:t>
      </w:r>
      <w:r w:rsidR="001231E3">
        <w:rPr>
          <w:rFonts w:ascii="Times New Roman" w:eastAsia="Times New Roman" w:hAnsi="Times New Roman" w:cs="Times New Roman"/>
          <w:sz w:val="28"/>
          <w:szCs w:val="28"/>
          <w:lang w:eastAsia="ru-RU"/>
        </w:rPr>
        <w:t>creștere</w:t>
      </w:r>
      <w:r>
        <w:rPr>
          <w:rFonts w:ascii="Times New Roman" w:eastAsia="Times New Roman" w:hAnsi="Times New Roman" w:cs="Times New Roman"/>
          <w:sz w:val="28"/>
          <w:szCs w:val="28"/>
          <w:lang w:eastAsia="ru-RU"/>
        </w:rPr>
        <w:t>. Astfel, creșterea față</w:t>
      </w:r>
      <w:r w:rsidR="001231E3">
        <w:rPr>
          <w:rFonts w:ascii="Times New Roman" w:eastAsia="Times New Roman" w:hAnsi="Times New Roman" w:cs="Times New Roman"/>
          <w:sz w:val="28"/>
          <w:szCs w:val="28"/>
          <w:lang w:eastAsia="ru-RU"/>
        </w:rPr>
        <w:t xml:space="preserve"> de </w:t>
      </w:r>
      <w:r>
        <w:rPr>
          <w:rFonts w:ascii="Times New Roman" w:eastAsia="Times New Roman" w:hAnsi="Times New Roman" w:cs="Times New Roman"/>
          <w:sz w:val="28"/>
          <w:szCs w:val="28"/>
          <w:lang w:eastAsia="ru-RU"/>
        </w:rPr>
        <w:t xml:space="preserve">anii 2016 și 2015 constituie circa </w:t>
      </w:r>
      <w:r w:rsidR="001231E3">
        <w:rPr>
          <w:rFonts w:ascii="Times New Roman" w:eastAsia="Times New Roman" w:hAnsi="Times New Roman" w:cs="Times New Roman"/>
          <w:sz w:val="28"/>
          <w:szCs w:val="28"/>
          <w:lang w:eastAsia="ru-RU"/>
        </w:rPr>
        <w:t xml:space="preserve">17,5% </w:t>
      </w:r>
      <w:r>
        <w:rPr>
          <w:rFonts w:ascii="Times New Roman" w:eastAsia="Times New Roman" w:hAnsi="Times New Roman" w:cs="Times New Roman"/>
          <w:sz w:val="28"/>
          <w:szCs w:val="28"/>
          <w:lang w:eastAsia="ru-RU"/>
        </w:rPr>
        <w:t>și, respectiv, 21,</w:t>
      </w:r>
      <w:r w:rsidR="000B735E">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w:t>
      </w:r>
      <w:r w:rsidR="000A2F3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sau cu </w:t>
      </w:r>
      <w:r w:rsidR="001231E3">
        <w:rPr>
          <w:rFonts w:ascii="Times New Roman" w:eastAsia="Times New Roman" w:hAnsi="Times New Roman" w:cs="Times New Roman"/>
          <w:sz w:val="28"/>
          <w:szCs w:val="28"/>
          <w:lang w:eastAsia="ru-RU"/>
        </w:rPr>
        <w:t>5067,</w:t>
      </w:r>
      <w:r w:rsidR="000B735E">
        <w:rPr>
          <w:rFonts w:ascii="Times New Roman" w:eastAsia="Times New Roman" w:hAnsi="Times New Roman" w:cs="Times New Roman"/>
          <w:sz w:val="28"/>
          <w:szCs w:val="28"/>
          <w:lang w:eastAsia="ru-RU"/>
        </w:rPr>
        <w:t>8</w:t>
      </w:r>
      <w:r w:rsidR="0059355F">
        <w:rPr>
          <w:rFonts w:ascii="Times New Roman" w:eastAsia="Times New Roman" w:hAnsi="Times New Roman" w:cs="Times New Roman"/>
          <w:sz w:val="28"/>
          <w:szCs w:val="28"/>
          <w:lang w:eastAsia="ru-RU"/>
        </w:rPr>
        <w:t xml:space="preserve"> </w:t>
      </w:r>
      <w:r w:rsidR="001231E3">
        <w:rPr>
          <w:rFonts w:ascii="Times New Roman" w:eastAsia="Times New Roman" w:hAnsi="Times New Roman" w:cs="Times New Roman"/>
          <w:sz w:val="28"/>
          <w:szCs w:val="28"/>
          <w:lang w:eastAsia="ru-RU"/>
        </w:rPr>
        <w:t>mil.lei</w:t>
      </w:r>
      <w:r>
        <w:rPr>
          <w:rFonts w:ascii="Times New Roman" w:eastAsia="Times New Roman" w:hAnsi="Times New Roman" w:cs="Times New Roman"/>
          <w:sz w:val="28"/>
          <w:szCs w:val="28"/>
          <w:lang w:eastAsia="ru-RU"/>
        </w:rPr>
        <w:t xml:space="preserve"> și, respectiv,</w:t>
      </w:r>
      <w:r w:rsidR="00764D6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cu </w:t>
      </w:r>
      <w:r w:rsidR="0059355F">
        <w:rPr>
          <w:rFonts w:ascii="Times New Roman" w:eastAsia="Times New Roman" w:hAnsi="Times New Roman" w:cs="Times New Roman"/>
          <w:sz w:val="28"/>
          <w:szCs w:val="28"/>
          <w:lang w:eastAsia="ru-RU"/>
        </w:rPr>
        <w:t>5909,</w:t>
      </w:r>
      <w:r w:rsidR="000B735E">
        <w:rPr>
          <w:rFonts w:ascii="Times New Roman" w:eastAsia="Times New Roman" w:hAnsi="Times New Roman" w:cs="Times New Roman"/>
          <w:sz w:val="28"/>
          <w:szCs w:val="28"/>
          <w:lang w:eastAsia="ru-RU"/>
        </w:rPr>
        <w:t>5</w:t>
      </w:r>
      <w:r w:rsidR="0059355F">
        <w:rPr>
          <w:rFonts w:ascii="Times New Roman" w:eastAsia="Times New Roman" w:hAnsi="Times New Roman" w:cs="Times New Roman"/>
          <w:sz w:val="28"/>
          <w:szCs w:val="28"/>
          <w:lang w:eastAsia="ru-RU"/>
        </w:rPr>
        <w:t xml:space="preserve"> mil.</w:t>
      </w:r>
      <w:r>
        <w:rPr>
          <w:rFonts w:ascii="Times New Roman" w:eastAsia="Times New Roman" w:hAnsi="Times New Roman" w:cs="Times New Roman"/>
          <w:sz w:val="28"/>
          <w:szCs w:val="28"/>
          <w:lang w:eastAsia="ru-RU"/>
        </w:rPr>
        <w:t>lei mai mult.</w:t>
      </w:r>
    </w:p>
    <w:p w:rsidR="001231E3" w:rsidRPr="00301182" w:rsidRDefault="0022195A" w:rsidP="008D3B4F">
      <w:pPr>
        <w:spacing w:after="0" w:line="276" w:lineRule="auto"/>
        <w:ind w:firstLine="720"/>
        <w:jc w:val="both"/>
        <w:rPr>
          <w:rFonts w:ascii="Times New Roman" w:hAnsi="Times New Roman"/>
          <w:b/>
          <w:sz w:val="28"/>
          <w:szCs w:val="28"/>
        </w:rPr>
      </w:pPr>
      <w:r>
        <w:rPr>
          <w:rFonts w:ascii="Times New Roman" w:hAnsi="Times New Roman"/>
          <w:sz w:val="28"/>
          <w:szCs w:val="28"/>
        </w:rPr>
        <w:t>Analiza auditului privind</w:t>
      </w:r>
      <w:r w:rsidR="0059355F">
        <w:rPr>
          <w:rFonts w:ascii="Times New Roman" w:hAnsi="Times New Roman"/>
          <w:sz w:val="28"/>
          <w:szCs w:val="28"/>
        </w:rPr>
        <w:t xml:space="preserve"> r</w:t>
      </w:r>
      <w:r w:rsidR="001231E3" w:rsidRPr="00561723">
        <w:rPr>
          <w:rFonts w:ascii="Times New Roman" w:hAnsi="Times New Roman"/>
          <w:sz w:val="28"/>
          <w:szCs w:val="28"/>
        </w:rPr>
        <w:t>ealizarea veniturilor bugetului de stat</w:t>
      </w:r>
      <w:r w:rsidR="001231E3">
        <w:rPr>
          <w:rFonts w:ascii="Times New Roman" w:hAnsi="Times New Roman"/>
          <w:sz w:val="28"/>
          <w:szCs w:val="28"/>
        </w:rPr>
        <w:t xml:space="preserve"> în anul 2017</w:t>
      </w:r>
      <w:r>
        <w:rPr>
          <w:rFonts w:ascii="Times New Roman" w:hAnsi="Times New Roman"/>
          <w:sz w:val="28"/>
          <w:szCs w:val="28"/>
        </w:rPr>
        <w:t xml:space="preserve"> în aspectul </w:t>
      </w:r>
      <w:r w:rsidR="00FE3BCC">
        <w:rPr>
          <w:rFonts w:ascii="Times New Roman" w:hAnsi="Times New Roman"/>
          <w:sz w:val="28"/>
          <w:szCs w:val="28"/>
        </w:rPr>
        <w:t>C</w:t>
      </w:r>
      <w:r>
        <w:rPr>
          <w:rFonts w:ascii="Times New Roman" w:hAnsi="Times New Roman"/>
          <w:sz w:val="28"/>
          <w:szCs w:val="28"/>
        </w:rPr>
        <w:t xml:space="preserve">lasificației bugetare și </w:t>
      </w:r>
      <w:r w:rsidR="00DF288C">
        <w:rPr>
          <w:rFonts w:ascii="Times New Roman" w:hAnsi="Times New Roman"/>
          <w:sz w:val="28"/>
          <w:szCs w:val="28"/>
        </w:rPr>
        <w:t>conturilor trezoreriale respective</w:t>
      </w:r>
      <w:r w:rsidR="001231E3">
        <w:rPr>
          <w:rFonts w:ascii="Times New Roman" w:hAnsi="Times New Roman"/>
          <w:sz w:val="28"/>
          <w:szCs w:val="28"/>
        </w:rPr>
        <w:t xml:space="preserve">, în comparație cu indicii </w:t>
      </w:r>
      <w:r w:rsidR="00DF288C">
        <w:rPr>
          <w:rFonts w:ascii="Times New Roman" w:hAnsi="Times New Roman"/>
          <w:sz w:val="28"/>
          <w:szCs w:val="28"/>
        </w:rPr>
        <w:t>precizați</w:t>
      </w:r>
      <w:r w:rsidR="00085321">
        <w:rPr>
          <w:rFonts w:ascii="Times New Roman" w:hAnsi="Times New Roman"/>
          <w:sz w:val="28"/>
          <w:szCs w:val="28"/>
        </w:rPr>
        <w:t>,</w:t>
      </w:r>
      <w:r w:rsidR="001231E3">
        <w:rPr>
          <w:rFonts w:ascii="Times New Roman" w:hAnsi="Times New Roman"/>
          <w:sz w:val="28"/>
          <w:szCs w:val="28"/>
        </w:rPr>
        <w:t xml:space="preserve"> </w:t>
      </w:r>
      <w:r w:rsidR="00DF288C">
        <w:rPr>
          <w:rFonts w:ascii="Times New Roman" w:hAnsi="Times New Roman"/>
          <w:sz w:val="28"/>
          <w:szCs w:val="28"/>
        </w:rPr>
        <w:t>denotă o dinamică pozitivă</w:t>
      </w:r>
      <w:r w:rsidR="00085321">
        <w:rPr>
          <w:rFonts w:ascii="Times New Roman" w:hAnsi="Times New Roman"/>
          <w:sz w:val="28"/>
          <w:szCs w:val="28"/>
        </w:rPr>
        <w:t>,</w:t>
      </w:r>
      <w:r w:rsidR="00DF288C">
        <w:rPr>
          <w:rFonts w:ascii="Times New Roman" w:hAnsi="Times New Roman"/>
          <w:sz w:val="28"/>
          <w:szCs w:val="28"/>
        </w:rPr>
        <w:t xml:space="preserve"> comparativ cu perioada precedentă. De asemenea, se atestă că și </w:t>
      </w:r>
      <w:r w:rsidR="001231E3" w:rsidRPr="00561723">
        <w:rPr>
          <w:rFonts w:ascii="Times New Roman" w:hAnsi="Times New Roman"/>
          <w:sz w:val="28"/>
          <w:szCs w:val="28"/>
        </w:rPr>
        <w:t xml:space="preserve">ponderea </w:t>
      </w:r>
      <w:r w:rsidR="00DF288C">
        <w:rPr>
          <w:rFonts w:ascii="Times New Roman" w:hAnsi="Times New Roman"/>
          <w:sz w:val="28"/>
          <w:szCs w:val="28"/>
        </w:rPr>
        <w:t>veniturilor bugetului de stat încasate în anul 2017</w:t>
      </w:r>
      <w:r w:rsidR="001231E3">
        <w:rPr>
          <w:rFonts w:ascii="Times New Roman" w:hAnsi="Times New Roman"/>
          <w:sz w:val="28"/>
          <w:szCs w:val="28"/>
        </w:rPr>
        <w:t xml:space="preserve"> </w:t>
      </w:r>
      <w:r w:rsidR="001231E3">
        <w:rPr>
          <w:rFonts w:ascii="Times New Roman" w:hAnsi="Times New Roman"/>
          <w:sz w:val="28"/>
          <w:szCs w:val="28"/>
        </w:rPr>
        <w:lastRenderedPageBreak/>
        <w:t xml:space="preserve">în totalul încasărilor </w:t>
      </w:r>
      <w:r w:rsidR="001231E3" w:rsidRPr="00561723">
        <w:rPr>
          <w:rFonts w:ascii="Times New Roman" w:hAnsi="Times New Roman"/>
          <w:sz w:val="28"/>
          <w:szCs w:val="28"/>
        </w:rPr>
        <w:t xml:space="preserve">în PIB </w:t>
      </w:r>
      <w:r w:rsidR="00A93944">
        <w:rPr>
          <w:rFonts w:ascii="Times New Roman" w:hAnsi="Times New Roman"/>
          <w:sz w:val="28"/>
          <w:szCs w:val="28"/>
        </w:rPr>
        <w:t>a înregistrat</w:t>
      </w:r>
      <w:r w:rsidR="00DF288C">
        <w:rPr>
          <w:rFonts w:ascii="Times New Roman" w:hAnsi="Times New Roman"/>
          <w:sz w:val="28"/>
          <w:szCs w:val="28"/>
        </w:rPr>
        <w:t xml:space="preserve"> </w:t>
      </w:r>
      <w:r w:rsidR="00070A40">
        <w:rPr>
          <w:rFonts w:ascii="Times New Roman" w:hAnsi="Times New Roman"/>
          <w:sz w:val="28"/>
          <w:szCs w:val="28"/>
        </w:rPr>
        <w:t xml:space="preserve">o </w:t>
      </w:r>
      <w:r w:rsidR="00DF288C">
        <w:rPr>
          <w:rFonts w:ascii="Times New Roman" w:hAnsi="Times New Roman"/>
          <w:sz w:val="28"/>
          <w:szCs w:val="28"/>
        </w:rPr>
        <w:t>creștere.</w:t>
      </w:r>
      <w:r w:rsidR="00A93944">
        <w:rPr>
          <w:rFonts w:ascii="Times New Roman" w:hAnsi="Times New Roman"/>
          <w:sz w:val="28"/>
          <w:szCs w:val="28"/>
        </w:rPr>
        <w:t xml:space="preserve"> </w:t>
      </w:r>
      <w:r w:rsidR="00DF288C" w:rsidRPr="009B00AC">
        <w:rPr>
          <w:rFonts w:ascii="Times New Roman" w:hAnsi="Times New Roman"/>
          <w:i/>
          <w:sz w:val="28"/>
          <w:szCs w:val="28"/>
        </w:rPr>
        <w:t>Rezultatele analizei efectuate</w:t>
      </w:r>
      <w:r w:rsidR="00A93944" w:rsidRPr="009B00AC">
        <w:rPr>
          <w:rFonts w:ascii="Times New Roman" w:hAnsi="Times New Roman"/>
          <w:i/>
          <w:sz w:val="28"/>
          <w:szCs w:val="28"/>
        </w:rPr>
        <w:t xml:space="preserve"> </w:t>
      </w:r>
      <w:r w:rsidR="00DF288C" w:rsidRPr="009B00AC">
        <w:rPr>
          <w:rFonts w:ascii="Times New Roman" w:hAnsi="Times New Roman"/>
          <w:i/>
          <w:sz w:val="28"/>
          <w:szCs w:val="28"/>
        </w:rPr>
        <w:t>se prezint</w:t>
      </w:r>
      <w:r w:rsidR="001231E3" w:rsidRPr="009B00AC">
        <w:rPr>
          <w:rFonts w:ascii="Times New Roman" w:hAnsi="Times New Roman"/>
          <w:i/>
          <w:sz w:val="28"/>
          <w:szCs w:val="28"/>
        </w:rPr>
        <w:t xml:space="preserve">ă în </w:t>
      </w:r>
      <w:r w:rsidR="001231E3" w:rsidRPr="009F1372">
        <w:rPr>
          <w:rFonts w:ascii="Times New Roman" w:hAnsi="Times New Roman"/>
          <w:i/>
          <w:sz w:val="28"/>
          <w:szCs w:val="28"/>
        </w:rPr>
        <w:t>Tabelul nr.</w:t>
      </w:r>
      <w:r w:rsidR="009B00AC">
        <w:rPr>
          <w:rFonts w:ascii="Times New Roman" w:hAnsi="Times New Roman"/>
          <w:i/>
          <w:sz w:val="28"/>
          <w:szCs w:val="28"/>
        </w:rPr>
        <w:t>1 din Anexa nr.</w:t>
      </w:r>
      <w:r w:rsidR="007B7508">
        <w:rPr>
          <w:rFonts w:ascii="Times New Roman" w:hAnsi="Times New Roman"/>
          <w:i/>
          <w:sz w:val="28"/>
          <w:szCs w:val="28"/>
        </w:rPr>
        <w:t>4</w:t>
      </w:r>
      <w:r w:rsidR="009B00AC">
        <w:rPr>
          <w:rFonts w:ascii="Times New Roman" w:hAnsi="Times New Roman"/>
          <w:i/>
          <w:sz w:val="28"/>
          <w:szCs w:val="28"/>
        </w:rPr>
        <w:t xml:space="preserve"> la prezentul Raport</w:t>
      </w:r>
      <w:r w:rsidR="00070A40">
        <w:rPr>
          <w:rFonts w:ascii="Times New Roman" w:hAnsi="Times New Roman"/>
          <w:i/>
          <w:sz w:val="28"/>
          <w:szCs w:val="28"/>
        </w:rPr>
        <w:t xml:space="preserve"> de audit</w:t>
      </w:r>
      <w:r w:rsidR="009B00AC">
        <w:rPr>
          <w:rFonts w:ascii="Times New Roman" w:hAnsi="Times New Roman"/>
          <w:i/>
          <w:sz w:val="28"/>
          <w:szCs w:val="28"/>
        </w:rPr>
        <w:t>.</w:t>
      </w:r>
      <w:r w:rsidR="001231E3" w:rsidRPr="00301182">
        <w:rPr>
          <w:rFonts w:ascii="Times New Roman" w:hAnsi="Times New Roman"/>
          <w:b/>
          <w:sz w:val="28"/>
          <w:szCs w:val="28"/>
        </w:rPr>
        <w:t xml:space="preserve"> </w:t>
      </w:r>
    </w:p>
    <w:p w:rsidR="001231E3" w:rsidRDefault="00F56F55" w:rsidP="008D3B4F">
      <w:pPr>
        <w:spacing w:after="0" w:line="276" w:lineRule="auto"/>
        <w:ind w:firstLine="72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Astfel, auditul constată </w:t>
      </w:r>
      <w:r w:rsidR="00A93944">
        <w:rPr>
          <w:rFonts w:ascii="Times New Roman" w:eastAsia="Times New Roman" w:hAnsi="Times New Roman" w:cs="Times New Roman"/>
          <w:sz w:val="28"/>
          <w:szCs w:val="24"/>
          <w:lang w:eastAsia="ru-RU"/>
        </w:rPr>
        <w:t>că</w:t>
      </w:r>
      <w:r w:rsidR="001231E3">
        <w:rPr>
          <w:rFonts w:ascii="Times New Roman" w:eastAsia="Times New Roman" w:hAnsi="Times New Roman" w:cs="Times New Roman"/>
          <w:sz w:val="28"/>
          <w:szCs w:val="24"/>
          <w:lang w:eastAsia="ru-RU"/>
        </w:rPr>
        <w:t xml:space="preserve"> </w:t>
      </w:r>
      <w:r w:rsidR="00AB5587">
        <w:rPr>
          <w:rFonts w:ascii="Times New Roman" w:eastAsia="Times New Roman" w:hAnsi="Times New Roman" w:cs="Times New Roman"/>
          <w:sz w:val="28"/>
          <w:szCs w:val="24"/>
          <w:lang w:eastAsia="ru-RU"/>
        </w:rPr>
        <w:t xml:space="preserve">ponderea majoră în totalul veniturilor bugetului de stat revine </w:t>
      </w:r>
      <w:r w:rsidR="00AB5587" w:rsidRPr="00622893">
        <w:rPr>
          <w:rFonts w:ascii="Times New Roman" w:eastAsia="Times New Roman" w:hAnsi="Times New Roman" w:cs="Times New Roman"/>
          <w:sz w:val="28"/>
          <w:szCs w:val="24"/>
          <w:lang w:eastAsia="ru-RU"/>
        </w:rPr>
        <w:t>impozitelor și taxelor</w:t>
      </w:r>
      <w:r w:rsidR="00AB5587">
        <w:rPr>
          <w:rFonts w:ascii="Times New Roman" w:eastAsia="Times New Roman" w:hAnsi="Times New Roman" w:cs="Times New Roman"/>
          <w:sz w:val="28"/>
          <w:szCs w:val="24"/>
          <w:lang w:eastAsia="ru-RU"/>
        </w:rPr>
        <w:t xml:space="preserve"> </w:t>
      </w:r>
      <w:r w:rsidR="00070A40">
        <w:rPr>
          <w:rFonts w:ascii="Times New Roman" w:eastAsia="Times New Roman" w:hAnsi="Times New Roman" w:cs="Times New Roman"/>
          <w:sz w:val="28"/>
          <w:szCs w:val="24"/>
          <w:lang w:eastAsia="ru-RU"/>
        </w:rPr>
        <w:t>–</w:t>
      </w:r>
      <w:r w:rsidR="00AB5587">
        <w:rPr>
          <w:rFonts w:ascii="Times New Roman" w:eastAsia="Times New Roman" w:hAnsi="Times New Roman" w:cs="Times New Roman"/>
          <w:sz w:val="28"/>
          <w:szCs w:val="24"/>
          <w:lang w:eastAsia="ru-RU"/>
        </w:rPr>
        <w:t xml:space="preserve"> 91,9%, acestea fiind încasate în sumă de </w:t>
      </w:r>
      <w:r w:rsidR="00AB5587" w:rsidRPr="00622893">
        <w:rPr>
          <w:rFonts w:ascii="Times New Roman" w:eastAsia="Times New Roman" w:hAnsi="Times New Roman" w:cs="Times New Roman"/>
          <w:sz w:val="28"/>
          <w:szCs w:val="24"/>
          <w:lang w:eastAsia="ru-RU"/>
        </w:rPr>
        <w:t>31201,6 mil.lei</w:t>
      </w:r>
      <w:r w:rsidR="00070A40" w:rsidRPr="00622893">
        <w:rPr>
          <w:rFonts w:ascii="Times New Roman" w:eastAsia="Times New Roman" w:hAnsi="Times New Roman" w:cs="Times New Roman"/>
          <w:sz w:val="28"/>
          <w:szCs w:val="24"/>
          <w:lang w:eastAsia="ru-RU"/>
        </w:rPr>
        <w:t>,</w:t>
      </w:r>
      <w:r w:rsidR="00AB5587" w:rsidRPr="00DE25FF">
        <w:rPr>
          <w:rFonts w:ascii="Times New Roman" w:eastAsia="Times New Roman" w:hAnsi="Times New Roman" w:cs="Times New Roman"/>
          <w:sz w:val="28"/>
          <w:szCs w:val="24"/>
          <w:lang w:eastAsia="ru-RU"/>
        </w:rPr>
        <w:t xml:space="preserve"> sau cu</w:t>
      </w:r>
      <w:r w:rsidR="00AB5587">
        <w:rPr>
          <w:rFonts w:ascii="Times New Roman" w:eastAsia="Times New Roman" w:hAnsi="Times New Roman" w:cs="Times New Roman"/>
          <w:sz w:val="28"/>
          <w:szCs w:val="24"/>
          <w:lang w:eastAsia="ru-RU"/>
        </w:rPr>
        <w:t xml:space="preserve"> 397,7 mil.lei peste nivelul precizat.</w:t>
      </w:r>
      <w:r w:rsidR="00764D6E">
        <w:rPr>
          <w:rFonts w:ascii="Times New Roman" w:eastAsia="Times New Roman" w:hAnsi="Times New Roman" w:cs="Times New Roman"/>
          <w:sz w:val="28"/>
          <w:szCs w:val="24"/>
          <w:lang w:eastAsia="ru-RU"/>
        </w:rPr>
        <w:t xml:space="preserve"> </w:t>
      </w:r>
      <w:r w:rsidR="00AB5587">
        <w:rPr>
          <w:rFonts w:ascii="Times New Roman" w:eastAsia="Times New Roman" w:hAnsi="Times New Roman" w:cs="Times New Roman"/>
          <w:sz w:val="28"/>
          <w:szCs w:val="24"/>
          <w:lang w:eastAsia="ru-RU"/>
        </w:rPr>
        <w:t xml:space="preserve">În comparație cu anul 2016, nivelul acestora înregistrează o creștere de </w:t>
      </w:r>
      <w:r w:rsidR="00AB5587" w:rsidRPr="00691F19">
        <w:rPr>
          <w:rFonts w:ascii="Times New Roman" w:eastAsia="Times New Roman" w:hAnsi="Times New Roman" w:cs="Times New Roman"/>
          <w:sz w:val="28"/>
          <w:szCs w:val="24"/>
          <w:lang w:eastAsia="ru-RU"/>
        </w:rPr>
        <w:t>5076,1</w:t>
      </w:r>
      <w:r w:rsidR="00AB5587">
        <w:rPr>
          <w:rFonts w:ascii="Times New Roman" w:eastAsia="Times New Roman" w:hAnsi="Times New Roman" w:cs="Times New Roman"/>
          <w:sz w:val="28"/>
          <w:szCs w:val="24"/>
          <w:lang w:eastAsia="ru-RU"/>
        </w:rPr>
        <w:t xml:space="preserve"> mil.lei. În total, </w:t>
      </w:r>
      <w:r w:rsidR="001231E3">
        <w:rPr>
          <w:rFonts w:ascii="Times New Roman" w:eastAsia="Times New Roman" w:hAnsi="Times New Roman" w:cs="Times New Roman"/>
          <w:sz w:val="28"/>
          <w:szCs w:val="24"/>
          <w:lang w:eastAsia="ru-RU"/>
        </w:rPr>
        <w:t xml:space="preserve">veniturile bugetului de stat realizate în anul 2017 reprezintă 22,6% </w:t>
      </w:r>
      <w:r w:rsidR="00070A40">
        <w:rPr>
          <w:rFonts w:ascii="Times New Roman" w:eastAsia="Times New Roman" w:hAnsi="Times New Roman" w:cs="Times New Roman"/>
          <w:sz w:val="28"/>
          <w:szCs w:val="24"/>
          <w:lang w:eastAsia="ru-RU"/>
        </w:rPr>
        <w:t>din</w:t>
      </w:r>
      <w:r w:rsidR="001231E3">
        <w:rPr>
          <w:rFonts w:ascii="Times New Roman" w:eastAsia="Times New Roman" w:hAnsi="Times New Roman" w:cs="Times New Roman"/>
          <w:sz w:val="28"/>
          <w:szCs w:val="24"/>
          <w:lang w:eastAsia="ru-RU"/>
        </w:rPr>
        <w:t xml:space="preserve"> PIB, </w:t>
      </w:r>
      <w:r w:rsidR="00AB5587">
        <w:rPr>
          <w:rFonts w:ascii="Times New Roman" w:eastAsia="Times New Roman" w:hAnsi="Times New Roman" w:cs="Times New Roman"/>
          <w:sz w:val="28"/>
          <w:szCs w:val="24"/>
          <w:lang w:eastAsia="ru-RU"/>
        </w:rPr>
        <w:t>care sunt</w:t>
      </w:r>
      <w:r w:rsidR="001231E3">
        <w:rPr>
          <w:rFonts w:ascii="Times New Roman" w:eastAsia="Times New Roman" w:hAnsi="Times New Roman" w:cs="Times New Roman"/>
          <w:sz w:val="28"/>
          <w:szCs w:val="24"/>
          <w:lang w:eastAsia="ru-RU"/>
        </w:rPr>
        <w:t xml:space="preserve"> în creștere cu 1,3 p</w:t>
      </w:r>
      <w:r w:rsidR="00AB5587">
        <w:rPr>
          <w:rFonts w:ascii="Times New Roman" w:eastAsia="Times New Roman" w:hAnsi="Times New Roman" w:cs="Times New Roman"/>
          <w:sz w:val="28"/>
          <w:szCs w:val="24"/>
          <w:lang w:eastAsia="ru-RU"/>
        </w:rPr>
        <w:t>.</w:t>
      </w:r>
      <w:r w:rsidR="001231E3">
        <w:rPr>
          <w:rFonts w:ascii="Times New Roman" w:eastAsia="Times New Roman" w:hAnsi="Times New Roman" w:cs="Times New Roman"/>
          <w:sz w:val="28"/>
          <w:szCs w:val="24"/>
          <w:lang w:eastAsia="ru-RU"/>
        </w:rPr>
        <w:t>p</w:t>
      </w:r>
      <w:r w:rsidR="00AB5587">
        <w:rPr>
          <w:rFonts w:ascii="Times New Roman" w:eastAsia="Times New Roman" w:hAnsi="Times New Roman" w:cs="Times New Roman"/>
          <w:sz w:val="28"/>
          <w:szCs w:val="24"/>
          <w:lang w:eastAsia="ru-RU"/>
        </w:rPr>
        <w:t>.</w:t>
      </w:r>
      <w:r w:rsidR="001231E3">
        <w:rPr>
          <w:rFonts w:ascii="Times New Roman" w:eastAsia="Times New Roman" w:hAnsi="Times New Roman" w:cs="Times New Roman"/>
          <w:sz w:val="28"/>
          <w:szCs w:val="24"/>
          <w:lang w:eastAsia="ru-RU"/>
        </w:rPr>
        <w:t xml:space="preserve"> comparativ cu anul 2016. </w:t>
      </w:r>
    </w:p>
    <w:p w:rsidR="001231E3" w:rsidRPr="00471C43" w:rsidRDefault="001231E3" w:rsidP="008D3B4F">
      <w:pPr>
        <w:spacing w:after="0" w:line="276" w:lineRule="auto"/>
        <w:ind w:firstLine="720"/>
        <w:jc w:val="both"/>
        <w:rPr>
          <w:rFonts w:ascii="Times New Roman" w:hAnsi="Times New Roman" w:cs="Times New Roman"/>
          <w:b/>
          <w:sz w:val="28"/>
        </w:rPr>
      </w:pPr>
      <w:r>
        <w:rPr>
          <w:rFonts w:ascii="Times New Roman" w:eastAsia="Times New Roman" w:hAnsi="Times New Roman" w:cs="Times New Roman"/>
          <w:sz w:val="28"/>
          <w:szCs w:val="24"/>
          <w:lang w:eastAsia="ru-RU"/>
        </w:rPr>
        <w:t>Analiza auditului denotă că</w:t>
      </w:r>
      <w:r w:rsidR="00070A40">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 xml:space="preserve"> </w:t>
      </w:r>
      <w:r w:rsidR="00BA1044">
        <w:rPr>
          <w:rFonts w:ascii="Times New Roman" w:eastAsia="Times New Roman" w:hAnsi="Times New Roman" w:cs="Times New Roman"/>
          <w:sz w:val="28"/>
          <w:szCs w:val="24"/>
          <w:lang w:eastAsia="ru-RU"/>
        </w:rPr>
        <w:t xml:space="preserve">în totalul </w:t>
      </w:r>
      <w:r>
        <w:rPr>
          <w:rFonts w:ascii="Times New Roman" w:eastAsia="Times New Roman" w:hAnsi="Times New Roman" w:cs="Times New Roman"/>
          <w:sz w:val="28"/>
          <w:szCs w:val="24"/>
          <w:lang w:eastAsia="ru-RU"/>
        </w:rPr>
        <w:t>venituril</w:t>
      </w:r>
      <w:r w:rsidR="00BA1044">
        <w:rPr>
          <w:rFonts w:ascii="Times New Roman" w:eastAsia="Times New Roman" w:hAnsi="Times New Roman" w:cs="Times New Roman"/>
          <w:sz w:val="28"/>
          <w:szCs w:val="24"/>
          <w:lang w:eastAsia="ru-RU"/>
        </w:rPr>
        <w:t>or</w:t>
      </w:r>
      <w:r>
        <w:rPr>
          <w:rFonts w:ascii="Times New Roman" w:eastAsia="Times New Roman" w:hAnsi="Times New Roman" w:cs="Times New Roman"/>
          <w:sz w:val="28"/>
          <w:szCs w:val="24"/>
          <w:lang w:eastAsia="ru-RU"/>
        </w:rPr>
        <w:t xml:space="preserve"> bugetului de stat</w:t>
      </w:r>
      <w:r w:rsidR="00070A40">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 xml:space="preserve"> </w:t>
      </w:r>
      <w:r w:rsidR="00BA1044">
        <w:rPr>
          <w:rFonts w:ascii="Times New Roman" w:eastAsia="Times New Roman" w:hAnsi="Times New Roman" w:cs="Times New Roman"/>
          <w:sz w:val="28"/>
          <w:szCs w:val="24"/>
          <w:lang w:eastAsia="ru-RU"/>
        </w:rPr>
        <w:t xml:space="preserve">ponderea cea mai semnificativă revine celor provenite din încasările </w:t>
      </w:r>
      <w:r w:rsidRPr="00622893">
        <w:rPr>
          <w:rFonts w:ascii="Times New Roman" w:eastAsia="Times New Roman" w:hAnsi="Times New Roman" w:cs="Times New Roman"/>
          <w:sz w:val="28"/>
          <w:szCs w:val="24"/>
          <w:lang w:eastAsia="ru-RU"/>
        </w:rPr>
        <w:t>TVA</w:t>
      </w:r>
      <w:r w:rsidR="00BA1044" w:rsidRPr="00622893">
        <w:rPr>
          <w:rFonts w:ascii="Times New Roman" w:eastAsia="Times New Roman" w:hAnsi="Times New Roman" w:cs="Times New Roman"/>
          <w:sz w:val="28"/>
          <w:szCs w:val="24"/>
          <w:lang w:eastAsia="ru-RU"/>
        </w:rPr>
        <w:t>,</w:t>
      </w:r>
      <w:r w:rsidRPr="00637331">
        <w:rPr>
          <w:rFonts w:ascii="Times New Roman" w:eastAsia="Times New Roman" w:hAnsi="Times New Roman" w:cs="Times New Roman"/>
          <w:sz w:val="28"/>
          <w:szCs w:val="24"/>
          <w:lang w:eastAsia="ru-RU"/>
        </w:rPr>
        <w:t xml:space="preserve"> </w:t>
      </w:r>
      <w:r w:rsidR="00A93944">
        <w:rPr>
          <w:rFonts w:ascii="Times New Roman" w:eastAsia="Times New Roman" w:hAnsi="Times New Roman" w:cs="Times New Roman"/>
          <w:sz w:val="28"/>
          <w:szCs w:val="24"/>
          <w:lang w:eastAsia="ru-RU"/>
        </w:rPr>
        <w:t xml:space="preserve">în sumă de 16788,8 mil.lei, sau </w:t>
      </w:r>
      <w:r>
        <w:rPr>
          <w:rFonts w:ascii="Times New Roman" w:eastAsia="Times New Roman" w:hAnsi="Times New Roman" w:cs="Times New Roman"/>
          <w:sz w:val="28"/>
          <w:szCs w:val="24"/>
          <w:lang w:eastAsia="ru-RU"/>
        </w:rPr>
        <w:t xml:space="preserve">49,5%; </w:t>
      </w:r>
      <w:r w:rsidR="00070A40" w:rsidRPr="00622893">
        <w:rPr>
          <w:rFonts w:ascii="Times New Roman" w:eastAsia="Times New Roman" w:hAnsi="Times New Roman" w:cs="Times New Roman"/>
          <w:sz w:val="28"/>
          <w:szCs w:val="24"/>
          <w:lang w:eastAsia="ru-RU"/>
        </w:rPr>
        <w:t>a</w:t>
      </w:r>
      <w:r w:rsidRPr="00622893">
        <w:rPr>
          <w:rFonts w:ascii="Times New Roman" w:eastAsia="Times New Roman" w:hAnsi="Times New Roman" w:cs="Times New Roman"/>
          <w:sz w:val="28"/>
          <w:szCs w:val="24"/>
          <w:lang w:eastAsia="ru-RU"/>
        </w:rPr>
        <w:t>ccize</w:t>
      </w:r>
      <w:r w:rsidR="00070A40" w:rsidRPr="00622893">
        <w:rPr>
          <w:rFonts w:ascii="Times New Roman" w:eastAsia="Times New Roman" w:hAnsi="Times New Roman" w:cs="Times New Roman"/>
          <w:sz w:val="28"/>
          <w:szCs w:val="24"/>
          <w:lang w:eastAsia="ru-RU"/>
        </w:rPr>
        <w:t>lor</w:t>
      </w:r>
      <w:r w:rsidRPr="00622893">
        <w:rPr>
          <w:rFonts w:ascii="Times New Roman" w:eastAsia="Times New Roman" w:hAnsi="Times New Roman" w:cs="Times New Roman"/>
          <w:b/>
          <w:sz w:val="28"/>
          <w:szCs w:val="24"/>
          <w:lang w:eastAsia="ru-RU"/>
        </w:rPr>
        <w:t xml:space="preserve"> </w:t>
      </w:r>
      <w:r>
        <w:rPr>
          <w:rFonts w:ascii="Times New Roman" w:eastAsia="Times New Roman" w:hAnsi="Times New Roman" w:cs="Times New Roman"/>
          <w:b/>
          <w:sz w:val="28"/>
          <w:szCs w:val="24"/>
          <w:lang w:eastAsia="ru-RU"/>
        </w:rPr>
        <w:t xml:space="preserve">- </w:t>
      </w:r>
      <w:r>
        <w:rPr>
          <w:rFonts w:ascii="Times New Roman" w:eastAsia="Times New Roman" w:hAnsi="Times New Roman" w:cs="Times New Roman"/>
          <w:sz w:val="28"/>
          <w:szCs w:val="24"/>
          <w:lang w:eastAsia="ru-RU"/>
        </w:rPr>
        <w:t>5947,0 mil.lei</w:t>
      </w:r>
      <w:r w:rsidR="00A93944">
        <w:rPr>
          <w:rFonts w:ascii="Times New Roman" w:eastAsia="Times New Roman" w:hAnsi="Times New Roman" w:cs="Times New Roman"/>
          <w:sz w:val="28"/>
          <w:szCs w:val="24"/>
          <w:lang w:eastAsia="ru-RU"/>
        </w:rPr>
        <w:t>, sau</w:t>
      </w:r>
      <w:r>
        <w:rPr>
          <w:rFonts w:ascii="Times New Roman" w:eastAsia="Times New Roman" w:hAnsi="Times New Roman" w:cs="Times New Roman"/>
          <w:sz w:val="28"/>
          <w:szCs w:val="24"/>
          <w:lang w:eastAsia="ru-RU"/>
        </w:rPr>
        <w:t xml:space="preserve"> 17,</w:t>
      </w:r>
      <w:r w:rsidR="00A93944">
        <w:rPr>
          <w:rFonts w:ascii="Times New Roman" w:eastAsia="Times New Roman" w:hAnsi="Times New Roman" w:cs="Times New Roman"/>
          <w:sz w:val="28"/>
          <w:szCs w:val="24"/>
          <w:lang w:eastAsia="ru-RU"/>
        </w:rPr>
        <w:t xml:space="preserve">5%; </w:t>
      </w:r>
      <w:r w:rsidR="00070A40" w:rsidRPr="00622893">
        <w:rPr>
          <w:rFonts w:ascii="Times New Roman" w:eastAsia="Times New Roman" w:hAnsi="Times New Roman" w:cs="Times New Roman"/>
          <w:sz w:val="28"/>
          <w:szCs w:val="24"/>
          <w:lang w:eastAsia="ru-RU"/>
        </w:rPr>
        <w:t>i</w:t>
      </w:r>
      <w:r w:rsidRPr="00622893">
        <w:rPr>
          <w:rFonts w:ascii="Times New Roman" w:eastAsia="Times New Roman" w:hAnsi="Times New Roman" w:cs="Times New Roman"/>
          <w:sz w:val="28"/>
          <w:szCs w:val="24"/>
          <w:lang w:eastAsia="ru-RU"/>
        </w:rPr>
        <w:t>mpozitul</w:t>
      </w:r>
      <w:r w:rsidR="00070A40" w:rsidRPr="00622893">
        <w:rPr>
          <w:rFonts w:ascii="Times New Roman" w:eastAsia="Times New Roman" w:hAnsi="Times New Roman" w:cs="Times New Roman"/>
          <w:sz w:val="28"/>
          <w:szCs w:val="24"/>
          <w:lang w:eastAsia="ru-RU"/>
        </w:rPr>
        <w:t>ui</w:t>
      </w:r>
      <w:r w:rsidRPr="00622893">
        <w:rPr>
          <w:rFonts w:ascii="Times New Roman" w:eastAsia="Times New Roman" w:hAnsi="Times New Roman" w:cs="Times New Roman"/>
          <w:sz w:val="28"/>
          <w:szCs w:val="24"/>
          <w:lang w:eastAsia="ru-RU"/>
        </w:rPr>
        <w:t xml:space="preserve"> pe venit</w:t>
      </w:r>
      <w:r w:rsidR="00BA1044">
        <w:rPr>
          <w:rFonts w:ascii="Times New Roman" w:eastAsia="Times New Roman" w:hAnsi="Times New Roman" w:cs="Times New Roman"/>
          <w:i/>
          <w:sz w:val="28"/>
          <w:szCs w:val="24"/>
          <w:lang w:eastAsia="ru-RU"/>
        </w:rPr>
        <w:t xml:space="preserve"> </w:t>
      </w:r>
      <w:r w:rsidR="00070A40">
        <w:rPr>
          <w:rFonts w:ascii="Times New Roman" w:eastAsia="Times New Roman" w:hAnsi="Times New Roman" w:cs="Times New Roman"/>
          <w:i/>
          <w:sz w:val="28"/>
          <w:szCs w:val="24"/>
          <w:lang w:eastAsia="ru-RU"/>
        </w:rPr>
        <w:t>–</w:t>
      </w:r>
      <w:r>
        <w:rPr>
          <w:rFonts w:ascii="Times New Roman" w:eastAsia="Times New Roman" w:hAnsi="Times New Roman" w:cs="Times New Roman"/>
          <w:b/>
          <w:sz w:val="28"/>
          <w:szCs w:val="24"/>
          <w:lang w:eastAsia="ru-RU"/>
        </w:rPr>
        <w:t xml:space="preserve"> </w:t>
      </w:r>
      <w:r w:rsidR="00A93944">
        <w:rPr>
          <w:rFonts w:ascii="Times New Roman" w:eastAsia="Times New Roman" w:hAnsi="Times New Roman" w:cs="Times New Roman"/>
          <w:sz w:val="28"/>
          <w:szCs w:val="24"/>
          <w:lang w:eastAsia="ru-RU"/>
        </w:rPr>
        <w:t>5541,4 mil.lei</w:t>
      </w:r>
      <w:r w:rsidR="00070A40">
        <w:rPr>
          <w:rFonts w:ascii="Times New Roman" w:eastAsia="Times New Roman" w:hAnsi="Times New Roman" w:cs="Times New Roman"/>
          <w:sz w:val="28"/>
          <w:szCs w:val="24"/>
          <w:lang w:eastAsia="ru-RU"/>
        </w:rPr>
        <w:t>,</w:t>
      </w:r>
      <w:r w:rsidR="00A93944">
        <w:rPr>
          <w:rFonts w:ascii="Times New Roman" w:eastAsia="Times New Roman" w:hAnsi="Times New Roman" w:cs="Times New Roman"/>
          <w:sz w:val="28"/>
          <w:szCs w:val="24"/>
          <w:lang w:eastAsia="ru-RU"/>
        </w:rPr>
        <w:t xml:space="preserve"> sau </w:t>
      </w:r>
      <w:r w:rsidR="00BA1044">
        <w:rPr>
          <w:rFonts w:ascii="Times New Roman" w:eastAsia="Times New Roman" w:hAnsi="Times New Roman" w:cs="Times New Roman"/>
          <w:sz w:val="28"/>
          <w:szCs w:val="24"/>
          <w:lang w:eastAsia="ru-RU"/>
        </w:rPr>
        <w:t xml:space="preserve">16,3% </w:t>
      </w:r>
      <w:r w:rsidRPr="00637331">
        <w:rPr>
          <w:rFonts w:ascii="Times New Roman" w:eastAsia="Times New Roman" w:hAnsi="Times New Roman" w:cs="Times New Roman"/>
          <w:sz w:val="28"/>
          <w:szCs w:val="24"/>
          <w:lang w:eastAsia="ru-RU"/>
        </w:rPr>
        <w:t>etc.</w:t>
      </w:r>
      <w:r w:rsidRPr="00637331">
        <w:rPr>
          <w:rFonts w:ascii="Times New Roman" w:hAnsi="Times New Roman" w:cs="Times New Roman"/>
          <w:b/>
          <w:sz w:val="28"/>
        </w:rPr>
        <w:t xml:space="preserve"> </w:t>
      </w:r>
      <w:r w:rsidR="00D86F47" w:rsidRPr="007B7508">
        <w:rPr>
          <w:rFonts w:ascii="Times New Roman" w:hAnsi="Times New Roman" w:cs="Times New Roman"/>
          <w:i/>
          <w:sz w:val="28"/>
        </w:rPr>
        <w:t>Rezultatele analizei efectuate de audit sunt</w:t>
      </w:r>
      <w:r w:rsidR="00A93944" w:rsidRPr="007B7508">
        <w:rPr>
          <w:rFonts w:ascii="Times New Roman" w:hAnsi="Times New Roman" w:cs="Times New Roman"/>
          <w:i/>
          <w:sz w:val="28"/>
        </w:rPr>
        <w:t xml:space="preserve"> prez</w:t>
      </w:r>
      <w:r w:rsidR="00D86F47" w:rsidRPr="007B7508">
        <w:rPr>
          <w:rFonts w:ascii="Times New Roman" w:hAnsi="Times New Roman" w:cs="Times New Roman"/>
          <w:i/>
          <w:sz w:val="28"/>
        </w:rPr>
        <w:t>e</w:t>
      </w:r>
      <w:r w:rsidR="00A93944" w:rsidRPr="007B7508">
        <w:rPr>
          <w:rFonts w:ascii="Times New Roman" w:hAnsi="Times New Roman" w:cs="Times New Roman"/>
          <w:i/>
          <w:sz w:val="28"/>
        </w:rPr>
        <w:t>n</w:t>
      </w:r>
      <w:r w:rsidR="0041594C" w:rsidRPr="007B7508">
        <w:rPr>
          <w:rFonts w:ascii="Times New Roman" w:hAnsi="Times New Roman" w:cs="Times New Roman"/>
          <w:i/>
          <w:sz w:val="28"/>
        </w:rPr>
        <w:t>ta</w:t>
      </w:r>
      <w:r w:rsidR="00A93944" w:rsidRPr="007B7508">
        <w:rPr>
          <w:rFonts w:ascii="Times New Roman" w:hAnsi="Times New Roman" w:cs="Times New Roman"/>
          <w:i/>
          <w:sz w:val="28"/>
        </w:rPr>
        <w:t>t</w:t>
      </w:r>
      <w:r w:rsidR="00D86F47" w:rsidRPr="007B7508">
        <w:rPr>
          <w:rFonts w:ascii="Times New Roman" w:hAnsi="Times New Roman" w:cs="Times New Roman"/>
          <w:i/>
          <w:sz w:val="28"/>
        </w:rPr>
        <w:t>e</w:t>
      </w:r>
      <w:r w:rsidR="00A93944" w:rsidRPr="007B7508">
        <w:rPr>
          <w:rFonts w:ascii="Times New Roman" w:hAnsi="Times New Roman" w:cs="Times New Roman"/>
          <w:i/>
          <w:sz w:val="28"/>
        </w:rPr>
        <w:t xml:space="preserve"> </w:t>
      </w:r>
      <w:r w:rsidR="00070A40" w:rsidRPr="007B7508">
        <w:rPr>
          <w:rFonts w:ascii="Times New Roman" w:hAnsi="Times New Roman" w:cs="Times New Roman"/>
          <w:i/>
          <w:sz w:val="28"/>
        </w:rPr>
        <w:t xml:space="preserve">în mod grafic </w:t>
      </w:r>
      <w:r w:rsidR="00A93944" w:rsidRPr="007B7508">
        <w:rPr>
          <w:rFonts w:ascii="Times New Roman" w:hAnsi="Times New Roman" w:cs="Times New Roman"/>
          <w:i/>
          <w:sz w:val="28"/>
        </w:rPr>
        <w:t>în</w:t>
      </w:r>
      <w:r w:rsidR="00A93944" w:rsidRPr="00637331">
        <w:rPr>
          <w:rFonts w:ascii="Times New Roman" w:hAnsi="Times New Roman" w:cs="Times New Roman"/>
          <w:sz w:val="28"/>
        </w:rPr>
        <w:t xml:space="preserve"> </w:t>
      </w:r>
      <w:r w:rsidR="00A93944" w:rsidRPr="006517F4">
        <w:rPr>
          <w:rFonts w:ascii="Times New Roman" w:hAnsi="Times New Roman" w:cs="Times New Roman"/>
          <w:i/>
          <w:sz w:val="28"/>
        </w:rPr>
        <w:t>Diagrama nr.1.</w:t>
      </w:r>
    </w:p>
    <w:p w:rsidR="001231E3" w:rsidRPr="006517F4" w:rsidRDefault="001231E3" w:rsidP="008D3B4F">
      <w:pPr>
        <w:spacing w:after="0" w:line="276" w:lineRule="auto"/>
        <w:jc w:val="right"/>
        <w:rPr>
          <w:rFonts w:ascii="Times New Roman" w:hAnsi="Times New Roman" w:cs="Times New Roman"/>
          <w:i/>
          <w:sz w:val="28"/>
        </w:rPr>
      </w:pPr>
      <w:r w:rsidRPr="006517F4">
        <w:rPr>
          <w:rFonts w:ascii="Times New Roman" w:hAnsi="Times New Roman" w:cs="Times New Roman"/>
          <w:i/>
          <w:sz w:val="28"/>
        </w:rPr>
        <w:t>Diagrama nr.1</w:t>
      </w:r>
    </w:p>
    <w:p w:rsidR="00A93944" w:rsidRPr="00A93944" w:rsidRDefault="00A93944" w:rsidP="008D3B4F">
      <w:pPr>
        <w:spacing w:line="276" w:lineRule="auto"/>
        <w:jc w:val="both"/>
        <w:rPr>
          <w:rFonts w:ascii="Times New Roman" w:hAnsi="Times New Roman" w:cs="Times New Roman"/>
          <w:b/>
          <w:sz w:val="28"/>
        </w:rPr>
      </w:pPr>
      <w:r w:rsidRPr="00A93944">
        <w:rPr>
          <w:rFonts w:ascii="Times New Roman" w:hAnsi="Times New Roman" w:cs="Times New Roman"/>
          <w:b/>
          <w:sz w:val="24"/>
        </w:rPr>
        <w:t>Ponderea principalelor tipuri de venituri ale BS în totalul veniturilor BS executate în anul 2017</w:t>
      </w:r>
    </w:p>
    <w:p w:rsidR="001231E3" w:rsidRDefault="001231E3" w:rsidP="00D353D7">
      <w:pPr>
        <w:jc w:val="center"/>
        <w:rPr>
          <w:sz w:val="28"/>
        </w:rPr>
      </w:pPr>
      <w:r>
        <w:rPr>
          <w:noProof/>
          <w:lang w:val="ru-RU" w:eastAsia="ru-RU"/>
        </w:rPr>
        <w:drawing>
          <wp:inline distT="0" distB="0" distL="0" distR="0" wp14:anchorId="54114627" wp14:editId="35BD281A">
            <wp:extent cx="6107501" cy="3657600"/>
            <wp:effectExtent l="0" t="0" r="762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231E3" w:rsidRPr="00A93944" w:rsidRDefault="001231E3" w:rsidP="009316BB">
      <w:pPr>
        <w:jc w:val="both"/>
        <w:rPr>
          <w:rFonts w:ascii="Times New Roman" w:hAnsi="Times New Roman" w:cs="Times New Roman"/>
          <w:i/>
          <w:sz w:val="20"/>
          <w:szCs w:val="20"/>
        </w:rPr>
      </w:pPr>
      <w:r w:rsidRPr="008E1471">
        <w:rPr>
          <w:rFonts w:ascii="Times New Roman" w:hAnsi="Times New Roman" w:cs="Times New Roman"/>
          <w:b/>
          <w:sz w:val="20"/>
          <w:szCs w:val="20"/>
        </w:rPr>
        <w:t>Surs</w:t>
      </w:r>
      <w:r w:rsidR="00070A40">
        <w:rPr>
          <w:rFonts w:ascii="Times New Roman" w:hAnsi="Times New Roman" w:cs="Times New Roman"/>
          <w:b/>
          <w:sz w:val="20"/>
          <w:szCs w:val="20"/>
        </w:rPr>
        <w:t>ă</w:t>
      </w:r>
      <w:r w:rsidRPr="008E1471">
        <w:rPr>
          <w:rFonts w:ascii="Times New Roman" w:hAnsi="Times New Roman" w:cs="Times New Roman"/>
          <w:b/>
          <w:sz w:val="20"/>
          <w:szCs w:val="20"/>
        </w:rPr>
        <w:t>:</w:t>
      </w:r>
      <w:r w:rsidRPr="008E1471">
        <w:rPr>
          <w:rFonts w:ascii="Times New Roman" w:hAnsi="Times New Roman" w:cs="Times New Roman"/>
          <w:sz w:val="20"/>
          <w:szCs w:val="20"/>
        </w:rPr>
        <w:t xml:space="preserve"> </w:t>
      </w:r>
      <w:r w:rsidR="00D86F47">
        <w:rPr>
          <w:rFonts w:ascii="Times New Roman" w:hAnsi="Times New Roman" w:cs="Times New Roman"/>
          <w:i/>
          <w:sz w:val="20"/>
          <w:szCs w:val="20"/>
        </w:rPr>
        <w:t>Informații generalizate de echipa de audit conform R</w:t>
      </w:r>
      <w:r w:rsidRPr="00A93944">
        <w:rPr>
          <w:rFonts w:ascii="Times New Roman" w:hAnsi="Times New Roman" w:cs="Times New Roman"/>
          <w:i/>
          <w:sz w:val="20"/>
          <w:szCs w:val="20"/>
        </w:rPr>
        <w:t>aport</w:t>
      </w:r>
      <w:r w:rsidR="00D86F47">
        <w:rPr>
          <w:rFonts w:ascii="Times New Roman" w:hAnsi="Times New Roman" w:cs="Times New Roman"/>
          <w:i/>
          <w:sz w:val="20"/>
          <w:szCs w:val="20"/>
        </w:rPr>
        <w:t>ului</w:t>
      </w:r>
      <w:r w:rsidRPr="00A93944">
        <w:rPr>
          <w:rFonts w:ascii="Times New Roman" w:hAnsi="Times New Roman" w:cs="Times New Roman"/>
          <w:i/>
          <w:sz w:val="20"/>
          <w:szCs w:val="20"/>
        </w:rPr>
        <w:t xml:space="preserve"> privind </w:t>
      </w:r>
      <w:r w:rsidR="00A93944" w:rsidRPr="00A93944">
        <w:rPr>
          <w:rFonts w:ascii="Times New Roman" w:hAnsi="Times New Roman" w:cs="Times New Roman"/>
          <w:i/>
          <w:sz w:val="20"/>
          <w:szCs w:val="20"/>
        </w:rPr>
        <w:t>executarea bugetului de stat pe anul 2017, F</w:t>
      </w:r>
      <w:r w:rsidR="00A93944" w:rsidRPr="005113BA">
        <w:rPr>
          <w:rFonts w:ascii="Times New Roman" w:hAnsi="Times New Roman" w:cs="Times New Roman"/>
          <w:i/>
          <w:sz w:val="20"/>
          <w:szCs w:val="20"/>
        </w:rPr>
        <w:t>ormularul</w:t>
      </w:r>
      <w:r w:rsidRPr="00A93944">
        <w:rPr>
          <w:rFonts w:ascii="Times New Roman" w:hAnsi="Times New Roman" w:cs="Times New Roman"/>
          <w:i/>
          <w:sz w:val="20"/>
          <w:szCs w:val="20"/>
        </w:rPr>
        <w:t xml:space="preserve"> </w:t>
      </w:r>
      <w:r w:rsidR="00A93944">
        <w:rPr>
          <w:rFonts w:ascii="Times New Roman" w:hAnsi="Times New Roman" w:cs="Times New Roman"/>
          <w:i/>
          <w:sz w:val="20"/>
          <w:szCs w:val="20"/>
        </w:rPr>
        <w:t>nr.2.</w:t>
      </w:r>
    </w:p>
    <w:p w:rsidR="00D86F47" w:rsidRDefault="00154702" w:rsidP="008D3B4F">
      <w:pPr>
        <w:spacing w:after="0" w:line="276" w:lineRule="auto"/>
        <w:ind w:firstLine="720"/>
        <w:jc w:val="both"/>
        <w:rPr>
          <w:rFonts w:ascii="Times New Roman" w:hAnsi="Times New Roman"/>
          <w:sz w:val="28"/>
          <w:szCs w:val="28"/>
        </w:rPr>
      </w:pPr>
      <w:r>
        <w:rPr>
          <w:rFonts w:ascii="Times New Roman" w:hAnsi="Times New Roman"/>
          <w:sz w:val="28"/>
          <w:szCs w:val="28"/>
        </w:rPr>
        <w:t>S</w:t>
      </w:r>
      <w:r w:rsidR="00D86F47">
        <w:rPr>
          <w:rFonts w:ascii="Times New Roman" w:hAnsi="Times New Roman"/>
          <w:sz w:val="28"/>
          <w:szCs w:val="28"/>
        </w:rPr>
        <w:t>e menționează că totalul veniturilor bugetului de stat este raportat</w:t>
      </w:r>
      <w:r w:rsidR="00070A40">
        <w:rPr>
          <w:rFonts w:ascii="Times New Roman" w:hAnsi="Times New Roman"/>
          <w:sz w:val="28"/>
          <w:szCs w:val="28"/>
        </w:rPr>
        <w:t>,</w:t>
      </w:r>
      <w:r w:rsidR="00D86F47">
        <w:rPr>
          <w:rFonts w:ascii="Times New Roman" w:hAnsi="Times New Roman"/>
          <w:sz w:val="28"/>
          <w:szCs w:val="28"/>
        </w:rPr>
        <w:t xml:space="preserve"> luând în considera</w:t>
      </w:r>
      <w:r w:rsidR="00070A40">
        <w:rPr>
          <w:rFonts w:ascii="Times New Roman" w:hAnsi="Times New Roman"/>
          <w:sz w:val="28"/>
          <w:szCs w:val="28"/>
        </w:rPr>
        <w:t>r</w:t>
      </w:r>
      <w:r w:rsidR="00D86F47">
        <w:rPr>
          <w:rFonts w:ascii="Times New Roman" w:hAnsi="Times New Roman"/>
          <w:sz w:val="28"/>
          <w:szCs w:val="28"/>
        </w:rPr>
        <w:t>e sumele restituite la TVA, accize și impozit</w:t>
      </w:r>
      <w:r w:rsidR="00070A40">
        <w:rPr>
          <w:rFonts w:ascii="Times New Roman" w:hAnsi="Times New Roman"/>
          <w:sz w:val="28"/>
          <w:szCs w:val="28"/>
        </w:rPr>
        <w:t>ul</w:t>
      </w:r>
      <w:r w:rsidR="00D86F47">
        <w:rPr>
          <w:rFonts w:ascii="Times New Roman" w:hAnsi="Times New Roman"/>
          <w:sz w:val="28"/>
          <w:szCs w:val="28"/>
        </w:rPr>
        <w:t xml:space="preserve"> pe venit, în sumă totală de </w:t>
      </w:r>
      <w:r w:rsidR="00BD0E71" w:rsidRPr="008944C4">
        <w:rPr>
          <w:rFonts w:ascii="Times New Roman" w:hAnsi="Times New Roman"/>
          <w:sz w:val="28"/>
          <w:szCs w:val="28"/>
        </w:rPr>
        <w:t>2899,4</w:t>
      </w:r>
      <w:r w:rsidR="00BD0E71">
        <w:rPr>
          <w:rFonts w:ascii="Times New Roman" w:hAnsi="Times New Roman"/>
          <w:sz w:val="28"/>
          <w:szCs w:val="28"/>
        </w:rPr>
        <w:t xml:space="preserve"> mil.lei.</w:t>
      </w:r>
    </w:p>
    <w:p w:rsidR="00F503E3" w:rsidRDefault="00154702" w:rsidP="008D3B4F">
      <w:pPr>
        <w:spacing w:after="0" w:line="276" w:lineRule="auto"/>
        <w:ind w:firstLine="720"/>
        <w:jc w:val="both"/>
        <w:rPr>
          <w:rFonts w:ascii="Times New Roman" w:hAnsi="Times New Roman"/>
          <w:sz w:val="28"/>
          <w:szCs w:val="28"/>
        </w:rPr>
      </w:pPr>
      <w:r>
        <w:rPr>
          <w:rFonts w:ascii="Times New Roman" w:hAnsi="Times New Roman"/>
          <w:sz w:val="28"/>
          <w:szCs w:val="28"/>
        </w:rPr>
        <w:lastRenderedPageBreak/>
        <w:t>Potrivit</w:t>
      </w:r>
      <w:r w:rsidR="00BD0E71">
        <w:rPr>
          <w:rFonts w:ascii="Times New Roman" w:hAnsi="Times New Roman"/>
          <w:sz w:val="28"/>
          <w:szCs w:val="28"/>
        </w:rPr>
        <w:t xml:space="preserve"> cadrului normativ</w:t>
      </w:r>
      <w:r w:rsidR="00BD0E71">
        <w:rPr>
          <w:rStyle w:val="a9"/>
          <w:rFonts w:ascii="Times New Roman" w:hAnsi="Times New Roman"/>
          <w:sz w:val="28"/>
          <w:szCs w:val="28"/>
        </w:rPr>
        <w:footnoteReference w:id="13"/>
      </w:r>
      <w:r w:rsidR="00BD0E71">
        <w:rPr>
          <w:rFonts w:ascii="Times New Roman" w:hAnsi="Times New Roman"/>
          <w:sz w:val="28"/>
          <w:szCs w:val="28"/>
        </w:rPr>
        <w:t>,</w:t>
      </w:r>
      <w:r w:rsidR="001231E3">
        <w:rPr>
          <w:rFonts w:ascii="Times New Roman" w:hAnsi="Times New Roman"/>
          <w:sz w:val="28"/>
          <w:szCs w:val="28"/>
        </w:rPr>
        <w:t xml:space="preserve"> Direcția Trezoreria de Stat a Ministerului Finanțelor,</w:t>
      </w:r>
      <w:r w:rsidR="00BD0E71">
        <w:rPr>
          <w:rFonts w:ascii="Times New Roman" w:hAnsi="Times New Roman"/>
          <w:sz w:val="28"/>
          <w:szCs w:val="28"/>
        </w:rPr>
        <w:t xml:space="preserve"> </w:t>
      </w:r>
      <w:r w:rsidR="00BD0E71" w:rsidRPr="00BD0E71">
        <w:rPr>
          <w:rFonts w:ascii="Times New Roman" w:hAnsi="Times New Roman"/>
          <w:i/>
          <w:sz w:val="28"/>
          <w:szCs w:val="28"/>
        </w:rPr>
        <w:t>„în scopul corectitudinii întocmirii rapoartelor lunare privind executarea BS, BASS, FAOAM și BL, Direcția generală Trezoreria de Stat prezintă administratorilor de venituri în a cincea zi a lunii următoare perioadei de gestiune Registrul veniturilor BS, BASS, FAOAM și BL (Forma FI-006) în 2 exemplare, semnate de persoanele implicate, cu aplicarea ștampilei. Registrele se perfectează cumulativ de la începutul anului, pe tipuri de impozite și taxe”</w:t>
      </w:r>
      <w:r w:rsidR="00BD0E71" w:rsidRPr="00BD0E71">
        <w:rPr>
          <w:rFonts w:ascii="Times New Roman" w:hAnsi="Times New Roman"/>
          <w:sz w:val="28"/>
          <w:szCs w:val="28"/>
        </w:rPr>
        <w:t>.</w:t>
      </w:r>
      <w:r w:rsidR="001231E3">
        <w:rPr>
          <w:rFonts w:ascii="Times New Roman" w:hAnsi="Times New Roman"/>
          <w:sz w:val="28"/>
          <w:szCs w:val="28"/>
        </w:rPr>
        <w:t xml:space="preserve"> </w:t>
      </w:r>
      <w:r w:rsidR="00BD0E71">
        <w:rPr>
          <w:rFonts w:ascii="Times New Roman" w:hAnsi="Times New Roman"/>
          <w:sz w:val="28"/>
          <w:szCs w:val="28"/>
        </w:rPr>
        <w:t>În contextul acestor prevederi, auditul a constatat</w:t>
      </w:r>
      <w:r w:rsidR="001231E3">
        <w:rPr>
          <w:rFonts w:ascii="Times New Roman" w:hAnsi="Times New Roman"/>
          <w:sz w:val="28"/>
          <w:szCs w:val="28"/>
        </w:rPr>
        <w:t xml:space="preserve"> </w:t>
      </w:r>
      <w:r w:rsidR="00BD0E71">
        <w:rPr>
          <w:rFonts w:ascii="Times New Roman" w:hAnsi="Times New Roman"/>
          <w:sz w:val="28"/>
          <w:szCs w:val="28"/>
        </w:rPr>
        <w:t>că M</w:t>
      </w:r>
      <w:r w:rsidR="004A04C5">
        <w:rPr>
          <w:rFonts w:ascii="Times New Roman" w:hAnsi="Times New Roman"/>
          <w:sz w:val="28"/>
          <w:szCs w:val="28"/>
        </w:rPr>
        <w:t>F</w:t>
      </w:r>
      <w:r w:rsidR="00BD0E71">
        <w:rPr>
          <w:rFonts w:ascii="Times New Roman" w:hAnsi="Times New Roman"/>
          <w:sz w:val="28"/>
          <w:szCs w:val="28"/>
        </w:rPr>
        <w:t xml:space="preserve"> a efectuat </w:t>
      </w:r>
      <w:r w:rsidR="004A04C5">
        <w:rPr>
          <w:rFonts w:ascii="Times New Roman" w:hAnsi="Times New Roman"/>
          <w:sz w:val="28"/>
          <w:szCs w:val="28"/>
        </w:rPr>
        <w:t xml:space="preserve">în anul 2017 </w:t>
      </w:r>
      <w:r w:rsidR="00BD0E71">
        <w:rPr>
          <w:rFonts w:ascii="Times New Roman" w:hAnsi="Times New Roman"/>
          <w:sz w:val="28"/>
          <w:szCs w:val="28"/>
        </w:rPr>
        <w:t>verificarea lunară</w:t>
      </w:r>
      <w:r w:rsidR="001231E3">
        <w:rPr>
          <w:rFonts w:ascii="Times New Roman" w:hAnsi="Times New Roman"/>
          <w:sz w:val="28"/>
          <w:szCs w:val="28"/>
        </w:rPr>
        <w:t xml:space="preserve"> a veniturilor </w:t>
      </w:r>
      <w:r w:rsidR="005113BA">
        <w:rPr>
          <w:rFonts w:ascii="Times New Roman" w:hAnsi="Times New Roman"/>
          <w:sz w:val="28"/>
          <w:szCs w:val="28"/>
        </w:rPr>
        <w:t>BPN</w:t>
      </w:r>
      <w:r w:rsidR="001231E3">
        <w:rPr>
          <w:rFonts w:ascii="Times New Roman" w:hAnsi="Times New Roman"/>
          <w:sz w:val="28"/>
          <w:szCs w:val="28"/>
        </w:rPr>
        <w:t xml:space="preserve"> doar cu </w:t>
      </w:r>
      <w:r w:rsidR="0032464E" w:rsidRPr="0041594C">
        <w:rPr>
          <w:rFonts w:ascii="Times New Roman" w:hAnsi="Times New Roman"/>
          <w:sz w:val="28"/>
          <w:szCs w:val="28"/>
        </w:rPr>
        <w:t>4</w:t>
      </w:r>
      <w:r w:rsidR="001231E3" w:rsidRPr="0041594C">
        <w:rPr>
          <w:rFonts w:ascii="Times New Roman" w:hAnsi="Times New Roman"/>
          <w:sz w:val="28"/>
          <w:szCs w:val="28"/>
        </w:rPr>
        <w:t xml:space="preserve"> administratori</w:t>
      </w:r>
      <w:r w:rsidR="001231E3">
        <w:rPr>
          <w:rFonts w:ascii="Times New Roman" w:hAnsi="Times New Roman"/>
          <w:sz w:val="28"/>
          <w:szCs w:val="28"/>
        </w:rPr>
        <w:t xml:space="preserve"> principali a</w:t>
      </w:r>
      <w:r w:rsidR="0032464E">
        <w:rPr>
          <w:rFonts w:ascii="Times New Roman" w:hAnsi="Times New Roman"/>
          <w:sz w:val="28"/>
          <w:szCs w:val="28"/>
        </w:rPr>
        <w:t>i</w:t>
      </w:r>
      <w:r w:rsidR="001231E3">
        <w:rPr>
          <w:rFonts w:ascii="Times New Roman" w:hAnsi="Times New Roman"/>
          <w:sz w:val="28"/>
          <w:szCs w:val="28"/>
        </w:rPr>
        <w:t xml:space="preserve"> veniturilor publice</w:t>
      </w:r>
      <w:r w:rsidR="00BD0E71">
        <w:rPr>
          <w:rFonts w:ascii="Times New Roman" w:hAnsi="Times New Roman"/>
          <w:sz w:val="28"/>
          <w:szCs w:val="28"/>
        </w:rPr>
        <w:t>, și anume, cu</w:t>
      </w:r>
      <w:r w:rsidR="001231E3">
        <w:rPr>
          <w:rFonts w:ascii="Times New Roman" w:hAnsi="Times New Roman"/>
          <w:sz w:val="28"/>
          <w:szCs w:val="28"/>
        </w:rPr>
        <w:t xml:space="preserve"> </w:t>
      </w:r>
      <w:r w:rsidR="005113BA">
        <w:rPr>
          <w:rFonts w:ascii="Times New Roman" w:hAnsi="Times New Roman"/>
          <w:sz w:val="28"/>
          <w:szCs w:val="28"/>
        </w:rPr>
        <w:t>SFS</w:t>
      </w:r>
      <w:r w:rsidR="0032464E">
        <w:rPr>
          <w:rFonts w:ascii="Times New Roman" w:hAnsi="Times New Roman"/>
          <w:sz w:val="28"/>
          <w:szCs w:val="28"/>
        </w:rPr>
        <w:t>,</w:t>
      </w:r>
      <w:r w:rsidR="001231E3">
        <w:rPr>
          <w:rFonts w:ascii="Times New Roman" w:hAnsi="Times New Roman"/>
          <w:sz w:val="28"/>
          <w:szCs w:val="28"/>
        </w:rPr>
        <w:t xml:space="preserve"> </w:t>
      </w:r>
      <w:r w:rsidR="005113BA">
        <w:rPr>
          <w:rFonts w:ascii="Times New Roman" w:hAnsi="Times New Roman"/>
          <w:sz w:val="28"/>
          <w:szCs w:val="28"/>
        </w:rPr>
        <w:t>SV</w:t>
      </w:r>
      <w:r w:rsidR="0032464E">
        <w:rPr>
          <w:rFonts w:ascii="Times New Roman" w:hAnsi="Times New Roman"/>
          <w:sz w:val="28"/>
          <w:szCs w:val="28"/>
        </w:rPr>
        <w:t>, CNAS și CNAM</w:t>
      </w:r>
      <w:r w:rsidR="001231E3">
        <w:rPr>
          <w:rFonts w:ascii="Times New Roman" w:hAnsi="Times New Roman"/>
          <w:sz w:val="28"/>
          <w:szCs w:val="28"/>
        </w:rPr>
        <w:t xml:space="preserve">. </w:t>
      </w:r>
      <w:r w:rsidR="00BD0E71">
        <w:rPr>
          <w:rFonts w:ascii="Times New Roman" w:hAnsi="Times New Roman"/>
          <w:sz w:val="28"/>
          <w:szCs w:val="28"/>
        </w:rPr>
        <w:t>Astfel, p</w:t>
      </w:r>
      <w:r w:rsidR="0032464E">
        <w:rPr>
          <w:rFonts w:ascii="Times New Roman" w:hAnsi="Times New Roman"/>
          <w:sz w:val="28"/>
          <w:szCs w:val="28"/>
        </w:rPr>
        <w:t xml:space="preserve">rin verificarea reciprocă </w:t>
      </w:r>
      <w:r w:rsidR="0041594C">
        <w:rPr>
          <w:rFonts w:ascii="Times New Roman" w:hAnsi="Times New Roman"/>
          <w:sz w:val="28"/>
          <w:szCs w:val="28"/>
        </w:rPr>
        <w:t xml:space="preserve">cu SFS și SV </w:t>
      </w:r>
      <w:r w:rsidR="0032464E">
        <w:rPr>
          <w:rFonts w:ascii="Times New Roman" w:hAnsi="Times New Roman"/>
          <w:sz w:val="28"/>
          <w:szCs w:val="28"/>
        </w:rPr>
        <w:t>a veniturilor încasate, MF a asigurat</w:t>
      </w:r>
      <w:r w:rsidR="001231E3">
        <w:rPr>
          <w:rFonts w:ascii="Times New Roman" w:hAnsi="Times New Roman"/>
          <w:sz w:val="28"/>
          <w:szCs w:val="28"/>
        </w:rPr>
        <w:t xml:space="preserve"> conformitatea și veridicitatea veniturilor raportate în volum de 3</w:t>
      </w:r>
      <w:r w:rsidR="00B47FFD">
        <w:rPr>
          <w:rFonts w:ascii="Times New Roman" w:hAnsi="Times New Roman"/>
          <w:sz w:val="28"/>
          <w:szCs w:val="28"/>
        </w:rPr>
        <w:t>3020</w:t>
      </w:r>
      <w:r w:rsidR="001231E3">
        <w:rPr>
          <w:rFonts w:ascii="Times New Roman" w:hAnsi="Times New Roman"/>
          <w:sz w:val="28"/>
          <w:szCs w:val="28"/>
        </w:rPr>
        <w:t>,</w:t>
      </w:r>
      <w:r w:rsidR="00B47FFD">
        <w:rPr>
          <w:rFonts w:ascii="Times New Roman" w:hAnsi="Times New Roman"/>
          <w:sz w:val="28"/>
          <w:szCs w:val="28"/>
        </w:rPr>
        <w:t>6 mil.</w:t>
      </w:r>
      <w:r w:rsidR="001231E3">
        <w:rPr>
          <w:rFonts w:ascii="Times New Roman" w:hAnsi="Times New Roman"/>
          <w:sz w:val="28"/>
          <w:szCs w:val="28"/>
        </w:rPr>
        <w:t>lei</w:t>
      </w:r>
      <w:r w:rsidR="00115633">
        <w:rPr>
          <w:rFonts w:ascii="Times New Roman" w:hAnsi="Times New Roman"/>
          <w:sz w:val="28"/>
          <w:szCs w:val="28"/>
        </w:rPr>
        <w:t>,</w:t>
      </w:r>
      <w:r w:rsidR="001231E3">
        <w:rPr>
          <w:rFonts w:ascii="Times New Roman" w:hAnsi="Times New Roman"/>
          <w:sz w:val="28"/>
          <w:szCs w:val="28"/>
        </w:rPr>
        <w:t xml:space="preserve"> sau 9</w:t>
      </w:r>
      <w:r w:rsidR="00B47FFD">
        <w:rPr>
          <w:rFonts w:ascii="Times New Roman" w:hAnsi="Times New Roman"/>
          <w:sz w:val="28"/>
          <w:szCs w:val="28"/>
        </w:rPr>
        <w:t>7</w:t>
      </w:r>
      <w:r w:rsidR="001231E3">
        <w:rPr>
          <w:rFonts w:ascii="Times New Roman" w:hAnsi="Times New Roman"/>
          <w:sz w:val="28"/>
          <w:szCs w:val="28"/>
        </w:rPr>
        <w:t>,</w:t>
      </w:r>
      <w:r w:rsidR="00B47FFD">
        <w:rPr>
          <w:rFonts w:ascii="Times New Roman" w:hAnsi="Times New Roman"/>
          <w:sz w:val="28"/>
          <w:szCs w:val="28"/>
        </w:rPr>
        <w:t>3</w:t>
      </w:r>
      <w:r w:rsidR="001231E3">
        <w:rPr>
          <w:rFonts w:ascii="Times New Roman" w:hAnsi="Times New Roman"/>
          <w:sz w:val="28"/>
          <w:szCs w:val="28"/>
        </w:rPr>
        <w:t>% din totalul veniturilor încasate în bugetul de stat, dintre care 115</w:t>
      </w:r>
      <w:r w:rsidR="00B47FFD">
        <w:rPr>
          <w:rFonts w:ascii="Times New Roman" w:hAnsi="Times New Roman"/>
          <w:sz w:val="28"/>
          <w:szCs w:val="28"/>
        </w:rPr>
        <w:t>93</w:t>
      </w:r>
      <w:r w:rsidR="001231E3">
        <w:rPr>
          <w:rFonts w:ascii="Times New Roman" w:hAnsi="Times New Roman"/>
          <w:sz w:val="28"/>
          <w:szCs w:val="28"/>
        </w:rPr>
        <w:t>,</w:t>
      </w:r>
      <w:r w:rsidR="00B47FFD">
        <w:rPr>
          <w:rFonts w:ascii="Times New Roman" w:hAnsi="Times New Roman"/>
          <w:sz w:val="28"/>
          <w:szCs w:val="28"/>
        </w:rPr>
        <w:t>6</w:t>
      </w:r>
      <w:r w:rsidR="001231E3">
        <w:rPr>
          <w:rFonts w:ascii="Times New Roman" w:hAnsi="Times New Roman"/>
          <w:sz w:val="28"/>
          <w:szCs w:val="28"/>
        </w:rPr>
        <w:t xml:space="preserve"> mil.lei administrate de Serviciul Fiscal de Stat și 20372,6 mil.lei </w:t>
      </w:r>
      <w:r w:rsidR="00B47FFD">
        <w:rPr>
          <w:rFonts w:ascii="Times New Roman" w:hAnsi="Times New Roman"/>
          <w:sz w:val="28"/>
          <w:szCs w:val="28"/>
        </w:rPr>
        <w:t>administrate de Serviciul Vamal.</w:t>
      </w:r>
    </w:p>
    <w:p w:rsidR="00F503E3" w:rsidRDefault="00F503E3" w:rsidP="008D3B4F">
      <w:pPr>
        <w:spacing w:after="0" w:line="276" w:lineRule="auto"/>
        <w:ind w:firstLine="720"/>
        <w:jc w:val="both"/>
        <w:rPr>
          <w:rFonts w:ascii="Times New Roman" w:hAnsi="Times New Roman"/>
          <w:sz w:val="28"/>
          <w:szCs w:val="28"/>
        </w:rPr>
      </w:pPr>
      <w:r>
        <w:rPr>
          <w:rFonts w:ascii="Times New Roman" w:hAnsi="Times New Roman"/>
          <w:sz w:val="28"/>
          <w:szCs w:val="28"/>
        </w:rPr>
        <w:t>Astfel, se atestă că 2,7%</w:t>
      </w:r>
      <w:r w:rsidR="00115633">
        <w:rPr>
          <w:rFonts w:ascii="Times New Roman" w:hAnsi="Times New Roman"/>
          <w:sz w:val="28"/>
          <w:szCs w:val="28"/>
        </w:rPr>
        <w:t>,</w:t>
      </w:r>
      <w:r>
        <w:rPr>
          <w:rFonts w:ascii="Times New Roman" w:hAnsi="Times New Roman"/>
          <w:sz w:val="28"/>
          <w:szCs w:val="28"/>
        </w:rPr>
        <w:t xml:space="preserve"> sau 926,9 mil.lei</w:t>
      </w:r>
      <w:r w:rsidR="00115633">
        <w:rPr>
          <w:rFonts w:ascii="Times New Roman" w:hAnsi="Times New Roman"/>
          <w:sz w:val="28"/>
          <w:szCs w:val="28"/>
        </w:rPr>
        <w:t>,</w:t>
      </w:r>
      <w:r>
        <w:rPr>
          <w:rFonts w:ascii="Times New Roman" w:hAnsi="Times New Roman"/>
          <w:sz w:val="28"/>
          <w:szCs w:val="28"/>
        </w:rPr>
        <w:t xml:space="preserve"> reprezintă veniturile încasate în bugetul de stat în anul 2017 prin sistemul trezorerial și neconfirmate de către alți administratori ai veniturilor publice.</w:t>
      </w:r>
      <w:r w:rsidR="00622893">
        <w:rPr>
          <w:rFonts w:ascii="Times New Roman" w:hAnsi="Times New Roman"/>
          <w:sz w:val="28"/>
          <w:szCs w:val="28"/>
        </w:rPr>
        <w:t xml:space="preserve"> </w:t>
      </w:r>
      <w:r w:rsidR="00622893" w:rsidRPr="00BB4D10">
        <w:rPr>
          <w:rFonts w:ascii="Times New Roman" w:hAnsi="Times New Roman"/>
          <w:sz w:val="28"/>
          <w:szCs w:val="28"/>
        </w:rPr>
        <w:t xml:space="preserve">Aceste circumstanțe limitează auditul </w:t>
      </w:r>
      <w:r w:rsidR="00622893" w:rsidRPr="00BB4D10">
        <w:rPr>
          <w:rFonts w:ascii="Times New Roman" w:hAnsi="Times New Roman" w:cs="Times New Roman"/>
          <w:sz w:val="28"/>
          <w:szCs w:val="28"/>
        </w:rPr>
        <w:t xml:space="preserve">în posibilitatea de a se expune asupra veridicității și plenitudinii informației incluse </w:t>
      </w:r>
      <w:r w:rsidR="00BB4D10" w:rsidRPr="00BB4D10">
        <w:rPr>
          <w:rFonts w:ascii="Times New Roman" w:hAnsi="Times New Roman" w:cs="Times New Roman"/>
          <w:sz w:val="28"/>
          <w:szCs w:val="28"/>
        </w:rPr>
        <w:t>în</w:t>
      </w:r>
      <w:r w:rsidR="00622893" w:rsidRPr="00BB4D10">
        <w:rPr>
          <w:rFonts w:ascii="Times New Roman" w:hAnsi="Times New Roman" w:cs="Times New Roman"/>
          <w:sz w:val="28"/>
          <w:szCs w:val="28"/>
        </w:rPr>
        <w:t xml:space="preserve"> partea de venituri din Raportul Guvernului privind executarea bugetului de stat.</w:t>
      </w:r>
    </w:p>
    <w:p w:rsidR="00785B4B" w:rsidRDefault="00785B4B" w:rsidP="008D3B4F">
      <w:pPr>
        <w:spacing w:after="0" w:line="276" w:lineRule="auto"/>
        <w:ind w:firstLine="720"/>
        <w:jc w:val="both"/>
        <w:rPr>
          <w:rFonts w:ascii="Times New Roman" w:hAnsi="Times New Roman"/>
          <w:sz w:val="28"/>
          <w:szCs w:val="28"/>
        </w:rPr>
      </w:pPr>
      <w:r w:rsidRPr="0041594C">
        <w:rPr>
          <w:rFonts w:ascii="Times New Roman" w:hAnsi="Times New Roman"/>
          <w:sz w:val="28"/>
          <w:szCs w:val="28"/>
        </w:rPr>
        <w:t>De asemenea, verificările auditului relevă că</w:t>
      </w:r>
      <w:r w:rsidR="00115633">
        <w:rPr>
          <w:rFonts w:ascii="Times New Roman" w:hAnsi="Times New Roman"/>
          <w:sz w:val="28"/>
          <w:szCs w:val="28"/>
        </w:rPr>
        <w:t>,</w:t>
      </w:r>
      <w:r w:rsidRPr="0041594C">
        <w:rPr>
          <w:rFonts w:ascii="Times New Roman" w:hAnsi="Times New Roman"/>
          <w:sz w:val="28"/>
          <w:szCs w:val="28"/>
        </w:rPr>
        <w:t xml:space="preserve"> deși potrivit </w:t>
      </w:r>
      <w:r w:rsidR="007E0AAF">
        <w:rPr>
          <w:rFonts w:ascii="Times New Roman" w:hAnsi="Times New Roman"/>
          <w:sz w:val="28"/>
          <w:szCs w:val="28"/>
        </w:rPr>
        <w:t>datelor din „Registrul</w:t>
      </w:r>
      <w:r w:rsidRPr="0041594C">
        <w:rPr>
          <w:rFonts w:ascii="Times New Roman" w:hAnsi="Times New Roman"/>
          <w:sz w:val="28"/>
          <w:szCs w:val="28"/>
        </w:rPr>
        <w:t xml:space="preserve"> veniturilor bugetului de stat/bugetului asigurărilor sociale de stat/fondurilor asigurării obligatorii de asistență medical</w:t>
      </w:r>
      <w:r w:rsidR="00115633">
        <w:rPr>
          <w:rFonts w:ascii="Times New Roman" w:hAnsi="Times New Roman"/>
          <w:sz w:val="28"/>
          <w:szCs w:val="28"/>
        </w:rPr>
        <w:t>ă</w:t>
      </w:r>
      <w:r w:rsidRPr="0041594C">
        <w:rPr>
          <w:rFonts w:ascii="Times New Roman" w:hAnsi="Times New Roman"/>
          <w:sz w:val="28"/>
          <w:szCs w:val="28"/>
        </w:rPr>
        <w:t>/bugetelor locale de la</w:t>
      </w:r>
      <w:r w:rsidR="00764D6E">
        <w:rPr>
          <w:rFonts w:ascii="Times New Roman" w:hAnsi="Times New Roman"/>
          <w:sz w:val="28"/>
          <w:szCs w:val="28"/>
        </w:rPr>
        <w:t xml:space="preserve"> </w:t>
      </w:r>
      <w:r w:rsidRPr="0041594C">
        <w:rPr>
          <w:rFonts w:ascii="Times New Roman" w:hAnsi="Times New Roman"/>
          <w:sz w:val="28"/>
          <w:szCs w:val="28"/>
        </w:rPr>
        <w:t>01.01.2017 până la 31.12.2017</w:t>
      </w:r>
      <w:r w:rsidR="007E0AAF">
        <w:rPr>
          <w:rFonts w:ascii="Times New Roman" w:hAnsi="Times New Roman"/>
          <w:sz w:val="28"/>
          <w:szCs w:val="28"/>
        </w:rPr>
        <w:t>” (</w:t>
      </w:r>
      <w:r w:rsidRPr="0041594C">
        <w:rPr>
          <w:rFonts w:ascii="Times New Roman" w:hAnsi="Times New Roman"/>
          <w:sz w:val="28"/>
          <w:szCs w:val="28"/>
        </w:rPr>
        <w:t>Forma</w:t>
      </w:r>
      <w:r w:rsidR="005113BA">
        <w:rPr>
          <w:rFonts w:ascii="Times New Roman" w:hAnsi="Times New Roman"/>
          <w:sz w:val="28"/>
          <w:szCs w:val="28"/>
        </w:rPr>
        <w:t xml:space="preserve"> </w:t>
      </w:r>
      <w:r w:rsidRPr="0041594C">
        <w:rPr>
          <w:rFonts w:ascii="Times New Roman" w:hAnsi="Times New Roman"/>
          <w:sz w:val="28"/>
          <w:szCs w:val="28"/>
        </w:rPr>
        <w:t>FI-006</w:t>
      </w:r>
      <w:r w:rsidR="007E0AAF">
        <w:rPr>
          <w:rFonts w:ascii="Times New Roman" w:hAnsi="Times New Roman"/>
          <w:sz w:val="28"/>
          <w:szCs w:val="28"/>
        </w:rPr>
        <w:t>)</w:t>
      </w:r>
      <w:r w:rsidRPr="0041594C">
        <w:rPr>
          <w:rFonts w:ascii="Times New Roman" w:hAnsi="Times New Roman"/>
          <w:sz w:val="28"/>
          <w:szCs w:val="28"/>
        </w:rPr>
        <w:t>, contrasemnat de Serviciul Vamal, veniturile încasate</w:t>
      </w:r>
      <w:r w:rsidR="007E0AAF">
        <w:rPr>
          <w:rFonts w:ascii="Times New Roman" w:hAnsi="Times New Roman"/>
          <w:sz w:val="28"/>
          <w:szCs w:val="28"/>
        </w:rPr>
        <w:t xml:space="preserve"> la bugetul de stat</w:t>
      </w:r>
      <w:r w:rsidRPr="0041594C">
        <w:rPr>
          <w:rFonts w:ascii="Times New Roman" w:hAnsi="Times New Roman"/>
          <w:sz w:val="28"/>
          <w:szCs w:val="28"/>
        </w:rPr>
        <w:t xml:space="preserve"> de Serviciul Vamal sunt confirmate în sumă de 20372565,9 mii lei, </w:t>
      </w:r>
      <w:r w:rsidR="00E80E17">
        <w:rPr>
          <w:rFonts w:ascii="Times New Roman" w:hAnsi="Times New Roman"/>
          <w:sz w:val="28"/>
          <w:szCs w:val="28"/>
        </w:rPr>
        <w:t xml:space="preserve">iar </w:t>
      </w:r>
      <w:r w:rsidRPr="0041594C">
        <w:rPr>
          <w:rFonts w:ascii="Times New Roman" w:hAnsi="Times New Roman"/>
          <w:sz w:val="28"/>
          <w:szCs w:val="28"/>
        </w:rPr>
        <w:t xml:space="preserve">în </w:t>
      </w:r>
      <w:r w:rsidR="007E0AAF">
        <w:rPr>
          <w:rFonts w:ascii="Times New Roman" w:hAnsi="Times New Roman"/>
          <w:sz w:val="28"/>
          <w:szCs w:val="28"/>
        </w:rPr>
        <w:t>„</w:t>
      </w:r>
      <w:r w:rsidRPr="0041594C">
        <w:rPr>
          <w:rFonts w:ascii="Times New Roman" w:hAnsi="Times New Roman"/>
          <w:sz w:val="28"/>
          <w:szCs w:val="28"/>
        </w:rPr>
        <w:t>Raportul analitic privind executarea BPN la situația din 31.12.2017</w:t>
      </w:r>
      <w:r w:rsidR="007E0AAF">
        <w:rPr>
          <w:rFonts w:ascii="Times New Roman" w:hAnsi="Times New Roman"/>
          <w:sz w:val="28"/>
          <w:szCs w:val="28"/>
        </w:rPr>
        <w:t>”</w:t>
      </w:r>
      <w:r w:rsidRPr="0041594C">
        <w:rPr>
          <w:rFonts w:ascii="Times New Roman" w:hAnsi="Times New Roman"/>
          <w:sz w:val="28"/>
          <w:szCs w:val="28"/>
        </w:rPr>
        <w:t xml:space="preserve"> </w:t>
      </w:r>
      <w:r w:rsidR="007E0AAF">
        <w:rPr>
          <w:rFonts w:ascii="Times New Roman" w:hAnsi="Times New Roman"/>
          <w:sz w:val="28"/>
          <w:szCs w:val="28"/>
        </w:rPr>
        <w:t>(</w:t>
      </w:r>
      <w:r w:rsidRPr="0041594C">
        <w:rPr>
          <w:rFonts w:ascii="Times New Roman" w:hAnsi="Times New Roman"/>
          <w:sz w:val="28"/>
          <w:szCs w:val="28"/>
        </w:rPr>
        <w:t>Forma FA-00</w:t>
      </w:r>
      <w:r w:rsidR="00F503E3">
        <w:rPr>
          <w:rFonts w:ascii="Times New Roman" w:hAnsi="Times New Roman"/>
          <w:sz w:val="28"/>
          <w:szCs w:val="28"/>
        </w:rPr>
        <w:t>5</w:t>
      </w:r>
      <w:r w:rsidR="007E0AAF">
        <w:rPr>
          <w:rFonts w:ascii="Times New Roman" w:hAnsi="Times New Roman"/>
          <w:sz w:val="28"/>
          <w:szCs w:val="28"/>
        </w:rPr>
        <w:t>)</w:t>
      </w:r>
      <w:r w:rsidR="00F503E3">
        <w:rPr>
          <w:rFonts w:ascii="Times New Roman" w:hAnsi="Times New Roman"/>
          <w:sz w:val="28"/>
          <w:szCs w:val="28"/>
        </w:rPr>
        <w:t xml:space="preserve">, veniturile încasate de către </w:t>
      </w:r>
      <w:r w:rsidRPr="0041594C">
        <w:rPr>
          <w:rFonts w:ascii="Times New Roman" w:hAnsi="Times New Roman"/>
          <w:sz w:val="28"/>
          <w:szCs w:val="28"/>
        </w:rPr>
        <w:t>Serviciul Vamal sunt raportate cu 168,7 mii lei mai puțin.</w:t>
      </w:r>
      <w:r w:rsidR="00F503E3">
        <w:rPr>
          <w:rFonts w:ascii="Times New Roman" w:hAnsi="Times New Roman"/>
          <w:sz w:val="28"/>
          <w:szCs w:val="28"/>
        </w:rPr>
        <w:t xml:space="preserve"> </w:t>
      </w:r>
      <w:r w:rsidR="003A0A88" w:rsidRPr="00D82EE3">
        <w:rPr>
          <w:rFonts w:ascii="Times New Roman" w:hAnsi="Times New Roman"/>
          <w:sz w:val="28"/>
          <w:szCs w:val="28"/>
        </w:rPr>
        <w:t xml:space="preserve">Potrivit explicațiilor MF, situația menționată a fost determinată de modificarea administratorului de venituri la tipul de taxă „Vinieta” (CBE 114638) de la Serviciul Vamal la Serviciul Fiscal de Stat. Astfel, încasările </w:t>
      </w:r>
      <w:r w:rsidR="007E0AAF">
        <w:rPr>
          <w:rFonts w:ascii="Times New Roman" w:hAnsi="Times New Roman"/>
          <w:sz w:val="28"/>
          <w:szCs w:val="28"/>
        </w:rPr>
        <w:t xml:space="preserve">în </w:t>
      </w:r>
      <w:r w:rsidR="007E0AAF" w:rsidRPr="00D82EE3">
        <w:rPr>
          <w:rFonts w:ascii="Times New Roman" w:hAnsi="Times New Roman"/>
          <w:sz w:val="28"/>
          <w:szCs w:val="28"/>
        </w:rPr>
        <w:t>sum</w:t>
      </w:r>
      <w:r w:rsidR="007E0AAF">
        <w:rPr>
          <w:rFonts w:ascii="Times New Roman" w:hAnsi="Times New Roman"/>
          <w:sz w:val="28"/>
          <w:szCs w:val="28"/>
        </w:rPr>
        <w:t>ă</w:t>
      </w:r>
      <w:r w:rsidR="007E0AAF" w:rsidRPr="00D82EE3">
        <w:rPr>
          <w:rFonts w:ascii="Times New Roman" w:hAnsi="Times New Roman"/>
          <w:sz w:val="28"/>
          <w:szCs w:val="28"/>
        </w:rPr>
        <w:t xml:space="preserve"> de 168,7 mii lei</w:t>
      </w:r>
      <w:r w:rsidR="007E0AAF">
        <w:rPr>
          <w:rFonts w:ascii="Times New Roman" w:hAnsi="Times New Roman"/>
          <w:sz w:val="28"/>
          <w:szCs w:val="28"/>
        </w:rPr>
        <w:t xml:space="preserve">, din </w:t>
      </w:r>
      <w:r w:rsidR="003A0A88" w:rsidRPr="00D82EE3">
        <w:rPr>
          <w:rFonts w:ascii="Times New Roman" w:hAnsi="Times New Roman"/>
          <w:sz w:val="28"/>
          <w:szCs w:val="28"/>
        </w:rPr>
        <w:t>20.02.2017, data intrării în vigoare a mo</w:t>
      </w:r>
      <w:r w:rsidR="007E0AAF">
        <w:rPr>
          <w:rFonts w:ascii="Times New Roman" w:hAnsi="Times New Roman"/>
          <w:sz w:val="28"/>
          <w:szCs w:val="28"/>
        </w:rPr>
        <w:t xml:space="preserve">dificărilor cadrului normativ, înscrise după </w:t>
      </w:r>
      <w:r w:rsidR="003A0A88" w:rsidRPr="00D82EE3">
        <w:rPr>
          <w:rFonts w:ascii="Times New Roman" w:hAnsi="Times New Roman"/>
          <w:sz w:val="28"/>
          <w:szCs w:val="28"/>
        </w:rPr>
        <w:t xml:space="preserve">Serviciul Vamal (localitatea 0130), </w:t>
      </w:r>
      <w:r w:rsidR="007E0AAF">
        <w:rPr>
          <w:rFonts w:ascii="Times New Roman" w:hAnsi="Times New Roman"/>
          <w:sz w:val="28"/>
          <w:szCs w:val="28"/>
        </w:rPr>
        <w:t xml:space="preserve">au fost raportate la </w:t>
      </w:r>
      <w:r w:rsidR="00E80E17">
        <w:rPr>
          <w:rFonts w:ascii="Times New Roman" w:hAnsi="Times New Roman"/>
          <w:sz w:val="28"/>
          <w:szCs w:val="28"/>
        </w:rPr>
        <w:t>Serviciul</w:t>
      </w:r>
      <w:r w:rsidR="003A0A88" w:rsidRPr="00D82EE3">
        <w:rPr>
          <w:rFonts w:ascii="Times New Roman" w:hAnsi="Times New Roman"/>
          <w:sz w:val="28"/>
          <w:szCs w:val="28"/>
        </w:rPr>
        <w:t xml:space="preserve"> Fiscal de Stat.</w:t>
      </w:r>
    </w:p>
    <w:p w:rsidR="001231E3" w:rsidRPr="00F618BC" w:rsidRDefault="00F503E3" w:rsidP="008D3B4F">
      <w:pPr>
        <w:spacing w:after="0" w:line="276" w:lineRule="auto"/>
        <w:ind w:firstLine="709"/>
        <w:jc w:val="both"/>
        <w:rPr>
          <w:rFonts w:ascii="Times New Roman" w:hAnsi="Times New Roman" w:cs="Times New Roman"/>
          <w:sz w:val="28"/>
          <w:szCs w:val="28"/>
        </w:rPr>
      </w:pPr>
      <w:r>
        <w:rPr>
          <w:rFonts w:ascii="Times New Roman" w:hAnsi="Times New Roman"/>
          <w:sz w:val="28"/>
          <w:szCs w:val="28"/>
        </w:rPr>
        <w:t>C</w:t>
      </w:r>
      <w:r w:rsidR="001231E3">
        <w:rPr>
          <w:rFonts w:ascii="Times New Roman" w:hAnsi="Times New Roman"/>
          <w:sz w:val="28"/>
          <w:szCs w:val="28"/>
        </w:rPr>
        <w:t xml:space="preserve">onform </w:t>
      </w:r>
      <w:r w:rsidR="001231E3">
        <w:rPr>
          <w:rFonts w:ascii="Times New Roman" w:hAnsi="Times New Roman" w:cs="Times New Roman"/>
          <w:sz w:val="28"/>
          <w:szCs w:val="28"/>
        </w:rPr>
        <w:t>cadrului legal</w:t>
      </w:r>
      <w:r w:rsidR="0042398A">
        <w:rPr>
          <w:rStyle w:val="a9"/>
          <w:rFonts w:ascii="Times New Roman" w:hAnsi="Times New Roman" w:cs="Times New Roman"/>
          <w:sz w:val="28"/>
          <w:szCs w:val="28"/>
        </w:rPr>
        <w:footnoteReference w:id="14"/>
      </w:r>
      <w:r w:rsidR="00115633">
        <w:rPr>
          <w:rFonts w:ascii="Times New Roman" w:hAnsi="Times New Roman" w:cs="Times New Roman"/>
          <w:sz w:val="28"/>
          <w:szCs w:val="28"/>
        </w:rPr>
        <w:t>,</w:t>
      </w:r>
      <w:r w:rsidR="001231E3">
        <w:rPr>
          <w:rFonts w:ascii="Times New Roman" w:hAnsi="Times New Roman" w:cs="Times New Roman"/>
          <w:sz w:val="28"/>
          <w:szCs w:val="28"/>
        </w:rPr>
        <w:t xml:space="preserve"> </w:t>
      </w:r>
      <w:r w:rsidR="001231E3" w:rsidRPr="00F503E3">
        <w:rPr>
          <w:rFonts w:ascii="Times New Roman" w:hAnsi="Times New Roman" w:cs="Times New Roman"/>
          <w:i/>
          <w:sz w:val="28"/>
          <w:szCs w:val="28"/>
        </w:rPr>
        <w:t xml:space="preserve">„Gestionarea colectării contribuțiilor de la plătitori, evidența contribuțiilor, calculele penalităților, precum și urmărirea datoriilor către Fondul Viei și Vinului se efectuează de către organele fiscale similar modului stabilit </w:t>
      </w:r>
      <w:r w:rsidR="001231E3" w:rsidRPr="00F503E3">
        <w:rPr>
          <w:rFonts w:ascii="Times New Roman" w:hAnsi="Times New Roman" w:cs="Times New Roman"/>
          <w:i/>
          <w:sz w:val="28"/>
          <w:szCs w:val="28"/>
        </w:rPr>
        <w:lastRenderedPageBreak/>
        <w:t>conform legislației fiscale pentru administrarea impozitelor și taxelor”</w:t>
      </w:r>
      <w:r>
        <w:rPr>
          <w:rFonts w:ascii="Times New Roman" w:hAnsi="Times New Roman" w:cs="Times New Roman"/>
          <w:sz w:val="28"/>
          <w:szCs w:val="28"/>
        </w:rPr>
        <w:t>.</w:t>
      </w:r>
      <w:r w:rsidR="001231E3">
        <w:rPr>
          <w:rFonts w:ascii="Times New Roman" w:hAnsi="Times New Roman" w:cs="Times New Roman"/>
          <w:sz w:val="28"/>
          <w:szCs w:val="28"/>
        </w:rPr>
        <w:t xml:space="preserve"> </w:t>
      </w:r>
      <w:r>
        <w:rPr>
          <w:rFonts w:ascii="Times New Roman" w:hAnsi="Times New Roman" w:cs="Times New Roman"/>
          <w:sz w:val="28"/>
          <w:szCs w:val="28"/>
        </w:rPr>
        <w:t xml:space="preserve">Astfel, auditul </w:t>
      </w:r>
      <w:r w:rsidR="002D7C26">
        <w:rPr>
          <w:rFonts w:ascii="Times New Roman" w:hAnsi="Times New Roman" w:cs="Times New Roman"/>
          <w:sz w:val="28"/>
          <w:szCs w:val="28"/>
        </w:rPr>
        <w:t>relevă</w:t>
      </w:r>
      <w:r>
        <w:rPr>
          <w:rFonts w:ascii="Times New Roman" w:hAnsi="Times New Roman" w:cs="Times New Roman"/>
          <w:sz w:val="28"/>
          <w:szCs w:val="28"/>
        </w:rPr>
        <w:t xml:space="preserve"> că </w:t>
      </w:r>
      <w:r w:rsidR="001231E3">
        <w:rPr>
          <w:rFonts w:ascii="Times New Roman" w:hAnsi="Times New Roman" w:cs="Times New Roman"/>
          <w:sz w:val="28"/>
          <w:szCs w:val="28"/>
        </w:rPr>
        <w:t>contribuțiile obligatorii ale producătorilor de produse vitivinicole</w:t>
      </w:r>
      <w:r w:rsidR="002D7C26">
        <w:rPr>
          <w:rFonts w:ascii="Times New Roman" w:hAnsi="Times New Roman" w:cs="Times New Roman"/>
          <w:sz w:val="28"/>
          <w:szCs w:val="28"/>
        </w:rPr>
        <w:t>,</w:t>
      </w:r>
      <w:r w:rsidR="001231E3">
        <w:rPr>
          <w:rFonts w:ascii="Times New Roman" w:hAnsi="Times New Roman" w:cs="Times New Roman"/>
          <w:sz w:val="28"/>
          <w:szCs w:val="28"/>
        </w:rPr>
        <w:t xml:space="preserve"> încasate pe parcursul a</w:t>
      </w:r>
      <w:r>
        <w:rPr>
          <w:rFonts w:ascii="Times New Roman" w:hAnsi="Times New Roman" w:cs="Times New Roman"/>
          <w:sz w:val="28"/>
          <w:szCs w:val="28"/>
        </w:rPr>
        <w:t>nului 2017</w:t>
      </w:r>
      <w:r w:rsidR="00B47FFD">
        <w:rPr>
          <w:rFonts w:ascii="Times New Roman" w:hAnsi="Times New Roman" w:cs="Times New Roman"/>
          <w:sz w:val="28"/>
          <w:szCs w:val="28"/>
        </w:rPr>
        <w:t xml:space="preserve"> în sumă de 20,3 mil.</w:t>
      </w:r>
      <w:r w:rsidR="001231E3">
        <w:rPr>
          <w:rFonts w:ascii="Times New Roman" w:hAnsi="Times New Roman" w:cs="Times New Roman"/>
          <w:sz w:val="28"/>
          <w:szCs w:val="28"/>
        </w:rPr>
        <w:t xml:space="preserve">lei, nu au fost supuse verificărilor reciproce între </w:t>
      </w:r>
      <w:r w:rsidR="001231E3">
        <w:rPr>
          <w:rFonts w:ascii="Times New Roman" w:hAnsi="Times New Roman"/>
          <w:sz w:val="28"/>
          <w:szCs w:val="28"/>
        </w:rPr>
        <w:t>MF și SFS</w:t>
      </w:r>
      <w:r w:rsidR="00B47FFD">
        <w:rPr>
          <w:rFonts w:ascii="Times New Roman" w:hAnsi="Times New Roman"/>
          <w:sz w:val="28"/>
          <w:szCs w:val="28"/>
        </w:rPr>
        <w:t>, contribuțiile menționate ne</w:t>
      </w:r>
      <w:r w:rsidR="001231E3">
        <w:rPr>
          <w:rFonts w:ascii="Times New Roman" w:hAnsi="Times New Roman"/>
          <w:sz w:val="28"/>
          <w:szCs w:val="28"/>
        </w:rPr>
        <w:t>fiind reflectate în Registrele lunare a</w:t>
      </w:r>
      <w:r w:rsidR="002D7C26">
        <w:rPr>
          <w:rFonts w:ascii="Times New Roman" w:hAnsi="Times New Roman"/>
          <w:sz w:val="28"/>
          <w:szCs w:val="28"/>
        </w:rPr>
        <w:t>le</w:t>
      </w:r>
      <w:r w:rsidR="001231E3">
        <w:rPr>
          <w:rFonts w:ascii="Times New Roman" w:hAnsi="Times New Roman"/>
          <w:sz w:val="28"/>
          <w:szCs w:val="28"/>
        </w:rPr>
        <w:t xml:space="preserve"> </w:t>
      </w:r>
      <w:r w:rsidR="001231E3">
        <w:rPr>
          <w:rFonts w:ascii="Times New Roman" w:hAnsi="Times New Roman" w:cs="Times New Roman"/>
          <w:sz w:val="28"/>
          <w:szCs w:val="28"/>
        </w:rPr>
        <w:t>veniturilor b</w:t>
      </w:r>
      <w:r w:rsidR="00E80E17">
        <w:rPr>
          <w:rFonts w:ascii="Times New Roman" w:hAnsi="Times New Roman" w:cs="Times New Roman"/>
          <w:sz w:val="28"/>
          <w:szCs w:val="28"/>
        </w:rPr>
        <w:t>ugetului de stat (Forma FI-006).</w:t>
      </w:r>
      <w:r w:rsidR="00F618BC">
        <w:rPr>
          <w:rFonts w:ascii="Times New Roman" w:hAnsi="Times New Roman" w:cs="Times New Roman"/>
          <w:sz w:val="28"/>
          <w:szCs w:val="28"/>
        </w:rPr>
        <w:t xml:space="preserve"> De menționat că Registrul respectiv se perfectează cumulativ de la începutul anului, pe tipuri de impozite și taxe, fiind </w:t>
      </w:r>
      <w:r w:rsidR="00E50395">
        <w:rPr>
          <w:rFonts w:ascii="Times New Roman" w:hAnsi="Times New Roman" w:cs="Times New Roman"/>
          <w:sz w:val="28"/>
          <w:szCs w:val="28"/>
        </w:rPr>
        <w:t>o formă</w:t>
      </w:r>
      <w:r w:rsidR="002D7C26">
        <w:rPr>
          <w:rFonts w:ascii="Times New Roman" w:hAnsi="Times New Roman" w:cs="Times New Roman"/>
          <w:sz w:val="28"/>
          <w:szCs w:val="28"/>
        </w:rPr>
        <w:t xml:space="preserve"> (</w:t>
      </w:r>
      <w:r w:rsidR="00E50395">
        <w:rPr>
          <w:rFonts w:ascii="Times New Roman" w:hAnsi="Times New Roman" w:cs="Times New Roman"/>
          <w:sz w:val="28"/>
          <w:szCs w:val="28"/>
        </w:rPr>
        <w:t>raport</w:t>
      </w:r>
      <w:r w:rsidR="002D7C26">
        <w:rPr>
          <w:rFonts w:ascii="Times New Roman" w:hAnsi="Times New Roman" w:cs="Times New Roman"/>
          <w:sz w:val="28"/>
          <w:szCs w:val="28"/>
        </w:rPr>
        <w:t>)</w:t>
      </w:r>
      <w:r w:rsidR="00E50395">
        <w:rPr>
          <w:rFonts w:ascii="Times New Roman" w:hAnsi="Times New Roman" w:cs="Times New Roman"/>
          <w:sz w:val="28"/>
          <w:szCs w:val="28"/>
        </w:rPr>
        <w:t xml:space="preserve"> reglementată și aprobată prin Ordinul MF nr.215 din 28.12.2015</w:t>
      </w:r>
      <w:r w:rsidR="00E50395">
        <w:rPr>
          <w:rStyle w:val="a9"/>
          <w:rFonts w:ascii="Times New Roman" w:hAnsi="Times New Roman" w:cs="Times New Roman"/>
          <w:sz w:val="28"/>
          <w:szCs w:val="28"/>
        </w:rPr>
        <w:footnoteReference w:id="15"/>
      </w:r>
      <w:r w:rsidR="00E50395">
        <w:rPr>
          <w:rFonts w:ascii="Times New Roman" w:hAnsi="Times New Roman" w:cs="Times New Roman"/>
          <w:sz w:val="28"/>
          <w:szCs w:val="28"/>
        </w:rPr>
        <w:t xml:space="preserve"> la compartimentul „Managementul încasărilor la bugetele componente ale bugetului public național”.</w:t>
      </w:r>
      <w:r w:rsidR="00E80E17">
        <w:rPr>
          <w:rFonts w:ascii="Times New Roman" w:hAnsi="Times New Roman" w:cs="Times New Roman"/>
          <w:sz w:val="28"/>
          <w:szCs w:val="28"/>
        </w:rPr>
        <w:t xml:space="preserve"> </w:t>
      </w:r>
    </w:p>
    <w:p w:rsidR="001A6A90" w:rsidRDefault="00DD45B4" w:rsidP="008D3B4F">
      <w:pPr>
        <w:spacing w:after="0" w:line="276" w:lineRule="auto"/>
        <w:ind w:firstLine="720"/>
        <w:jc w:val="both"/>
        <w:rPr>
          <w:rFonts w:ascii="Times New Roman" w:hAnsi="Times New Roman"/>
          <w:sz w:val="28"/>
          <w:szCs w:val="28"/>
        </w:rPr>
      </w:pPr>
      <w:r>
        <w:rPr>
          <w:rFonts w:ascii="Times New Roman" w:hAnsi="Times New Roman"/>
          <w:sz w:val="28"/>
          <w:szCs w:val="28"/>
        </w:rPr>
        <w:t>P</w:t>
      </w:r>
      <w:r w:rsidR="001231E3">
        <w:rPr>
          <w:rFonts w:ascii="Times New Roman" w:hAnsi="Times New Roman"/>
          <w:sz w:val="28"/>
          <w:szCs w:val="28"/>
        </w:rPr>
        <w:t>otrivit cadrului normativ</w:t>
      </w:r>
      <w:r w:rsidR="001231E3">
        <w:rPr>
          <w:rStyle w:val="a9"/>
          <w:rFonts w:ascii="Times New Roman" w:hAnsi="Times New Roman"/>
          <w:sz w:val="28"/>
          <w:szCs w:val="28"/>
        </w:rPr>
        <w:footnoteReference w:id="16"/>
      </w:r>
      <w:r w:rsidR="00C32BFC">
        <w:rPr>
          <w:rFonts w:ascii="Times New Roman" w:hAnsi="Times New Roman"/>
          <w:sz w:val="28"/>
          <w:szCs w:val="28"/>
        </w:rPr>
        <w:t>,</w:t>
      </w:r>
      <w:r w:rsidR="001231E3" w:rsidRPr="00032399">
        <w:rPr>
          <w:rFonts w:ascii="Times New Roman" w:hAnsi="Times New Roman"/>
          <w:sz w:val="28"/>
          <w:szCs w:val="28"/>
        </w:rPr>
        <w:t xml:space="preserve"> </w:t>
      </w:r>
      <w:r w:rsidR="001231E3">
        <w:rPr>
          <w:rFonts w:ascii="Times New Roman" w:hAnsi="Times New Roman"/>
          <w:sz w:val="28"/>
          <w:szCs w:val="28"/>
        </w:rPr>
        <w:t>în cazul depistării unor divergențe</w:t>
      </w:r>
      <w:r w:rsidR="00EC479B">
        <w:rPr>
          <w:rFonts w:ascii="Times New Roman" w:hAnsi="Times New Roman"/>
          <w:sz w:val="28"/>
          <w:szCs w:val="28"/>
        </w:rPr>
        <w:t>,</w:t>
      </w:r>
      <w:r w:rsidR="001231E3">
        <w:rPr>
          <w:rFonts w:ascii="Times New Roman" w:hAnsi="Times New Roman"/>
          <w:sz w:val="28"/>
          <w:szCs w:val="28"/>
        </w:rPr>
        <w:t xml:space="preserve"> administratorii de venit</w:t>
      </w:r>
      <w:r w:rsidR="008D64B0">
        <w:rPr>
          <w:rFonts w:ascii="Times New Roman" w:hAnsi="Times New Roman"/>
          <w:sz w:val="28"/>
          <w:szCs w:val="28"/>
        </w:rPr>
        <w:t>,</w:t>
      </w:r>
      <w:r w:rsidR="001231E3">
        <w:rPr>
          <w:rFonts w:ascii="Times New Roman" w:hAnsi="Times New Roman"/>
          <w:sz w:val="28"/>
          <w:szCs w:val="28"/>
        </w:rPr>
        <w:t xml:space="preserve"> de comun acord cu Direcția Trezoreria de Stat a Minist</w:t>
      </w:r>
      <w:r w:rsidR="008D64B0">
        <w:rPr>
          <w:rFonts w:ascii="Times New Roman" w:hAnsi="Times New Roman"/>
          <w:sz w:val="28"/>
          <w:szCs w:val="28"/>
        </w:rPr>
        <w:t>erului Finanțelor</w:t>
      </w:r>
      <w:r w:rsidR="00C32BFC">
        <w:rPr>
          <w:rFonts w:ascii="Times New Roman" w:hAnsi="Times New Roman"/>
          <w:sz w:val="28"/>
          <w:szCs w:val="28"/>
        </w:rPr>
        <w:t>,</w:t>
      </w:r>
      <w:r w:rsidR="008D64B0">
        <w:rPr>
          <w:rFonts w:ascii="Times New Roman" w:hAnsi="Times New Roman"/>
          <w:sz w:val="28"/>
          <w:szCs w:val="28"/>
        </w:rPr>
        <w:t xml:space="preserve"> </w:t>
      </w:r>
      <w:r w:rsidR="000F3BBE">
        <w:rPr>
          <w:rFonts w:ascii="Times New Roman" w:hAnsi="Times New Roman"/>
          <w:sz w:val="28"/>
          <w:szCs w:val="28"/>
        </w:rPr>
        <w:t xml:space="preserve">urmau să </w:t>
      </w:r>
      <w:r w:rsidR="008D64B0">
        <w:rPr>
          <w:rFonts w:ascii="Times New Roman" w:hAnsi="Times New Roman"/>
          <w:sz w:val="28"/>
          <w:szCs w:val="28"/>
        </w:rPr>
        <w:t>întocme</w:t>
      </w:r>
      <w:r w:rsidR="000F3BBE">
        <w:rPr>
          <w:rFonts w:ascii="Times New Roman" w:hAnsi="Times New Roman"/>
          <w:sz w:val="28"/>
          <w:szCs w:val="28"/>
        </w:rPr>
        <w:t>a</w:t>
      </w:r>
      <w:r w:rsidR="008D64B0">
        <w:rPr>
          <w:rFonts w:ascii="Times New Roman" w:hAnsi="Times New Roman"/>
          <w:sz w:val="28"/>
          <w:szCs w:val="28"/>
        </w:rPr>
        <w:t>sc</w:t>
      </w:r>
      <w:r w:rsidR="000F3BBE">
        <w:rPr>
          <w:rFonts w:ascii="Times New Roman" w:hAnsi="Times New Roman"/>
          <w:sz w:val="28"/>
          <w:szCs w:val="28"/>
        </w:rPr>
        <w:t>ă</w:t>
      </w:r>
      <w:r w:rsidR="008D64B0">
        <w:rPr>
          <w:rFonts w:ascii="Times New Roman" w:hAnsi="Times New Roman"/>
          <w:sz w:val="28"/>
          <w:szCs w:val="28"/>
        </w:rPr>
        <w:t xml:space="preserve"> Actul</w:t>
      </w:r>
      <w:r w:rsidR="001231E3">
        <w:rPr>
          <w:rFonts w:ascii="Times New Roman" w:hAnsi="Times New Roman"/>
          <w:sz w:val="28"/>
          <w:szCs w:val="28"/>
        </w:rPr>
        <w:t xml:space="preserve"> de verificare a veniturilor încasate la bugetul de stat</w:t>
      </w:r>
      <w:r w:rsidR="00EC479B">
        <w:rPr>
          <w:rFonts w:ascii="Times New Roman" w:hAnsi="Times New Roman"/>
          <w:sz w:val="28"/>
          <w:szCs w:val="28"/>
        </w:rPr>
        <w:t>,</w:t>
      </w:r>
      <w:r w:rsidR="001231E3">
        <w:rPr>
          <w:rFonts w:ascii="Times New Roman" w:hAnsi="Times New Roman"/>
          <w:sz w:val="28"/>
          <w:szCs w:val="28"/>
        </w:rPr>
        <w:t xml:space="preserve"> </w:t>
      </w:r>
      <w:r w:rsidR="00705033">
        <w:rPr>
          <w:rFonts w:ascii="Times New Roman" w:hAnsi="Times New Roman"/>
          <w:sz w:val="28"/>
          <w:szCs w:val="28"/>
        </w:rPr>
        <w:t xml:space="preserve">pentru confirmarea divergențelor identificate. </w:t>
      </w:r>
      <w:r w:rsidR="008D64B0">
        <w:rPr>
          <w:rFonts w:ascii="Times New Roman" w:hAnsi="Times New Roman"/>
          <w:sz w:val="28"/>
          <w:szCs w:val="28"/>
        </w:rPr>
        <w:t xml:space="preserve">Conform explicațiilor MF, deși </w:t>
      </w:r>
      <w:r w:rsidR="004A04C5">
        <w:rPr>
          <w:rFonts w:ascii="Times New Roman" w:hAnsi="Times New Roman"/>
          <w:sz w:val="28"/>
          <w:szCs w:val="28"/>
        </w:rPr>
        <w:t xml:space="preserve">depistarea divergențelor are loc, actele menționate </w:t>
      </w:r>
      <w:r w:rsidR="001231E3">
        <w:rPr>
          <w:rFonts w:ascii="Times New Roman" w:hAnsi="Times New Roman"/>
          <w:sz w:val="28"/>
          <w:szCs w:val="28"/>
        </w:rPr>
        <w:t xml:space="preserve">nu se întocmesc din cauza că după depistarea </w:t>
      </w:r>
      <w:r w:rsidR="00C32BFC">
        <w:rPr>
          <w:rFonts w:ascii="Times New Roman" w:hAnsi="Times New Roman"/>
          <w:sz w:val="28"/>
          <w:szCs w:val="28"/>
        </w:rPr>
        <w:t>acestora</w:t>
      </w:r>
      <w:r w:rsidR="001231E3">
        <w:rPr>
          <w:rFonts w:ascii="Times New Roman" w:hAnsi="Times New Roman"/>
          <w:sz w:val="28"/>
          <w:szCs w:val="28"/>
        </w:rPr>
        <w:t xml:space="preserve">, comunicate </w:t>
      </w:r>
      <w:r w:rsidR="00A354A2">
        <w:rPr>
          <w:rFonts w:ascii="Times New Roman" w:hAnsi="Times New Roman"/>
          <w:sz w:val="28"/>
          <w:szCs w:val="28"/>
        </w:rPr>
        <w:t xml:space="preserve">în </w:t>
      </w:r>
      <w:r w:rsidR="00C32BFC">
        <w:rPr>
          <w:rFonts w:ascii="Times New Roman" w:hAnsi="Times New Roman"/>
          <w:sz w:val="28"/>
          <w:szCs w:val="28"/>
        </w:rPr>
        <w:t xml:space="preserve">regim </w:t>
      </w:r>
      <w:r w:rsidR="00A354A2">
        <w:rPr>
          <w:rFonts w:ascii="Times New Roman" w:hAnsi="Times New Roman"/>
          <w:sz w:val="28"/>
          <w:szCs w:val="28"/>
        </w:rPr>
        <w:t>de lucru</w:t>
      </w:r>
      <w:r w:rsidR="001231E3">
        <w:rPr>
          <w:rFonts w:ascii="Times New Roman" w:hAnsi="Times New Roman"/>
          <w:sz w:val="28"/>
          <w:szCs w:val="28"/>
        </w:rPr>
        <w:t xml:space="preserve"> de către administratori, corectările s</w:t>
      </w:r>
      <w:r w:rsidR="00B47FFD">
        <w:rPr>
          <w:rFonts w:ascii="Times New Roman" w:hAnsi="Times New Roman"/>
          <w:sz w:val="28"/>
          <w:szCs w:val="28"/>
        </w:rPr>
        <w:t>u</w:t>
      </w:r>
      <w:r w:rsidR="001231E3">
        <w:rPr>
          <w:rFonts w:ascii="Times New Roman" w:hAnsi="Times New Roman"/>
          <w:sz w:val="28"/>
          <w:szCs w:val="28"/>
        </w:rPr>
        <w:t>nt efectuate imediat de către Direcția Trezoreria de Stat a Ministerului Finanțelor.</w:t>
      </w:r>
    </w:p>
    <w:p w:rsidR="00A23A80" w:rsidRDefault="00A23A80" w:rsidP="008D3B4F">
      <w:pPr>
        <w:spacing w:after="0" w:line="276" w:lineRule="auto"/>
        <w:ind w:firstLine="720"/>
        <w:jc w:val="both"/>
        <w:rPr>
          <w:rFonts w:ascii="Times New Roman" w:hAnsi="Times New Roman"/>
          <w:sz w:val="28"/>
          <w:szCs w:val="28"/>
        </w:rPr>
      </w:pPr>
    </w:p>
    <w:p w:rsidR="00A23A80" w:rsidRPr="00A23A80" w:rsidRDefault="00A23A80" w:rsidP="008D3B4F">
      <w:pPr>
        <w:pStyle w:val="3"/>
        <w:numPr>
          <w:ilvl w:val="2"/>
          <w:numId w:val="1"/>
        </w:numPr>
        <w:spacing w:line="276" w:lineRule="auto"/>
        <w:ind w:left="0" w:firstLine="709"/>
        <w:rPr>
          <w:rFonts w:ascii="Times New Roman" w:hAnsi="Times New Roman"/>
          <w:b/>
          <w:i/>
          <w:color w:val="auto"/>
          <w:sz w:val="28"/>
          <w:szCs w:val="28"/>
        </w:rPr>
      </w:pPr>
      <w:bookmarkStart w:id="8" w:name="_Toc515518983"/>
      <w:r w:rsidRPr="00A23A80">
        <w:rPr>
          <w:rFonts w:ascii="Times New Roman" w:hAnsi="Times New Roman"/>
          <w:b/>
          <w:i/>
          <w:color w:val="auto"/>
          <w:sz w:val="28"/>
          <w:szCs w:val="28"/>
        </w:rPr>
        <w:t>Încasările provenite din granturile externe debursate în bugetul de stat în anul 2017 s-au diminuat comparativ cu anul 2016</w:t>
      </w:r>
      <w:r w:rsidR="00C32BFC">
        <w:rPr>
          <w:rFonts w:ascii="Times New Roman" w:hAnsi="Times New Roman"/>
          <w:b/>
          <w:i/>
          <w:color w:val="auto"/>
          <w:sz w:val="28"/>
          <w:szCs w:val="28"/>
        </w:rPr>
        <w:t>.</w:t>
      </w:r>
      <w:bookmarkEnd w:id="8"/>
    </w:p>
    <w:p w:rsidR="001D4205" w:rsidRDefault="001D4205" w:rsidP="008D3B4F">
      <w:pPr>
        <w:spacing w:after="0" w:line="276" w:lineRule="auto"/>
        <w:ind w:firstLine="720"/>
        <w:jc w:val="both"/>
        <w:rPr>
          <w:rFonts w:ascii="Times New Roman" w:hAnsi="Times New Roman"/>
          <w:i/>
          <w:sz w:val="28"/>
          <w:szCs w:val="28"/>
        </w:rPr>
      </w:pPr>
      <w:r w:rsidRPr="00B569E8">
        <w:rPr>
          <w:rFonts w:ascii="Times New Roman" w:hAnsi="Times New Roman"/>
          <w:sz w:val="28"/>
          <w:szCs w:val="28"/>
        </w:rPr>
        <w:t>În anul 2017 au fost semnate</w:t>
      </w:r>
      <w:r w:rsidRPr="00BF2E96">
        <w:rPr>
          <w:rFonts w:ascii="Times New Roman" w:hAnsi="Times New Roman"/>
          <w:sz w:val="28"/>
          <w:szCs w:val="28"/>
        </w:rPr>
        <w:t xml:space="preserve"> 3 acorduri de granturi externe în valoare totală de 53,0</w:t>
      </w:r>
      <w:r>
        <w:rPr>
          <w:rFonts w:ascii="Times New Roman" w:hAnsi="Times New Roman"/>
          <w:sz w:val="28"/>
          <w:szCs w:val="28"/>
        </w:rPr>
        <w:t xml:space="preserve"> mil.dol.SUA</w:t>
      </w:r>
      <w:r w:rsidRPr="005B4650">
        <w:rPr>
          <w:rFonts w:ascii="Times New Roman" w:hAnsi="Times New Roman"/>
          <w:sz w:val="28"/>
          <w:szCs w:val="28"/>
        </w:rPr>
        <w:t xml:space="preserve">. </w:t>
      </w:r>
      <w:r w:rsidRPr="005B4650">
        <w:rPr>
          <w:rFonts w:ascii="Times New Roman" w:hAnsi="Times New Roman"/>
          <w:i/>
          <w:sz w:val="28"/>
          <w:szCs w:val="28"/>
        </w:rPr>
        <w:t>Informația privind acordurile de granturi semnate în anul 2017 este prezentată în Tabelul nr.</w:t>
      </w:r>
      <w:r>
        <w:rPr>
          <w:rFonts w:ascii="Times New Roman" w:hAnsi="Times New Roman"/>
          <w:i/>
          <w:sz w:val="28"/>
          <w:szCs w:val="28"/>
        </w:rPr>
        <w:t>4</w:t>
      </w:r>
      <w:r w:rsidRPr="005B4650">
        <w:rPr>
          <w:rFonts w:ascii="Times New Roman" w:hAnsi="Times New Roman"/>
          <w:i/>
          <w:sz w:val="28"/>
          <w:szCs w:val="28"/>
        </w:rPr>
        <w:t>.</w:t>
      </w:r>
    </w:p>
    <w:p w:rsidR="001D4205" w:rsidRPr="001D4205" w:rsidRDefault="001D4205" w:rsidP="008D3B4F">
      <w:pPr>
        <w:pStyle w:val="ab"/>
        <w:spacing w:line="276" w:lineRule="auto"/>
        <w:jc w:val="right"/>
        <w:rPr>
          <w:rFonts w:ascii="Times New Roman" w:hAnsi="Times New Roman"/>
          <w:i/>
          <w:sz w:val="28"/>
          <w:szCs w:val="24"/>
          <w:lang w:val="ro-RO"/>
        </w:rPr>
      </w:pPr>
      <w:r w:rsidRPr="001D4205">
        <w:rPr>
          <w:rFonts w:ascii="Times New Roman" w:hAnsi="Times New Roman"/>
          <w:i/>
          <w:sz w:val="28"/>
          <w:szCs w:val="24"/>
          <w:lang w:val="ro-RO"/>
        </w:rPr>
        <w:t>Tabelul nr.</w:t>
      </w:r>
      <w:r>
        <w:rPr>
          <w:rFonts w:ascii="Times New Roman" w:hAnsi="Times New Roman"/>
          <w:i/>
          <w:sz w:val="28"/>
          <w:szCs w:val="24"/>
          <w:lang w:val="ro-RO"/>
        </w:rPr>
        <w:t>4</w:t>
      </w:r>
    </w:p>
    <w:p w:rsidR="001D4205" w:rsidRPr="005B4650" w:rsidRDefault="001D4205" w:rsidP="008D3B4F">
      <w:pPr>
        <w:pStyle w:val="ab"/>
        <w:spacing w:after="120" w:line="276" w:lineRule="auto"/>
        <w:jc w:val="center"/>
        <w:rPr>
          <w:rFonts w:ascii="Times New Roman" w:hAnsi="Times New Roman"/>
          <w:b/>
          <w:sz w:val="24"/>
          <w:szCs w:val="24"/>
          <w:lang w:val="ro-RO"/>
        </w:rPr>
      </w:pPr>
      <w:r w:rsidRPr="005B4650">
        <w:rPr>
          <w:rFonts w:ascii="Times New Roman" w:hAnsi="Times New Roman"/>
          <w:b/>
          <w:sz w:val="24"/>
          <w:szCs w:val="24"/>
          <w:lang w:val="ro-RO"/>
        </w:rPr>
        <w:t>Informația privind acordurile de granturi semnate în anul 2017</w:t>
      </w:r>
    </w:p>
    <w:tbl>
      <w:tblPr>
        <w:tblW w:w="9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2274"/>
        <w:gridCol w:w="5377"/>
        <w:gridCol w:w="1470"/>
      </w:tblGrid>
      <w:tr w:rsidR="00FA7E61" w:rsidRPr="00FA7E61" w:rsidTr="00FA7E61">
        <w:trPr>
          <w:trHeight w:val="522"/>
        </w:trPr>
        <w:tc>
          <w:tcPr>
            <w:tcW w:w="556" w:type="dxa"/>
            <w:shd w:val="clear" w:color="auto" w:fill="DEEAF6" w:themeFill="accent1" w:themeFillTint="33"/>
          </w:tcPr>
          <w:p w:rsidR="001D4205" w:rsidRPr="00FA7E61" w:rsidRDefault="001D4205" w:rsidP="00F362C7">
            <w:pPr>
              <w:pStyle w:val="ab"/>
              <w:jc w:val="both"/>
              <w:rPr>
                <w:rFonts w:ascii="Times New Roman" w:hAnsi="Times New Roman"/>
                <w:b/>
                <w:sz w:val="24"/>
                <w:szCs w:val="20"/>
                <w:lang w:val="ro-RO"/>
              </w:rPr>
            </w:pPr>
            <w:r w:rsidRPr="00FA7E61">
              <w:rPr>
                <w:rFonts w:ascii="Times New Roman" w:hAnsi="Times New Roman"/>
                <w:b/>
                <w:sz w:val="24"/>
                <w:szCs w:val="20"/>
                <w:lang w:val="ro-RO"/>
              </w:rPr>
              <w:t>Nr.</w:t>
            </w:r>
          </w:p>
          <w:p w:rsidR="001D4205" w:rsidRPr="00FA7E61" w:rsidRDefault="00FA7E61" w:rsidP="00FA7E61">
            <w:pPr>
              <w:pStyle w:val="ab"/>
              <w:jc w:val="both"/>
              <w:rPr>
                <w:rFonts w:ascii="Times New Roman" w:hAnsi="Times New Roman"/>
                <w:b/>
                <w:sz w:val="24"/>
                <w:szCs w:val="20"/>
                <w:lang w:val="ro-RO"/>
              </w:rPr>
            </w:pPr>
            <w:r>
              <w:rPr>
                <w:rFonts w:ascii="Times New Roman" w:hAnsi="Times New Roman"/>
                <w:b/>
                <w:sz w:val="24"/>
                <w:szCs w:val="20"/>
                <w:lang w:val="ro-RO"/>
              </w:rPr>
              <w:t>d</w:t>
            </w:r>
            <w:r w:rsidR="001D4205" w:rsidRPr="00FA7E61">
              <w:rPr>
                <w:rFonts w:ascii="Times New Roman" w:hAnsi="Times New Roman"/>
                <w:b/>
                <w:sz w:val="24"/>
                <w:szCs w:val="20"/>
                <w:lang w:val="ro-RO"/>
              </w:rPr>
              <w:t>/</w:t>
            </w:r>
            <w:r>
              <w:rPr>
                <w:rFonts w:ascii="Times New Roman" w:hAnsi="Times New Roman"/>
                <w:b/>
                <w:sz w:val="24"/>
                <w:szCs w:val="20"/>
                <w:lang w:val="ro-RO"/>
              </w:rPr>
              <w:t>o</w:t>
            </w:r>
          </w:p>
        </w:tc>
        <w:tc>
          <w:tcPr>
            <w:tcW w:w="2274" w:type="dxa"/>
            <w:shd w:val="clear" w:color="auto" w:fill="DEEAF6" w:themeFill="accent1" w:themeFillTint="33"/>
            <w:vAlign w:val="center"/>
          </w:tcPr>
          <w:p w:rsidR="001D4205" w:rsidRPr="00FA7E61" w:rsidRDefault="001D4205" w:rsidP="00F362C7">
            <w:pPr>
              <w:pStyle w:val="ab"/>
              <w:jc w:val="center"/>
              <w:rPr>
                <w:rFonts w:ascii="Times New Roman" w:hAnsi="Times New Roman"/>
                <w:b/>
                <w:sz w:val="24"/>
                <w:szCs w:val="20"/>
                <w:lang w:val="ro-RO"/>
              </w:rPr>
            </w:pPr>
            <w:r w:rsidRPr="00FA7E61">
              <w:rPr>
                <w:rFonts w:ascii="Times New Roman" w:hAnsi="Times New Roman"/>
                <w:b/>
                <w:sz w:val="24"/>
                <w:szCs w:val="20"/>
                <w:lang w:val="ro-RO"/>
              </w:rPr>
              <w:t>Donatorul</w:t>
            </w:r>
          </w:p>
        </w:tc>
        <w:tc>
          <w:tcPr>
            <w:tcW w:w="5377" w:type="dxa"/>
            <w:shd w:val="clear" w:color="auto" w:fill="DEEAF6" w:themeFill="accent1" w:themeFillTint="33"/>
            <w:vAlign w:val="center"/>
          </w:tcPr>
          <w:p w:rsidR="001D4205" w:rsidRPr="00FA7E61" w:rsidRDefault="001D4205" w:rsidP="00F362C7">
            <w:pPr>
              <w:pStyle w:val="ab"/>
              <w:jc w:val="center"/>
              <w:rPr>
                <w:rFonts w:ascii="Times New Roman" w:hAnsi="Times New Roman"/>
                <w:b/>
                <w:sz w:val="24"/>
                <w:szCs w:val="20"/>
                <w:lang w:val="ro-RO"/>
              </w:rPr>
            </w:pPr>
            <w:r w:rsidRPr="00FA7E61">
              <w:rPr>
                <w:rFonts w:ascii="Times New Roman" w:hAnsi="Times New Roman"/>
                <w:b/>
                <w:sz w:val="24"/>
                <w:szCs w:val="20"/>
                <w:lang w:val="ro-RO"/>
              </w:rPr>
              <w:t>Proiectul</w:t>
            </w:r>
          </w:p>
        </w:tc>
        <w:tc>
          <w:tcPr>
            <w:tcW w:w="1470" w:type="dxa"/>
            <w:shd w:val="clear" w:color="auto" w:fill="DEEAF6" w:themeFill="accent1" w:themeFillTint="33"/>
            <w:vAlign w:val="center"/>
          </w:tcPr>
          <w:p w:rsidR="001D4205" w:rsidRPr="00FA7E61" w:rsidRDefault="001D4205" w:rsidP="00F362C7">
            <w:pPr>
              <w:pStyle w:val="ab"/>
              <w:jc w:val="both"/>
              <w:rPr>
                <w:rFonts w:ascii="Times New Roman" w:hAnsi="Times New Roman"/>
                <w:b/>
                <w:sz w:val="24"/>
                <w:szCs w:val="20"/>
                <w:lang w:val="ro-RO"/>
              </w:rPr>
            </w:pPr>
            <w:r w:rsidRPr="00FA7E61">
              <w:rPr>
                <w:rFonts w:ascii="Times New Roman" w:hAnsi="Times New Roman"/>
                <w:b/>
                <w:sz w:val="24"/>
                <w:szCs w:val="20"/>
                <w:lang w:val="ro-RO"/>
              </w:rPr>
              <w:t>Suma, mil.dol.SUA</w:t>
            </w:r>
          </w:p>
        </w:tc>
      </w:tr>
      <w:tr w:rsidR="001D4205" w:rsidRPr="00FA7E61" w:rsidTr="004051BE">
        <w:tc>
          <w:tcPr>
            <w:tcW w:w="556" w:type="dxa"/>
          </w:tcPr>
          <w:p w:rsidR="001D4205" w:rsidRPr="00FA7E61" w:rsidRDefault="001D4205" w:rsidP="00B569E8">
            <w:pPr>
              <w:pStyle w:val="ab"/>
              <w:jc w:val="center"/>
              <w:rPr>
                <w:rFonts w:ascii="Times New Roman" w:hAnsi="Times New Roman"/>
                <w:b/>
                <w:sz w:val="24"/>
                <w:szCs w:val="20"/>
                <w:lang w:val="ro-RO"/>
              </w:rPr>
            </w:pPr>
            <w:r w:rsidRPr="00FA7E61">
              <w:rPr>
                <w:rFonts w:ascii="Times New Roman" w:hAnsi="Times New Roman"/>
                <w:b/>
                <w:sz w:val="24"/>
                <w:szCs w:val="20"/>
                <w:lang w:val="ro-RO"/>
              </w:rPr>
              <w:t>1</w:t>
            </w:r>
            <w:r w:rsidR="00FA7E61" w:rsidRPr="00FA7E61">
              <w:rPr>
                <w:rFonts w:ascii="Times New Roman" w:hAnsi="Times New Roman"/>
                <w:b/>
                <w:sz w:val="24"/>
                <w:szCs w:val="20"/>
                <w:lang w:val="ro-RO"/>
              </w:rPr>
              <w:t>.</w:t>
            </w:r>
          </w:p>
        </w:tc>
        <w:tc>
          <w:tcPr>
            <w:tcW w:w="2274" w:type="dxa"/>
            <w:vAlign w:val="center"/>
          </w:tcPr>
          <w:p w:rsidR="001D4205" w:rsidRPr="00FA7E61" w:rsidRDefault="001D4205" w:rsidP="00F362C7">
            <w:pPr>
              <w:pStyle w:val="ab"/>
              <w:jc w:val="both"/>
              <w:rPr>
                <w:rFonts w:ascii="Times New Roman" w:hAnsi="Times New Roman"/>
                <w:b/>
                <w:sz w:val="24"/>
                <w:szCs w:val="20"/>
                <w:lang w:val="ro-RO"/>
              </w:rPr>
            </w:pPr>
            <w:r w:rsidRPr="00FA7E61">
              <w:rPr>
                <w:rFonts w:ascii="Times New Roman" w:hAnsi="Times New Roman"/>
                <w:b/>
                <w:sz w:val="24"/>
                <w:szCs w:val="20"/>
                <w:lang w:val="ro-RO"/>
              </w:rPr>
              <w:t>Agenția Elvețiană pentru Dezvoltare și Cooperare</w:t>
            </w:r>
          </w:p>
        </w:tc>
        <w:tc>
          <w:tcPr>
            <w:tcW w:w="5377" w:type="dxa"/>
            <w:vAlign w:val="center"/>
          </w:tcPr>
          <w:p w:rsidR="001D4205" w:rsidRPr="00FA7E61" w:rsidRDefault="001D4205" w:rsidP="00F362C7">
            <w:pPr>
              <w:pStyle w:val="ab"/>
              <w:jc w:val="both"/>
              <w:rPr>
                <w:rFonts w:ascii="Times New Roman" w:hAnsi="Times New Roman"/>
                <w:sz w:val="24"/>
                <w:szCs w:val="20"/>
                <w:lang w:val="ro-RO"/>
              </w:rPr>
            </w:pPr>
            <w:r w:rsidRPr="00FA7E61">
              <w:rPr>
                <w:rFonts w:ascii="Times New Roman" w:hAnsi="Times New Roman"/>
                <w:sz w:val="24"/>
                <w:szCs w:val="20"/>
                <w:lang w:val="ro-RO"/>
              </w:rPr>
              <w:t>„Consolidarea cadrului instituțional al Republicii Moldova în domeniul migrației și dezvoltării”</w:t>
            </w:r>
          </w:p>
        </w:tc>
        <w:tc>
          <w:tcPr>
            <w:tcW w:w="1470" w:type="dxa"/>
            <w:vAlign w:val="center"/>
          </w:tcPr>
          <w:p w:rsidR="001D4205" w:rsidRPr="00FA7E61" w:rsidRDefault="001D4205" w:rsidP="00F362C7">
            <w:pPr>
              <w:pStyle w:val="ab"/>
              <w:jc w:val="center"/>
              <w:rPr>
                <w:rFonts w:ascii="Times New Roman" w:hAnsi="Times New Roman"/>
                <w:sz w:val="24"/>
                <w:szCs w:val="20"/>
                <w:lang w:val="ro-RO"/>
              </w:rPr>
            </w:pPr>
            <w:r w:rsidRPr="00FA7E61">
              <w:rPr>
                <w:rFonts w:ascii="Times New Roman" w:hAnsi="Times New Roman"/>
                <w:sz w:val="24"/>
                <w:szCs w:val="20"/>
                <w:lang w:val="ro-RO"/>
              </w:rPr>
              <w:t>0,2</w:t>
            </w:r>
          </w:p>
        </w:tc>
      </w:tr>
      <w:tr w:rsidR="001D4205" w:rsidRPr="00FA7E61" w:rsidTr="004051BE">
        <w:tc>
          <w:tcPr>
            <w:tcW w:w="556" w:type="dxa"/>
          </w:tcPr>
          <w:p w:rsidR="001D4205" w:rsidRPr="00FA7E61" w:rsidRDefault="001D4205" w:rsidP="00B569E8">
            <w:pPr>
              <w:pStyle w:val="ab"/>
              <w:jc w:val="center"/>
              <w:rPr>
                <w:rFonts w:ascii="Times New Roman" w:hAnsi="Times New Roman"/>
                <w:b/>
                <w:sz w:val="24"/>
                <w:szCs w:val="20"/>
                <w:lang w:val="ro-RO"/>
              </w:rPr>
            </w:pPr>
            <w:r w:rsidRPr="00FA7E61">
              <w:rPr>
                <w:rFonts w:ascii="Times New Roman" w:hAnsi="Times New Roman"/>
                <w:b/>
                <w:sz w:val="24"/>
                <w:szCs w:val="20"/>
                <w:lang w:val="ro-RO"/>
              </w:rPr>
              <w:t>2</w:t>
            </w:r>
            <w:r w:rsidR="00FA7E61" w:rsidRPr="00FA7E61">
              <w:rPr>
                <w:rFonts w:ascii="Times New Roman" w:hAnsi="Times New Roman"/>
                <w:b/>
                <w:sz w:val="24"/>
                <w:szCs w:val="20"/>
                <w:lang w:val="ro-RO"/>
              </w:rPr>
              <w:t>.</w:t>
            </w:r>
          </w:p>
        </w:tc>
        <w:tc>
          <w:tcPr>
            <w:tcW w:w="2274" w:type="dxa"/>
            <w:vAlign w:val="center"/>
          </w:tcPr>
          <w:p w:rsidR="001D4205" w:rsidRPr="00FA7E61" w:rsidRDefault="001D4205" w:rsidP="00F362C7">
            <w:pPr>
              <w:pStyle w:val="ab"/>
              <w:jc w:val="both"/>
              <w:rPr>
                <w:rFonts w:ascii="Times New Roman" w:hAnsi="Times New Roman"/>
                <w:b/>
                <w:sz w:val="24"/>
                <w:szCs w:val="20"/>
                <w:lang w:val="ro-RO"/>
              </w:rPr>
            </w:pPr>
            <w:r w:rsidRPr="00FA7E61">
              <w:rPr>
                <w:rFonts w:ascii="Times New Roman" w:hAnsi="Times New Roman"/>
                <w:b/>
                <w:sz w:val="24"/>
                <w:szCs w:val="20"/>
                <w:lang w:val="ro-RO"/>
              </w:rPr>
              <w:t>Comisia Europeană</w:t>
            </w:r>
          </w:p>
        </w:tc>
        <w:tc>
          <w:tcPr>
            <w:tcW w:w="5377" w:type="dxa"/>
            <w:vAlign w:val="center"/>
          </w:tcPr>
          <w:p w:rsidR="001D4205" w:rsidRPr="00FA7E61" w:rsidRDefault="001D4205" w:rsidP="00F362C7">
            <w:pPr>
              <w:pStyle w:val="ab"/>
              <w:jc w:val="both"/>
              <w:rPr>
                <w:rFonts w:ascii="Times New Roman" w:hAnsi="Times New Roman"/>
                <w:sz w:val="24"/>
                <w:szCs w:val="20"/>
                <w:lang w:val="ro-RO"/>
              </w:rPr>
            </w:pPr>
            <w:r w:rsidRPr="00FA7E61">
              <w:rPr>
                <w:rFonts w:ascii="Times New Roman" w:hAnsi="Times New Roman"/>
                <w:sz w:val="24"/>
                <w:szCs w:val="20"/>
                <w:lang w:val="ro-RO"/>
              </w:rPr>
              <w:t>Asistență macrofinanciară</w:t>
            </w:r>
          </w:p>
        </w:tc>
        <w:tc>
          <w:tcPr>
            <w:tcW w:w="1470" w:type="dxa"/>
            <w:vAlign w:val="center"/>
          </w:tcPr>
          <w:p w:rsidR="001D4205" w:rsidRPr="00FA7E61" w:rsidRDefault="001D4205" w:rsidP="00F362C7">
            <w:pPr>
              <w:pStyle w:val="ab"/>
              <w:jc w:val="center"/>
              <w:rPr>
                <w:rFonts w:ascii="Times New Roman" w:hAnsi="Times New Roman"/>
                <w:sz w:val="24"/>
                <w:szCs w:val="20"/>
                <w:lang w:val="ro-RO"/>
              </w:rPr>
            </w:pPr>
            <w:r w:rsidRPr="00FA7E61">
              <w:rPr>
                <w:rFonts w:ascii="Times New Roman" w:hAnsi="Times New Roman"/>
                <w:sz w:val="24"/>
                <w:szCs w:val="20"/>
                <w:lang w:val="ro-RO"/>
              </w:rPr>
              <w:t>48,0</w:t>
            </w:r>
          </w:p>
        </w:tc>
      </w:tr>
      <w:tr w:rsidR="001D4205" w:rsidRPr="00FA7E61" w:rsidTr="004051BE">
        <w:trPr>
          <w:trHeight w:val="268"/>
        </w:trPr>
        <w:tc>
          <w:tcPr>
            <w:tcW w:w="556" w:type="dxa"/>
          </w:tcPr>
          <w:p w:rsidR="001D4205" w:rsidRPr="00FA7E61" w:rsidRDefault="00FA7E61" w:rsidP="00B569E8">
            <w:pPr>
              <w:pStyle w:val="ab"/>
              <w:jc w:val="center"/>
              <w:rPr>
                <w:rFonts w:ascii="Times New Roman" w:hAnsi="Times New Roman"/>
                <w:b/>
                <w:sz w:val="24"/>
                <w:szCs w:val="20"/>
                <w:lang w:val="ro-RO"/>
              </w:rPr>
            </w:pPr>
            <w:r w:rsidRPr="00FA7E61">
              <w:rPr>
                <w:rFonts w:ascii="Times New Roman" w:hAnsi="Times New Roman"/>
                <w:b/>
                <w:sz w:val="24"/>
                <w:szCs w:val="20"/>
                <w:lang w:val="ro-RO"/>
              </w:rPr>
              <w:t>3.</w:t>
            </w:r>
          </w:p>
        </w:tc>
        <w:tc>
          <w:tcPr>
            <w:tcW w:w="2274" w:type="dxa"/>
            <w:vAlign w:val="center"/>
          </w:tcPr>
          <w:p w:rsidR="001D4205" w:rsidRPr="00FA7E61" w:rsidRDefault="001D4205" w:rsidP="00F362C7">
            <w:pPr>
              <w:pStyle w:val="ab"/>
              <w:jc w:val="both"/>
              <w:rPr>
                <w:rFonts w:ascii="Times New Roman" w:hAnsi="Times New Roman"/>
                <w:b/>
                <w:sz w:val="24"/>
                <w:szCs w:val="20"/>
                <w:lang w:val="ro-RO"/>
              </w:rPr>
            </w:pPr>
            <w:r w:rsidRPr="00FA7E61">
              <w:rPr>
                <w:rFonts w:ascii="Times New Roman" w:hAnsi="Times New Roman"/>
                <w:b/>
                <w:sz w:val="24"/>
                <w:szCs w:val="20"/>
                <w:lang w:val="ro-RO"/>
              </w:rPr>
              <w:t>Guvernul Japoniei</w:t>
            </w:r>
          </w:p>
        </w:tc>
        <w:tc>
          <w:tcPr>
            <w:tcW w:w="5377" w:type="dxa"/>
            <w:vAlign w:val="center"/>
          </w:tcPr>
          <w:p w:rsidR="001D4205" w:rsidRPr="00FA7E61" w:rsidRDefault="00C32BFC" w:rsidP="00F362C7">
            <w:pPr>
              <w:pStyle w:val="ab"/>
              <w:jc w:val="both"/>
              <w:rPr>
                <w:rFonts w:ascii="Times New Roman" w:hAnsi="Times New Roman"/>
                <w:sz w:val="24"/>
                <w:szCs w:val="20"/>
                <w:lang w:val="ro-RO"/>
              </w:rPr>
            </w:pPr>
            <w:r>
              <w:rPr>
                <w:rFonts w:ascii="Times New Roman" w:hAnsi="Times New Roman"/>
                <w:sz w:val="24"/>
                <w:szCs w:val="20"/>
                <w:lang w:val="ro-RO"/>
              </w:rPr>
              <w:t>„</w:t>
            </w:r>
            <w:r w:rsidR="001D4205" w:rsidRPr="00FA7E61">
              <w:rPr>
                <w:rFonts w:ascii="Times New Roman" w:hAnsi="Times New Roman"/>
                <w:sz w:val="24"/>
                <w:szCs w:val="20"/>
                <w:lang w:val="ro-RO"/>
              </w:rPr>
              <w:t>Agricultura conservativă – dezvoltarea unui sistem durabil de gestionare a solurilor în Republica Moldova”</w:t>
            </w:r>
          </w:p>
        </w:tc>
        <w:tc>
          <w:tcPr>
            <w:tcW w:w="1470" w:type="dxa"/>
            <w:vAlign w:val="center"/>
          </w:tcPr>
          <w:p w:rsidR="001D4205" w:rsidRPr="00FA7E61" w:rsidRDefault="001D4205" w:rsidP="00F362C7">
            <w:pPr>
              <w:pStyle w:val="ab"/>
              <w:jc w:val="center"/>
              <w:rPr>
                <w:rFonts w:ascii="Times New Roman" w:hAnsi="Times New Roman"/>
                <w:sz w:val="24"/>
                <w:szCs w:val="20"/>
                <w:lang w:val="ro-RO"/>
              </w:rPr>
            </w:pPr>
            <w:r w:rsidRPr="00FA7E61">
              <w:rPr>
                <w:rFonts w:ascii="Times New Roman" w:hAnsi="Times New Roman"/>
                <w:sz w:val="24"/>
                <w:szCs w:val="20"/>
                <w:lang w:val="ro-RO"/>
              </w:rPr>
              <w:t>4,8</w:t>
            </w:r>
          </w:p>
        </w:tc>
      </w:tr>
      <w:tr w:rsidR="00FA7E61" w:rsidRPr="00FA7E61" w:rsidTr="00FA7E61">
        <w:trPr>
          <w:trHeight w:val="127"/>
        </w:trPr>
        <w:tc>
          <w:tcPr>
            <w:tcW w:w="556" w:type="dxa"/>
            <w:shd w:val="clear" w:color="auto" w:fill="8EAADB" w:themeFill="accent5" w:themeFillTint="99"/>
          </w:tcPr>
          <w:p w:rsidR="001D4205" w:rsidRPr="00FA7E61" w:rsidRDefault="001D4205" w:rsidP="00F362C7">
            <w:pPr>
              <w:pStyle w:val="ab"/>
              <w:jc w:val="both"/>
              <w:rPr>
                <w:rFonts w:ascii="Times New Roman" w:hAnsi="Times New Roman"/>
                <w:b/>
                <w:sz w:val="24"/>
                <w:szCs w:val="20"/>
                <w:lang w:val="ro-RO"/>
              </w:rPr>
            </w:pPr>
          </w:p>
        </w:tc>
        <w:tc>
          <w:tcPr>
            <w:tcW w:w="2274" w:type="dxa"/>
            <w:shd w:val="clear" w:color="auto" w:fill="8EAADB" w:themeFill="accent5" w:themeFillTint="99"/>
          </w:tcPr>
          <w:p w:rsidR="001D4205" w:rsidRPr="00FA7E61" w:rsidRDefault="001D4205" w:rsidP="00F362C7">
            <w:pPr>
              <w:pStyle w:val="ab"/>
              <w:jc w:val="both"/>
              <w:rPr>
                <w:rFonts w:ascii="Times New Roman" w:hAnsi="Times New Roman"/>
                <w:b/>
                <w:sz w:val="24"/>
                <w:szCs w:val="20"/>
                <w:lang w:val="ro-RO"/>
              </w:rPr>
            </w:pPr>
            <w:r w:rsidRPr="00FA7E61">
              <w:rPr>
                <w:rFonts w:ascii="Times New Roman" w:hAnsi="Times New Roman"/>
                <w:b/>
                <w:sz w:val="24"/>
                <w:szCs w:val="20"/>
                <w:lang w:val="ro-RO"/>
              </w:rPr>
              <w:t>TOTAL</w:t>
            </w:r>
          </w:p>
        </w:tc>
        <w:tc>
          <w:tcPr>
            <w:tcW w:w="5377" w:type="dxa"/>
            <w:shd w:val="clear" w:color="auto" w:fill="8EAADB" w:themeFill="accent5" w:themeFillTint="99"/>
          </w:tcPr>
          <w:p w:rsidR="001D4205" w:rsidRPr="00FA7E61" w:rsidRDefault="001D4205" w:rsidP="00F362C7">
            <w:pPr>
              <w:pStyle w:val="ab"/>
              <w:jc w:val="both"/>
              <w:rPr>
                <w:rFonts w:ascii="Times New Roman" w:hAnsi="Times New Roman"/>
                <w:sz w:val="24"/>
                <w:szCs w:val="20"/>
                <w:lang w:val="ro-RO"/>
              </w:rPr>
            </w:pPr>
          </w:p>
        </w:tc>
        <w:tc>
          <w:tcPr>
            <w:tcW w:w="1470" w:type="dxa"/>
            <w:shd w:val="clear" w:color="auto" w:fill="8EAADB" w:themeFill="accent5" w:themeFillTint="99"/>
          </w:tcPr>
          <w:p w:rsidR="001D4205" w:rsidRPr="00FA7E61" w:rsidRDefault="001D4205" w:rsidP="00F362C7">
            <w:pPr>
              <w:pStyle w:val="ab"/>
              <w:jc w:val="center"/>
              <w:rPr>
                <w:rFonts w:ascii="Times New Roman" w:hAnsi="Times New Roman"/>
                <w:b/>
                <w:sz w:val="24"/>
                <w:szCs w:val="20"/>
                <w:lang w:val="ro-RO"/>
              </w:rPr>
            </w:pPr>
            <w:r w:rsidRPr="00FA7E61">
              <w:rPr>
                <w:rFonts w:ascii="Times New Roman" w:hAnsi="Times New Roman"/>
                <w:b/>
                <w:sz w:val="24"/>
                <w:szCs w:val="20"/>
                <w:lang w:val="ro-RO"/>
              </w:rPr>
              <w:t>53,0</w:t>
            </w:r>
          </w:p>
        </w:tc>
      </w:tr>
    </w:tbl>
    <w:p w:rsidR="001D4205" w:rsidRPr="00FA7E61" w:rsidRDefault="001D4205" w:rsidP="009A3DD9">
      <w:pPr>
        <w:pStyle w:val="ab"/>
        <w:spacing w:after="120" w:line="276" w:lineRule="auto"/>
        <w:jc w:val="both"/>
        <w:rPr>
          <w:rFonts w:ascii="Times New Roman" w:hAnsi="Times New Roman"/>
          <w:i/>
          <w:sz w:val="20"/>
          <w:szCs w:val="20"/>
          <w:lang w:val="ro-RO"/>
        </w:rPr>
      </w:pPr>
      <w:r w:rsidRPr="000E6C76">
        <w:rPr>
          <w:rFonts w:ascii="Times New Roman" w:hAnsi="Times New Roman"/>
          <w:b/>
          <w:i/>
          <w:sz w:val="20"/>
          <w:szCs w:val="20"/>
          <w:lang w:val="ro-RO"/>
        </w:rPr>
        <w:t>Surs</w:t>
      </w:r>
      <w:r w:rsidR="00C32BFC">
        <w:rPr>
          <w:rFonts w:ascii="Times New Roman" w:hAnsi="Times New Roman"/>
          <w:b/>
          <w:i/>
          <w:sz w:val="20"/>
          <w:szCs w:val="20"/>
          <w:lang w:val="ro-RO"/>
        </w:rPr>
        <w:t>ă</w:t>
      </w:r>
      <w:r w:rsidRPr="009A3522">
        <w:rPr>
          <w:rFonts w:ascii="Times New Roman" w:hAnsi="Times New Roman"/>
          <w:b/>
          <w:i/>
          <w:sz w:val="20"/>
          <w:szCs w:val="20"/>
          <w:lang w:val="ro-RO"/>
        </w:rPr>
        <w:t>:</w:t>
      </w:r>
      <w:r w:rsidRPr="009A3522">
        <w:rPr>
          <w:rFonts w:ascii="Times New Roman" w:hAnsi="Times New Roman"/>
          <w:sz w:val="20"/>
          <w:szCs w:val="20"/>
          <w:lang w:val="ro-RO"/>
        </w:rPr>
        <w:t xml:space="preserve"> </w:t>
      </w:r>
      <w:r w:rsidR="00FA7E61">
        <w:rPr>
          <w:rFonts w:ascii="Times New Roman" w:hAnsi="Times New Roman"/>
          <w:i/>
          <w:sz w:val="20"/>
          <w:szCs w:val="20"/>
          <w:lang w:val="ro-RO"/>
        </w:rPr>
        <w:t xml:space="preserve">Informații generalizate </w:t>
      </w:r>
      <w:r w:rsidRPr="00FA7E61">
        <w:rPr>
          <w:rFonts w:ascii="Times New Roman" w:hAnsi="Times New Roman"/>
          <w:i/>
          <w:sz w:val="20"/>
          <w:szCs w:val="20"/>
          <w:lang w:val="ro-RO"/>
        </w:rPr>
        <w:t>de</w:t>
      </w:r>
      <w:r w:rsidR="00FA7E61">
        <w:rPr>
          <w:rFonts w:ascii="Times New Roman" w:hAnsi="Times New Roman"/>
          <w:i/>
          <w:sz w:val="20"/>
          <w:szCs w:val="20"/>
          <w:lang w:val="ro-RO"/>
        </w:rPr>
        <w:t xml:space="preserve"> </w:t>
      </w:r>
      <w:r w:rsidRPr="00FA7E61">
        <w:rPr>
          <w:rFonts w:ascii="Times New Roman" w:hAnsi="Times New Roman"/>
          <w:i/>
          <w:sz w:val="20"/>
          <w:szCs w:val="20"/>
          <w:lang w:val="ro-RO"/>
        </w:rPr>
        <w:t xml:space="preserve">echipa de audit în baza </w:t>
      </w:r>
      <w:r w:rsidR="00FA7E61">
        <w:rPr>
          <w:rFonts w:ascii="Times New Roman" w:hAnsi="Times New Roman"/>
          <w:i/>
          <w:sz w:val="20"/>
          <w:szCs w:val="20"/>
          <w:lang w:val="ro-RO"/>
        </w:rPr>
        <w:t>datelor</w:t>
      </w:r>
      <w:r w:rsidRPr="00FA7E61">
        <w:rPr>
          <w:rFonts w:ascii="Times New Roman" w:hAnsi="Times New Roman"/>
          <w:i/>
          <w:sz w:val="20"/>
          <w:szCs w:val="20"/>
          <w:lang w:val="ro-RO"/>
        </w:rPr>
        <w:t xml:space="preserve"> MF privind granturile contractate în anul 2017.</w:t>
      </w:r>
    </w:p>
    <w:p w:rsidR="001D4205" w:rsidRDefault="001D4205" w:rsidP="008D3B4F">
      <w:pPr>
        <w:pStyle w:val="ab"/>
        <w:spacing w:line="276" w:lineRule="auto"/>
        <w:ind w:firstLine="720"/>
        <w:jc w:val="both"/>
        <w:rPr>
          <w:rFonts w:ascii="Times New Roman" w:hAnsi="Times New Roman"/>
          <w:sz w:val="28"/>
          <w:szCs w:val="28"/>
          <w:lang w:val="ro-RO"/>
        </w:rPr>
      </w:pPr>
      <w:r w:rsidRPr="00922CC4">
        <w:rPr>
          <w:rFonts w:ascii="Times New Roman" w:hAnsi="Times New Roman"/>
          <w:sz w:val="28"/>
          <w:szCs w:val="28"/>
          <w:lang w:val="ro-RO"/>
        </w:rPr>
        <w:lastRenderedPageBreak/>
        <w:t>Ponderea majoră în totalul granturilor acordate în anul 2017 revine grantului acordat de Comisia Europeană – 90,6% (48,0 mil.dol</w:t>
      </w:r>
      <w:r w:rsidR="005F2274">
        <w:rPr>
          <w:rFonts w:ascii="Times New Roman" w:hAnsi="Times New Roman"/>
          <w:sz w:val="28"/>
          <w:szCs w:val="28"/>
          <w:lang w:val="ro-RO"/>
        </w:rPr>
        <w:t>.</w:t>
      </w:r>
      <w:r w:rsidRPr="00922CC4">
        <w:rPr>
          <w:rFonts w:ascii="Times New Roman" w:hAnsi="Times New Roman"/>
          <w:sz w:val="28"/>
          <w:szCs w:val="28"/>
          <w:lang w:val="ro-RO"/>
        </w:rPr>
        <w:t>SUA), urmată de Guvernul Japoniei</w:t>
      </w:r>
      <w:r w:rsidR="00FA7E61">
        <w:rPr>
          <w:rFonts w:ascii="Times New Roman" w:hAnsi="Times New Roman"/>
          <w:sz w:val="28"/>
          <w:szCs w:val="28"/>
          <w:lang w:val="ro-RO"/>
        </w:rPr>
        <w:t xml:space="preserve"> </w:t>
      </w:r>
      <w:r w:rsidRPr="00922CC4">
        <w:rPr>
          <w:rFonts w:ascii="Times New Roman" w:hAnsi="Times New Roman"/>
          <w:sz w:val="28"/>
          <w:szCs w:val="28"/>
          <w:lang w:val="ro-RO"/>
        </w:rPr>
        <w:t xml:space="preserve">– 9,0% (4,8 mil.dol.SUA), Agenția Elvețiană pentru Dezvoltare și Cooperare </w:t>
      </w:r>
      <w:r w:rsidR="00C32BFC">
        <w:rPr>
          <w:rFonts w:ascii="Times New Roman" w:hAnsi="Times New Roman"/>
          <w:sz w:val="28"/>
          <w:szCs w:val="28"/>
          <w:lang w:val="ro-RO"/>
        </w:rPr>
        <w:t xml:space="preserve">– </w:t>
      </w:r>
      <w:r w:rsidRPr="00922CC4">
        <w:rPr>
          <w:rFonts w:ascii="Times New Roman" w:hAnsi="Times New Roman"/>
          <w:sz w:val="28"/>
          <w:szCs w:val="28"/>
          <w:lang w:val="ro-RO"/>
        </w:rPr>
        <w:t>0,4% (0,2 mil.dol.SUA)</w:t>
      </w:r>
      <w:r w:rsidR="00FA7E61">
        <w:rPr>
          <w:rFonts w:ascii="Times New Roman" w:hAnsi="Times New Roman"/>
          <w:sz w:val="28"/>
          <w:szCs w:val="28"/>
          <w:lang w:val="ro-RO"/>
        </w:rPr>
        <w:t>.</w:t>
      </w:r>
      <w:r w:rsidRPr="00922CC4">
        <w:rPr>
          <w:rFonts w:ascii="Times New Roman" w:hAnsi="Times New Roman"/>
          <w:sz w:val="28"/>
          <w:szCs w:val="28"/>
          <w:lang w:val="ro-RO"/>
        </w:rPr>
        <w:t xml:space="preserve"> </w:t>
      </w:r>
    </w:p>
    <w:p w:rsidR="001D4205" w:rsidRDefault="001D4205" w:rsidP="008D3B4F">
      <w:pPr>
        <w:pStyle w:val="ab"/>
        <w:spacing w:line="276" w:lineRule="auto"/>
        <w:ind w:firstLine="720"/>
        <w:jc w:val="both"/>
        <w:rPr>
          <w:rFonts w:ascii="Times New Roman" w:hAnsi="Times New Roman"/>
          <w:sz w:val="28"/>
          <w:szCs w:val="28"/>
          <w:lang w:val="ro-RO"/>
        </w:rPr>
      </w:pPr>
      <w:r w:rsidRPr="006030D5">
        <w:rPr>
          <w:rFonts w:ascii="Times New Roman" w:hAnsi="Times New Roman"/>
          <w:sz w:val="28"/>
          <w:szCs w:val="28"/>
          <w:lang w:val="ro-RO"/>
        </w:rPr>
        <w:t xml:space="preserve">Comparativ cu anul </w:t>
      </w:r>
      <w:r>
        <w:rPr>
          <w:rFonts w:ascii="Times New Roman" w:hAnsi="Times New Roman"/>
          <w:sz w:val="28"/>
          <w:szCs w:val="28"/>
          <w:lang w:val="ro-RO"/>
        </w:rPr>
        <w:t>2016</w:t>
      </w:r>
      <w:r w:rsidRPr="006030D5">
        <w:rPr>
          <w:rFonts w:ascii="Times New Roman" w:hAnsi="Times New Roman"/>
          <w:sz w:val="28"/>
          <w:szCs w:val="28"/>
          <w:lang w:val="ro-RO"/>
        </w:rPr>
        <w:t>, debursările din granturile externe s-au diminuat cu 283,0 mil.lei</w:t>
      </w:r>
      <w:r w:rsidR="00B40E6A">
        <w:rPr>
          <w:rFonts w:ascii="Times New Roman" w:hAnsi="Times New Roman"/>
          <w:sz w:val="28"/>
          <w:szCs w:val="28"/>
          <w:lang w:val="ro-RO"/>
        </w:rPr>
        <w:t>,</w:t>
      </w:r>
      <w:r w:rsidRPr="006030D5">
        <w:rPr>
          <w:rFonts w:ascii="Times New Roman" w:hAnsi="Times New Roman"/>
          <w:sz w:val="28"/>
          <w:szCs w:val="28"/>
          <w:lang w:val="ro-RO"/>
        </w:rPr>
        <w:t xml:space="preserve"> </w:t>
      </w:r>
      <w:r w:rsidR="00C744D7">
        <w:rPr>
          <w:rFonts w:ascii="Times New Roman" w:hAnsi="Times New Roman"/>
          <w:sz w:val="28"/>
          <w:szCs w:val="28"/>
          <w:lang w:val="ro-RO"/>
        </w:rPr>
        <w:t>constituind la situația din 31.12.2017 suma de 993,0</w:t>
      </w:r>
      <w:r w:rsidR="00C744D7" w:rsidRPr="006505D5">
        <w:rPr>
          <w:rFonts w:ascii="Times New Roman" w:hAnsi="Times New Roman"/>
          <w:sz w:val="28"/>
          <w:szCs w:val="28"/>
          <w:lang w:val="ro-RO"/>
        </w:rPr>
        <w:t xml:space="preserve"> mil.lei</w:t>
      </w:r>
      <w:r w:rsidR="00C744D7">
        <w:rPr>
          <w:rFonts w:ascii="Times New Roman" w:hAnsi="Times New Roman"/>
          <w:sz w:val="28"/>
          <w:szCs w:val="28"/>
          <w:lang w:val="ro-RO"/>
        </w:rPr>
        <w:t>, dintre care</w:t>
      </w:r>
      <w:r w:rsidR="00B40E6A">
        <w:rPr>
          <w:rFonts w:ascii="Times New Roman" w:hAnsi="Times New Roman"/>
          <w:sz w:val="28"/>
          <w:szCs w:val="28"/>
          <w:lang w:val="ro-RO"/>
        </w:rPr>
        <w:t>:</w:t>
      </w:r>
      <w:r w:rsidR="00C744D7">
        <w:rPr>
          <w:rFonts w:ascii="Times New Roman" w:hAnsi="Times New Roman"/>
          <w:sz w:val="28"/>
          <w:szCs w:val="28"/>
          <w:lang w:val="ro-RO"/>
        </w:rPr>
        <w:t xml:space="preserve"> </w:t>
      </w:r>
      <w:r w:rsidRPr="006030D5">
        <w:rPr>
          <w:rFonts w:ascii="Times New Roman" w:hAnsi="Times New Roman"/>
          <w:sz w:val="28"/>
          <w:szCs w:val="28"/>
          <w:lang w:val="ro-RO"/>
        </w:rPr>
        <w:t>granturi pentru susținerea bugetului de stat – 739,6 mil.le</w:t>
      </w:r>
      <w:r w:rsidRPr="006505D5">
        <w:rPr>
          <w:rFonts w:ascii="Times New Roman" w:hAnsi="Times New Roman"/>
          <w:sz w:val="28"/>
          <w:szCs w:val="28"/>
          <w:lang w:val="ro-RO"/>
        </w:rPr>
        <w:t>i, granturi pentru proiecte investiționale – 253,3 mil.lei.</w:t>
      </w:r>
      <w:r>
        <w:rPr>
          <w:rFonts w:ascii="Times New Roman" w:hAnsi="Times New Roman"/>
          <w:sz w:val="28"/>
          <w:szCs w:val="28"/>
          <w:lang w:val="ro-RO"/>
        </w:rPr>
        <w:t xml:space="preserve"> Din granturile semnate în anul 2017, au fost debursate 500,0 mii lei din grantul acordat de Agenția Elvețiană pentru Dezvoltare și Cooperare pentru implementarea Proiectului „Consolidarea cadrului instituțional al R</w:t>
      </w:r>
      <w:r w:rsidR="00B40E6A">
        <w:rPr>
          <w:rFonts w:ascii="Times New Roman" w:hAnsi="Times New Roman"/>
          <w:sz w:val="28"/>
          <w:szCs w:val="28"/>
          <w:lang w:val="ro-RO"/>
        </w:rPr>
        <w:t xml:space="preserve">epublicii </w:t>
      </w:r>
      <w:r>
        <w:rPr>
          <w:rFonts w:ascii="Times New Roman" w:hAnsi="Times New Roman"/>
          <w:sz w:val="28"/>
          <w:szCs w:val="28"/>
          <w:lang w:val="ro-RO"/>
        </w:rPr>
        <w:t>M</w:t>
      </w:r>
      <w:r w:rsidR="00B40E6A">
        <w:rPr>
          <w:rFonts w:ascii="Times New Roman" w:hAnsi="Times New Roman"/>
          <w:sz w:val="28"/>
          <w:szCs w:val="28"/>
          <w:lang w:val="ro-RO"/>
        </w:rPr>
        <w:t>oldova</w:t>
      </w:r>
      <w:r>
        <w:rPr>
          <w:rFonts w:ascii="Times New Roman" w:hAnsi="Times New Roman"/>
          <w:sz w:val="28"/>
          <w:szCs w:val="28"/>
          <w:lang w:val="ro-RO"/>
        </w:rPr>
        <w:t xml:space="preserve"> în domeniul migrației și dezvoltării”</w:t>
      </w:r>
      <w:r w:rsidR="00B40E6A">
        <w:rPr>
          <w:rFonts w:ascii="Times New Roman" w:hAnsi="Times New Roman"/>
          <w:sz w:val="28"/>
          <w:szCs w:val="28"/>
          <w:lang w:val="ro-RO"/>
        </w:rPr>
        <w:t>,</w:t>
      </w:r>
      <w:r>
        <w:rPr>
          <w:rFonts w:ascii="Times New Roman" w:hAnsi="Times New Roman"/>
          <w:sz w:val="28"/>
          <w:szCs w:val="28"/>
          <w:lang w:val="ro-RO"/>
        </w:rPr>
        <w:t xml:space="preserve"> în valoare de 4,0 mil.lei.</w:t>
      </w:r>
    </w:p>
    <w:p w:rsidR="001D4205" w:rsidRDefault="001D4205" w:rsidP="008D3B4F">
      <w:pPr>
        <w:spacing w:after="0" w:line="276" w:lineRule="auto"/>
        <w:ind w:firstLine="720"/>
        <w:jc w:val="both"/>
        <w:rPr>
          <w:rFonts w:ascii="Times New Roman" w:eastAsia="Times New Roman" w:hAnsi="Times New Roman" w:cs="Times New Roman"/>
          <w:bCs/>
          <w:sz w:val="28"/>
          <w:szCs w:val="28"/>
        </w:rPr>
      </w:pPr>
      <w:r w:rsidRPr="005D2EFE">
        <w:rPr>
          <w:rFonts w:ascii="Times New Roman" w:hAnsi="Times New Roman"/>
          <w:sz w:val="28"/>
          <w:szCs w:val="28"/>
        </w:rPr>
        <w:t xml:space="preserve">Verificările auditului privind veridicitatea datelor incluse în informațiile </w:t>
      </w:r>
      <w:r w:rsidR="00FA7E61">
        <w:rPr>
          <w:rFonts w:ascii="Times New Roman" w:hAnsi="Times New Roman"/>
          <w:sz w:val="28"/>
          <w:szCs w:val="28"/>
        </w:rPr>
        <w:t>privind granturile primite în anul 2017</w:t>
      </w:r>
      <w:r w:rsidR="00FA7E61" w:rsidRPr="005D2EFE">
        <w:rPr>
          <w:rFonts w:ascii="Times New Roman" w:hAnsi="Times New Roman"/>
          <w:sz w:val="28"/>
          <w:szCs w:val="28"/>
        </w:rPr>
        <w:t xml:space="preserve"> (993,0 mi</w:t>
      </w:r>
      <w:r w:rsidR="00FA7E61">
        <w:rPr>
          <w:rFonts w:ascii="Times New Roman" w:hAnsi="Times New Roman"/>
          <w:sz w:val="28"/>
          <w:szCs w:val="28"/>
        </w:rPr>
        <w:t>l.lei)</w:t>
      </w:r>
      <w:r w:rsidR="00314B62">
        <w:rPr>
          <w:rFonts w:ascii="Times New Roman" w:hAnsi="Times New Roman"/>
          <w:sz w:val="28"/>
          <w:szCs w:val="28"/>
        </w:rPr>
        <w:t>,</w:t>
      </w:r>
      <w:r w:rsidR="00FA7E61">
        <w:rPr>
          <w:rFonts w:ascii="Times New Roman" w:hAnsi="Times New Roman"/>
          <w:sz w:val="28"/>
          <w:szCs w:val="28"/>
        </w:rPr>
        <w:t xml:space="preserve"> </w:t>
      </w:r>
      <w:r w:rsidRPr="005D2EFE">
        <w:rPr>
          <w:rFonts w:ascii="Times New Roman" w:hAnsi="Times New Roman"/>
          <w:sz w:val="28"/>
          <w:szCs w:val="28"/>
        </w:rPr>
        <w:t xml:space="preserve">prezentate de responsabilii </w:t>
      </w:r>
      <w:r w:rsidR="00FA7E61">
        <w:rPr>
          <w:rFonts w:ascii="Times New Roman" w:hAnsi="Times New Roman"/>
          <w:sz w:val="28"/>
          <w:szCs w:val="28"/>
        </w:rPr>
        <w:t>din cadrul MF</w:t>
      </w:r>
      <w:r w:rsidR="00314B62">
        <w:rPr>
          <w:rFonts w:ascii="Times New Roman" w:hAnsi="Times New Roman"/>
          <w:sz w:val="28"/>
          <w:szCs w:val="28"/>
        </w:rPr>
        <w:t>,</w:t>
      </w:r>
      <w:r>
        <w:rPr>
          <w:rFonts w:ascii="Times New Roman" w:hAnsi="Times New Roman"/>
          <w:sz w:val="28"/>
          <w:szCs w:val="28"/>
        </w:rPr>
        <w:t xml:space="preserve"> și datele reflectate în R</w:t>
      </w:r>
      <w:r w:rsidRPr="005D2EFE">
        <w:rPr>
          <w:rFonts w:ascii="Times New Roman" w:hAnsi="Times New Roman"/>
          <w:sz w:val="28"/>
          <w:szCs w:val="28"/>
        </w:rPr>
        <w:t xml:space="preserve">aportul privind executarea bugetului de stat </w:t>
      </w:r>
      <w:r w:rsidRPr="00B57BEB">
        <w:rPr>
          <w:rFonts w:ascii="Times New Roman" w:hAnsi="Times New Roman"/>
          <w:sz w:val="28"/>
          <w:szCs w:val="28"/>
        </w:rPr>
        <w:t>(Formularul</w:t>
      </w:r>
      <w:r w:rsidRPr="005D2EFE">
        <w:rPr>
          <w:rFonts w:ascii="Times New Roman" w:hAnsi="Times New Roman"/>
          <w:sz w:val="28"/>
          <w:szCs w:val="28"/>
        </w:rPr>
        <w:t xml:space="preserve"> </w:t>
      </w:r>
      <w:r w:rsidR="00FA7E61">
        <w:rPr>
          <w:rFonts w:ascii="Times New Roman" w:hAnsi="Times New Roman"/>
          <w:sz w:val="28"/>
          <w:szCs w:val="28"/>
        </w:rPr>
        <w:t>nr.2</w:t>
      </w:r>
      <w:r w:rsidRPr="005D2EFE">
        <w:rPr>
          <w:rFonts w:ascii="Times New Roman" w:hAnsi="Times New Roman"/>
          <w:sz w:val="28"/>
          <w:szCs w:val="28"/>
        </w:rPr>
        <w:t xml:space="preserve">) la </w:t>
      </w:r>
      <w:r w:rsidR="007312AC">
        <w:rPr>
          <w:rFonts w:ascii="Times New Roman" w:hAnsi="Times New Roman"/>
          <w:sz w:val="28"/>
          <w:szCs w:val="28"/>
        </w:rPr>
        <w:t>Cod ECO</w:t>
      </w:r>
      <w:r w:rsidRPr="005D2EFE">
        <w:rPr>
          <w:rFonts w:ascii="Times New Roman" w:hAnsi="Times New Roman"/>
          <w:sz w:val="28"/>
          <w:szCs w:val="28"/>
        </w:rPr>
        <w:t xml:space="preserve"> 13 „Granturi” (992,9 mil.lei</w:t>
      </w:r>
      <w:r>
        <w:rPr>
          <w:rFonts w:ascii="Times New Roman" w:hAnsi="Times New Roman"/>
          <w:sz w:val="28"/>
          <w:szCs w:val="28"/>
        </w:rPr>
        <w:t xml:space="preserve">) au </w:t>
      </w:r>
      <w:r w:rsidR="00314B62">
        <w:rPr>
          <w:rFonts w:ascii="Times New Roman" w:hAnsi="Times New Roman"/>
          <w:sz w:val="28"/>
          <w:szCs w:val="28"/>
        </w:rPr>
        <w:t xml:space="preserve">stabilit </w:t>
      </w:r>
      <w:r>
        <w:rPr>
          <w:rFonts w:ascii="Times New Roman" w:hAnsi="Times New Roman"/>
          <w:sz w:val="28"/>
          <w:szCs w:val="28"/>
        </w:rPr>
        <w:t>divergențe între acestea</w:t>
      </w:r>
      <w:r w:rsidRPr="005D2EFE">
        <w:rPr>
          <w:rFonts w:ascii="Times New Roman" w:hAnsi="Times New Roman"/>
          <w:sz w:val="28"/>
          <w:szCs w:val="28"/>
        </w:rPr>
        <w:t xml:space="preserve"> </w:t>
      </w:r>
      <w:r>
        <w:rPr>
          <w:rFonts w:ascii="Times New Roman" w:hAnsi="Times New Roman"/>
          <w:sz w:val="28"/>
          <w:szCs w:val="28"/>
        </w:rPr>
        <w:t>de</w:t>
      </w:r>
      <w:r w:rsidRPr="005D2EFE">
        <w:rPr>
          <w:rFonts w:ascii="Times New Roman" w:hAnsi="Times New Roman"/>
          <w:sz w:val="28"/>
          <w:szCs w:val="28"/>
        </w:rPr>
        <w:t xml:space="preserve"> 0,1 mil.lei. Potrivit explicațiilor MF</w:t>
      </w:r>
      <w:r w:rsidR="00B40E6A">
        <w:rPr>
          <w:rFonts w:ascii="Times New Roman" w:hAnsi="Times New Roman"/>
          <w:sz w:val="28"/>
          <w:szCs w:val="28"/>
        </w:rPr>
        <w:t>,</w:t>
      </w:r>
      <w:r w:rsidRPr="005D2EFE">
        <w:rPr>
          <w:rFonts w:ascii="Times New Roman" w:hAnsi="Times New Roman"/>
          <w:sz w:val="28"/>
          <w:szCs w:val="28"/>
        </w:rPr>
        <w:t xml:space="preserve"> </w:t>
      </w:r>
      <w:bookmarkStart w:id="9" w:name="_Toc482639115"/>
      <w:bookmarkStart w:id="10" w:name="_Toc484003908"/>
      <w:r w:rsidRPr="005D2EFE">
        <w:rPr>
          <w:rFonts w:ascii="Times New Roman" w:hAnsi="Times New Roman"/>
          <w:sz w:val="28"/>
          <w:szCs w:val="28"/>
        </w:rPr>
        <w:t xml:space="preserve">aceste divergențe </w:t>
      </w:r>
      <w:r w:rsidR="00B40E6A">
        <w:rPr>
          <w:rFonts w:ascii="Times New Roman" w:hAnsi="Times New Roman"/>
          <w:sz w:val="28"/>
          <w:szCs w:val="28"/>
        </w:rPr>
        <w:t>sunt cauzate de</w:t>
      </w:r>
      <w:r w:rsidRPr="005D2EFE">
        <w:rPr>
          <w:rFonts w:ascii="Times New Roman" w:hAnsi="Times New Roman"/>
          <w:sz w:val="28"/>
          <w:szCs w:val="28"/>
        </w:rPr>
        <w:t xml:space="preserve"> </w:t>
      </w:r>
      <w:r w:rsidR="00B40E6A">
        <w:rPr>
          <w:rFonts w:ascii="Times New Roman" w:hAnsi="Times New Roman"/>
          <w:sz w:val="28"/>
          <w:szCs w:val="28"/>
        </w:rPr>
        <w:t xml:space="preserve">fluctuația </w:t>
      </w:r>
      <w:r w:rsidRPr="005D2EFE">
        <w:rPr>
          <w:rFonts w:ascii="Times New Roman" w:hAnsi="Times New Roman"/>
          <w:sz w:val="28"/>
          <w:szCs w:val="28"/>
        </w:rPr>
        <w:t>cursului de schimb valutar</w:t>
      </w:r>
      <w:r>
        <w:rPr>
          <w:rFonts w:ascii="Times New Roman" w:hAnsi="Times New Roman"/>
          <w:sz w:val="28"/>
          <w:szCs w:val="28"/>
        </w:rPr>
        <w:t xml:space="preserve"> la </w:t>
      </w:r>
      <w:r w:rsidR="00B40E6A">
        <w:rPr>
          <w:rFonts w:ascii="Times New Roman" w:hAnsi="Times New Roman"/>
          <w:sz w:val="28"/>
          <w:szCs w:val="28"/>
        </w:rPr>
        <w:t xml:space="preserve">data </w:t>
      </w:r>
      <w:r>
        <w:rPr>
          <w:rFonts w:ascii="Times New Roman" w:hAnsi="Times New Roman"/>
          <w:sz w:val="28"/>
          <w:szCs w:val="28"/>
        </w:rPr>
        <w:t xml:space="preserve">înregistrării de către donator a debursării și </w:t>
      </w:r>
      <w:r w:rsidR="00B40E6A">
        <w:rPr>
          <w:rFonts w:ascii="Times New Roman" w:hAnsi="Times New Roman"/>
          <w:sz w:val="28"/>
          <w:szCs w:val="28"/>
        </w:rPr>
        <w:t xml:space="preserve">la </w:t>
      </w:r>
      <w:r>
        <w:rPr>
          <w:rFonts w:ascii="Times New Roman" w:hAnsi="Times New Roman"/>
          <w:sz w:val="28"/>
          <w:szCs w:val="28"/>
        </w:rPr>
        <w:t>dat</w:t>
      </w:r>
      <w:r w:rsidR="00B40E6A">
        <w:rPr>
          <w:rFonts w:ascii="Times New Roman" w:hAnsi="Times New Roman"/>
          <w:sz w:val="28"/>
          <w:szCs w:val="28"/>
        </w:rPr>
        <w:t>a</w:t>
      </w:r>
      <w:r>
        <w:rPr>
          <w:rFonts w:ascii="Times New Roman" w:hAnsi="Times New Roman"/>
          <w:sz w:val="28"/>
          <w:szCs w:val="28"/>
        </w:rPr>
        <w:t xml:space="preserve"> înregistrării în </w:t>
      </w:r>
      <w:r w:rsidR="007312AC">
        <w:rPr>
          <w:rFonts w:ascii="Times New Roman" w:hAnsi="Times New Roman"/>
          <w:sz w:val="28"/>
          <w:szCs w:val="28"/>
        </w:rPr>
        <w:t>T</w:t>
      </w:r>
      <w:r>
        <w:rPr>
          <w:rFonts w:ascii="Times New Roman" w:hAnsi="Times New Roman"/>
          <w:sz w:val="28"/>
          <w:szCs w:val="28"/>
        </w:rPr>
        <w:t>rezoreri</w:t>
      </w:r>
      <w:r w:rsidR="007312AC">
        <w:rPr>
          <w:rFonts w:ascii="Times New Roman" w:hAnsi="Times New Roman"/>
          <w:sz w:val="28"/>
          <w:szCs w:val="28"/>
        </w:rPr>
        <w:t>a de Stat</w:t>
      </w:r>
      <w:r>
        <w:rPr>
          <w:rFonts w:ascii="Times New Roman" w:hAnsi="Times New Roman"/>
          <w:sz w:val="28"/>
          <w:szCs w:val="28"/>
        </w:rPr>
        <w:t>.</w:t>
      </w:r>
      <w:bookmarkEnd w:id="9"/>
      <w:bookmarkEnd w:id="10"/>
    </w:p>
    <w:p w:rsidR="0047768D" w:rsidRPr="00B45AF1" w:rsidRDefault="0047768D" w:rsidP="008D3B4F">
      <w:pPr>
        <w:spacing w:after="0" w:line="276" w:lineRule="auto"/>
        <w:ind w:firstLine="709"/>
        <w:jc w:val="both"/>
        <w:rPr>
          <w:rFonts w:ascii="Times New Roman" w:eastAsia="Times New Roman" w:hAnsi="Times New Roman" w:cs="Times New Roman"/>
          <w:bCs/>
          <w:sz w:val="28"/>
          <w:szCs w:val="28"/>
        </w:rPr>
      </w:pPr>
    </w:p>
    <w:p w:rsidR="003C040E" w:rsidRPr="00B569E8" w:rsidRDefault="0032464E" w:rsidP="008D3B4F">
      <w:pPr>
        <w:pStyle w:val="a5"/>
        <w:numPr>
          <w:ilvl w:val="2"/>
          <w:numId w:val="1"/>
        </w:numPr>
        <w:spacing w:after="0" w:line="276" w:lineRule="auto"/>
        <w:ind w:left="0" w:firstLine="709"/>
        <w:jc w:val="both"/>
        <w:outlineLvl w:val="2"/>
        <w:rPr>
          <w:rFonts w:ascii="Times New Roman" w:hAnsi="Times New Roman"/>
          <w:b/>
          <w:i/>
          <w:sz w:val="28"/>
          <w:szCs w:val="28"/>
        </w:rPr>
      </w:pPr>
      <w:bookmarkStart w:id="11" w:name="_Toc515518984"/>
      <w:r w:rsidRPr="00B569E8">
        <w:rPr>
          <w:rFonts w:ascii="Times New Roman" w:hAnsi="Times New Roman"/>
          <w:b/>
          <w:i/>
          <w:sz w:val="28"/>
          <w:szCs w:val="28"/>
        </w:rPr>
        <w:t>R</w:t>
      </w:r>
      <w:r w:rsidR="001A6A90" w:rsidRPr="00B569E8">
        <w:rPr>
          <w:rFonts w:ascii="Times New Roman" w:hAnsi="Times New Roman"/>
          <w:b/>
          <w:i/>
          <w:sz w:val="28"/>
          <w:szCs w:val="28"/>
        </w:rPr>
        <w:t xml:space="preserve">estituirea </w:t>
      </w:r>
      <w:r w:rsidR="008150E2" w:rsidRPr="00B569E8">
        <w:rPr>
          <w:rFonts w:ascii="Times New Roman" w:hAnsi="Times New Roman"/>
          <w:b/>
          <w:i/>
          <w:sz w:val="28"/>
          <w:szCs w:val="28"/>
        </w:rPr>
        <w:t>TVA și accizelor</w:t>
      </w:r>
      <w:r w:rsidRPr="00B569E8">
        <w:rPr>
          <w:rFonts w:ascii="Times New Roman" w:hAnsi="Times New Roman"/>
          <w:b/>
          <w:i/>
          <w:sz w:val="28"/>
          <w:szCs w:val="28"/>
        </w:rPr>
        <w:t xml:space="preserve"> </w:t>
      </w:r>
      <w:r w:rsidR="001A6A90" w:rsidRPr="00B569E8">
        <w:rPr>
          <w:rFonts w:ascii="Times New Roman" w:hAnsi="Times New Roman"/>
          <w:b/>
          <w:i/>
          <w:sz w:val="28"/>
          <w:szCs w:val="28"/>
        </w:rPr>
        <w:t xml:space="preserve">în anul 2017 s-a încadrat în limitele aprobate prin Legea </w:t>
      </w:r>
      <w:r w:rsidR="00314B62">
        <w:rPr>
          <w:rFonts w:ascii="Times New Roman" w:hAnsi="Times New Roman"/>
          <w:b/>
          <w:i/>
          <w:sz w:val="28"/>
          <w:szCs w:val="28"/>
        </w:rPr>
        <w:t>bugetului de stat</w:t>
      </w:r>
      <w:r w:rsidR="008150E2" w:rsidRPr="00B569E8">
        <w:rPr>
          <w:rFonts w:ascii="Times New Roman" w:hAnsi="Times New Roman"/>
          <w:b/>
          <w:i/>
          <w:sz w:val="28"/>
          <w:szCs w:val="28"/>
        </w:rPr>
        <w:t xml:space="preserve"> cu unele neconformități la capitolul TVA</w:t>
      </w:r>
      <w:r w:rsidR="001F21C8" w:rsidRPr="00B569E8">
        <w:rPr>
          <w:rFonts w:ascii="Times New Roman" w:hAnsi="Times New Roman"/>
          <w:b/>
          <w:i/>
          <w:sz w:val="28"/>
          <w:szCs w:val="28"/>
        </w:rPr>
        <w:t>, iar restituirile impozitului pe venit au depășit limita bugetară</w:t>
      </w:r>
      <w:r w:rsidR="00B40E6A">
        <w:rPr>
          <w:rFonts w:ascii="Times New Roman" w:hAnsi="Times New Roman"/>
          <w:b/>
          <w:i/>
          <w:sz w:val="28"/>
          <w:szCs w:val="28"/>
        </w:rPr>
        <w:t>.</w:t>
      </w:r>
      <w:bookmarkEnd w:id="11"/>
    </w:p>
    <w:p w:rsidR="008150E2" w:rsidRDefault="0070463E" w:rsidP="008D3B4F">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Prin </w:t>
      </w:r>
      <w:r w:rsidR="00855F86">
        <w:rPr>
          <w:rFonts w:ascii="Times New Roman" w:hAnsi="Times New Roman" w:cs="Times New Roman"/>
          <w:sz w:val="28"/>
          <w:szCs w:val="28"/>
        </w:rPr>
        <w:t>L</w:t>
      </w:r>
      <w:r>
        <w:rPr>
          <w:rFonts w:ascii="Times New Roman" w:hAnsi="Times New Roman" w:cs="Times New Roman"/>
          <w:sz w:val="28"/>
          <w:szCs w:val="28"/>
        </w:rPr>
        <w:t>egea bugetului de stat pentru anul 2017</w:t>
      </w:r>
      <w:r w:rsidR="00314B62">
        <w:rPr>
          <w:rFonts w:ascii="Times New Roman" w:hAnsi="Times New Roman" w:cs="Times New Roman"/>
          <w:sz w:val="28"/>
          <w:szCs w:val="28"/>
        </w:rPr>
        <w:t>,</w:t>
      </w:r>
      <w:r>
        <w:rPr>
          <w:rFonts w:ascii="Times New Roman" w:hAnsi="Times New Roman" w:cs="Times New Roman"/>
          <w:sz w:val="28"/>
          <w:szCs w:val="28"/>
        </w:rPr>
        <w:t xml:space="preserve"> pentru </w:t>
      </w:r>
      <w:r w:rsidRPr="004051BE">
        <w:rPr>
          <w:rFonts w:ascii="Times New Roman" w:hAnsi="Times New Roman" w:cs="Times New Roman"/>
          <w:sz w:val="28"/>
          <w:szCs w:val="28"/>
        </w:rPr>
        <w:t>restituirea TVA</w:t>
      </w:r>
      <w:r>
        <w:rPr>
          <w:rFonts w:ascii="Times New Roman" w:hAnsi="Times New Roman" w:cs="Times New Roman"/>
          <w:sz w:val="28"/>
          <w:szCs w:val="28"/>
        </w:rPr>
        <w:t xml:space="preserve"> au fost aprobate mijloace în sumă de 2303,6 mil.lei. Urmare </w:t>
      </w:r>
      <w:r w:rsidR="00314B62">
        <w:rPr>
          <w:rFonts w:ascii="Times New Roman" w:hAnsi="Times New Roman" w:cs="Times New Roman"/>
          <w:sz w:val="28"/>
          <w:szCs w:val="28"/>
        </w:rPr>
        <w:t xml:space="preserve">a </w:t>
      </w:r>
      <w:r>
        <w:rPr>
          <w:rFonts w:ascii="Times New Roman" w:hAnsi="Times New Roman" w:cs="Times New Roman"/>
          <w:sz w:val="28"/>
          <w:szCs w:val="28"/>
        </w:rPr>
        <w:t>modificărilor operate pe parcursul anului</w:t>
      </w:r>
      <w:r w:rsidR="00314B62">
        <w:rPr>
          <w:rFonts w:ascii="Times New Roman" w:hAnsi="Times New Roman" w:cs="Times New Roman"/>
          <w:sz w:val="28"/>
          <w:szCs w:val="28"/>
        </w:rPr>
        <w:t>,</w:t>
      </w:r>
      <w:r>
        <w:rPr>
          <w:rFonts w:ascii="Times New Roman" w:hAnsi="Times New Roman" w:cs="Times New Roman"/>
          <w:sz w:val="28"/>
          <w:szCs w:val="28"/>
        </w:rPr>
        <w:t xml:space="preserve"> mijloacele destinate restituirii TVA au </w:t>
      </w:r>
      <w:r w:rsidR="008150E2">
        <w:rPr>
          <w:rFonts w:ascii="Times New Roman" w:hAnsi="Times New Roman" w:cs="Times New Roman"/>
          <w:sz w:val="28"/>
          <w:szCs w:val="28"/>
        </w:rPr>
        <w:t>fost precizate în sumă de 2642,</w:t>
      </w:r>
      <w:r>
        <w:rPr>
          <w:rFonts w:ascii="Times New Roman" w:hAnsi="Times New Roman" w:cs="Times New Roman"/>
          <w:sz w:val="28"/>
          <w:szCs w:val="28"/>
        </w:rPr>
        <w:t>7 mil.lei</w:t>
      </w:r>
      <w:r w:rsidR="00FA06D9">
        <w:rPr>
          <w:rFonts w:ascii="Times New Roman" w:hAnsi="Times New Roman" w:cs="Times New Roman"/>
          <w:sz w:val="28"/>
          <w:szCs w:val="28"/>
        </w:rPr>
        <w:t>,</w:t>
      </w:r>
      <w:r>
        <w:rPr>
          <w:rFonts w:ascii="Times New Roman" w:hAnsi="Times New Roman" w:cs="Times New Roman"/>
          <w:sz w:val="28"/>
          <w:szCs w:val="28"/>
        </w:rPr>
        <w:t xml:space="preserve"> sau cu 3</w:t>
      </w:r>
      <w:r w:rsidR="00B73B33">
        <w:rPr>
          <w:rFonts w:ascii="Times New Roman" w:hAnsi="Times New Roman" w:cs="Times New Roman"/>
          <w:sz w:val="28"/>
          <w:szCs w:val="28"/>
        </w:rPr>
        <w:t>39,1 mil.</w:t>
      </w:r>
      <w:r>
        <w:rPr>
          <w:rFonts w:ascii="Times New Roman" w:hAnsi="Times New Roman" w:cs="Times New Roman"/>
          <w:sz w:val="28"/>
          <w:szCs w:val="28"/>
        </w:rPr>
        <w:t>lei mai mult (</w:t>
      </w:r>
      <w:r w:rsidR="00B73B33">
        <w:rPr>
          <w:rFonts w:ascii="Times New Roman" w:hAnsi="Times New Roman" w:cs="Times New Roman"/>
          <w:sz w:val="28"/>
          <w:szCs w:val="28"/>
        </w:rPr>
        <w:t>+</w:t>
      </w:r>
      <w:r>
        <w:rPr>
          <w:rFonts w:ascii="Times New Roman" w:hAnsi="Times New Roman" w:cs="Times New Roman"/>
          <w:sz w:val="28"/>
          <w:szCs w:val="28"/>
        </w:rPr>
        <w:t xml:space="preserve">15,0%). </w:t>
      </w:r>
    </w:p>
    <w:p w:rsidR="0070463E" w:rsidRDefault="0070463E" w:rsidP="008D3B4F">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Analiza </w:t>
      </w:r>
      <w:r w:rsidR="008150E2">
        <w:rPr>
          <w:rFonts w:ascii="Times New Roman" w:hAnsi="Times New Roman" w:cs="Times New Roman"/>
          <w:sz w:val="28"/>
          <w:szCs w:val="28"/>
        </w:rPr>
        <w:t>auditului referitor</w:t>
      </w:r>
      <w:r>
        <w:rPr>
          <w:rFonts w:ascii="Times New Roman" w:hAnsi="Times New Roman" w:cs="Times New Roman"/>
          <w:sz w:val="28"/>
          <w:szCs w:val="28"/>
        </w:rPr>
        <w:t xml:space="preserve"> </w:t>
      </w:r>
      <w:r w:rsidR="008150E2">
        <w:rPr>
          <w:rFonts w:ascii="Times New Roman" w:hAnsi="Times New Roman" w:cs="Times New Roman"/>
          <w:sz w:val="28"/>
          <w:szCs w:val="28"/>
        </w:rPr>
        <w:t>l</w:t>
      </w:r>
      <w:r>
        <w:rPr>
          <w:rFonts w:ascii="Times New Roman" w:hAnsi="Times New Roman" w:cs="Times New Roman"/>
          <w:sz w:val="28"/>
          <w:szCs w:val="28"/>
        </w:rPr>
        <w:t>a execut</w:t>
      </w:r>
      <w:r w:rsidR="008150E2">
        <w:rPr>
          <w:rFonts w:ascii="Times New Roman" w:hAnsi="Times New Roman" w:cs="Times New Roman"/>
          <w:sz w:val="28"/>
          <w:szCs w:val="28"/>
        </w:rPr>
        <w:t>area</w:t>
      </w:r>
      <w:r>
        <w:rPr>
          <w:rFonts w:ascii="Times New Roman" w:hAnsi="Times New Roman" w:cs="Times New Roman"/>
          <w:sz w:val="28"/>
          <w:szCs w:val="28"/>
        </w:rPr>
        <w:t xml:space="preserve"> restituir</w:t>
      </w:r>
      <w:r w:rsidR="008150E2">
        <w:rPr>
          <w:rFonts w:ascii="Times New Roman" w:hAnsi="Times New Roman" w:cs="Times New Roman"/>
          <w:sz w:val="28"/>
          <w:szCs w:val="28"/>
        </w:rPr>
        <w:t>ilor</w:t>
      </w:r>
      <w:r>
        <w:rPr>
          <w:rFonts w:ascii="Times New Roman" w:hAnsi="Times New Roman" w:cs="Times New Roman"/>
          <w:sz w:val="28"/>
          <w:szCs w:val="28"/>
        </w:rPr>
        <w:t xml:space="preserve"> TVA </w:t>
      </w:r>
      <w:r w:rsidR="008150E2">
        <w:rPr>
          <w:rFonts w:ascii="Times New Roman" w:hAnsi="Times New Roman" w:cs="Times New Roman"/>
          <w:sz w:val="28"/>
          <w:szCs w:val="28"/>
        </w:rPr>
        <w:t xml:space="preserve">a </w:t>
      </w:r>
      <w:r>
        <w:rPr>
          <w:rFonts w:ascii="Times New Roman" w:hAnsi="Times New Roman" w:cs="Times New Roman"/>
          <w:sz w:val="28"/>
          <w:szCs w:val="28"/>
        </w:rPr>
        <w:t>constat</w:t>
      </w:r>
      <w:r w:rsidR="008150E2">
        <w:rPr>
          <w:rFonts w:ascii="Times New Roman" w:hAnsi="Times New Roman" w:cs="Times New Roman"/>
          <w:sz w:val="28"/>
          <w:szCs w:val="28"/>
        </w:rPr>
        <w:t>at</w:t>
      </w:r>
      <w:r>
        <w:rPr>
          <w:rFonts w:ascii="Times New Roman" w:hAnsi="Times New Roman" w:cs="Times New Roman"/>
          <w:sz w:val="28"/>
          <w:szCs w:val="28"/>
        </w:rPr>
        <w:t xml:space="preserve"> că în perioada auditată acestea au însumat 2642,6 mil.lei</w:t>
      </w:r>
      <w:r w:rsidR="008150E2">
        <w:rPr>
          <w:rFonts w:ascii="Times New Roman" w:hAnsi="Times New Roman" w:cs="Times New Roman"/>
          <w:sz w:val="28"/>
          <w:szCs w:val="28"/>
        </w:rPr>
        <w:t>,</w:t>
      </w:r>
      <w:r>
        <w:rPr>
          <w:rFonts w:ascii="Times New Roman" w:hAnsi="Times New Roman" w:cs="Times New Roman"/>
          <w:sz w:val="28"/>
          <w:szCs w:val="28"/>
        </w:rPr>
        <w:t xml:space="preserve"> fiind cu </w:t>
      </w:r>
      <w:r w:rsidR="008150E2">
        <w:rPr>
          <w:rFonts w:ascii="Times New Roman" w:hAnsi="Times New Roman" w:cs="Times New Roman"/>
          <w:sz w:val="28"/>
          <w:szCs w:val="28"/>
        </w:rPr>
        <w:t>0,1</w:t>
      </w:r>
      <w:r>
        <w:rPr>
          <w:rFonts w:ascii="Times New Roman" w:hAnsi="Times New Roman" w:cs="Times New Roman"/>
          <w:sz w:val="28"/>
          <w:szCs w:val="28"/>
        </w:rPr>
        <w:t xml:space="preserve"> mi</w:t>
      </w:r>
      <w:r w:rsidR="008150E2">
        <w:rPr>
          <w:rFonts w:ascii="Times New Roman" w:hAnsi="Times New Roman" w:cs="Times New Roman"/>
          <w:sz w:val="28"/>
          <w:szCs w:val="28"/>
        </w:rPr>
        <w:t>l.</w:t>
      </w:r>
      <w:r>
        <w:rPr>
          <w:rFonts w:ascii="Times New Roman" w:hAnsi="Times New Roman" w:cs="Times New Roman"/>
          <w:sz w:val="28"/>
          <w:szCs w:val="28"/>
        </w:rPr>
        <w:t xml:space="preserve">lei mai puțin </w:t>
      </w:r>
      <w:r w:rsidR="008150E2">
        <w:rPr>
          <w:rFonts w:ascii="Times New Roman" w:hAnsi="Times New Roman" w:cs="Times New Roman"/>
          <w:sz w:val="28"/>
          <w:szCs w:val="28"/>
        </w:rPr>
        <w:t>față de indicatorul precizat. Totodată, v</w:t>
      </w:r>
      <w:r>
        <w:rPr>
          <w:rFonts w:ascii="Times New Roman" w:hAnsi="Times New Roman" w:cs="Times New Roman"/>
          <w:sz w:val="28"/>
          <w:szCs w:val="28"/>
        </w:rPr>
        <w:t xml:space="preserve">erificările auditului </w:t>
      </w:r>
      <w:r w:rsidRPr="001F7D81">
        <w:rPr>
          <w:rFonts w:ascii="Times New Roman" w:hAnsi="Times New Roman" w:cs="Times New Roman"/>
          <w:sz w:val="28"/>
          <w:szCs w:val="28"/>
        </w:rPr>
        <w:t>atestă</w:t>
      </w:r>
      <w:r w:rsidRPr="0070463E">
        <w:rPr>
          <w:rFonts w:ascii="Times New Roman" w:hAnsi="Times New Roman" w:cs="Times New Roman"/>
          <w:sz w:val="28"/>
          <w:szCs w:val="28"/>
          <w:lang w:val="en-US"/>
        </w:rPr>
        <w:t xml:space="preserve"> </w:t>
      </w:r>
      <w:r>
        <w:rPr>
          <w:rFonts w:ascii="Times New Roman" w:hAnsi="Times New Roman" w:cs="Times New Roman"/>
          <w:sz w:val="28"/>
          <w:szCs w:val="28"/>
        </w:rPr>
        <w:t>că în ultimi</w:t>
      </w:r>
      <w:r w:rsidR="005A5A52">
        <w:rPr>
          <w:rFonts w:ascii="Times New Roman" w:hAnsi="Times New Roman" w:cs="Times New Roman"/>
          <w:sz w:val="28"/>
          <w:szCs w:val="28"/>
        </w:rPr>
        <w:t>i</w:t>
      </w:r>
      <w:r>
        <w:rPr>
          <w:rFonts w:ascii="Times New Roman" w:hAnsi="Times New Roman" w:cs="Times New Roman"/>
          <w:sz w:val="28"/>
          <w:szCs w:val="28"/>
        </w:rPr>
        <w:t xml:space="preserve"> 3 ani s-a înregistrat o tendință stabilă de creștere </w:t>
      </w:r>
      <w:r w:rsidR="00B73B33">
        <w:rPr>
          <w:rFonts w:ascii="Times New Roman" w:hAnsi="Times New Roman" w:cs="Times New Roman"/>
          <w:sz w:val="28"/>
          <w:szCs w:val="28"/>
        </w:rPr>
        <w:t xml:space="preserve">a </w:t>
      </w:r>
      <w:r>
        <w:rPr>
          <w:rFonts w:ascii="Times New Roman" w:hAnsi="Times New Roman" w:cs="Times New Roman"/>
          <w:sz w:val="28"/>
          <w:szCs w:val="28"/>
        </w:rPr>
        <w:t>volumului TVA restituită din bugetul de stat. Astfel</w:t>
      </w:r>
      <w:r w:rsidR="00B73B33">
        <w:rPr>
          <w:rFonts w:ascii="Times New Roman" w:hAnsi="Times New Roman" w:cs="Times New Roman"/>
          <w:sz w:val="28"/>
          <w:szCs w:val="28"/>
        </w:rPr>
        <w:t>,</w:t>
      </w:r>
      <w:r>
        <w:rPr>
          <w:rFonts w:ascii="Times New Roman" w:hAnsi="Times New Roman" w:cs="Times New Roman"/>
          <w:sz w:val="28"/>
          <w:szCs w:val="28"/>
        </w:rPr>
        <w:t xml:space="preserve"> în anul 2017</w:t>
      </w:r>
      <w:r w:rsidR="00B73B33">
        <w:rPr>
          <w:rFonts w:ascii="Times New Roman" w:hAnsi="Times New Roman" w:cs="Times New Roman"/>
          <w:sz w:val="28"/>
          <w:szCs w:val="28"/>
        </w:rPr>
        <w:t>,</w:t>
      </w:r>
      <w:r>
        <w:rPr>
          <w:rFonts w:ascii="Times New Roman" w:hAnsi="Times New Roman" w:cs="Times New Roman"/>
          <w:sz w:val="28"/>
          <w:szCs w:val="28"/>
        </w:rPr>
        <w:t xml:space="preserve"> comparativ cu anul 2016</w:t>
      </w:r>
      <w:r w:rsidR="00B73B33">
        <w:rPr>
          <w:rFonts w:ascii="Times New Roman" w:hAnsi="Times New Roman" w:cs="Times New Roman"/>
          <w:sz w:val="28"/>
          <w:szCs w:val="28"/>
        </w:rPr>
        <w:t>,</w:t>
      </w:r>
      <w:r>
        <w:rPr>
          <w:rFonts w:ascii="Times New Roman" w:hAnsi="Times New Roman" w:cs="Times New Roman"/>
          <w:sz w:val="28"/>
          <w:szCs w:val="28"/>
        </w:rPr>
        <w:t xml:space="preserve"> acestea au înregistrat o cr</w:t>
      </w:r>
      <w:r w:rsidR="00B73B33">
        <w:rPr>
          <w:rFonts w:ascii="Times New Roman" w:hAnsi="Times New Roman" w:cs="Times New Roman"/>
          <w:sz w:val="28"/>
          <w:szCs w:val="28"/>
        </w:rPr>
        <w:t>eștere cu 70,9 mil.</w:t>
      </w:r>
      <w:r>
        <w:rPr>
          <w:rFonts w:ascii="Times New Roman" w:hAnsi="Times New Roman" w:cs="Times New Roman"/>
          <w:sz w:val="28"/>
          <w:szCs w:val="28"/>
        </w:rPr>
        <w:t>lei (3,0%) și</w:t>
      </w:r>
      <w:r w:rsidR="00B73B33">
        <w:rPr>
          <w:rFonts w:ascii="Times New Roman" w:hAnsi="Times New Roman" w:cs="Times New Roman"/>
          <w:sz w:val="28"/>
          <w:szCs w:val="28"/>
        </w:rPr>
        <w:t>,</w:t>
      </w:r>
      <w:r>
        <w:rPr>
          <w:rFonts w:ascii="Times New Roman" w:hAnsi="Times New Roman" w:cs="Times New Roman"/>
          <w:sz w:val="28"/>
          <w:szCs w:val="28"/>
        </w:rPr>
        <w:t xml:space="preserve"> respectiv</w:t>
      </w:r>
      <w:r w:rsidR="00B73B33">
        <w:rPr>
          <w:rFonts w:ascii="Times New Roman" w:hAnsi="Times New Roman" w:cs="Times New Roman"/>
          <w:sz w:val="28"/>
          <w:szCs w:val="28"/>
        </w:rPr>
        <w:t>, comparativ</w:t>
      </w:r>
      <w:r>
        <w:rPr>
          <w:rFonts w:ascii="Times New Roman" w:hAnsi="Times New Roman" w:cs="Times New Roman"/>
          <w:sz w:val="28"/>
          <w:szCs w:val="28"/>
        </w:rPr>
        <w:t xml:space="preserve"> cu anul 2015</w:t>
      </w:r>
      <w:r w:rsidR="00FA06D9">
        <w:rPr>
          <w:rFonts w:ascii="Times New Roman" w:hAnsi="Times New Roman" w:cs="Times New Roman"/>
          <w:sz w:val="28"/>
          <w:szCs w:val="28"/>
        </w:rPr>
        <w:t>,</w:t>
      </w:r>
      <w:r>
        <w:rPr>
          <w:rFonts w:ascii="Times New Roman" w:hAnsi="Times New Roman" w:cs="Times New Roman"/>
          <w:sz w:val="28"/>
          <w:szCs w:val="28"/>
        </w:rPr>
        <w:t xml:space="preserve"> cu 573,8 mil.lei (28,0%). În anul 2017</w:t>
      </w:r>
      <w:r w:rsidR="008150E2">
        <w:rPr>
          <w:rFonts w:ascii="Times New Roman" w:hAnsi="Times New Roman" w:cs="Times New Roman"/>
          <w:sz w:val="28"/>
          <w:szCs w:val="28"/>
        </w:rPr>
        <w:t>,</w:t>
      </w:r>
      <w:r>
        <w:rPr>
          <w:rFonts w:ascii="Times New Roman" w:hAnsi="Times New Roman" w:cs="Times New Roman"/>
          <w:sz w:val="28"/>
          <w:szCs w:val="28"/>
        </w:rPr>
        <w:t xml:space="preserve"> </w:t>
      </w:r>
      <w:r w:rsidR="008150E2">
        <w:rPr>
          <w:rFonts w:ascii="Times New Roman" w:hAnsi="Times New Roman" w:cs="Times New Roman"/>
          <w:sz w:val="28"/>
          <w:szCs w:val="28"/>
        </w:rPr>
        <w:t>de restituirea TVA au beneficiat</w:t>
      </w:r>
      <w:r>
        <w:rPr>
          <w:rFonts w:ascii="Times New Roman" w:hAnsi="Times New Roman" w:cs="Times New Roman"/>
          <w:sz w:val="28"/>
          <w:szCs w:val="28"/>
        </w:rPr>
        <w:t xml:space="preserve"> 1115 contribuabili</w:t>
      </w:r>
      <w:r w:rsidR="005A5A52">
        <w:rPr>
          <w:rFonts w:ascii="Times New Roman" w:hAnsi="Times New Roman" w:cs="Times New Roman"/>
          <w:sz w:val="28"/>
          <w:szCs w:val="28"/>
        </w:rPr>
        <w:t>,</w:t>
      </w:r>
      <w:r>
        <w:rPr>
          <w:rFonts w:ascii="Times New Roman" w:hAnsi="Times New Roman" w:cs="Times New Roman"/>
          <w:sz w:val="28"/>
          <w:szCs w:val="28"/>
        </w:rPr>
        <w:t xml:space="preserve"> sau cu 100 </w:t>
      </w:r>
      <w:r w:rsidR="005A5A52">
        <w:rPr>
          <w:rFonts w:ascii="Times New Roman" w:hAnsi="Times New Roman" w:cs="Times New Roman"/>
          <w:sz w:val="28"/>
          <w:szCs w:val="28"/>
        </w:rPr>
        <w:t xml:space="preserve">de </w:t>
      </w:r>
      <w:r>
        <w:rPr>
          <w:rFonts w:ascii="Times New Roman" w:hAnsi="Times New Roman" w:cs="Times New Roman"/>
          <w:sz w:val="28"/>
          <w:szCs w:val="28"/>
        </w:rPr>
        <w:t>agenți economici mai mult decât în perioada precedentă. De asemenea</w:t>
      </w:r>
      <w:r w:rsidR="008150E2">
        <w:rPr>
          <w:rFonts w:ascii="Times New Roman" w:hAnsi="Times New Roman" w:cs="Times New Roman"/>
          <w:sz w:val="28"/>
          <w:szCs w:val="28"/>
        </w:rPr>
        <w:t>,</w:t>
      </w:r>
      <w:r>
        <w:rPr>
          <w:rFonts w:ascii="Times New Roman" w:hAnsi="Times New Roman" w:cs="Times New Roman"/>
          <w:sz w:val="28"/>
          <w:szCs w:val="28"/>
        </w:rPr>
        <w:t xml:space="preserve"> </w:t>
      </w:r>
      <w:r w:rsidR="008150E2">
        <w:rPr>
          <w:rFonts w:ascii="Times New Roman" w:hAnsi="Times New Roman" w:cs="Times New Roman"/>
          <w:sz w:val="28"/>
          <w:szCs w:val="28"/>
        </w:rPr>
        <w:t xml:space="preserve">în baza activităților </w:t>
      </w:r>
      <w:r w:rsidR="00B915EF">
        <w:rPr>
          <w:rFonts w:ascii="Times New Roman" w:hAnsi="Times New Roman" w:cs="Times New Roman"/>
          <w:sz w:val="28"/>
          <w:szCs w:val="28"/>
        </w:rPr>
        <w:t xml:space="preserve">efectuate </w:t>
      </w:r>
      <w:r w:rsidR="008150E2">
        <w:rPr>
          <w:rFonts w:ascii="Times New Roman" w:hAnsi="Times New Roman" w:cs="Times New Roman"/>
          <w:sz w:val="28"/>
          <w:szCs w:val="28"/>
        </w:rPr>
        <w:t>de audit, s-a identificat că</w:t>
      </w:r>
      <w:r>
        <w:rPr>
          <w:rFonts w:ascii="Times New Roman" w:hAnsi="Times New Roman" w:cs="Times New Roman"/>
          <w:sz w:val="28"/>
          <w:szCs w:val="28"/>
        </w:rPr>
        <w:t xml:space="preserve"> 244 de documente de plată pentru restituirea TVA în sumă de 77,4 mil</w:t>
      </w:r>
      <w:r w:rsidR="00B73B33">
        <w:rPr>
          <w:rFonts w:ascii="Times New Roman" w:hAnsi="Times New Roman" w:cs="Times New Roman"/>
          <w:sz w:val="28"/>
          <w:szCs w:val="28"/>
        </w:rPr>
        <w:t>.</w:t>
      </w:r>
      <w:r>
        <w:rPr>
          <w:rFonts w:ascii="Times New Roman" w:hAnsi="Times New Roman" w:cs="Times New Roman"/>
          <w:sz w:val="28"/>
          <w:szCs w:val="28"/>
        </w:rPr>
        <w:t>lei, prezentate MF pentru achitare după data de 21.12.2017</w:t>
      </w:r>
      <w:r w:rsidR="00B73B33">
        <w:rPr>
          <w:rFonts w:ascii="Times New Roman" w:hAnsi="Times New Roman" w:cs="Times New Roman"/>
          <w:sz w:val="28"/>
          <w:szCs w:val="28"/>
        </w:rPr>
        <w:t>,</w:t>
      </w:r>
      <w:r>
        <w:rPr>
          <w:rFonts w:ascii="Times New Roman" w:hAnsi="Times New Roman" w:cs="Times New Roman"/>
          <w:sz w:val="28"/>
          <w:szCs w:val="28"/>
        </w:rPr>
        <w:t xml:space="preserve"> nu au </w:t>
      </w:r>
      <w:r>
        <w:rPr>
          <w:rFonts w:ascii="Times New Roman" w:hAnsi="Times New Roman" w:cs="Times New Roman"/>
          <w:sz w:val="28"/>
          <w:szCs w:val="28"/>
        </w:rPr>
        <w:lastRenderedPageBreak/>
        <w:t xml:space="preserve">fost executate/achitate contribuabililor. </w:t>
      </w:r>
      <w:r w:rsidR="005A5A52">
        <w:rPr>
          <w:rFonts w:ascii="Times New Roman" w:hAnsi="Times New Roman" w:cs="Times New Roman"/>
          <w:sz w:val="28"/>
          <w:szCs w:val="28"/>
        </w:rPr>
        <w:t xml:space="preserve">Cauza </w:t>
      </w:r>
      <w:r w:rsidR="00B73B33">
        <w:rPr>
          <w:rFonts w:ascii="Times New Roman" w:hAnsi="Times New Roman" w:cs="Times New Roman"/>
          <w:sz w:val="28"/>
          <w:szCs w:val="28"/>
        </w:rPr>
        <w:t>neachitării</w:t>
      </w:r>
      <w:r>
        <w:rPr>
          <w:rFonts w:ascii="Times New Roman" w:hAnsi="Times New Roman" w:cs="Times New Roman"/>
          <w:sz w:val="28"/>
          <w:szCs w:val="28"/>
        </w:rPr>
        <w:t>, potrivit explicațiilor M</w:t>
      </w:r>
      <w:r w:rsidR="008150E2">
        <w:rPr>
          <w:rFonts w:ascii="Times New Roman" w:hAnsi="Times New Roman" w:cs="Times New Roman"/>
          <w:sz w:val="28"/>
          <w:szCs w:val="28"/>
        </w:rPr>
        <w:t>F</w:t>
      </w:r>
      <w:r>
        <w:rPr>
          <w:rFonts w:ascii="Times New Roman" w:hAnsi="Times New Roman" w:cs="Times New Roman"/>
          <w:sz w:val="28"/>
          <w:szCs w:val="28"/>
        </w:rPr>
        <w:t xml:space="preserve">, </w:t>
      </w:r>
      <w:r w:rsidR="008150E2">
        <w:rPr>
          <w:rFonts w:ascii="Times New Roman" w:hAnsi="Times New Roman" w:cs="Times New Roman"/>
          <w:sz w:val="28"/>
          <w:szCs w:val="28"/>
        </w:rPr>
        <w:t>a fost</w:t>
      </w:r>
      <w:r>
        <w:rPr>
          <w:rFonts w:ascii="Times New Roman" w:hAnsi="Times New Roman" w:cs="Times New Roman"/>
          <w:sz w:val="28"/>
          <w:szCs w:val="28"/>
        </w:rPr>
        <w:t xml:space="preserve"> epuizarea alocațiilor aprobate în scopurile menționate. </w:t>
      </w:r>
    </w:p>
    <w:p w:rsidR="008150E2" w:rsidRDefault="00EA7A10" w:rsidP="008D3B4F">
      <w:pPr>
        <w:spacing w:after="0" w:line="276"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Conform </w:t>
      </w:r>
      <w:r w:rsidR="008150E2" w:rsidRPr="007047F5">
        <w:rPr>
          <w:rFonts w:ascii="Times New Roman" w:hAnsi="Times New Roman" w:cs="Times New Roman"/>
          <w:sz w:val="28"/>
          <w:szCs w:val="28"/>
        </w:rPr>
        <w:t>cadrului legal</w:t>
      </w:r>
      <w:r w:rsidR="008150E2" w:rsidRPr="007047F5">
        <w:rPr>
          <w:rStyle w:val="a9"/>
          <w:rFonts w:ascii="Times New Roman" w:hAnsi="Times New Roman" w:cs="Times New Roman"/>
          <w:sz w:val="28"/>
          <w:szCs w:val="28"/>
        </w:rPr>
        <w:footnoteReference w:id="17"/>
      </w:r>
      <w:r w:rsidR="008150E2">
        <w:rPr>
          <w:rFonts w:ascii="Times New Roman" w:hAnsi="Times New Roman" w:cs="Times New Roman"/>
          <w:sz w:val="28"/>
          <w:szCs w:val="28"/>
        </w:rPr>
        <w:t>,</w:t>
      </w:r>
      <w:r w:rsidR="008150E2" w:rsidRPr="007047F5">
        <w:rPr>
          <w:rFonts w:ascii="Times New Roman" w:hAnsi="Times New Roman" w:cs="Times New Roman"/>
          <w:sz w:val="28"/>
          <w:szCs w:val="28"/>
        </w:rPr>
        <w:t xml:space="preserve"> </w:t>
      </w:r>
      <w:r w:rsidR="008150E2" w:rsidRPr="008150E2">
        <w:rPr>
          <w:rFonts w:ascii="Times New Roman" w:hAnsi="Times New Roman" w:cs="Times New Roman"/>
          <w:i/>
          <w:sz w:val="28"/>
          <w:szCs w:val="28"/>
        </w:rPr>
        <w:t xml:space="preserve">„restituirea TVA se efectuează numai subiectului impozabil care dispune de decizie de restituire a TVA în contul stingerii datoriilor față de bugetul public național, iar în lipsa datoriilor, la cererea subiectului impozabil, în contul viitoarelor obligații ale acestuia față de bugetul public național sau la contul bancar al subiectului impozabil respectiv. Se interzice restituirea TVA în contul stingerii datoriilor creditorilor subiectului impozabil care dispune de decizie de restituire a TVA, inclusiv </w:t>
      </w:r>
      <w:r w:rsidR="008150E2" w:rsidRPr="00145272">
        <w:rPr>
          <w:rFonts w:ascii="Times New Roman" w:hAnsi="Times New Roman" w:cs="Times New Roman"/>
          <w:i/>
          <w:sz w:val="28"/>
          <w:szCs w:val="28"/>
        </w:rPr>
        <w:t>persoanelor juridice și fizice secundari</w:t>
      </w:r>
      <w:r w:rsidR="008150E2" w:rsidRPr="008150E2">
        <w:rPr>
          <w:rFonts w:ascii="Times New Roman" w:hAnsi="Times New Roman" w:cs="Times New Roman"/>
          <w:i/>
          <w:sz w:val="28"/>
          <w:szCs w:val="28"/>
        </w:rPr>
        <w:t>.”</w:t>
      </w:r>
      <w:r w:rsidR="008150E2">
        <w:rPr>
          <w:rFonts w:ascii="Times New Roman" w:hAnsi="Times New Roman" w:cs="Times New Roman"/>
          <w:i/>
          <w:sz w:val="28"/>
          <w:szCs w:val="28"/>
        </w:rPr>
        <w:t>.</w:t>
      </w:r>
    </w:p>
    <w:p w:rsidR="0070463E" w:rsidRDefault="008150E2" w:rsidP="008D3B4F">
      <w:pPr>
        <w:spacing w:after="0" w:line="276"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Urmare </w:t>
      </w:r>
      <w:r w:rsidR="005A5A52">
        <w:rPr>
          <w:rFonts w:ascii="Times New Roman" w:hAnsi="Times New Roman" w:cs="Times New Roman"/>
          <w:sz w:val="28"/>
          <w:szCs w:val="28"/>
        </w:rPr>
        <w:t xml:space="preserve">a </w:t>
      </w:r>
      <w:r>
        <w:rPr>
          <w:rFonts w:ascii="Times New Roman" w:hAnsi="Times New Roman" w:cs="Times New Roman"/>
          <w:sz w:val="28"/>
          <w:szCs w:val="28"/>
        </w:rPr>
        <w:t>v</w:t>
      </w:r>
      <w:r w:rsidR="0070463E" w:rsidRPr="007047F5">
        <w:rPr>
          <w:rFonts w:ascii="Times New Roman" w:hAnsi="Times New Roman" w:cs="Times New Roman"/>
          <w:sz w:val="28"/>
          <w:szCs w:val="28"/>
        </w:rPr>
        <w:t>erificăril</w:t>
      </w:r>
      <w:r>
        <w:rPr>
          <w:rFonts w:ascii="Times New Roman" w:hAnsi="Times New Roman" w:cs="Times New Roman"/>
          <w:sz w:val="28"/>
          <w:szCs w:val="28"/>
        </w:rPr>
        <w:t>or</w:t>
      </w:r>
      <w:r w:rsidR="0070463E" w:rsidRPr="007047F5">
        <w:rPr>
          <w:rFonts w:ascii="Times New Roman" w:hAnsi="Times New Roman" w:cs="Times New Roman"/>
          <w:sz w:val="28"/>
          <w:szCs w:val="28"/>
        </w:rPr>
        <w:t xml:space="preserve"> auditului privind regularitatea aplicării </w:t>
      </w:r>
      <w:r>
        <w:rPr>
          <w:rFonts w:ascii="Times New Roman" w:hAnsi="Times New Roman" w:cs="Times New Roman"/>
          <w:sz w:val="28"/>
          <w:szCs w:val="28"/>
        </w:rPr>
        <w:t>acestor prevederi</w:t>
      </w:r>
      <w:r w:rsidR="005A5A52">
        <w:rPr>
          <w:rFonts w:ascii="Times New Roman" w:hAnsi="Times New Roman" w:cs="Times New Roman"/>
          <w:sz w:val="28"/>
          <w:szCs w:val="28"/>
        </w:rPr>
        <w:t>,</w:t>
      </w:r>
      <w:r>
        <w:rPr>
          <w:rFonts w:ascii="Times New Roman" w:hAnsi="Times New Roman" w:cs="Times New Roman"/>
          <w:sz w:val="28"/>
          <w:szCs w:val="28"/>
        </w:rPr>
        <w:t xml:space="preserve"> </w:t>
      </w:r>
      <w:r w:rsidR="000F3BBE">
        <w:rPr>
          <w:rFonts w:ascii="Times New Roman" w:hAnsi="Times New Roman" w:cs="Times New Roman"/>
          <w:sz w:val="28"/>
          <w:szCs w:val="28"/>
        </w:rPr>
        <w:t>s-</w:t>
      </w:r>
      <w:r>
        <w:rPr>
          <w:rFonts w:ascii="Times New Roman" w:hAnsi="Times New Roman" w:cs="Times New Roman"/>
          <w:sz w:val="28"/>
          <w:szCs w:val="28"/>
        </w:rPr>
        <w:t>a constatat</w:t>
      </w:r>
      <w:r w:rsidR="00B73B33">
        <w:rPr>
          <w:rFonts w:ascii="Times New Roman" w:hAnsi="Times New Roman" w:cs="Times New Roman"/>
          <w:sz w:val="28"/>
          <w:szCs w:val="28"/>
        </w:rPr>
        <w:t xml:space="preserve"> că </w:t>
      </w:r>
      <w:r w:rsidRPr="007047F5">
        <w:rPr>
          <w:rFonts w:ascii="Times New Roman" w:hAnsi="Times New Roman" w:cs="Times New Roman"/>
          <w:sz w:val="28"/>
          <w:szCs w:val="28"/>
        </w:rPr>
        <w:t xml:space="preserve">în perioada </w:t>
      </w:r>
      <w:r>
        <w:rPr>
          <w:rFonts w:ascii="Times New Roman" w:hAnsi="Times New Roman" w:cs="Times New Roman"/>
          <w:sz w:val="28"/>
          <w:szCs w:val="28"/>
        </w:rPr>
        <w:t>auditată</w:t>
      </w:r>
      <w:r w:rsidR="00DC354F">
        <w:rPr>
          <w:rFonts w:ascii="Times New Roman" w:hAnsi="Times New Roman" w:cs="Times New Roman"/>
          <w:sz w:val="28"/>
          <w:szCs w:val="28"/>
        </w:rPr>
        <w:t xml:space="preserve">, </w:t>
      </w:r>
      <w:r w:rsidRPr="007047F5">
        <w:rPr>
          <w:rFonts w:ascii="Times New Roman" w:hAnsi="Times New Roman" w:cs="Times New Roman"/>
          <w:sz w:val="28"/>
          <w:szCs w:val="28"/>
        </w:rPr>
        <w:t xml:space="preserve">contrar prevederilor </w:t>
      </w:r>
      <w:r w:rsidR="00DC354F">
        <w:rPr>
          <w:rFonts w:ascii="Times New Roman" w:hAnsi="Times New Roman" w:cs="Times New Roman"/>
          <w:sz w:val="28"/>
          <w:szCs w:val="28"/>
        </w:rPr>
        <w:t>legale,</w:t>
      </w:r>
      <w:r w:rsidRPr="007047F5">
        <w:rPr>
          <w:rFonts w:ascii="Times New Roman" w:hAnsi="Times New Roman" w:cs="Times New Roman"/>
          <w:sz w:val="28"/>
          <w:szCs w:val="28"/>
        </w:rPr>
        <w:t xml:space="preserve"> a</w:t>
      </w:r>
      <w:r w:rsidR="00DC354F">
        <w:rPr>
          <w:rFonts w:ascii="Times New Roman" w:hAnsi="Times New Roman" w:cs="Times New Roman"/>
          <w:sz w:val="28"/>
          <w:szCs w:val="28"/>
        </w:rPr>
        <w:t>u fost efectuate restituiri</w:t>
      </w:r>
      <w:r w:rsidRPr="007047F5">
        <w:rPr>
          <w:rFonts w:ascii="Times New Roman" w:hAnsi="Times New Roman" w:cs="Times New Roman"/>
          <w:sz w:val="28"/>
          <w:szCs w:val="28"/>
        </w:rPr>
        <w:t xml:space="preserve"> </w:t>
      </w:r>
      <w:r w:rsidR="005A5A52">
        <w:rPr>
          <w:rFonts w:ascii="Times New Roman" w:hAnsi="Times New Roman" w:cs="Times New Roman"/>
          <w:sz w:val="28"/>
          <w:szCs w:val="28"/>
        </w:rPr>
        <w:t xml:space="preserve">ale </w:t>
      </w:r>
      <w:r w:rsidRPr="007047F5">
        <w:rPr>
          <w:rFonts w:ascii="Times New Roman" w:hAnsi="Times New Roman" w:cs="Times New Roman"/>
          <w:sz w:val="28"/>
          <w:szCs w:val="28"/>
        </w:rPr>
        <w:t>TVA direct Oficiului Național al Viei</w:t>
      </w:r>
      <w:r>
        <w:rPr>
          <w:rFonts w:ascii="Times New Roman" w:hAnsi="Times New Roman" w:cs="Times New Roman"/>
          <w:sz w:val="28"/>
          <w:szCs w:val="28"/>
        </w:rPr>
        <w:t xml:space="preserve"> </w:t>
      </w:r>
      <w:r w:rsidRPr="007047F5">
        <w:rPr>
          <w:rFonts w:ascii="Times New Roman" w:hAnsi="Times New Roman" w:cs="Times New Roman"/>
          <w:sz w:val="28"/>
          <w:szCs w:val="28"/>
        </w:rPr>
        <w:t>și Vinului</w:t>
      </w:r>
      <w:r>
        <w:rPr>
          <w:rFonts w:ascii="Times New Roman" w:hAnsi="Times New Roman" w:cs="Times New Roman"/>
          <w:sz w:val="28"/>
          <w:szCs w:val="28"/>
        </w:rPr>
        <w:t xml:space="preserve"> (persoană terță)</w:t>
      </w:r>
      <w:r w:rsidRPr="007047F5">
        <w:rPr>
          <w:rFonts w:ascii="Times New Roman" w:hAnsi="Times New Roman" w:cs="Times New Roman"/>
          <w:sz w:val="28"/>
          <w:szCs w:val="28"/>
        </w:rPr>
        <w:t xml:space="preserve"> pentru achitarea </w:t>
      </w:r>
      <w:r w:rsidR="005A5A52">
        <w:rPr>
          <w:rFonts w:ascii="Times New Roman" w:hAnsi="Times New Roman" w:cs="Times New Roman"/>
          <w:sz w:val="28"/>
          <w:szCs w:val="28"/>
        </w:rPr>
        <w:t>p</w:t>
      </w:r>
      <w:r w:rsidRPr="007047F5">
        <w:rPr>
          <w:rFonts w:ascii="Times New Roman" w:hAnsi="Times New Roman" w:cs="Times New Roman"/>
          <w:sz w:val="28"/>
          <w:szCs w:val="28"/>
        </w:rPr>
        <w:t>l</w:t>
      </w:r>
      <w:r>
        <w:rPr>
          <w:rFonts w:ascii="Times New Roman" w:hAnsi="Times New Roman" w:cs="Times New Roman"/>
          <w:sz w:val="28"/>
          <w:szCs w:val="28"/>
        </w:rPr>
        <w:t>ă</w:t>
      </w:r>
      <w:r w:rsidRPr="007047F5">
        <w:rPr>
          <w:rFonts w:ascii="Times New Roman" w:hAnsi="Times New Roman" w:cs="Times New Roman"/>
          <w:sz w:val="28"/>
          <w:szCs w:val="28"/>
        </w:rPr>
        <w:t>ților obligatorii a</w:t>
      </w:r>
      <w:r w:rsidR="005A5A52">
        <w:rPr>
          <w:rFonts w:ascii="Times New Roman" w:hAnsi="Times New Roman" w:cs="Times New Roman"/>
          <w:sz w:val="28"/>
          <w:szCs w:val="28"/>
        </w:rPr>
        <w:t>le</w:t>
      </w:r>
      <w:r w:rsidRPr="007047F5">
        <w:rPr>
          <w:rFonts w:ascii="Times New Roman" w:hAnsi="Times New Roman" w:cs="Times New Roman"/>
          <w:sz w:val="28"/>
          <w:szCs w:val="28"/>
        </w:rPr>
        <w:t xml:space="preserve"> producătorilor de </w:t>
      </w:r>
      <w:r w:rsidR="00B57BEB" w:rsidRPr="007047F5">
        <w:rPr>
          <w:rFonts w:ascii="Times New Roman" w:hAnsi="Times New Roman" w:cs="Times New Roman"/>
          <w:sz w:val="28"/>
          <w:szCs w:val="28"/>
        </w:rPr>
        <w:t>produ</w:t>
      </w:r>
      <w:r w:rsidR="00B57BEB">
        <w:rPr>
          <w:rFonts w:ascii="Times New Roman" w:hAnsi="Times New Roman" w:cs="Times New Roman"/>
          <w:sz w:val="28"/>
          <w:szCs w:val="28"/>
        </w:rPr>
        <w:t>s</w:t>
      </w:r>
      <w:r w:rsidR="00B57BEB" w:rsidRPr="007047F5">
        <w:rPr>
          <w:rFonts w:ascii="Times New Roman" w:hAnsi="Times New Roman" w:cs="Times New Roman"/>
          <w:sz w:val="28"/>
          <w:szCs w:val="28"/>
        </w:rPr>
        <w:t xml:space="preserve">e </w:t>
      </w:r>
      <w:r w:rsidRPr="007047F5">
        <w:rPr>
          <w:rFonts w:ascii="Times New Roman" w:hAnsi="Times New Roman" w:cs="Times New Roman"/>
          <w:sz w:val="28"/>
          <w:szCs w:val="28"/>
        </w:rPr>
        <w:t>vitivinicole.</w:t>
      </w:r>
      <w:r>
        <w:rPr>
          <w:rFonts w:ascii="Times New Roman" w:hAnsi="Times New Roman" w:cs="Times New Roman"/>
          <w:sz w:val="28"/>
          <w:szCs w:val="28"/>
        </w:rPr>
        <w:t xml:space="preserve"> </w:t>
      </w:r>
      <w:r w:rsidR="00DC354F">
        <w:rPr>
          <w:rFonts w:ascii="Times New Roman" w:hAnsi="Times New Roman" w:cs="Times New Roman"/>
          <w:sz w:val="28"/>
          <w:szCs w:val="28"/>
        </w:rPr>
        <w:t>Astfel, testările de fond</w:t>
      </w:r>
      <w:r>
        <w:rPr>
          <w:rFonts w:ascii="Times New Roman" w:hAnsi="Times New Roman" w:cs="Times New Roman"/>
          <w:sz w:val="28"/>
          <w:szCs w:val="28"/>
        </w:rPr>
        <w:t xml:space="preserve"> ale auditului au constatat </w:t>
      </w:r>
      <w:r w:rsidR="00DC354F" w:rsidRPr="0041594C">
        <w:rPr>
          <w:rFonts w:ascii="Times New Roman" w:hAnsi="Times New Roman" w:cs="Times New Roman"/>
          <w:sz w:val="28"/>
          <w:szCs w:val="28"/>
        </w:rPr>
        <w:t>81 de cazuri</w:t>
      </w:r>
      <w:r w:rsidR="00DC354F">
        <w:rPr>
          <w:rFonts w:ascii="Times New Roman" w:hAnsi="Times New Roman" w:cs="Times New Roman"/>
          <w:sz w:val="28"/>
          <w:szCs w:val="28"/>
        </w:rPr>
        <w:t xml:space="preserve"> de restituiri </w:t>
      </w:r>
      <w:r w:rsidR="00FE3BCC">
        <w:rPr>
          <w:rFonts w:ascii="Times New Roman" w:hAnsi="Times New Roman" w:cs="Times New Roman"/>
          <w:sz w:val="28"/>
          <w:szCs w:val="28"/>
        </w:rPr>
        <w:t xml:space="preserve">ale </w:t>
      </w:r>
      <w:r w:rsidR="00DC354F">
        <w:rPr>
          <w:rFonts w:ascii="Times New Roman" w:hAnsi="Times New Roman" w:cs="Times New Roman"/>
          <w:sz w:val="28"/>
          <w:szCs w:val="28"/>
        </w:rPr>
        <w:t>TVA efectuate în contul achitării restanțelor contribuabililor la contribuțiile obligatorii ale producătorilor de produse vitivinicole</w:t>
      </w:r>
      <w:r w:rsidR="00FE3BCC">
        <w:rPr>
          <w:rFonts w:ascii="Times New Roman" w:hAnsi="Times New Roman" w:cs="Times New Roman"/>
          <w:sz w:val="28"/>
          <w:szCs w:val="28"/>
        </w:rPr>
        <w:t>,</w:t>
      </w:r>
      <w:r w:rsidR="00DC354F">
        <w:rPr>
          <w:rFonts w:ascii="Times New Roman" w:hAnsi="Times New Roman" w:cs="Times New Roman"/>
          <w:sz w:val="28"/>
          <w:szCs w:val="28"/>
        </w:rPr>
        <w:t xml:space="preserve"> în sumă totală de</w:t>
      </w:r>
      <w:r w:rsidR="00764D6E">
        <w:rPr>
          <w:rFonts w:ascii="Times New Roman" w:hAnsi="Times New Roman" w:cs="Times New Roman"/>
          <w:sz w:val="28"/>
          <w:szCs w:val="28"/>
        </w:rPr>
        <w:t xml:space="preserve"> </w:t>
      </w:r>
      <w:r w:rsidR="00DC354F" w:rsidRPr="0041594C">
        <w:rPr>
          <w:rFonts w:ascii="Times New Roman" w:hAnsi="Times New Roman" w:cs="Times New Roman"/>
          <w:sz w:val="28"/>
          <w:szCs w:val="28"/>
        </w:rPr>
        <w:t>9</w:t>
      </w:r>
      <w:r w:rsidR="00DC354F">
        <w:rPr>
          <w:rFonts w:ascii="Times New Roman" w:hAnsi="Times New Roman" w:cs="Times New Roman"/>
          <w:sz w:val="28"/>
          <w:szCs w:val="28"/>
        </w:rPr>
        <w:t>,1</w:t>
      </w:r>
      <w:r w:rsidR="00DC354F" w:rsidRPr="0041594C">
        <w:rPr>
          <w:rFonts w:ascii="Times New Roman" w:hAnsi="Times New Roman" w:cs="Times New Roman"/>
          <w:sz w:val="28"/>
          <w:szCs w:val="28"/>
        </w:rPr>
        <w:t xml:space="preserve"> mi</w:t>
      </w:r>
      <w:r w:rsidR="00DC354F">
        <w:rPr>
          <w:rFonts w:ascii="Times New Roman" w:hAnsi="Times New Roman" w:cs="Times New Roman"/>
          <w:sz w:val="28"/>
          <w:szCs w:val="28"/>
        </w:rPr>
        <w:t>l.</w:t>
      </w:r>
      <w:r w:rsidR="00DC354F" w:rsidRPr="0041594C">
        <w:rPr>
          <w:rFonts w:ascii="Times New Roman" w:hAnsi="Times New Roman" w:cs="Times New Roman"/>
          <w:sz w:val="28"/>
          <w:szCs w:val="28"/>
        </w:rPr>
        <w:t>lei</w:t>
      </w:r>
      <w:r w:rsidRPr="0041594C">
        <w:rPr>
          <w:rFonts w:ascii="Times New Roman" w:hAnsi="Times New Roman" w:cs="Times New Roman"/>
          <w:sz w:val="28"/>
          <w:szCs w:val="28"/>
        </w:rPr>
        <w:t>.</w:t>
      </w:r>
    </w:p>
    <w:p w:rsidR="00DC354F" w:rsidRDefault="00412C75" w:rsidP="008D3B4F">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Evaluarea de către audit a efectului neconformităților constatate la restituirea TVA </w:t>
      </w:r>
      <w:r w:rsidR="000F3BBE">
        <w:rPr>
          <w:rFonts w:ascii="Times New Roman" w:hAnsi="Times New Roman" w:cs="Times New Roman"/>
          <w:sz w:val="28"/>
          <w:szCs w:val="28"/>
        </w:rPr>
        <w:t>relev</w:t>
      </w:r>
      <w:r>
        <w:rPr>
          <w:rFonts w:ascii="Times New Roman" w:hAnsi="Times New Roman" w:cs="Times New Roman"/>
          <w:sz w:val="28"/>
          <w:szCs w:val="28"/>
        </w:rPr>
        <w:t xml:space="preserve">ă că </w:t>
      </w:r>
      <w:r w:rsidRPr="005251F4">
        <w:rPr>
          <w:rFonts w:ascii="Times New Roman" w:hAnsi="Times New Roman" w:cs="Times New Roman"/>
          <w:sz w:val="28"/>
          <w:szCs w:val="28"/>
        </w:rPr>
        <w:t>iregularitate</w:t>
      </w:r>
      <w:r w:rsidR="000F3BBE" w:rsidRPr="005251F4">
        <w:rPr>
          <w:rFonts w:ascii="Times New Roman" w:hAnsi="Times New Roman" w:cs="Times New Roman"/>
          <w:sz w:val="28"/>
          <w:szCs w:val="28"/>
        </w:rPr>
        <w:t>a menționată</w:t>
      </w:r>
      <w:r w:rsidRPr="005251F4">
        <w:rPr>
          <w:rFonts w:ascii="Times New Roman" w:hAnsi="Times New Roman" w:cs="Times New Roman"/>
          <w:sz w:val="28"/>
          <w:szCs w:val="28"/>
        </w:rPr>
        <w:t xml:space="preserve"> este sub nivelul materialității </w:t>
      </w:r>
      <w:r w:rsidR="007304C0" w:rsidRPr="005251F4">
        <w:rPr>
          <w:rFonts w:ascii="Times New Roman" w:hAnsi="Times New Roman" w:cs="Times New Roman"/>
          <w:sz w:val="28"/>
          <w:szCs w:val="28"/>
        </w:rPr>
        <w:t>la totalul veniturilor și la poziția bugetară „restituiri TVA”, în același timp depășind nivelul stabilit la „Taxe pentru servicii specifice” (cod-1144).</w:t>
      </w:r>
      <w:r>
        <w:rPr>
          <w:rFonts w:ascii="Times New Roman" w:hAnsi="Times New Roman" w:cs="Times New Roman"/>
          <w:sz w:val="28"/>
          <w:szCs w:val="28"/>
        </w:rPr>
        <w:t xml:space="preserve"> </w:t>
      </w:r>
      <w:r w:rsidR="007304C0">
        <w:rPr>
          <w:rFonts w:ascii="Times New Roman" w:hAnsi="Times New Roman" w:cs="Times New Roman"/>
          <w:sz w:val="28"/>
          <w:szCs w:val="28"/>
        </w:rPr>
        <w:t>Î</w:t>
      </w:r>
      <w:r>
        <w:rPr>
          <w:rFonts w:ascii="Times New Roman" w:hAnsi="Times New Roman" w:cs="Times New Roman"/>
          <w:sz w:val="28"/>
          <w:szCs w:val="28"/>
        </w:rPr>
        <w:t>n esență</w:t>
      </w:r>
      <w:r w:rsidR="007304C0">
        <w:rPr>
          <w:rFonts w:ascii="Times New Roman" w:hAnsi="Times New Roman" w:cs="Times New Roman"/>
          <w:sz w:val="28"/>
          <w:szCs w:val="28"/>
        </w:rPr>
        <w:t>,</w:t>
      </w:r>
      <w:r>
        <w:rPr>
          <w:rFonts w:ascii="Times New Roman" w:hAnsi="Times New Roman" w:cs="Times New Roman"/>
          <w:sz w:val="28"/>
          <w:szCs w:val="28"/>
        </w:rPr>
        <w:t xml:space="preserve"> aceasta </w:t>
      </w:r>
      <w:r w:rsidRPr="002409CB">
        <w:rPr>
          <w:rFonts w:ascii="Times New Roman" w:hAnsi="Times New Roman" w:cs="Times New Roman"/>
          <w:sz w:val="28"/>
          <w:szCs w:val="28"/>
        </w:rPr>
        <w:t xml:space="preserve">a condiționat </w:t>
      </w:r>
      <w:r>
        <w:rPr>
          <w:rFonts w:ascii="Times New Roman" w:hAnsi="Times New Roman" w:cs="Times New Roman"/>
          <w:sz w:val="28"/>
          <w:szCs w:val="28"/>
        </w:rPr>
        <w:t xml:space="preserve">denaturarea </w:t>
      </w:r>
      <w:r w:rsidRPr="002409CB">
        <w:rPr>
          <w:rFonts w:ascii="Times New Roman" w:hAnsi="Times New Roman" w:cs="Times New Roman"/>
          <w:sz w:val="28"/>
          <w:szCs w:val="28"/>
        </w:rPr>
        <w:t>raport</w:t>
      </w:r>
      <w:r>
        <w:rPr>
          <w:rFonts w:ascii="Times New Roman" w:hAnsi="Times New Roman" w:cs="Times New Roman"/>
          <w:sz w:val="28"/>
          <w:szCs w:val="28"/>
        </w:rPr>
        <w:t>ă</w:t>
      </w:r>
      <w:r w:rsidRPr="002409CB">
        <w:rPr>
          <w:rFonts w:ascii="Times New Roman" w:hAnsi="Times New Roman" w:cs="Times New Roman"/>
          <w:sz w:val="28"/>
          <w:szCs w:val="28"/>
        </w:rPr>
        <w:t>r</w:t>
      </w:r>
      <w:r>
        <w:rPr>
          <w:rFonts w:ascii="Times New Roman" w:hAnsi="Times New Roman" w:cs="Times New Roman"/>
          <w:sz w:val="28"/>
          <w:szCs w:val="28"/>
        </w:rPr>
        <w:t>ii</w:t>
      </w:r>
      <w:r w:rsidRPr="002409CB">
        <w:rPr>
          <w:rFonts w:ascii="Times New Roman" w:hAnsi="Times New Roman" w:cs="Times New Roman"/>
          <w:sz w:val="28"/>
          <w:szCs w:val="28"/>
        </w:rPr>
        <w:t xml:space="preserve"> </w:t>
      </w:r>
      <w:r>
        <w:rPr>
          <w:rFonts w:ascii="Times New Roman" w:hAnsi="Times New Roman" w:cs="Times New Roman"/>
          <w:sz w:val="28"/>
          <w:szCs w:val="28"/>
        </w:rPr>
        <w:t xml:space="preserve">plăților aferente </w:t>
      </w:r>
      <w:r w:rsidRPr="002409CB">
        <w:rPr>
          <w:rFonts w:ascii="Times New Roman" w:hAnsi="Times New Roman" w:cs="Times New Roman"/>
          <w:sz w:val="28"/>
          <w:szCs w:val="28"/>
        </w:rPr>
        <w:t>restituir</w:t>
      </w:r>
      <w:r>
        <w:rPr>
          <w:rFonts w:ascii="Times New Roman" w:hAnsi="Times New Roman" w:cs="Times New Roman"/>
          <w:sz w:val="28"/>
          <w:szCs w:val="28"/>
        </w:rPr>
        <w:t>ii</w:t>
      </w:r>
      <w:r w:rsidRPr="002409CB">
        <w:rPr>
          <w:rFonts w:ascii="Times New Roman" w:hAnsi="Times New Roman" w:cs="Times New Roman"/>
          <w:sz w:val="28"/>
          <w:szCs w:val="28"/>
        </w:rPr>
        <w:t xml:space="preserve"> TVA în anul 2017 cu </w:t>
      </w:r>
      <w:r>
        <w:rPr>
          <w:rFonts w:ascii="Times New Roman" w:hAnsi="Times New Roman" w:cs="Times New Roman"/>
          <w:sz w:val="28"/>
          <w:szCs w:val="28"/>
        </w:rPr>
        <w:t>9,1 mil.lei</w:t>
      </w:r>
      <w:r w:rsidR="007304C0" w:rsidRPr="007304C0">
        <w:rPr>
          <w:rFonts w:ascii="Times New Roman" w:hAnsi="Times New Roman" w:cs="Times New Roman"/>
          <w:sz w:val="28"/>
          <w:szCs w:val="28"/>
        </w:rPr>
        <w:t xml:space="preserve"> </w:t>
      </w:r>
      <w:r w:rsidR="007304C0">
        <w:rPr>
          <w:rFonts w:ascii="Times New Roman" w:hAnsi="Times New Roman" w:cs="Times New Roman"/>
          <w:sz w:val="28"/>
          <w:szCs w:val="28"/>
        </w:rPr>
        <w:t>mai mult</w:t>
      </w:r>
      <w:r>
        <w:rPr>
          <w:rFonts w:ascii="Times New Roman" w:hAnsi="Times New Roman" w:cs="Times New Roman"/>
          <w:sz w:val="28"/>
          <w:szCs w:val="28"/>
        </w:rPr>
        <w:t>, precum și în ace</w:t>
      </w:r>
      <w:r w:rsidR="00FE3BCC">
        <w:rPr>
          <w:rFonts w:ascii="Times New Roman" w:hAnsi="Times New Roman" w:cs="Times New Roman"/>
          <w:sz w:val="28"/>
          <w:szCs w:val="28"/>
        </w:rPr>
        <w:t>e</w:t>
      </w:r>
      <w:r>
        <w:rPr>
          <w:rFonts w:ascii="Times New Roman" w:hAnsi="Times New Roman" w:cs="Times New Roman"/>
          <w:sz w:val="28"/>
          <w:szCs w:val="28"/>
        </w:rPr>
        <w:t xml:space="preserve">ași mărime, majorarea încasărilor de venituri la pozițiile </w:t>
      </w:r>
      <w:r w:rsidR="00FE3BCC">
        <w:rPr>
          <w:rFonts w:ascii="Times New Roman" w:hAnsi="Times New Roman" w:cs="Times New Roman"/>
          <w:sz w:val="28"/>
          <w:szCs w:val="28"/>
        </w:rPr>
        <w:t>C</w:t>
      </w:r>
      <w:r>
        <w:rPr>
          <w:rFonts w:ascii="Times New Roman" w:hAnsi="Times New Roman" w:cs="Times New Roman"/>
          <w:sz w:val="28"/>
          <w:szCs w:val="28"/>
        </w:rPr>
        <w:t>lasificației bugetare</w:t>
      </w:r>
      <w:r>
        <w:rPr>
          <w:rStyle w:val="a9"/>
          <w:rFonts w:ascii="Times New Roman" w:hAnsi="Times New Roman" w:cs="Times New Roman"/>
          <w:sz w:val="28"/>
          <w:szCs w:val="28"/>
        </w:rPr>
        <w:footnoteReference w:id="18"/>
      </w:r>
      <w:r>
        <w:rPr>
          <w:rFonts w:ascii="Times New Roman" w:hAnsi="Times New Roman" w:cs="Times New Roman"/>
          <w:sz w:val="28"/>
          <w:szCs w:val="28"/>
        </w:rPr>
        <w:t xml:space="preserve"> „</w:t>
      </w:r>
      <w:r w:rsidRPr="003E614C">
        <w:rPr>
          <w:rFonts w:ascii="Times New Roman" w:hAnsi="Times New Roman" w:cs="Times New Roman"/>
          <w:sz w:val="28"/>
          <w:szCs w:val="28"/>
        </w:rPr>
        <w:t>Plata obligatorie a producătorilor de produse vitivinicole</w:t>
      </w:r>
      <w:r>
        <w:rPr>
          <w:rFonts w:ascii="Times New Roman" w:hAnsi="Times New Roman" w:cs="Times New Roman"/>
          <w:sz w:val="28"/>
          <w:szCs w:val="28"/>
        </w:rPr>
        <w:t>” (cod-</w:t>
      </w:r>
      <w:r w:rsidRPr="003E614C">
        <w:rPr>
          <w:rFonts w:ascii="Times New Roman" w:hAnsi="Times New Roman" w:cs="Times New Roman"/>
          <w:sz w:val="28"/>
          <w:szCs w:val="28"/>
        </w:rPr>
        <w:t>114640</w:t>
      </w:r>
      <w:r>
        <w:rPr>
          <w:rFonts w:ascii="Times New Roman" w:hAnsi="Times New Roman" w:cs="Times New Roman"/>
          <w:sz w:val="28"/>
          <w:szCs w:val="28"/>
        </w:rPr>
        <w:t>), „</w:t>
      </w:r>
      <w:r w:rsidRPr="003E614C">
        <w:rPr>
          <w:rFonts w:ascii="Times New Roman" w:hAnsi="Times New Roman" w:cs="Times New Roman"/>
          <w:sz w:val="28"/>
          <w:szCs w:val="28"/>
        </w:rPr>
        <w:t>Taxe pentru servicii specifice</w:t>
      </w:r>
      <w:r>
        <w:rPr>
          <w:rFonts w:ascii="Times New Roman" w:hAnsi="Times New Roman" w:cs="Times New Roman"/>
          <w:sz w:val="28"/>
          <w:szCs w:val="28"/>
        </w:rPr>
        <w:t>” (cod-</w:t>
      </w:r>
      <w:r w:rsidRPr="003E614C">
        <w:rPr>
          <w:rFonts w:ascii="Times New Roman" w:hAnsi="Times New Roman" w:cs="Times New Roman"/>
          <w:sz w:val="28"/>
          <w:szCs w:val="28"/>
        </w:rPr>
        <w:t>1144</w:t>
      </w:r>
      <w:r>
        <w:rPr>
          <w:rFonts w:ascii="Times New Roman" w:hAnsi="Times New Roman" w:cs="Times New Roman"/>
          <w:sz w:val="28"/>
          <w:szCs w:val="28"/>
        </w:rPr>
        <w:t>) și, respectiv, totalul veniturilor.</w:t>
      </w:r>
    </w:p>
    <w:p w:rsidR="0070463E" w:rsidRDefault="0070463E" w:rsidP="008D3B4F">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Potrivit motivației MF, </w:t>
      </w:r>
      <w:r w:rsidR="00435E3B">
        <w:rPr>
          <w:rFonts w:ascii="Times New Roman" w:hAnsi="Times New Roman" w:cs="Times New Roman"/>
          <w:sz w:val="28"/>
          <w:szCs w:val="28"/>
        </w:rPr>
        <w:t xml:space="preserve">restituirile TVA menționate </w:t>
      </w:r>
      <w:r>
        <w:rPr>
          <w:rFonts w:ascii="Times New Roman" w:hAnsi="Times New Roman" w:cs="Times New Roman"/>
          <w:sz w:val="28"/>
          <w:szCs w:val="28"/>
        </w:rPr>
        <w:t>au</w:t>
      </w:r>
      <w:r w:rsidR="00435E3B">
        <w:rPr>
          <w:rFonts w:ascii="Times New Roman" w:hAnsi="Times New Roman" w:cs="Times New Roman"/>
          <w:sz w:val="28"/>
          <w:szCs w:val="28"/>
        </w:rPr>
        <w:t xml:space="preserve"> fost</w:t>
      </w:r>
      <w:r>
        <w:rPr>
          <w:rFonts w:ascii="Times New Roman" w:hAnsi="Times New Roman" w:cs="Times New Roman"/>
          <w:sz w:val="28"/>
          <w:szCs w:val="28"/>
        </w:rPr>
        <w:t xml:space="preserve"> efectuat</w:t>
      </w:r>
      <w:r w:rsidR="00435E3B">
        <w:rPr>
          <w:rFonts w:ascii="Times New Roman" w:hAnsi="Times New Roman" w:cs="Times New Roman"/>
          <w:sz w:val="28"/>
          <w:szCs w:val="28"/>
        </w:rPr>
        <w:t>e</w:t>
      </w:r>
      <w:r>
        <w:rPr>
          <w:rFonts w:ascii="Times New Roman" w:hAnsi="Times New Roman" w:cs="Times New Roman"/>
          <w:sz w:val="28"/>
          <w:szCs w:val="28"/>
        </w:rPr>
        <w:t xml:space="preserve"> ținând cont de faptul că „</w:t>
      </w:r>
      <w:r w:rsidRPr="003E614C">
        <w:rPr>
          <w:rFonts w:ascii="Times New Roman" w:hAnsi="Times New Roman" w:cs="Times New Roman"/>
          <w:sz w:val="28"/>
          <w:szCs w:val="28"/>
        </w:rPr>
        <w:t>Plata obligatorie a producătorilor de produse vitivinicole</w:t>
      </w:r>
      <w:r>
        <w:rPr>
          <w:rFonts w:ascii="Times New Roman" w:hAnsi="Times New Roman" w:cs="Times New Roman"/>
          <w:sz w:val="28"/>
          <w:szCs w:val="28"/>
        </w:rPr>
        <w:t>” (cod-</w:t>
      </w:r>
      <w:r w:rsidRPr="003E614C">
        <w:rPr>
          <w:rFonts w:ascii="Times New Roman" w:hAnsi="Times New Roman" w:cs="Times New Roman"/>
          <w:sz w:val="28"/>
          <w:szCs w:val="28"/>
        </w:rPr>
        <w:t>114640</w:t>
      </w:r>
      <w:r>
        <w:rPr>
          <w:rFonts w:ascii="Times New Roman" w:hAnsi="Times New Roman" w:cs="Times New Roman"/>
          <w:sz w:val="28"/>
          <w:szCs w:val="28"/>
        </w:rPr>
        <w:t>)</w:t>
      </w:r>
      <w:r w:rsidR="00435E3B">
        <w:rPr>
          <w:rFonts w:ascii="Times New Roman" w:hAnsi="Times New Roman" w:cs="Times New Roman"/>
          <w:sz w:val="28"/>
          <w:szCs w:val="28"/>
        </w:rPr>
        <w:t>,</w:t>
      </w:r>
      <w:r>
        <w:rPr>
          <w:rFonts w:ascii="Times New Roman" w:hAnsi="Times New Roman" w:cs="Times New Roman"/>
          <w:sz w:val="28"/>
          <w:szCs w:val="28"/>
        </w:rPr>
        <w:t xml:space="preserve"> potrivit </w:t>
      </w:r>
      <w:r w:rsidRPr="003E614C">
        <w:rPr>
          <w:rFonts w:ascii="Times New Roman" w:hAnsi="Times New Roman" w:cs="Times New Roman"/>
          <w:sz w:val="28"/>
          <w:szCs w:val="28"/>
        </w:rPr>
        <w:t>C</w:t>
      </w:r>
      <w:r>
        <w:rPr>
          <w:rFonts w:ascii="Times New Roman" w:hAnsi="Times New Roman" w:cs="Times New Roman"/>
          <w:sz w:val="28"/>
          <w:szCs w:val="28"/>
        </w:rPr>
        <w:t>lasificației bugetare</w:t>
      </w:r>
      <w:r>
        <w:rPr>
          <w:rStyle w:val="a9"/>
          <w:rFonts w:ascii="Times New Roman" w:hAnsi="Times New Roman" w:cs="Times New Roman"/>
          <w:sz w:val="28"/>
          <w:szCs w:val="28"/>
        </w:rPr>
        <w:footnoteReference w:id="19"/>
      </w:r>
      <w:r w:rsidR="00435E3B">
        <w:rPr>
          <w:rFonts w:ascii="Times New Roman" w:hAnsi="Times New Roman" w:cs="Times New Roman"/>
          <w:sz w:val="28"/>
          <w:szCs w:val="28"/>
        </w:rPr>
        <w:t>,</w:t>
      </w:r>
      <w:r>
        <w:rPr>
          <w:rFonts w:ascii="Times New Roman" w:hAnsi="Times New Roman" w:cs="Times New Roman"/>
          <w:sz w:val="28"/>
          <w:szCs w:val="28"/>
        </w:rPr>
        <w:t xml:space="preserve"> este atribuită la „</w:t>
      </w:r>
      <w:r w:rsidRPr="003E614C">
        <w:rPr>
          <w:rFonts w:ascii="Times New Roman" w:hAnsi="Times New Roman" w:cs="Times New Roman"/>
          <w:sz w:val="28"/>
          <w:szCs w:val="28"/>
        </w:rPr>
        <w:t>Taxe pentru servicii specifice</w:t>
      </w:r>
      <w:r>
        <w:rPr>
          <w:rFonts w:ascii="Times New Roman" w:hAnsi="Times New Roman" w:cs="Times New Roman"/>
          <w:sz w:val="28"/>
          <w:szCs w:val="28"/>
        </w:rPr>
        <w:t>” (cod-</w:t>
      </w:r>
      <w:r w:rsidRPr="003E614C">
        <w:rPr>
          <w:rFonts w:ascii="Times New Roman" w:hAnsi="Times New Roman" w:cs="Times New Roman"/>
          <w:sz w:val="28"/>
          <w:szCs w:val="28"/>
        </w:rPr>
        <w:t>1144</w:t>
      </w:r>
      <w:r>
        <w:rPr>
          <w:rFonts w:ascii="Times New Roman" w:hAnsi="Times New Roman" w:cs="Times New Roman"/>
          <w:sz w:val="28"/>
          <w:szCs w:val="28"/>
        </w:rPr>
        <w:t xml:space="preserve">). </w:t>
      </w:r>
    </w:p>
    <w:p w:rsidR="0070463E" w:rsidRDefault="00F618BC" w:rsidP="008D3B4F">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În</w:t>
      </w:r>
      <w:r w:rsidR="00412C75">
        <w:rPr>
          <w:rFonts w:ascii="Times New Roman" w:hAnsi="Times New Roman" w:cs="Times New Roman"/>
          <w:sz w:val="28"/>
          <w:szCs w:val="28"/>
        </w:rPr>
        <w:t xml:space="preserve"> context</w:t>
      </w:r>
      <w:r>
        <w:rPr>
          <w:rFonts w:ascii="Times New Roman" w:hAnsi="Times New Roman" w:cs="Times New Roman"/>
          <w:sz w:val="28"/>
          <w:szCs w:val="28"/>
        </w:rPr>
        <w:t>ul celor expuse, auditul menționează circumstanțele identificate și expuse în capitolul precedent al prezentului Raport (4.1.1)</w:t>
      </w:r>
      <w:r w:rsidR="00DA4B7D">
        <w:rPr>
          <w:rFonts w:ascii="Times New Roman" w:hAnsi="Times New Roman" w:cs="Times New Roman"/>
          <w:sz w:val="28"/>
          <w:szCs w:val="28"/>
        </w:rPr>
        <w:t>,</w:t>
      </w:r>
      <w:r>
        <w:rPr>
          <w:rFonts w:ascii="Times New Roman" w:hAnsi="Times New Roman" w:cs="Times New Roman"/>
          <w:sz w:val="28"/>
          <w:szCs w:val="28"/>
        </w:rPr>
        <w:t xml:space="preserve"> tip</w:t>
      </w:r>
      <w:r w:rsidR="00DA4B7D">
        <w:rPr>
          <w:rFonts w:ascii="Times New Roman" w:hAnsi="Times New Roman" w:cs="Times New Roman"/>
          <w:sz w:val="28"/>
          <w:szCs w:val="28"/>
        </w:rPr>
        <w:t xml:space="preserve">ul de venit </w:t>
      </w:r>
      <w:r w:rsidR="00DC7380">
        <w:rPr>
          <w:rFonts w:ascii="Times New Roman" w:hAnsi="Times New Roman" w:cs="Times New Roman"/>
          <w:sz w:val="28"/>
          <w:szCs w:val="28"/>
        </w:rPr>
        <w:t>„</w:t>
      </w:r>
      <w:r w:rsidR="0039481D">
        <w:rPr>
          <w:rFonts w:ascii="Times New Roman" w:hAnsi="Times New Roman" w:cs="Times New Roman"/>
          <w:sz w:val="28"/>
          <w:szCs w:val="28"/>
        </w:rPr>
        <w:t>P</w:t>
      </w:r>
      <w:r w:rsidR="00DC7380">
        <w:rPr>
          <w:rFonts w:ascii="Times New Roman" w:hAnsi="Times New Roman" w:cs="Times New Roman"/>
          <w:sz w:val="28"/>
          <w:szCs w:val="28"/>
        </w:rPr>
        <w:t xml:space="preserve">lata </w:t>
      </w:r>
      <w:r w:rsidR="00DC7380" w:rsidRPr="00DC7380">
        <w:rPr>
          <w:rFonts w:ascii="Times New Roman" w:hAnsi="Times New Roman" w:cs="Times New Roman"/>
          <w:sz w:val="28"/>
          <w:szCs w:val="28"/>
        </w:rPr>
        <w:t>obligatorie a produc</w:t>
      </w:r>
      <w:r w:rsidR="00DC7380">
        <w:rPr>
          <w:rFonts w:ascii="Times New Roman" w:hAnsi="Times New Roman" w:cs="Times New Roman"/>
          <w:sz w:val="28"/>
          <w:szCs w:val="28"/>
        </w:rPr>
        <w:t>ă</w:t>
      </w:r>
      <w:r w:rsidR="00DC7380" w:rsidRPr="00DC7380">
        <w:rPr>
          <w:rFonts w:ascii="Times New Roman" w:hAnsi="Times New Roman" w:cs="Times New Roman"/>
          <w:sz w:val="28"/>
          <w:szCs w:val="28"/>
        </w:rPr>
        <w:t>torilor de produse vitivinicole</w:t>
      </w:r>
      <w:r w:rsidR="00DC7380">
        <w:rPr>
          <w:rFonts w:ascii="Times New Roman" w:hAnsi="Times New Roman" w:cs="Times New Roman"/>
          <w:sz w:val="28"/>
          <w:szCs w:val="28"/>
        </w:rPr>
        <w:t xml:space="preserve">” nu s-a </w:t>
      </w:r>
      <w:r>
        <w:rPr>
          <w:rFonts w:ascii="Times New Roman" w:hAnsi="Times New Roman" w:cs="Times New Roman"/>
          <w:sz w:val="28"/>
          <w:szCs w:val="28"/>
        </w:rPr>
        <w:t>regăs</w:t>
      </w:r>
      <w:r w:rsidR="00DA4B7D">
        <w:rPr>
          <w:rFonts w:ascii="Times New Roman" w:hAnsi="Times New Roman" w:cs="Times New Roman"/>
          <w:sz w:val="28"/>
          <w:szCs w:val="28"/>
        </w:rPr>
        <w:t>it</w:t>
      </w:r>
      <w:r>
        <w:rPr>
          <w:rFonts w:ascii="Times New Roman" w:hAnsi="Times New Roman" w:cs="Times New Roman"/>
          <w:sz w:val="28"/>
          <w:szCs w:val="28"/>
        </w:rPr>
        <w:t xml:space="preserve"> </w:t>
      </w:r>
      <w:r w:rsidR="00B25F6A">
        <w:rPr>
          <w:rFonts w:ascii="Times New Roman" w:hAnsi="Times New Roman" w:cs="Times New Roman"/>
          <w:sz w:val="28"/>
          <w:szCs w:val="28"/>
        </w:rPr>
        <w:t>în Registrul</w:t>
      </w:r>
      <w:r>
        <w:rPr>
          <w:rFonts w:ascii="Times New Roman" w:hAnsi="Times New Roman" w:cs="Times New Roman"/>
          <w:sz w:val="28"/>
          <w:szCs w:val="28"/>
        </w:rPr>
        <w:t xml:space="preserve"> veniturilor bugetului de stat</w:t>
      </w:r>
      <w:r w:rsidR="00B25F6A">
        <w:rPr>
          <w:rFonts w:ascii="Times New Roman" w:hAnsi="Times New Roman" w:cs="Times New Roman"/>
          <w:sz w:val="28"/>
          <w:szCs w:val="28"/>
        </w:rPr>
        <w:t xml:space="preserve"> (Forma FI-006)</w:t>
      </w:r>
      <w:r>
        <w:rPr>
          <w:rFonts w:ascii="Times New Roman" w:hAnsi="Times New Roman" w:cs="Times New Roman"/>
          <w:sz w:val="28"/>
          <w:szCs w:val="28"/>
        </w:rPr>
        <w:t xml:space="preserve"> confirmat de SFS.</w:t>
      </w:r>
      <w:r w:rsidR="00DA4B7D">
        <w:rPr>
          <w:rFonts w:ascii="Times New Roman" w:hAnsi="Times New Roman" w:cs="Times New Roman"/>
          <w:sz w:val="28"/>
          <w:szCs w:val="28"/>
        </w:rPr>
        <w:t xml:space="preserve"> Mai mult </w:t>
      </w:r>
      <w:r w:rsidR="003C24F7">
        <w:rPr>
          <w:rFonts w:ascii="Times New Roman" w:hAnsi="Times New Roman" w:cs="Times New Roman"/>
          <w:sz w:val="28"/>
          <w:szCs w:val="28"/>
        </w:rPr>
        <w:t>decât</w:t>
      </w:r>
      <w:r w:rsidR="00DA4B7D">
        <w:rPr>
          <w:rFonts w:ascii="Times New Roman" w:hAnsi="Times New Roman" w:cs="Times New Roman"/>
          <w:sz w:val="28"/>
          <w:szCs w:val="28"/>
        </w:rPr>
        <w:t xml:space="preserve"> atât</w:t>
      </w:r>
      <w:r w:rsidR="003C24F7">
        <w:rPr>
          <w:rFonts w:ascii="Times New Roman" w:hAnsi="Times New Roman" w:cs="Times New Roman"/>
          <w:sz w:val="28"/>
          <w:szCs w:val="28"/>
        </w:rPr>
        <w:t>,</w:t>
      </w:r>
      <w:r w:rsidR="00DA4B7D">
        <w:rPr>
          <w:rFonts w:ascii="Times New Roman" w:hAnsi="Times New Roman" w:cs="Times New Roman"/>
          <w:sz w:val="28"/>
          <w:szCs w:val="28"/>
        </w:rPr>
        <w:t xml:space="preserve"> </w:t>
      </w:r>
      <w:r w:rsidR="00E4490A">
        <w:rPr>
          <w:rFonts w:ascii="Times New Roman" w:hAnsi="Times New Roman" w:cs="Times New Roman"/>
          <w:sz w:val="28"/>
          <w:szCs w:val="28"/>
        </w:rPr>
        <w:t xml:space="preserve">SFS, </w:t>
      </w:r>
      <w:r w:rsidR="0070463E">
        <w:rPr>
          <w:rFonts w:ascii="Times New Roman" w:hAnsi="Times New Roman" w:cs="Times New Roman"/>
          <w:sz w:val="28"/>
          <w:szCs w:val="28"/>
        </w:rPr>
        <w:t>prin indicarea în decizia de restituire</w:t>
      </w:r>
      <w:r w:rsidR="00DC354F">
        <w:rPr>
          <w:rFonts w:ascii="Times New Roman" w:hAnsi="Times New Roman" w:cs="Times New Roman"/>
          <w:sz w:val="28"/>
          <w:szCs w:val="28"/>
        </w:rPr>
        <w:t xml:space="preserve"> a TVA </w:t>
      </w:r>
      <w:r w:rsidR="00DA4B7D">
        <w:rPr>
          <w:rFonts w:ascii="Times New Roman" w:hAnsi="Times New Roman" w:cs="Times New Roman"/>
          <w:sz w:val="28"/>
          <w:szCs w:val="28"/>
        </w:rPr>
        <w:t xml:space="preserve">în contul achitării </w:t>
      </w:r>
      <w:r w:rsidR="00DA4B7D">
        <w:rPr>
          <w:rFonts w:ascii="Times New Roman" w:hAnsi="Times New Roman" w:cs="Times New Roman"/>
          <w:i/>
          <w:sz w:val="28"/>
          <w:szCs w:val="28"/>
        </w:rPr>
        <w:t>„pl</w:t>
      </w:r>
      <w:r w:rsidR="0070463E" w:rsidRPr="004E6FE4">
        <w:rPr>
          <w:rFonts w:ascii="Times New Roman" w:hAnsi="Times New Roman" w:cs="Times New Roman"/>
          <w:i/>
          <w:sz w:val="28"/>
          <w:szCs w:val="28"/>
        </w:rPr>
        <w:t xml:space="preserve">ății obligatorii </w:t>
      </w:r>
      <w:r w:rsidR="0070463E" w:rsidRPr="004E6FE4">
        <w:rPr>
          <w:rFonts w:ascii="Times New Roman" w:hAnsi="Times New Roman" w:cs="Times New Roman"/>
          <w:i/>
          <w:sz w:val="28"/>
          <w:szCs w:val="28"/>
        </w:rPr>
        <w:lastRenderedPageBreak/>
        <w:t>a producătorilor de produse vitivinicole Oficiului Național al Viei și Vinului</w:t>
      </w:r>
      <w:r w:rsidR="0070463E" w:rsidRPr="00DC354F">
        <w:rPr>
          <w:rFonts w:ascii="Times New Roman" w:hAnsi="Times New Roman" w:cs="Times New Roman"/>
          <w:i/>
          <w:sz w:val="28"/>
          <w:szCs w:val="28"/>
        </w:rPr>
        <w:t>”</w:t>
      </w:r>
      <w:r w:rsidR="00FE3BCC">
        <w:rPr>
          <w:rFonts w:ascii="Times New Roman" w:hAnsi="Times New Roman" w:cs="Times New Roman"/>
          <w:i/>
          <w:sz w:val="28"/>
          <w:szCs w:val="28"/>
        </w:rPr>
        <w:t>,</w:t>
      </w:r>
      <w:r w:rsidR="00DA4B7D">
        <w:rPr>
          <w:rFonts w:ascii="Times New Roman" w:hAnsi="Times New Roman" w:cs="Times New Roman"/>
          <w:i/>
          <w:sz w:val="28"/>
          <w:szCs w:val="28"/>
        </w:rPr>
        <w:t xml:space="preserve"> </w:t>
      </w:r>
      <w:r w:rsidR="00DA4B7D">
        <w:rPr>
          <w:rFonts w:ascii="Times New Roman" w:hAnsi="Times New Roman" w:cs="Times New Roman"/>
          <w:sz w:val="28"/>
          <w:szCs w:val="28"/>
        </w:rPr>
        <w:t>conduce la generarea neconformități</w:t>
      </w:r>
      <w:r w:rsidR="000F282D">
        <w:rPr>
          <w:rFonts w:ascii="Times New Roman" w:hAnsi="Times New Roman" w:cs="Times New Roman"/>
          <w:sz w:val="28"/>
          <w:szCs w:val="28"/>
        </w:rPr>
        <w:t>lor și de către Direcția</w:t>
      </w:r>
      <w:r w:rsidR="00DA4B7D">
        <w:rPr>
          <w:rFonts w:ascii="Times New Roman" w:hAnsi="Times New Roman" w:cs="Times New Roman"/>
          <w:sz w:val="28"/>
          <w:szCs w:val="28"/>
        </w:rPr>
        <w:t xml:space="preserve"> Trezoreria de </w:t>
      </w:r>
      <w:r w:rsidR="000F282D">
        <w:rPr>
          <w:rFonts w:ascii="Times New Roman" w:hAnsi="Times New Roman" w:cs="Times New Roman"/>
          <w:sz w:val="28"/>
          <w:szCs w:val="28"/>
        </w:rPr>
        <w:t>S</w:t>
      </w:r>
      <w:r w:rsidR="00DA4B7D">
        <w:rPr>
          <w:rFonts w:ascii="Times New Roman" w:hAnsi="Times New Roman" w:cs="Times New Roman"/>
          <w:sz w:val="28"/>
          <w:szCs w:val="28"/>
        </w:rPr>
        <w:t xml:space="preserve">tat, care efectuează plățile la acest capitol, </w:t>
      </w:r>
      <w:r w:rsidR="00123BC3">
        <w:rPr>
          <w:rFonts w:ascii="Times New Roman" w:hAnsi="Times New Roman" w:cs="Times New Roman"/>
          <w:sz w:val="28"/>
          <w:szCs w:val="28"/>
        </w:rPr>
        <w:t xml:space="preserve">ca </w:t>
      </w:r>
      <w:r w:rsidR="00DA4B7D">
        <w:rPr>
          <w:rFonts w:ascii="Times New Roman" w:hAnsi="Times New Roman" w:cs="Times New Roman"/>
          <w:sz w:val="28"/>
          <w:szCs w:val="28"/>
        </w:rPr>
        <w:t xml:space="preserve">urmare denaturând </w:t>
      </w:r>
      <w:r w:rsidR="000F282D">
        <w:rPr>
          <w:rFonts w:ascii="Times New Roman" w:hAnsi="Times New Roman" w:cs="Times New Roman"/>
          <w:sz w:val="28"/>
          <w:szCs w:val="28"/>
        </w:rPr>
        <w:t xml:space="preserve">și </w:t>
      </w:r>
      <w:r w:rsidR="00DA4B7D">
        <w:rPr>
          <w:rFonts w:ascii="Times New Roman" w:hAnsi="Times New Roman" w:cs="Times New Roman"/>
          <w:sz w:val="28"/>
          <w:szCs w:val="28"/>
        </w:rPr>
        <w:t>unii indicatori</w:t>
      </w:r>
      <w:r w:rsidR="0070463E">
        <w:rPr>
          <w:rFonts w:ascii="Times New Roman" w:hAnsi="Times New Roman" w:cs="Times New Roman"/>
          <w:sz w:val="28"/>
          <w:szCs w:val="28"/>
        </w:rPr>
        <w:t xml:space="preserve"> </w:t>
      </w:r>
      <w:r w:rsidR="00DA4B7D">
        <w:rPr>
          <w:rFonts w:ascii="Times New Roman" w:hAnsi="Times New Roman" w:cs="Times New Roman"/>
          <w:sz w:val="28"/>
          <w:szCs w:val="28"/>
        </w:rPr>
        <w:t xml:space="preserve">la partea de venituri. </w:t>
      </w:r>
    </w:p>
    <w:p w:rsidR="0070463E" w:rsidRDefault="00EC7560" w:rsidP="008D3B4F">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Potrivit datelor raportate de MF, r</w:t>
      </w:r>
      <w:r w:rsidR="0002602E" w:rsidRPr="00457F49">
        <w:rPr>
          <w:rFonts w:ascii="Times New Roman" w:hAnsi="Times New Roman" w:cs="Times New Roman"/>
          <w:sz w:val="28"/>
          <w:szCs w:val="28"/>
        </w:rPr>
        <w:t>estituirea accizelor</w:t>
      </w:r>
      <w:r w:rsidR="0002602E">
        <w:rPr>
          <w:rFonts w:ascii="Times New Roman" w:hAnsi="Times New Roman" w:cs="Times New Roman"/>
          <w:sz w:val="28"/>
          <w:szCs w:val="28"/>
        </w:rPr>
        <w:t xml:space="preserve"> </w:t>
      </w:r>
      <w:r w:rsidR="0070463E">
        <w:rPr>
          <w:rFonts w:ascii="Times New Roman" w:hAnsi="Times New Roman" w:cs="Times New Roman"/>
          <w:sz w:val="28"/>
          <w:szCs w:val="28"/>
        </w:rPr>
        <w:t>în anul 2017 a însumat 212,6</w:t>
      </w:r>
      <w:r w:rsidR="007D7A9C">
        <w:rPr>
          <w:rFonts w:ascii="Times New Roman" w:hAnsi="Times New Roman" w:cs="Times New Roman"/>
          <w:sz w:val="28"/>
          <w:szCs w:val="28"/>
        </w:rPr>
        <w:t xml:space="preserve"> mil.lei, sau cu 3,4 mil.lei (</w:t>
      </w:r>
      <w:r w:rsidR="0070463E">
        <w:rPr>
          <w:rFonts w:ascii="Times New Roman" w:hAnsi="Times New Roman" w:cs="Times New Roman"/>
          <w:sz w:val="28"/>
          <w:szCs w:val="28"/>
        </w:rPr>
        <w:t xml:space="preserve">-2,0%) mai puțin decât </w:t>
      </w:r>
      <w:r>
        <w:rPr>
          <w:rFonts w:ascii="Times New Roman" w:hAnsi="Times New Roman" w:cs="Times New Roman"/>
          <w:sz w:val="28"/>
          <w:szCs w:val="28"/>
        </w:rPr>
        <w:t>limita</w:t>
      </w:r>
      <w:r w:rsidR="0070463E">
        <w:rPr>
          <w:rFonts w:ascii="Times New Roman" w:hAnsi="Times New Roman" w:cs="Times New Roman"/>
          <w:sz w:val="28"/>
          <w:szCs w:val="28"/>
        </w:rPr>
        <w:t xml:space="preserve"> precizată în buget. </w:t>
      </w:r>
      <w:r>
        <w:rPr>
          <w:rFonts w:ascii="Times New Roman" w:hAnsi="Times New Roman" w:cs="Times New Roman"/>
          <w:sz w:val="28"/>
          <w:szCs w:val="28"/>
        </w:rPr>
        <w:t>Analiza auditului relevă că</w:t>
      </w:r>
      <w:r w:rsidR="0070463E">
        <w:rPr>
          <w:rFonts w:ascii="Times New Roman" w:hAnsi="Times New Roman" w:cs="Times New Roman"/>
          <w:sz w:val="28"/>
          <w:szCs w:val="28"/>
        </w:rPr>
        <w:t xml:space="preserve"> </w:t>
      </w:r>
      <w:r>
        <w:rPr>
          <w:rFonts w:ascii="Times New Roman" w:hAnsi="Times New Roman" w:cs="Times New Roman"/>
          <w:sz w:val="28"/>
          <w:szCs w:val="28"/>
        </w:rPr>
        <w:t>sumele restituirilor la</w:t>
      </w:r>
      <w:r w:rsidR="0070463E">
        <w:rPr>
          <w:rFonts w:ascii="Times New Roman" w:hAnsi="Times New Roman" w:cs="Times New Roman"/>
          <w:sz w:val="28"/>
          <w:szCs w:val="28"/>
        </w:rPr>
        <w:t xml:space="preserve"> accize relevă </w:t>
      </w:r>
      <w:r>
        <w:rPr>
          <w:rFonts w:ascii="Times New Roman" w:hAnsi="Times New Roman" w:cs="Times New Roman"/>
          <w:sz w:val="28"/>
          <w:szCs w:val="28"/>
        </w:rPr>
        <w:t xml:space="preserve">în dinamică o tendință variabilă, fiind mai mult cu 45,6 mil.lei față de </w:t>
      </w:r>
      <w:r w:rsidR="0070463E">
        <w:rPr>
          <w:rFonts w:ascii="Times New Roman" w:hAnsi="Times New Roman" w:cs="Times New Roman"/>
          <w:sz w:val="28"/>
          <w:szCs w:val="28"/>
        </w:rPr>
        <w:t>an</w:t>
      </w:r>
      <w:r w:rsidR="007D7A9C">
        <w:rPr>
          <w:rFonts w:ascii="Times New Roman" w:hAnsi="Times New Roman" w:cs="Times New Roman"/>
          <w:sz w:val="28"/>
          <w:szCs w:val="28"/>
        </w:rPr>
        <w:t>ul 2016</w:t>
      </w:r>
      <w:r>
        <w:rPr>
          <w:rFonts w:ascii="Times New Roman" w:hAnsi="Times New Roman" w:cs="Times New Roman"/>
          <w:sz w:val="28"/>
          <w:szCs w:val="28"/>
        </w:rPr>
        <w:t xml:space="preserve"> și mai puțin cu 8,2 </w:t>
      </w:r>
      <w:r w:rsidR="007D7A9C">
        <w:rPr>
          <w:rFonts w:ascii="Times New Roman" w:hAnsi="Times New Roman" w:cs="Times New Roman"/>
          <w:sz w:val="28"/>
          <w:szCs w:val="28"/>
        </w:rPr>
        <w:t>mil.</w:t>
      </w:r>
      <w:r w:rsidR="0070463E">
        <w:rPr>
          <w:rFonts w:ascii="Times New Roman" w:hAnsi="Times New Roman" w:cs="Times New Roman"/>
          <w:sz w:val="28"/>
          <w:szCs w:val="28"/>
        </w:rPr>
        <w:t xml:space="preserve">lei </w:t>
      </w:r>
      <w:r>
        <w:rPr>
          <w:rFonts w:ascii="Times New Roman" w:hAnsi="Times New Roman" w:cs="Times New Roman"/>
          <w:sz w:val="28"/>
          <w:szCs w:val="28"/>
        </w:rPr>
        <w:t>față de</w:t>
      </w:r>
      <w:r w:rsidR="0070463E">
        <w:rPr>
          <w:rFonts w:ascii="Times New Roman" w:hAnsi="Times New Roman" w:cs="Times New Roman"/>
          <w:sz w:val="28"/>
          <w:szCs w:val="28"/>
        </w:rPr>
        <w:t xml:space="preserve"> anul 2015. </w:t>
      </w:r>
    </w:p>
    <w:p w:rsidR="00963329" w:rsidRDefault="00DC7380" w:rsidP="008D3B4F">
      <w:pPr>
        <w:tabs>
          <w:tab w:val="left" w:pos="0"/>
        </w:tabs>
        <w:spacing w:after="0" w:line="276" w:lineRule="auto"/>
        <w:ind w:right="74" w:firstLine="709"/>
        <w:jc w:val="both"/>
        <w:rPr>
          <w:rFonts w:ascii="Times New Roman" w:hAnsi="Times New Roman" w:cs="Times New Roman"/>
          <w:sz w:val="28"/>
          <w:szCs w:val="28"/>
        </w:rPr>
      </w:pPr>
      <w:r>
        <w:rPr>
          <w:rFonts w:ascii="Times New Roman" w:hAnsi="Times New Roman" w:cs="Times New Roman"/>
          <w:sz w:val="28"/>
          <w:szCs w:val="28"/>
        </w:rPr>
        <w:t>Conform</w:t>
      </w:r>
      <w:r w:rsidR="001F21C8">
        <w:rPr>
          <w:rFonts w:ascii="Times New Roman" w:hAnsi="Times New Roman" w:cs="Times New Roman"/>
          <w:sz w:val="28"/>
          <w:szCs w:val="28"/>
        </w:rPr>
        <w:t xml:space="preserve"> datelor raportate de MF</w:t>
      </w:r>
      <w:r w:rsidR="0002602E">
        <w:rPr>
          <w:rFonts w:ascii="Times New Roman" w:hAnsi="Times New Roman" w:cs="Times New Roman"/>
          <w:sz w:val="28"/>
          <w:szCs w:val="28"/>
        </w:rPr>
        <w:t>, î</w:t>
      </w:r>
      <w:r w:rsidR="0070463E">
        <w:rPr>
          <w:rFonts w:ascii="Times New Roman" w:hAnsi="Times New Roman" w:cs="Times New Roman"/>
          <w:sz w:val="28"/>
          <w:szCs w:val="28"/>
        </w:rPr>
        <w:t>n anul 2017 din bugetul de stat a</w:t>
      </w:r>
      <w:r w:rsidR="001F21C8">
        <w:rPr>
          <w:rFonts w:ascii="Times New Roman" w:hAnsi="Times New Roman" w:cs="Times New Roman"/>
          <w:sz w:val="28"/>
          <w:szCs w:val="28"/>
        </w:rPr>
        <w:t>u</w:t>
      </w:r>
      <w:r w:rsidR="0070463E">
        <w:rPr>
          <w:rFonts w:ascii="Times New Roman" w:hAnsi="Times New Roman" w:cs="Times New Roman"/>
          <w:sz w:val="28"/>
          <w:szCs w:val="28"/>
        </w:rPr>
        <w:t xml:space="preserve"> fost efectuat</w:t>
      </w:r>
      <w:r w:rsidR="001F21C8">
        <w:rPr>
          <w:rFonts w:ascii="Times New Roman" w:hAnsi="Times New Roman" w:cs="Times New Roman"/>
          <w:sz w:val="28"/>
          <w:szCs w:val="28"/>
        </w:rPr>
        <w:t>e</w:t>
      </w:r>
      <w:r w:rsidR="0070463E">
        <w:rPr>
          <w:rFonts w:ascii="Times New Roman" w:hAnsi="Times New Roman" w:cs="Times New Roman"/>
          <w:sz w:val="28"/>
          <w:szCs w:val="28"/>
        </w:rPr>
        <w:t xml:space="preserve"> </w:t>
      </w:r>
      <w:r w:rsidR="0070463E" w:rsidRPr="00457F49">
        <w:rPr>
          <w:rFonts w:ascii="Times New Roman" w:hAnsi="Times New Roman" w:cs="Times New Roman"/>
          <w:sz w:val="28"/>
          <w:szCs w:val="28"/>
        </w:rPr>
        <w:t>restituir</w:t>
      </w:r>
      <w:r w:rsidR="001F21C8">
        <w:rPr>
          <w:rFonts w:ascii="Times New Roman" w:hAnsi="Times New Roman" w:cs="Times New Roman"/>
          <w:sz w:val="28"/>
          <w:szCs w:val="28"/>
        </w:rPr>
        <w:t>i ale</w:t>
      </w:r>
      <w:r w:rsidR="0070463E" w:rsidRPr="00457F49">
        <w:rPr>
          <w:rFonts w:ascii="Times New Roman" w:hAnsi="Times New Roman" w:cs="Times New Roman"/>
          <w:sz w:val="28"/>
          <w:szCs w:val="28"/>
        </w:rPr>
        <w:t xml:space="preserve"> impozitului pe venitul persoanelor fizice</w:t>
      </w:r>
      <w:r w:rsidR="0070463E">
        <w:rPr>
          <w:rFonts w:ascii="Times New Roman" w:hAnsi="Times New Roman" w:cs="Times New Roman"/>
          <w:b/>
          <w:sz w:val="28"/>
          <w:szCs w:val="28"/>
        </w:rPr>
        <w:t xml:space="preserve"> </w:t>
      </w:r>
      <w:r w:rsidR="0070463E" w:rsidRPr="00C82708">
        <w:rPr>
          <w:rFonts w:ascii="Times New Roman" w:hAnsi="Times New Roman" w:cs="Times New Roman"/>
          <w:sz w:val="28"/>
          <w:szCs w:val="28"/>
        </w:rPr>
        <w:t xml:space="preserve">în </w:t>
      </w:r>
      <w:r w:rsidR="007D7A9C">
        <w:rPr>
          <w:rFonts w:ascii="Times New Roman" w:hAnsi="Times New Roman" w:cs="Times New Roman"/>
          <w:sz w:val="28"/>
          <w:szCs w:val="28"/>
        </w:rPr>
        <w:t xml:space="preserve">sumă </w:t>
      </w:r>
      <w:r w:rsidR="001F21C8">
        <w:rPr>
          <w:rFonts w:ascii="Times New Roman" w:hAnsi="Times New Roman" w:cs="Times New Roman"/>
          <w:sz w:val="28"/>
          <w:szCs w:val="28"/>
        </w:rPr>
        <w:t xml:space="preserve">totală </w:t>
      </w:r>
      <w:r w:rsidR="007D7A9C">
        <w:rPr>
          <w:rFonts w:ascii="Times New Roman" w:hAnsi="Times New Roman" w:cs="Times New Roman"/>
          <w:sz w:val="28"/>
          <w:szCs w:val="28"/>
        </w:rPr>
        <w:t xml:space="preserve">de 44,2 </w:t>
      </w:r>
      <w:r w:rsidR="001F21C8">
        <w:rPr>
          <w:rFonts w:ascii="Times New Roman" w:hAnsi="Times New Roman" w:cs="Times New Roman"/>
          <w:sz w:val="28"/>
          <w:szCs w:val="28"/>
        </w:rPr>
        <w:t xml:space="preserve">mil.lei. Verificările auditului constată că suma restituirilor real efectuate depășește </w:t>
      </w:r>
      <w:r w:rsidR="007D7A9C">
        <w:rPr>
          <w:rFonts w:ascii="Times New Roman" w:hAnsi="Times New Roman" w:cs="Times New Roman"/>
          <w:sz w:val="28"/>
          <w:szCs w:val="28"/>
        </w:rPr>
        <w:t>cu 1,9 mil.</w:t>
      </w:r>
      <w:r w:rsidR="0070463E">
        <w:rPr>
          <w:rFonts w:ascii="Times New Roman" w:hAnsi="Times New Roman" w:cs="Times New Roman"/>
          <w:sz w:val="28"/>
          <w:szCs w:val="28"/>
        </w:rPr>
        <w:t>lei (4,5%) indicatorii precizați în lege</w:t>
      </w:r>
      <w:r w:rsidR="0070463E" w:rsidRPr="0070463E">
        <w:rPr>
          <w:rFonts w:ascii="Times New Roman" w:hAnsi="Times New Roman" w:cs="Times New Roman"/>
          <w:sz w:val="28"/>
          <w:szCs w:val="28"/>
          <w:lang w:val="en-US"/>
        </w:rPr>
        <w:t>a</w:t>
      </w:r>
      <w:r w:rsidR="0070463E">
        <w:rPr>
          <w:rFonts w:ascii="Times New Roman" w:hAnsi="Times New Roman" w:cs="Times New Roman"/>
          <w:sz w:val="28"/>
          <w:szCs w:val="28"/>
        </w:rPr>
        <w:t xml:space="preserve"> bugetară anuală.</w:t>
      </w:r>
    </w:p>
    <w:p w:rsidR="001F21C8" w:rsidRPr="0089751C" w:rsidRDefault="001F21C8" w:rsidP="008D3B4F">
      <w:pPr>
        <w:tabs>
          <w:tab w:val="left" w:pos="0"/>
        </w:tabs>
        <w:spacing w:after="0" w:line="276" w:lineRule="auto"/>
        <w:ind w:right="74" w:firstLine="709"/>
        <w:jc w:val="both"/>
        <w:rPr>
          <w:sz w:val="28"/>
          <w:szCs w:val="28"/>
        </w:rPr>
      </w:pPr>
    </w:p>
    <w:p w:rsidR="009B724D" w:rsidRDefault="0002602E" w:rsidP="008D3B4F">
      <w:pPr>
        <w:pStyle w:val="3"/>
        <w:numPr>
          <w:ilvl w:val="2"/>
          <w:numId w:val="1"/>
        </w:numPr>
        <w:spacing w:line="276" w:lineRule="auto"/>
        <w:ind w:left="0" w:firstLine="709"/>
        <w:jc w:val="both"/>
        <w:rPr>
          <w:rFonts w:ascii="Times New Roman" w:hAnsi="Times New Roman"/>
          <w:b/>
          <w:i/>
          <w:color w:val="000000" w:themeColor="text1"/>
          <w:sz w:val="28"/>
          <w:szCs w:val="28"/>
        </w:rPr>
      </w:pPr>
      <w:bookmarkStart w:id="12" w:name="_Toc515518985"/>
      <w:r>
        <w:rPr>
          <w:rFonts w:ascii="Times New Roman" w:hAnsi="Times New Roman"/>
          <w:b/>
          <w:i/>
          <w:color w:val="000000" w:themeColor="text1"/>
          <w:sz w:val="28"/>
          <w:szCs w:val="28"/>
        </w:rPr>
        <w:t>D</w:t>
      </w:r>
      <w:r w:rsidR="001A6A90" w:rsidRPr="001A6A90">
        <w:rPr>
          <w:rFonts w:ascii="Times New Roman" w:hAnsi="Times New Roman"/>
          <w:b/>
          <w:i/>
          <w:color w:val="000000" w:themeColor="text1"/>
          <w:sz w:val="28"/>
          <w:szCs w:val="28"/>
        </w:rPr>
        <w:t>eficitul bugetar și sursele de finanțare</w:t>
      </w:r>
      <w:r>
        <w:rPr>
          <w:rFonts w:ascii="Times New Roman" w:hAnsi="Times New Roman"/>
          <w:b/>
          <w:i/>
          <w:color w:val="000000" w:themeColor="text1"/>
          <w:sz w:val="28"/>
          <w:szCs w:val="28"/>
        </w:rPr>
        <w:t xml:space="preserve"> au fost </w:t>
      </w:r>
      <w:r w:rsidR="001A6A90" w:rsidRPr="001A6A90">
        <w:rPr>
          <w:rFonts w:ascii="Times New Roman" w:hAnsi="Times New Roman"/>
          <w:b/>
          <w:i/>
          <w:color w:val="000000" w:themeColor="text1"/>
          <w:sz w:val="28"/>
          <w:szCs w:val="28"/>
        </w:rPr>
        <w:t xml:space="preserve">raportate </w:t>
      </w:r>
      <w:r w:rsidR="00341947">
        <w:rPr>
          <w:rFonts w:ascii="Times New Roman" w:hAnsi="Times New Roman"/>
          <w:b/>
          <w:i/>
          <w:color w:val="000000" w:themeColor="text1"/>
          <w:sz w:val="28"/>
          <w:szCs w:val="28"/>
        </w:rPr>
        <w:t xml:space="preserve">în corespundere cu </w:t>
      </w:r>
      <w:r w:rsidR="00D95260">
        <w:rPr>
          <w:rFonts w:ascii="Times New Roman" w:hAnsi="Times New Roman"/>
          <w:b/>
          <w:i/>
          <w:color w:val="000000" w:themeColor="text1"/>
          <w:sz w:val="28"/>
          <w:szCs w:val="28"/>
        </w:rPr>
        <w:t>cadrul de evidență</w:t>
      </w:r>
      <w:r w:rsidR="0060639D">
        <w:rPr>
          <w:rFonts w:ascii="Times New Roman" w:hAnsi="Times New Roman"/>
          <w:b/>
          <w:i/>
          <w:color w:val="000000" w:themeColor="text1"/>
          <w:sz w:val="28"/>
          <w:szCs w:val="28"/>
        </w:rPr>
        <w:t>.</w:t>
      </w:r>
      <w:bookmarkEnd w:id="12"/>
      <w:r w:rsidR="000F439E">
        <w:rPr>
          <w:rFonts w:ascii="Times New Roman" w:hAnsi="Times New Roman"/>
          <w:b/>
          <w:i/>
          <w:color w:val="000000" w:themeColor="text1"/>
          <w:sz w:val="28"/>
          <w:szCs w:val="28"/>
        </w:rPr>
        <w:t xml:space="preserve"> </w:t>
      </w:r>
    </w:p>
    <w:p w:rsidR="000F439E" w:rsidRDefault="004B17FC" w:rsidP="008D3B4F">
      <w:pPr>
        <w:spacing w:after="0" w:line="276" w:lineRule="auto"/>
        <w:ind w:firstLine="709"/>
        <w:jc w:val="both"/>
        <w:rPr>
          <w:rFonts w:ascii="Times New Roman" w:hAnsi="Times New Roman"/>
          <w:sz w:val="28"/>
          <w:szCs w:val="28"/>
        </w:rPr>
      </w:pPr>
      <w:r>
        <w:rPr>
          <w:rFonts w:ascii="Times New Roman" w:hAnsi="Times New Roman"/>
          <w:sz w:val="28"/>
          <w:szCs w:val="28"/>
        </w:rPr>
        <w:t>Verificările auditului asupra</w:t>
      </w:r>
      <w:r w:rsidR="000F439E" w:rsidRPr="000F439E">
        <w:rPr>
          <w:rFonts w:ascii="Times New Roman" w:hAnsi="Times New Roman"/>
          <w:sz w:val="28"/>
          <w:szCs w:val="28"/>
        </w:rPr>
        <w:t xml:space="preserve"> Raportul</w:t>
      </w:r>
      <w:r>
        <w:rPr>
          <w:rFonts w:ascii="Times New Roman" w:hAnsi="Times New Roman"/>
          <w:sz w:val="28"/>
          <w:szCs w:val="28"/>
        </w:rPr>
        <w:t>ui</w:t>
      </w:r>
      <w:r w:rsidR="000F439E" w:rsidRPr="000F439E">
        <w:rPr>
          <w:rFonts w:ascii="Times New Roman" w:hAnsi="Times New Roman"/>
          <w:sz w:val="28"/>
          <w:szCs w:val="28"/>
        </w:rPr>
        <w:t xml:space="preserve"> privind executarea indicatorilor generali și surselor de finanțare ale bugetului de stat</w:t>
      </w:r>
      <w:r w:rsidR="001F21C8">
        <w:rPr>
          <w:rStyle w:val="a9"/>
          <w:rFonts w:ascii="Times New Roman" w:hAnsi="Times New Roman"/>
          <w:sz w:val="28"/>
          <w:szCs w:val="28"/>
        </w:rPr>
        <w:footnoteReference w:id="20"/>
      </w:r>
      <w:r w:rsidR="001F21C8">
        <w:rPr>
          <w:rFonts w:ascii="Times New Roman" w:hAnsi="Times New Roman"/>
          <w:sz w:val="28"/>
          <w:szCs w:val="28"/>
        </w:rPr>
        <w:t xml:space="preserve"> </w:t>
      </w:r>
      <w:r w:rsidR="000F439E" w:rsidRPr="000F439E">
        <w:rPr>
          <w:rFonts w:ascii="Times New Roman" w:hAnsi="Times New Roman"/>
          <w:sz w:val="28"/>
          <w:szCs w:val="28"/>
        </w:rPr>
        <w:t xml:space="preserve">pentru </w:t>
      </w:r>
      <w:r w:rsidR="000F439E">
        <w:rPr>
          <w:rFonts w:ascii="Times New Roman" w:hAnsi="Times New Roman"/>
          <w:sz w:val="28"/>
          <w:szCs w:val="28"/>
        </w:rPr>
        <w:t xml:space="preserve">anul 2017 </w:t>
      </w:r>
      <w:r>
        <w:rPr>
          <w:rFonts w:ascii="Times New Roman" w:hAnsi="Times New Roman"/>
          <w:sz w:val="28"/>
          <w:szCs w:val="28"/>
        </w:rPr>
        <w:t xml:space="preserve">au constatat </w:t>
      </w:r>
      <w:r w:rsidR="000F439E">
        <w:rPr>
          <w:rFonts w:ascii="Times New Roman" w:hAnsi="Times New Roman"/>
          <w:sz w:val="28"/>
          <w:szCs w:val="28"/>
        </w:rPr>
        <w:t xml:space="preserve">că execuția bugetului de stat la 31.12.2017 s-a încheiat cu un </w:t>
      </w:r>
      <w:r w:rsidR="000F439E" w:rsidRPr="00341947">
        <w:rPr>
          <w:rFonts w:ascii="Times New Roman" w:hAnsi="Times New Roman"/>
          <w:sz w:val="28"/>
          <w:szCs w:val="28"/>
        </w:rPr>
        <w:t xml:space="preserve">deficit de </w:t>
      </w:r>
      <w:r w:rsidR="00BA6C0F">
        <w:rPr>
          <w:rFonts w:ascii="Times New Roman" w:hAnsi="Times New Roman"/>
          <w:sz w:val="28"/>
          <w:szCs w:val="28"/>
        </w:rPr>
        <w:t>(-</w:t>
      </w:r>
      <w:r w:rsidR="000F439E" w:rsidRPr="00341947">
        <w:rPr>
          <w:rFonts w:ascii="Times New Roman" w:hAnsi="Times New Roman"/>
          <w:sz w:val="28"/>
          <w:szCs w:val="28"/>
        </w:rPr>
        <w:t>1531,7</w:t>
      </w:r>
      <w:r w:rsidR="00BA6C0F">
        <w:rPr>
          <w:rFonts w:ascii="Times New Roman" w:hAnsi="Times New Roman"/>
          <w:sz w:val="28"/>
          <w:szCs w:val="28"/>
        </w:rPr>
        <w:t>)</w:t>
      </w:r>
      <w:r w:rsidR="000F439E" w:rsidRPr="00341947">
        <w:rPr>
          <w:rFonts w:ascii="Times New Roman" w:hAnsi="Times New Roman"/>
          <w:sz w:val="28"/>
          <w:szCs w:val="28"/>
        </w:rPr>
        <w:t xml:space="preserve"> mil.lei</w:t>
      </w:r>
      <w:r w:rsidRPr="00341947">
        <w:rPr>
          <w:rFonts w:ascii="Times New Roman" w:hAnsi="Times New Roman"/>
          <w:sz w:val="28"/>
          <w:szCs w:val="28"/>
        </w:rPr>
        <w:t>.</w:t>
      </w:r>
      <w:r>
        <w:rPr>
          <w:rFonts w:ascii="Times New Roman" w:hAnsi="Times New Roman"/>
          <w:sz w:val="28"/>
          <w:szCs w:val="28"/>
        </w:rPr>
        <w:t xml:space="preserve"> Comparativ cu nivelul deficitului precizat, acesta este </w:t>
      </w:r>
      <w:r w:rsidR="000F439E">
        <w:rPr>
          <w:rFonts w:ascii="Times New Roman" w:hAnsi="Times New Roman"/>
          <w:sz w:val="28"/>
          <w:szCs w:val="28"/>
        </w:rPr>
        <w:t>cu 2492,5 mil.lei mai puțin</w:t>
      </w:r>
      <w:r w:rsidR="00123BC3">
        <w:rPr>
          <w:rFonts w:ascii="Times New Roman" w:hAnsi="Times New Roman"/>
          <w:sz w:val="28"/>
          <w:szCs w:val="28"/>
        </w:rPr>
        <w:t>,</w:t>
      </w:r>
      <w:r>
        <w:rPr>
          <w:rFonts w:ascii="Times New Roman" w:hAnsi="Times New Roman"/>
          <w:sz w:val="28"/>
          <w:szCs w:val="28"/>
        </w:rPr>
        <w:t xml:space="preserve"> sau</w:t>
      </w:r>
      <w:r w:rsidR="000F439E">
        <w:rPr>
          <w:rFonts w:ascii="Times New Roman" w:hAnsi="Times New Roman"/>
          <w:sz w:val="28"/>
          <w:szCs w:val="28"/>
        </w:rPr>
        <w:t xml:space="preserve"> 38,</w:t>
      </w:r>
      <w:r w:rsidR="00841699">
        <w:rPr>
          <w:rFonts w:ascii="Times New Roman" w:hAnsi="Times New Roman"/>
          <w:sz w:val="28"/>
          <w:szCs w:val="28"/>
        </w:rPr>
        <w:t>1</w:t>
      </w:r>
      <w:r w:rsidR="000F439E">
        <w:rPr>
          <w:rFonts w:ascii="Times New Roman" w:hAnsi="Times New Roman"/>
          <w:sz w:val="28"/>
          <w:szCs w:val="28"/>
        </w:rPr>
        <w:t xml:space="preserve">% față de indicatorul precizat. </w:t>
      </w:r>
      <w:r w:rsidR="00613EC1">
        <w:rPr>
          <w:rFonts w:ascii="Times New Roman" w:hAnsi="Times New Roman"/>
          <w:i/>
          <w:sz w:val="28"/>
          <w:szCs w:val="28"/>
        </w:rPr>
        <w:t>Tendințele d</w:t>
      </w:r>
      <w:r w:rsidR="000F439E" w:rsidRPr="007B7508">
        <w:rPr>
          <w:rFonts w:ascii="Times New Roman" w:hAnsi="Times New Roman"/>
          <w:i/>
          <w:sz w:val="28"/>
          <w:szCs w:val="28"/>
        </w:rPr>
        <w:t>eficitul</w:t>
      </w:r>
      <w:r w:rsidR="00613EC1">
        <w:rPr>
          <w:rFonts w:ascii="Times New Roman" w:hAnsi="Times New Roman"/>
          <w:i/>
          <w:sz w:val="28"/>
          <w:szCs w:val="28"/>
        </w:rPr>
        <w:t>ui</w:t>
      </w:r>
      <w:r w:rsidR="000F439E" w:rsidRPr="007B7508">
        <w:rPr>
          <w:rFonts w:ascii="Times New Roman" w:hAnsi="Times New Roman"/>
          <w:i/>
          <w:sz w:val="28"/>
          <w:szCs w:val="28"/>
        </w:rPr>
        <w:t xml:space="preserve"> bugetului de stat pe anul 2017</w:t>
      </w:r>
      <w:r w:rsidRPr="007B7508">
        <w:rPr>
          <w:rFonts w:ascii="Times New Roman" w:hAnsi="Times New Roman"/>
          <w:i/>
          <w:sz w:val="28"/>
          <w:szCs w:val="28"/>
        </w:rPr>
        <w:t>,</w:t>
      </w:r>
      <w:r w:rsidR="000F439E" w:rsidRPr="007B7508">
        <w:rPr>
          <w:rFonts w:ascii="Times New Roman" w:hAnsi="Times New Roman"/>
          <w:i/>
          <w:sz w:val="28"/>
          <w:szCs w:val="28"/>
        </w:rPr>
        <w:t xml:space="preserve"> comparativ cu anul 2016 și, respectiv, cu anul 2015</w:t>
      </w:r>
      <w:r w:rsidRPr="007B7508">
        <w:rPr>
          <w:rFonts w:ascii="Times New Roman" w:hAnsi="Times New Roman"/>
          <w:i/>
          <w:sz w:val="28"/>
          <w:szCs w:val="28"/>
        </w:rPr>
        <w:t>,</w:t>
      </w:r>
      <w:r w:rsidR="000F439E" w:rsidRPr="007B7508">
        <w:rPr>
          <w:rFonts w:ascii="Times New Roman" w:hAnsi="Times New Roman"/>
          <w:i/>
          <w:sz w:val="28"/>
          <w:szCs w:val="28"/>
        </w:rPr>
        <w:t xml:space="preserve"> precum și ponderea acestuia în PIB </w:t>
      </w:r>
      <w:r w:rsidR="00123BC3">
        <w:rPr>
          <w:rFonts w:ascii="Times New Roman" w:hAnsi="Times New Roman"/>
          <w:i/>
          <w:sz w:val="28"/>
          <w:szCs w:val="28"/>
        </w:rPr>
        <w:t>sunt</w:t>
      </w:r>
      <w:r w:rsidR="000F439E" w:rsidRPr="007B7508">
        <w:rPr>
          <w:rFonts w:ascii="Times New Roman" w:hAnsi="Times New Roman"/>
          <w:i/>
          <w:sz w:val="28"/>
          <w:szCs w:val="28"/>
        </w:rPr>
        <w:t xml:space="preserve"> prezentat</w:t>
      </w:r>
      <w:r w:rsidR="00123BC3">
        <w:rPr>
          <w:rFonts w:ascii="Times New Roman" w:hAnsi="Times New Roman"/>
          <w:i/>
          <w:sz w:val="28"/>
          <w:szCs w:val="28"/>
        </w:rPr>
        <w:t>e</w:t>
      </w:r>
      <w:r w:rsidR="000F439E" w:rsidRPr="007B7508">
        <w:rPr>
          <w:rFonts w:ascii="Times New Roman" w:hAnsi="Times New Roman"/>
          <w:i/>
          <w:sz w:val="28"/>
          <w:szCs w:val="28"/>
        </w:rPr>
        <w:t xml:space="preserve"> în</w:t>
      </w:r>
      <w:r w:rsidR="000F439E">
        <w:rPr>
          <w:rFonts w:ascii="Times New Roman" w:hAnsi="Times New Roman"/>
          <w:sz w:val="28"/>
          <w:szCs w:val="28"/>
        </w:rPr>
        <w:t xml:space="preserve"> </w:t>
      </w:r>
      <w:r w:rsidR="000F439E" w:rsidRPr="003F56DB">
        <w:rPr>
          <w:rFonts w:ascii="Times New Roman" w:hAnsi="Times New Roman"/>
          <w:i/>
          <w:sz w:val="28"/>
          <w:szCs w:val="28"/>
        </w:rPr>
        <w:t>Tabelul nr.</w:t>
      </w:r>
      <w:r w:rsidR="007B4AB6">
        <w:rPr>
          <w:rFonts w:ascii="Times New Roman" w:hAnsi="Times New Roman"/>
          <w:i/>
          <w:sz w:val="28"/>
          <w:szCs w:val="28"/>
        </w:rPr>
        <w:t>5</w:t>
      </w:r>
      <w:r w:rsidR="00353726">
        <w:rPr>
          <w:rFonts w:ascii="Times New Roman" w:hAnsi="Times New Roman"/>
          <w:i/>
          <w:sz w:val="28"/>
          <w:szCs w:val="28"/>
        </w:rPr>
        <w:t>.</w:t>
      </w:r>
      <w:r w:rsidR="000F439E">
        <w:rPr>
          <w:rFonts w:ascii="Times New Roman" w:hAnsi="Times New Roman"/>
          <w:sz w:val="28"/>
          <w:szCs w:val="28"/>
        </w:rPr>
        <w:t xml:space="preserve"> </w:t>
      </w:r>
    </w:p>
    <w:p w:rsidR="000F439E" w:rsidRPr="003B693A" w:rsidRDefault="000F439E" w:rsidP="008D3B4F">
      <w:pPr>
        <w:spacing w:after="0" w:line="276" w:lineRule="auto"/>
        <w:jc w:val="right"/>
        <w:rPr>
          <w:rFonts w:ascii="Times New Roman" w:eastAsia="Times New Roman" w:hAnsi="Times New Roman" w:cs="Times New Roman"/>
          <w:i/>
          <w:sz w:val="28"/>
          <w:szCs w:val="24"/>
          <w:lang w:eastAsia="ru-RU"/>
        </w:rPr>
      </w:pPr>
      <w:r w:rsidRPr="003B693A">
        <w:rPr>
          <w:rFonts w:ascii="Times New Roman" w:eastAsia="Times New Roman" w:hAnsi="Times New Roman" w:cs="Times New Roman"/>
          <w:i/>
          <w:sz w:val="28"/>
          <w:szCs w:val="24"/>
          <w:lang w:eastAsia="ru-RU"/>
        </w:rPr>
        <w:t>Tabel</w:t>
      </w:r>
      <w:r w:rsidR="00602230">
        <w:rPr>
          <w:rFonts w:ascii="Times New Roman" w:eastAsia="Times New Roman" w:hAnsi="Times New Roman" w:cs="Times New Roman"/>
          <w:i/>
          <w:sz w:val="28"/>
          <w:szCs w:val="24"/>
          <w:lang w:eastAsia="ru-RU"/>
        </w:rPr>
        <w:t>ul</w:t>
      </w:r>
      <w:r w:rsidRPr="003B693A">
        <w:rPr>
          <w:rFonts w:ascii="Times New Roman" w:eastAsia="Times New Roman" w:hAnsi="Times New Roman" w:cs="Times New Roman"/>
          <w:i/>
          <w:sz w:val="28"/>
          <w:szCs w:val="24"/>
          <w:lang w:eastAsia="ru-RU"/>
        </w:rPr>
        <w:t xml:space="preserve"> nr.</w:t>
      </w:r>
      <w:r w:rsidR="007B4AB6">
        <w:rPr>
          <w:rFonts w:ascii="Times New Roman" w:eastAsia="Times New Roman" w:hAnsi="Times New Roman" w:cs="Times New Roman"/>
          <w:i/>
          <w:sz w:val="28"/>
          <w:szCs w:val="24"/>
          <w:lang w:eastAsia="ru-RU"/>
        </w:rPr>
        <w:t>5</w:t>
      </w:r>
    </w:p>
    <w:p w:rsidR="000F439E" w:rsidRDefault="004B17FC" w:rsidP="008D3B4F">
      <w:pPr>
        <w:spacing w:after="0" w:line="276" w:lineRule="auto"/>
        <w:ind w:right="51"/>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Tendințele d</w:t>
      </w:r>
      <w:r w:rsidR="000F439E" w:rsidRPr="00602230">
        <w:rPr>
          <w:rFonts w:ascii="Times New Roman" w:eastAsia="Times New Roman" w:hAnsi="Times New Roman" w:cs="Times New Roman"/>
          <w:b/>
          <w:sz w:val="24"/>
          <w:szCs w:val="24"/>
          <w:lang w:eastAsia="ru-RU"/>
        </w:rPr>
        <w:t>eficitul</w:t>
      </w:r>
      <w:r>
        <w:rPr>
          <w:rFonts w:ascii="Times New Roman" w:eastAsia="Times New Roman" w:hAnsi="Times New Roman" w:cs="Times New Roman"/>
          <w:b/>
          <w:sz w:val="24"/>
          <w:szCs w:val="24"/>
          <w:lang w:eastAsia="ru-RU"/>
        </w:rPr>
        <w:t>ui</w:t>
      </w:r>
      <w:r w:rsidR="000F439E" w:rsidRPr="00602230">
        <w:rPr>
          <w:rFonts w:ascii="Times New Roman" w:eastAsia="Times New Roman" w:hAnsi="Times New Roman" w:cs="Times New Roman"/>
          <w:b/>
          <w:sz w:val="24"/>
          <w:szCs w:val="24"/>
          <w:lang w:eastAsia="ru-RU"/>
        </w:rPr>
        <w:t xml:space="preserve"> bugetului de stat pe ani</w:t>
      </w:r>
      <w:r>
        <w:rPr>
          <w:rFonts w:ascii="Times New Roman" w:eastAsia="Times New Roman" w:hAnsi="Times New Roman" w:cs="Times New Roman"/>
          <w:b/>
          <w:sz w:val="24"/>
          <w:szCs w:val="24"/>
          <w:lang w:eastAsia="ru-RU"/>
        </w:rPr>
        <w:t>i 2015-2017</w:t>
      </w:r>
      <w:r w:rsidR="000F439E" w:rsidRPr="00602230">
        <w:rPr>
          <w:rFonts w:ascii="Times New Roman" w:eastAsia="Times New Roman" w:hAnsi="Times New Roman" w:cs="Times New Roman"/>
          <w:b/>
          <w:sz w:val="24"/>
          <w:szCs w:val="24"/>
          <w:lang w:eastAsia="ru-RU"/>
        </w:rPr>
        <w:t xml:space="preserve"> și ponder</w:t>
      </w:r>
      <w:r w:rsidR="00123BC3">
        <w:rPr>
          <w:rFonts w:ascii="Times New Roman" w:eastAsia="Times New Roman" w:hAnsi="Times New Roman" w:cs="Times New Roman"/>
          <w:b/>
          <w:sz w:val="24"/>
          <w:szCs w:val="24"/>
          <w:lang w:eastAsia="ru-RU"/>
        </w:rPr>
        <w:t>ea acestuia</w:t>
      </w:r>
      <w:r w:rsidR="000F439E" w:rsidRPr="00602230">
        <w:rPr>
          <w:rFonts w:ascii="Times New Roman" w:eastAsia="Times New Roman" w:hAnsi="Times New Roman" w:cs="Times New Roman"/>
          <w:b/>
          <w:sz w:val="24"/>
          <w:szCs w:val="24"/>
          <w:lang w:eastAsia="ru-RU"/>
        </w:rPr>
        <w:t xml:space="preserve"> în PIB</w:t>
      </w:r>
    </w:p>
    <w:p w:rsidR="00203312" w:rsidRPr="00203312" w:rsidRDefault="00203312" w:rsidP="008D3B4F">
      <w:pPr>
        <w:spacing w:after="0" w:line="276" w:lineRule="auto"/>
        <w:jc w:val="right"/>
        <w:rPr>
          <w:rFonts w:ascii="Times New Roman" w:eastAsia="Times New Roman" w:hAnsi="Times New Roman" w:cs="Times New Roman"/>
          <w:i/>
          <w:sz w:val="28"/>
          <w:szCs w:val="24"/>
          <w:lang w:eastAsia="ru-RU"/>
        </w:rPr>
      </w:pPr>
      <w:r w:rsidRPr="00203312">
        <w:rPr>
          <w:rFonts w:ascii="Times New Roman" w:eastAsia="Times New Roman" w:hAnsi="Times New Roman" w:cs="Times New Roman"/>
          <w:i/>
          <w:sz w:val="24"/>
          <w:szCs w:val="24"/>
          <w:lang w:eastAsia="ru-RU"/>
        </w:rPr>
        <w:t>(mil.lei)</w:t>
      </w:r>
    </w:p>
    <w:tbl>
      <w:tblPr>
        <w:tblStyle w:val="ListTable4-Accent61"/>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7"/>
        <w:gridCol w:w="1332"/>
        <w:gridCol w:w="1333"/>
        <w:gridCol w:w="1333"/>
        <w:gridCol w:w="1530"/>
        <w:gridCol w:w="1559"/>
      </w:tblGrid>
      <w:tr w:rsidR="00035A72" w:rsidRPr="003B693A" w:rsidTr="00B81F8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37" w:type="dxa"/>
            <w:vMerge w:val="restart"/>
            <w:tcBorders>
              <w:top w:val="double" w:sz="4" w:space="0" w:color="538135" w:themeColor="accent6" w:themeShade="BF"/>
              <w:left w:val="double" w:sz="4" w:space="0" w:color="538135" w:themeColor="accent6" w:themeShade="BF"/>
              <w:right w:val="thinThickThinSmallGap" w:sz="24" w:space="0" w:color="538135" w:themeColor="accent6" w:themeShade="BF"/>
            </w:tcBorders>
            <w:shd w:val="clear" w:color="auto" w:fill="385623" w:themeFill="accent6" w:themeFillShade="80"/>
            <w:vAlign w:val="center"/>
          </w:tcPr>
          <w:p w:rsidR="00035A72" w:rsidRPr="003B693A" w:rsidRDefault="00035A72" w:rsidP="000F439E">
            <w:pPr>
              <w:ind w:left="-125" w:right="-37"/>
              <w:jc w:val="center"/>
              <w:rPr>
                <w:rFonts w:ascii="Times New Roman" w:eastAsia="Times New Roman" w:hAnsi="Times New Roman" w:cs="Times New Roman"/>
                <w:i/>
                <w:sz w:val="24"/>
                <w:szCs w:val="24"/>
                <w:lang w:eastAsia="ru-RU"/>
              </w:rPr>
            </w:pPr>
            <w:r w:rsidRPr="003B693A">
              <w:rPr>
                <w:rFonts w:ascii="Times New Roman" w:eastAsia="Times New Roman" w:hAnsi="Times New Roman" w:cs="Times New Roman"/>
                <w:i/>
                <w:sz w:val="24"/>
                <w:szCs w:val="24"/>
                <w:lang w:eastAsia="ru-RU"/>
              </w:rPr>
              <w:t>Indicator</w:t>
            </w:r>
          </w:p>
        </w:tc>
        <w:tc>
          <w:tcPr>
            <w:tcW w:w="3998" w:type="dxa"/>
            <w:gridSpan w:val="3"/>
            <w:tcBorders>
              <w:top w:val="double" w:sz="4" w:space="0" w:color="538135" w:themeColor="accent6" w:themeShade="BF"/>
              <w:left w:val="thinThickThinSmallGap" w:sz="24" w:space="0" w:color="538135" w:themeColor="accent6" w:themeShade="BF"/>
              <w:bottom w:val="single" w:sz="4" w:space="0" w:color="538135" w:themeColor="accent6" w:themeShade="BF"/>
              <w:right w:val="thinThickThinSmallGap" w:sz="24" w:space="0" w:color="538135" w:themeColor="accent6" w:themeShade="BF"/>
            </w:tcBorders>
            <w:shd w:val="clear" w:color="auto" w:fill="385623" w:themeFill="accent6" w:themeFillShade="80"/>
          </w:tcPr>
          <w:p w:rsidR="00035A72" w:rsidRPr="003B693A" w:rsidRDefault="00D61F6D" w:rsidP="006D61B1">
            <w:pPr>
              <w:ind w:right="-563"/>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Executat</w:t>
            </w:r>
          </w:p>
        </w:tc>
        <w:tc>
          <w:tcPr>
            <w:tcW w:w="3089" w:type="dxa"/>
            <w:gridSpan w:val="2"/>
            <w:tcBorders>
              <w:top w:val="double" w:sz="4" w:space="0" w:color="538135" w:themeColor="accent6" w:themeShade="BF"/>
              <w:left w:val="thinThickThinSmallGap" w:sz="24" w:space="0" w:color="538135" w:themeColor="accent6" w:themeShade="BF"/>
              <w:bottom w:val="single" w:sz="4" w:space="0" w:color="538135" w:themeColor="accent6" w:themeShade="BF"/>
              <w:right w:val="double" w:sz="4" w:space="0" w:color="538135" w:themeColor="accent6" w:themeShade="BF"/>
            </w:tcBorders>
            <w:shd w:val="clear" w:color="auto" w:fill="385623" w:themeFill="accent6" w:themeFillShade="80"/>
          </w:tcPr>
          <w:p w:rsidR="00035A72" w:rsidRPr="003B693A" w:rsidRDefault="00035A72" w:rsidP="00035A7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i/>
                <w:sz w:val="24"/>
                <w:szCs w:val="24"/>
                <w:lang w:eastAsia="ru-RU"/>
              </w:rPr>
            </w:pPr>
            <w:r>
              <w:rPr>
                <w:rFonts w:ascii="Times New Roman" w:eastAsia="Times New Roman" w:hAnsi="Times New Roman" w:cs="Times New Roman"/>
                <w:i/>
                <w:sz w:val="24"/>
                <w:szCs w:val="24"/>
                <w:lang w:eastAsia="ru-RU"/>
              </w:rPr>
              <w:t>Devieri</w:t>
            </w:r>
          </w:p>
        </w:tc>
      </w:tr>
      <w:tr w:rsidR="00035A72" w:rsidRPr="003B693A" w:rsidTr="00B81F8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37" w:type="dxa"/>
            <w:vMerge/>
            <w:tcBorders>
              <w:left w:val="double" w:sz="4" w:space="0" w:color="538135" w:themeColor="accent6" w:themeShade="BF"/>
              <w:bottom w:val="single" w:sz="4" w:space="0" w:color="538135" w:themeColor="accent6" w:themeShade="BF"/>
              <w:right w:val="thinThickThinSmallGap" w:sz="24" w:space="0" w:color="538135" w:themeColor="accent6" w:themeShade="BF"/>
            </w:tcBorders>
          </w:tcPr>
          <w:p w:rsidR="00035A72" w:rsidRPr="003B693A" w:rsidRDefault="00035A72" w:rsidP="002A6708">
            <w:pPr>
              <w:ind w:right="-563"/>
              <w:rPr>
                <w:rFonts w:ascii="Times New Roman" w:eastAsia="Times New Roman" w:hAnsi="Times New Roman" w:cs="Times New Roman"/>
                <w:i/>
                <w:sz w:val="24"/>
                <w:szCs w:val="24"/>
                <w:lang w:eastAsia="ru-RU"/>
              </w:rPr>
            </w:pPr>
          </w:p>
        </w:tc>
        <w:tc>
          <w:tcPr>
            <w:tcW w:w="1332" w:type="dxa"/>
            <w:tcBorders>
              <w:top w:val="single" w:sz="4" w:space="0" w:color="538135" w:themeColor="accent6" w:themeShade="BF"/>
              <w:left w:val="thinThickThinSmallGap" w:sz="24" w:space="0" w:color="538135" w:themeColor="accent6" w:themeShade="BF"/>
              <w:bottom w:val="single" w:sz="4" w:space="0" w:color="538135" w:themeColor="accent6" w:themeShade="BF"/>
              <w:right w:val="single" w:sz="4" w:space="0" w:color="538135" w:themeColor="accent6" w:themeShade="BF"/>
            </w:tcBorders>
            <w:shd w:val="clear" w:color="auto" w:fill="A8D08D" w:themeFill="accent6" w:themeFillTint="99"/>
          </w:tcPr>
          <w:p w:rsidR="00035A72" w:rsidRPr="003B693A" w:rsidRDefault="00035A72" w:rsidP="002A6708">
            <w:pPr>
              <w:ind w:right="-127"/>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4"/>
                <w:szCs w:val="24"/>
                <w:lang w:eastAsia="ru-RU"/>
              </w:rPr>
            </w:pPr>
            <w:r w:rsidRPr="003B693A">
              <w:rPr>
                <w:rFonts w:ascii="Times New Roman" w:eastAsia="Times New Roman" w:hAnsi="Times New Roman" w:cs="Times New Roman"/>
                <w:i/>
                <w:sz w:val="24"/>
                <w:szCs w:val="24"/>
                <w:lang w:eastAsia="ru-RU"/>
              </w:rPr>
              <w:t>2015</w:t>
            </w:r>
          </w:p>
        </w:tc>
        <w:tc>
          <w:tcPr>
            <w:tcW w:w="1333"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shd w:val="clear" w:color="auto" w:fill="A8D08D" w:themeFill="accent6" w:themeFillTint="99"/>
          </w:tcPr>
          <w:p w:rsidR="00035A72" w:rsidRPr="003B693A" w:rsidRDefault="00035A72" w:rsidP="002A6708">
            <w:pPr>
              <w:ind w:right="-127"/>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4"/>
                <w:szCs w:val="24"/>
                <w:lang w:eastAsia="ru-RU"/>
              </w:rPr>
            </w:pPr>
            <w:r w:rsidRPr="003B693A">
              <w:rPr>
                <w:rFonts w:ascii="Times New Roman" w:eastAsia="Times New Roman" w:hAnsi="Times New Roman" w:cs="Times New Roman"/>
                <w:i/>
                <w:sz w:val="24"/>
                <w:szCs w:val="24"/>
                <w:lang w:eastAsia="ru-RU"/>
              </w:rPr>
              <w:t>2016</w:t>
            </w:r>
          </w:p>
        </w:tc>
        <w:tc>
          <w:tcPr>
            <w:tcW w:w="1333" w:type="dxa"/>
            <w:tcBorders>
              <w:top w:val="single" w:sz="4" w:space="0" w:color="538135" w:themeColor="accent6" w:themeShade="BF"/>
              <w:left w:val="single" w:sz="4" w:space="0" w:color="538135" w:themeColor="accent6" w:themeShade="BF"/>
              <w:bottom w:val="single" w:sz="4" w:space="0" w:color="538135" w:themeColor="accent6" w:themeShade="BF"/>
              <w:right w:val="thinThickThinSmallGap" w:sz="24" w:space="0" w:color="538135" w:themeColor="accent6" w:themeShade="BF"/>
            </w:tcBorders>
            <w:shd w:val="clear" w:color="auto" w:fill="A8D08D" w:themeFill="accent6" w:themeFillTint="99"/>
          </w:tcPr>
          <w:p w:rsidR="00035A72" w:rsidRPr="003B693A" w:rsidRDefault="00035A72" w:rsidP="002A6708">
            <w:pPr>
              <w:ind w:right="-1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4"/>
                <w:szCs w:val="24"/>
                <w:lang w:eastAsia="ru-RU"/>
              </w:rPr>
            </w:pPr>
            <w:r w:rsidRPr="003B693A">
              <w:rPr>
                <w:rFonts w:ascii="Times New Roman" w:eastAsia="Times New Roman" w:hAnsi="Times New Roman" w:cs="Times New Roman"/>
                <w:i/>
                <w:sz w:val="24"/>
                <w:szCs w:val="24"/>
                <w:lang w:eastAsia="ru-RU"/>
              </w:rPr>
              <w:t>2017</w:t>
            </w:r>
          </w:p>
        </w:tc>
        <w:tc>
          <w:tcPr>
            <w:tcW w:w="1530" w:type="dxa"/>
            <w:tcBorders>
              <w:top w:val="single" w:sz="4" w:space="0" w:color="538135" w:themeColor="accent6" w:themeShade="BF"/>
              <w:left w:val="thinThickThinSmallGap" w:sz="24" w:space="0" w:color="538135" w:themeColor="accent6" w:themeShade="BF"/>
              <w:bottom w:val="single" w:sz="4" w:space="0" w:color="538135" w:themeColor="accent6" w:themeShade="BF"/>
              <w:right w:val="single" w:sz="4" w:space="0" w:color="538135" w:themeColor="accent6" w:themeShade="BF"/>
            </w:tcBorders>
            <w:shd w:val="clear" w:color="auto" w:fill="A8D08D" w:themeFill="accent6" w:themeFillTint="99"/>
          </w:tcPr>
          <w:p w:rsidR="00035A72" w:rsidRPr="003B693A" w:rsidRDefault="00035A72" w:rsidP="00035A72">
            <w:pPr>
              <w:ind w:right="-127"/>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2017/</w:t>
            </w:r>
            <w:r w:rsidRPr="003B693A">
              <w:rPr>
                <w:rFonts w:ascii="Times New Roman" w:eastAsia="Times New Roman" w:hAnsi="Times New Roman" w:cs="Times New Roman"/>
                <w:i/>
                <w:sz w:val="24"/>
                <w:szCs w:val="24"/>
                <w:lang w:eastAsia="ru-RU"/>
              </w:rPr>
              <w:t>201</w:t>
            </w:r>
            <w:r>
              <w:rPr>
                <w:rFonts w:ascii="Times New Roman" w:eastAsia="Times New Roman" w:hAnsi="Times New Roman" w:cs="Times New Roman"/>
                <w:i/>
                <w:sz w:val="24"/>
                <w:szCs w:val="24"/>
                <w:lang w:eastAsia="ru-RU"/>
              </w:rPr>
              <w:t>6</w:t>
            </w:r>
          </w:p>
        </w:tc>
        <w:tc>
          <w:tcPr>
            <w:tcW w:w="1559" w:type="dxa"/>
            <w:tcBorders>
              <w:top w:val="single" w:sz="4" w:space="0" w:color="538135" w:themeColor="accent6" w:themeShade="BF"/>
              <w:left w:val="single" w:sz="4" w:space="0" w:color="538135" w:themeColor="accent6" w:themeShade="BF"/>
              <w:bottom w:val="single" w:sz="4" w:space="0" w:color="538135" w:themeColor="accent6" w:themeShade="BF"/>
              <w:right w:val="double" w:sz="4" w:space="0" w:color="538135" w:themeColor="accent6" w:themeShade="BF"/>
            </w:tcBorders>
            <w:shd w:val="clear" w:color="auto" w:fill="A8D08D" w:themeFill="accent6" w:themeFillTint="99"/>
          </w:tcPr>
          <w:p w:rsidR="00035A72" w:rsidRPr="003B693A" w:rsidRDefault="00035A72" w:rsidP="002A6708">
            <w:pPr>
              <w:ind w:right="-127"/>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2017/</w:t>
            </w:r>
            <w:r w:rsidRPr="003B693A">
              <w:rPr>
                <w:rFonts w:ascii="Times New Roman" w:eastAsia="Times New Roman" w:hAnsi="Times New Roman" w:cs="Times New Roman"/>
                <w:i/>
                <w:sz w:val="24"/>
                <w:szCs w:val="24"/>
                <w:lang w:eastAsia="ru-RU"/>
              </w:rPr>
              <w:t>2</w:t>
            </w:r>
            <w:r>
              <w:rPr>
                <w:rFonts w:ascii="Times New Roman" w:eastAsia="Times New Roman" w:hAnsi="Times New Roman" w:cs="Times New Roman"/>
                <w:i/>
                <w:sz w:val="24"/>
                <w:szCs w:val="24"/>
                <w:lang w:eastAsia="ru-RU"/>
              </w:rPr>
              <w:t>015</w:t>
            </w:r>
          </w:p>
        </w:tc>
      </w:tr>
      <w:tr w:rsidR="00A23A80" w:rsidRPr="003B693A" w:rsidTr="00291A08">
        <w:trPr>
          <w:jc w:val="center"/>
        </w:trPr>
        <w:tc>
          <w:tcPr>
            <w:cnfStyle w:val="001000000000" w:firstRow="0" w:lastRow="0" w:firstColumn="1" w:lastColumn="0" w:oddVBand="0" w:evenVBand="0" w:oddHBand="0" w:evenHBand="0" w:firstRowFirstColumn="0" w:firstRowLastColumn="0" w:lastRowFirstColumn="0" w:lastRowLastColumn="0"/>
            <w:tcW w:w="2537" w:type="dxa"/>
            <w:tcBorders>
              <w:top w:val="single" w:sz="4" w:space="0" w:color="538135" w:themeColor="accent6" w:themeShade="BF"/>
              <w:left w:val="double" w:sz="4" w:space="0" w:color="538135" w:themeColor="accent6" w:themeShade="BF"/>
              <w:bottom w:val="single" w:sz="4" w:space="0" w:color="538135" w:themeColor="accent6" w:themeShade="BF"/>
              <w:right w:val="thinThickThinSmallGap" w:sz="24" w:space="0" w:color="538135" w:themeColor="accent6" w:themeShade="BF"/>
            </w:tcBorders>
            <w:shd w:val="clear" w:color="auto" w:fill="FFFFFF" w:themeFill="background1"/>
          </w:tcPr>
          <w:p w:rsidR="00A23A80" w:rsidRPr="00694A8A" w:rsidRDefault="00A23A80" w:rsidP="00A23A80">
            <w:pPr>
              <w:jc w:val="center"/>
              <w:rPr>
                <w:rFonts w:ascii="Times New Roman" w:eastAsia="Times New Roman" w:hAnsi="Times New Roman" w:cs="Times New Roman"/>
                <w:i/>
                <w:sz w:val="20"/>
                <w:szCs w:val="24"/>
                <w:lang w:eastAsia="ru-RU"/>
              </w:rPr>
            </w:pPr>
            <w:r w:rsidRPr="00694A8A">
              <w:rPr>
                <w:rFonts w:ascii="Times New Roman" w:eastAsia="Times New Roman" w:hAnsi="Times New Roman" w:cs="Times New Roman"/>
                <w:i/>
                <w:sz w:val="20"/>
                <w:szCs w:val="24"/>
                <w:lang w:eastAsia="ru-RU"/>
              </w:rPr>
              <w:t>1</w:t>
            </w:r>
          </w:p>
        </w:tc>
        <w:tc>
          <w:tcPr>
            <w:tcW w:w="1332" w:type="dxa"/>
            <w:tcBorders>
              <w:top w:val="single" w:sz="4" w:space="0" w:color="538135" w:themeColor="accent6" w:themeShade="BF"/>
              <w:left w:val="thinThickThinSmallGap" w:sz="24" w:space="0" w:color="538135" w:themeColor="accent6" w:themeShade="BF"/>
              <w:bottom w:val="single" w:sz="4" w:space="0" w:color="538135" w:themeColor="accent6" w:themeShade="BF"/>
              <w:right w:val="single" w:sz="4" w:space="0" w:color="538135" w:themeColor="accent6" w:themeShade="BF"/>
            </w:tcBorders>
            <w:shd w:val="clear" w:color="auto" w:fill="FFFFFF" w:themeFill="background1"/>
          </w:tcPr>
          <w:p w:rsidR="00A23A80" w:rsidRPr="00694A8A" w:rsidRDefault="00A23A80" w:rsidP="00A23A80">
            <w:pPr>
              <w:ind w:right="-127"/>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i/>
                <w:sz w:val="20"/>
                <w:szCs w:val="24"/>
                <w:lang w:eastAsia="ru-RU"/>
              </w:rPr>
            </w:pPr>
            <w:r w:rsidRPr="00694A8A">
              <w:rPr>
                <w:rFonts w:ascii="Times New Roman" w:eastAsia="Times New Roman" w:hAnsi="Times New Roman" w:cs="Times New Roman"/>
                <w:b/>
                <w:i/>
                <w:sz w:val="20"/>
                <w:szCs w:val="24"/>
                <w:lang w:eastAsia="ru-RU"/>
              </w:rPr>
              <w:t>2</w:t>
            </w:r>
          </w:p>
        </w:tc>
        <w:tc>
          <w:tcPr>
            <w:tcW w:w="1333"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shd w:val="clear" w:color="auto" w:fill="FFFFFF" w:themeFill="background1"/>
          </w:tcPr>
          <w:p w:rsidR="00A23A80" w:rsidRPr="00694A8A" w:rsidRDefault="00A23A80" w:rsidP="00A23A80">
            <w:pPr>
              <w:ind w:right="-127"/>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i/>
                <w:sz w:val="20"/>
                <w:szCs w:val="24"/>
                <w:lang w:eastAsia="ru-RU"/>
              </w:rPr>
            </w:pPr>
            <w:r w:rsidRPr="00694A8A">
              <w:rPr>
                <w:rFonts w:ascii="Times New Roman" w:eastAsia="Times New Roman" w:hAnsi="Times New Roman" w:cs="Times New Roman"/>
                <w:b/>
                <w:i/>
                <w:sz w:val="20"/>
                <w:szCs w:val="24"/>
                <w:lang w:eastAsia="ru-RU"/>
              </w:rPr>
              <w:t>3</w:t>
            </w:r>
          </w:p>
        </w:tc>
        <w:tc>
          <w:tcPr>
            <w:tcW w:w="1333" w:type="dxa"/>
            <w:tcBorders>
              <w:top w:val="single" w:sz="4" w:space="0" w:color="538135" w:themeColor="accent6" w:themeShade="BF"/>
              <w:left w:val="single" w:sz="4" w:space="0" w:color="538135" w:themeColor="accent6" w:themeShade="BF"/>
              <w:bottom w:val="single" w:sz="4" w:space="0" w:color="538135" w:themeColor="accent6" w:themeShade="BF"/>
              <w:right w:val="thinThickThinSmallGap" w:sz="24" w:space="0" w:color="538135" w:themeColor="accent6" w:themeShade="BF"/>
            </w:tcBorders>
            <w:shd w:val="clear" w:color="auto" w:fill="FFFFFF" w:themeFill="background1"/>
          </w:tcPr>
          <w:p w:rsidR="00A23A80" w:rsidRPr="00694A8A" w:rsidRDefault="00A23A80" w:rsidP="00A23A80">
            <w:pPr>
              <w:ind w:right="-1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i/>
                <w:sz w:val="20"/>
                <w:szCs w:val="24"/>
                <w:lang w:eastAsia="ru-RU"/>
              </w:rPr>
            </w:pPr>
            <w:r w:rsidRPr="00694A8A">
              <w:rPr>
                <w:rFonts w:ascii="Times New Roman" w:eastAsia="Times New Roman" w:hAnsi="Times New Roman" w:cs="Times New Roman"/>
                <w:b/>
                <w:i/>
                <w:sz w:val="20"/>
                <w:szCs w:val="24"/>
                <w:lang w:eastAsia="ru-RU"/>
              </w:rPr>
              <w:t>4</w:t>
            </w:r>
          </w:p>
        </w:tc>
        <w:tc>
          <w:tcPr>
            <w:tcW w:w="1530" w:type="dxa"/>
            <w:tcBorders>
              <w:top w:val="single" w:sz="4" w:space="0" w:color="538135" w:themeColor="accent6" w:themeShade="BF"/>
              <w:left w:val="thinThickThinSmallGap" w:sz="24" w:space="0" w:color="538135" w:themeColor="accent6" w:themeShade="BF"/>
              <w:bottom w:val="single" w:sz="4" w:space="0" w:color="538135" w:themeColor="accent6" w:themeShade="BF"/>
              <w:right w:val="single" w:sz="4" w:space="0" w:color="538135" w:themeColor="accent6" w:themeShade="BF"/>
            </w:tcBorders>
            <w:shd w:val="clear" w:color="auto" w:fill="FFFFFF" w:themeFill="background1"/>
          </w:tcPr>
          <w:p w:rsidR="00A23A80" w:rsidRPr="00694A8A" w:rsidRDefault="00A23A80" w:rsidP="00A23A80">
            <w:pPr>
              <w:ind w:right="-127"/>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i/>
                <w:sz w:val="20"/>
                <w:szCs w:val="24"/>
                <w:lang w:eastAsia="ru-RU"/>
              </w:rPr>
            </w:pPr>
            <w:r w:rsidRPr="00694A8A">
              <w:rPr>
                <w:rFonts w:ascii="Times New Roman" w:eastAsia="Times New Roman" w:hAnsi="Times New Roman" w:cs="Times New Roman"/>
                <w:b/>
                <w:i/>
                <w:sz w:val="20"/>
                <w:szCs w:val="24"/>
                <w:lang w:eastAsia="ru-RU"/>
              </w:rPr>
              <w:t>5=4-3</w:t>
            </w:r>
          </w:p>
        </w:tc>
        <w:tc>
          <w:tcPr>
            <w:tcW w:w="1559" w:type="dxa"/>
            <w:tcBorders>
              <w:top w:val="single" w:sz="4" w:space="0" w:color="538135" w:themeColor="accent6" w:themeShade="BF"/>
              <w:left w:val="single" w:sz="4" w:space="0" w:color="538135" w:themeColor="accent6" w:themeShade="BF"/>
              <w:bottom w:val="single" w:sz="4" w:space="0" w:color="538135" w:themeColor="accent6" w:themeShade="BF"/>
              <w:right w:val="double" w:sz="4" w:space="0" w:color="538135" w:themeColor="accent6" w:themeShade="BF"/>
            </w:tcBorders>
            <w:shd w:val="clear" w:color="auto" w:fill="FFFFFF" w:themeFill="background1"/>
          </w:tcPr>
          <w:p w:rsidR="00A23A80" w:rsidRPr="00694A8A" w:rsidRDefault="00A23A80" w:rsidP="00A23A80">
            <w:pPr>
              <w:ind w:right="-127"/>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i/>
                <w:sz w:val="20"/>
                <w:szCs w:val="24"/>
                <w:lang w:eastAsia="ru-RU"/>
              </w:rPr>
            </w:pPr>
            <w:r w:rsidRPr="00694A8A">
              <w:rPr>
                <w:rFonts w:ascii="Times New Roman" w:eastAsia="Times New Roman" w:hAnsi="Times New Roman" w:cs="Times New Roman"/>
                <w:b/>
                <w:i/>
                <w:sz w:val="20"/>
                <w:szCs w:val="24"/>
                <w:lang w:eastAsia="ru-RU"/>
              </w:rPr>
              <w:t>6=4-2</w:t>
            </w:r>
          </w:p>
        </w:tc>
      </w:tr>
      <w:tr w:rsidR="00035A72" w:rsidRPr="003B693A" w:rsidTr="00B81F8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37" w:type="dxa"/>
            <w:tcBorders>
              <w:top w:val="single" w:sz="4" w:space="0" w:color="538135" w:themeColor="accent6" w:themeShade="BF"/>
              <w:left w:val="double" w:sz="4" w:space="0" w:color="538135" w:themeColor="accent6" w:themeShade="BF"/>
              <w:bottom w:val="single" w:sz="4" w:space="0" w:color="538135" w:themeColor="accent6" w:themeShade="BF"/>
              <w:right w:val="thinThickThinSmallGap" w:sz="24" w:space="0" w:color="538135" w:themeColor="accent6" w:themeShade="BF"/>
            </w:tcBorders>
          </w:tcPr>
          <w:p w:rsidR="00035A72" w:rsidRPr="003B693A" w:rsidRDefault="00035A72" w:rsidP="00D61F6D">
            <w:pPr>
              <w:ind w:left="-125" w:right="-37"/>
              <w:jc w:val="center"/>
              <w:rPr>
                <w:rFonts w:ascii="Times New Roman" w:eastAsia="Times New Roman" w:hAnsi="Times New Roman" w:cs="Times New Roman"/>
                <w:sz w:val="24"/>
                <w:szCs w:val="24"/>
                <w:lang w:eastAsia="ru-RU"/>
              </w:rPr>
            </w:pPr>
            <w:r w:rsidRPr="003B693A">
              <w:rPr>
                <w:rFonts w:ascii="Times New Roman" w:eastAsia="Times New Roman" w:hAnsi="Times New Roman" w:cs="Times New Roman"/>
                <w:sz w:val="24"/>
                <w:szCs w:val="24"/>
                <w:lang w:eastAsia="ru-RU"/>
              </w:rPr>
              <w:t>Deficit</w:t>
            </w:r>
            <w:r w:rsidR="00D61F6D">
              <w:rPr>
                <w:rFonts w:ascii="Times New Roman" w:eastAsia="Times New Roman" w:hAnsi="Times New Roman" w:cs="Times New Roman"/>
                <w:sz w:val="24"/>
                <w:szCs w:val="24"/>
                <w:lang w:eastAsia="ru-RU"/>
              </w:rPr>
              <w:t>ul</w:t>
            </w:r>
          </w:p>
        </w:tc>
        <w:tc>
          <w:tcPr>
            <w:tcW w:w="1332" w:type="dxa"/>
            <w:tcBorders>
              <w:top w:val="single" w:sz="4" w:space="0" w:color="538135" w:themeColor="accent6" w:themeShade="BF"/>
              <w:left w:val="thinThickThinSmallGap" w:sz="24" w:space="0" w:color="538135" w:themeColor="accent6" w:themeShade="BF"/>
              <w:bottom w:val="single" w:sz="4" w:space="0" w:color="538135" w:themeColor="accent6" w:themeShade="BF"/>
              <w:right w:val="single" w:sz="4" w:space="0" w:color="538135" w:themeColor="accent6" w:themeShade="BF"/>
            </w:tcBorders>
            <w:vAlign w:val="center"/>
          </w:tcPr>
          <w:p w:rsidR="00035A72" w:rsidRPr="003B693A" w:rsidRDefault="00035A72" w:rsidP="002A6708">
            <w:pPr>
              <w:ind w:right="-127"/>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eastAsia="ru-RU"/>
              </w:rPr>
            </w:pPr>
            <w:r w:rsidRPr="003B693A">
              <w:rPr>
                <w:rFonts w:ascii="Times New Roman" w:eastAsia="Times New Roman" w:hAnsi="Times New Roman" w:cs="Times New Roman"/>
                <w:b/>
                <w:sz w:val="24"/>
                <w:szCs w:val="24"/>
                <w:lang w:eastAsia="ru-RU"/>
              </w:rPr>
              <w:t>-2065,2</w:t>
            </w:r>
          </w:p>
        </w:tc>
        <w:tc>
          <w:tcPr>
            <w:tcW w:w="1333"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vAlign w:val="center"/>
          </w:tcPr>
          <w:p w:rsidR="00035A72" w:rsidRPr="003B693A" w:rsidRDefault="00035A72" w:rsidP="002A6708">
            <w:pPr>
              <w:ind w:right="-6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eastAsia="ru-RU"/>
              </w:rPr>
            </w:pPr>
            <w:r w:rsidRPr="003B693A">
              <w:rPr>
                <w:rFonts w:ascii="Times New Roman" w:eastAsia="Times New Roman" w:hAnsi="Times New Roman" w:cs="Times New Roman"/>
                <w:b/>
                <w:sz w:val="24"/>
                <w:szCs w:val="24"/>
                <w:lang w:eastAsia="ru-RU"/>
              </w:rPr>
              <w:t>-3433,7</w:t>
            </w:r>
          </w:p>
        </w:tc>
        <w:tc>
          <w:tcPr>
            <w:tcW w:w="1333" w:type="dxa"/>
            <w:tcBorders>
              <w:top w:val="single" w:sz="4" w:space="0" w:color="538135" w:themeColor="accent6" w:themeShade="BF"/>
              <w:left w:val="single" w:sz="4" w:space="0" w:color="538135" w:themeColor="accent6" w:themeShade="BF"/>
              <w:bottom w:val="single" w:sz="4" w:space="0" w:color="538135" w:themeColor="accent6" w:themeShade="BF"/>
              <w:right w:val="thinThickThinSmallGap" w:sz="24" w:space="0" w:color="538135" w:themeColor="accent6" w:themeShade="BF"/>
            </w:tcBorders>
            <w:vAlign w:val="center"/>
          </w:tcPr>
          <w:p w:rsidR="00035A72" w:rsidRPr="003B693A" w:rsidRDefault="00035A72" w:rsidP="002A6708">
            <w:pPr>
              <w:ind w:right="-1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eastAsia="ru-RU"/>
              </w:rPr>
            </w:pPr>
            <w:r w:rsidRPr="003B693A">
              <w:rPr>
                <w:rFonts w:ascii="Times New Roman" w:eastAsia="Times New Roman" w:hAnsi="Times New Roman" w:cs="Times New Roman"/>
                <w:b/>
                <w:sz w:val="24"/>
                <w:szCs w:val="24"/>
                <w:lang w:eastAsia="ru-RU"/>
              </w:rPr>
              <w:t>-1531,7</w:t>
            </w:r>
          </w:p>
        </w:tc>
        <w:tc>
          <w:tcPr>
            <w:tcW w:w="1530" w:type="dxa"/>
            <w:tcBorders>
              <w:top w:val="single" w:sz="4" w:space="0" w:color="538135" w:themeColor="accent6" w:themeShade="BF"/>
              <w:left w:val="thinThickThinSmallGap" w:sz="24" w:space="0" w:color="538135" w:themeColor="accent6" w:themeShade="BF"/>
              <w:bottom w:val="single" w:sz="4" w:space="0" w:color="538135" w:themeColor="accent6" w:themeShade="BF"/>
              <w:right w:val="single" w:sz="4" w:space="0" w:color="538135" w:themeColor="accent6" w:themeShade="BF"/>
            </w:tcBorders>
            <w:vAlign w:val="center"/>
          </w:tcPr>
          <w:p w:rsidR="00035A72" w:rsidRPr="003B693A" w:rsidRDefault="00D61F6D" w:rsidP="002A6708">
            <w:pPr>
              <w:ind w:right="-89"/>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r w:rsidR="00035A72">
              <w:rPr>
                <w:rFonts w:ascii="Times New Roman" w:eastAsia="Times New Roman" w:hAnsi="Times New Roman" w:cs="Times New Roman"/>
                <w:b/>
                <w:sz w:val="24"/>
                <w:szCs w:val="24"/>
                <w:lang w:eastAsia="ru-RU"/>
              </w:rPr>
              <w:t>1902,0</w:t>
            </w:r>
          </w:p>
        </w:tc>
        <w:tc>
          <w:tcPr>
            <w:tcW w:w="1559" w:type="dxa"/>
            <w:tcBorders>
              <w:top w:val="single" w:sz="4" w:space="0" w:color="538135" w:themeColor="accent6" w:themeShade="BF"/>
              <w:left w:val="single" w:sz="4" w:space="0" w:color="538135" w:themeColor="accent6" w:themeShade="BF"/>
              <w:bottom w:val="single" w:sz="4" w:space="0" w:color="538135" w:themeColor="accent6" w:themeShade="BF"/>
              <w:right w:val="double" w:sz="4" w:space="0" w:color="538135" w:themeColor="accent6" w:themeShade="BF"/>
            </w:tcBorders>
            <w:vAlign w:val="center"/>
          </w:tcPr>
          <w:p w:rsidR="00035A72" w:rsidRPr="003B693A" w:rsidRDefault="00D61F6D" w:rsidP="002A6708">
            <w:pPr>
              <w:ind w:right="-37"/>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r w:rsidR="00035A72">
              <w:rPr>
                <w:rFonts w:ascii="Times New Roman" w:eastAsia="Times New Roman" w:hAnsi="Times New Roman" w:cs="Times New Roman"/>
                <w:b/>
                <w:sz w:val="24"/>
                <w:szCs w:val="24"/>
                <w:lang w:eastAsia="ru-RU"/>
              </w:rPr>
              <w:t>533,5</w:t>
            </w:r>
          </w:p>
        </w:tc>
      </w:tr>
      <w:tr w:rsidR="00035A72" w:rsidRPr="003B693A" w:rsidTr="00B81F81">
        <w:trPr>
          <w:jc w:val="center"/>
        </w:trPr>
        <w:tc>
          <w:tcPr>
            <w:cnfStyle w:val="001000000000" w:firstRow="0" w:lastRow="0" w:firstColumn="1" w:lastColumn="0" w:oddVBand="0" w:evenVBand="0" w:oddHBand="0" w:evenHBand="0" w:firstRowFirstColumn="0" w:firstRowLastColumn="0" w:lastRowFirstColumn="0" w:lastRowLastColumn="0"/>
            <w:tcW w:w="2537" w:type="dxa"/>
            <w:tcBorders>
              <w:top w:val="single" w:sz="4" w:space="0" w:color="538135" w:themeColor="accent6" w:themeShade="BF"/>
              <w:left w:val="double" w:sz="4" w:space="0" w:color="538135" w:themeColor="accent6" w:themeShade="BF"/>
              <w:bottom w:val="double" w:sz="4" w:space="0" w:color="538135" w:themeColor="accent6" w:themeShade="BF"/>
              <w:right w:val="thinThickThinSmallGap" w:sz="24" w:space="0" w:color="538135" w:themeColor="accent6" w:themeShade="BF"/>
            </w:tcBorders>
          </w:tcPr>
          <w:p w:rsidR="00035A72" w:rsidRPr="003B693A" w:rsidRDefault="00035A72" w:rsidP="00035A72">
            <w:pPr>
              <w:ind w:left="-125" w:right="-3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Ponderea în PIB</w:t>
            </w:r>
            <w:r w:rsidR="006D61B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w:t>
            </w:r>
          </w:p>
        </w:tc>
        <w:tc>
          <w:tcPr>
            <w:tcW w:w="1332" w:type="dxa"/>
            <w:tcBorders>
              <w:top w:val="single" w:sz="4" w:space="0" w:color="538135" w:themeColor="accent6" w:themeShade="BF"/>
              <w:left w:val="thinThickThinSmallGap" w:sz="24" w:space="0" w:color="538135" w:themeColor="accent6" w:themeShade="BF"/>
              <w:bottom w:val="double" w:sz="4" w:space="0" w:color="538135" w:themeColor="accent6" w:themeShade="BF"/>
              <w:right w:val="single" w:sz="4" w:space="0" w:color="538135" w:themeColor="accent6" w:themeShade="BF"/>
            </w:tcBorders>
            <w:vAlign w:val="center"/>
          </w:tcPr>
          <w:p w:rsidR="00035A72" w:rsidRPr="003B693A" w:rsidRDefault="00035A72" w:rsidP="00035A72">
            <w:pPr>
              <w:ind w:right="-89"/>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lang w:eastAsia="ru-RU"/>
              </w:rPr>
            </w:pPr>
            <w:r w:rsidRPr="003B693A">
              <w:rPr>
                <w:rFonts w:ascii="Times New Roman" w:eastAsia="Times New Roman" w:hAnsi="Times New Roman" w:cs="Times New Roman"/>
                <w:b/>
                <w:sz w:val="24"/>
                <w:szCs w:val="24"/>
                <w:lang w:eastAsia="ru-RU"/>
              </w:rPr>
              <w:t>-1,7</w:t>
            </w:r>
          </w:p>
        </w:tc>
        <w:tc>
          <w:tcPr>
            <w:tcW w:w="1333" w:type="dxa"/>
            <w:tcBorders>
              <w:top w:val="single" w:sz="4" w:space="0" w:color="538135" w:themeColor="accent6" w:themeShade="BF"/>
              <w:left w:val="single" w:sz="4" w:space="0" w:color="538135" w:themeColor="accent6" w:themeShade="BF"/>
              <w:bottom w:val="double" w:sz="4" w:space="0" w:color="538135" w:themeColor="accent6" w:themeShade="BF"/>
              <w:right w:val="single" w:sz="4" w:space="0" w:color="538135" w:themeColor="accent6" w:themeShade="BF"/>
            </w:tcBorders>
            <w:vAlign w:val="center"/>
          </w:tcPr>
          <w:p w:rsidR="00035A72" w:rsidRPr="003B693A" w:rsidRDefault="00035A72" w:rsidP="00035A72">
            <w:pPr>
              <w:ind w:right="-37"/>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lang w:eastAsia="ru-RU"/>
              </w:rPr>
            </w:pPr>
            <w:r w:rsidRPr="003B693A">
              <w:rPr>
                <w:rFonts w:ascii="Times New Roman" w:eastAsia="Times New Roman" w:hAnsi="Times New Roman" w:cs="Times New Roman"/>
                <w:b/>
                <w:sz w:val="24"/>
                <w:szCs w:val="24"/>
                <w:lang w:eastAsia="ru-RU"/>
              </w:rPr>
              <w:t>-2,5</w:t>
            </w:r>
          </w:p>
        </w:tc>
        <w:tc>
          <w:tcPr>
            <w:tcW w:w="1333" w:type="dxa"/>
            <w:tcBorders>
              <w:top w:val="single" w:sz="4" w:space="0" w:color="538135" w:themeColor="accent6" w:themeShade="BF"/>
              <w:left w:val="single" w:sz="4" w:space="0" w:color="538135" w:themeColor="accent6" w:themeShade="BF"/>
              <w:bottom w:val="double" w:sz="4" w:space="0" w:color="538135" w:themeColor="accent6" w:themeShade="BF"/>
              <w:right w:val="thinThickThinSmallGap" w:sz="24" w:space="0" w:color="538135" w:themeColor="accent6" w:themeShade="BF"/>
            </w:tcBorders>
            <w:vAlign w:val="center"/>
          </w:tcPr>
          <w:p w:rsidR="00035A72" w:rsidRPr="003B693A" w:rsidRDefault="00035A72" w:rsidP="00035A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lang w:eastAsia="ru-RU"/>
              </w:rPr>
            </w:pPr>
            <w:r w:rsidRPr="006962DE">
              <w:rPr>
                <w:rFonts w:ascii="Times New Roman" w:eastAsia="Times New Roman" w:hAnsi="Times New Roman" w:cs="Times New Roman"/>
                <w:b/>
                <w:sz w:val="24"/>
                <w:szCs w:val="24"/>
                <w:lang w:eastAsia="ru-RU"/>
              </w:rPr>
              <w:t>-</w:t>
            </w:r>
            <w:r w:rsidRPr="003B693A">
              <w:rPr>
                <w:rFonts w:ascii="Times New Roman" w:eastAsia="Times New Roman" w:hAnsi="Times New Roman" w:cs="Times New Roman"/>
                <w:b/>
                <w:sz w:val="24"/>
                <w:szCs w:val="24"/>
                <w:lang w:eastAsia="ru-RU"/>
              </w:rPr>
              <w:t>1,0</w:t>
            </w:r>
          </w:p>
        </w:tc>
        <w:tc>
          <w:tcPr>
            <w:tcW w:w="1530" w:type="dxa"/>
            <w:tcBorders>
              <w:top w:val="single" w:sz="4" w:space="0" w:color="538135" w:themeColor="accent6" w:themeShade="BF"/>
              <w:left w:val="thinThickThinSmallGap" w:sz="24" w:space="0" w:color="538135" w:themeColor="accent6" w:themeShade="BF"/>
              <w:bottom w:val="double" w:sz="4" w:space="0" w:color="538135" w:themeColor="accent6" w:themeShade="BF"/>
              <w:right w:val="single" w:sz="4" w:space="0" w:color="538135" w:themeColor="accent6" w:themeShade="BF"/>
            </w:tcBorders>
            <w:vAlign w:val="center"/>
          </w:tcPr>
          <w:p w:rsidR="00035A72" w:rsidRPr="003B693A" w:rsidRDefault="00035A72" w:rsidP="00AD7ACF">
            <w:pPr>
              <w:ind w:right="-89"/>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r w:rsidR="00AD7ACF">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w:t>
            </w:r>
            <w:r w:rsidR="00AD7ACF">
              <w:rPr>
                <w:rFonts w:ascii="Times New Roman" w:eastAsia="Times New Roman" w:hAnsi="Times New Roman" w:cs="Times New Roman"/>
                <w:b/>
                <w:sz w:val="24"/>
                <w:szCs w:val="24"/>
                <w:lang w:eastAsia="ru-RU"/>
              </w:rPr>
              <w:t>5</w:t>
            </w:r>
          </w:p>
        </w:tc>
        <w:tc>
          <w:tcPr>
            <w:tcW w:w="1559" w:type="dxa"/>
            <w:tcBorders>
              <w:top w:val="single" w:sz="4" w:space="0" w:color="538135" w:themeColor="accent6" w:themeShade="BF"/>
              <w:left w:val="single" w:sz="4" w:space="0" w:color="538135" w:themeColor="accent6" w:themeShade="BF"/>
              <w:bottom w:val="double" w:sz="4" w:space="0" w:color="538135" w:themeColor="accent6" w:themeShade="BF"/>
              <w:right w:val="double" w:sz="4" w:space="0" w:color="538135" w:themeColor="accent6" w:themeShade="BF"/>
            </w:tcBorders>
            <w:vAlign w:val="center"/>
          </w:tcPr>
          <w:p w:rsidR="00035A72" w:rsidRPr="003B693A" w:rsidRDefault="007A4CBC" w:rsidP="00AD7ACF">
            <w:pPr>
              <w:ind w:right="-37"/>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r w:rsidR="00AD7ACF">
              <w:rPr>
                <w:rFonts w:ascii="Times New Roman" w:eastAsia="Times New Roman" w:hAnsi="Times New Roman" w:cs="Times New Roman"/>
                <w:b/>
                <w:sz w:val="24"/>
                <w:szCs w:val="24"/>
                <w:lang w:eastAsia="ru-RU"/>
              </w:rPr>
              <w:t>0</w:t>
            </w:r>
            <w:r w:rsidR="00035A72">
              <w:rPr>
                <w:rFonts w:ascii="Times New Roman" w:eastAsia="Times New Roman" w:hAnsi="Times New Roman" w:cs="Times New Roman"/>
                <w:b/>
                <w:sz w:val="24"/>
                <w:szCs w:val="24"/>
                <w:lang w:eastAsia="ru-RU"/>
              </w:rPr>
              <w:t>,</w:t>
            </w:r>
            <w:r w:rsidR="00AD7ACF">
              <w:rPr>
                <w:rFonts w:ascii="Times New Roman" w:eastAsia="Times New Roman" w:hAnsi="Times New Roman" w:cs="Times New Roman"/>
                <w:b/>
                <w:sz w:val="24"/>
                <w:szCs w:val="24"/>
                <w:lang w:eastAsia="ru-RU"/>
              </w:rPr>
              <w:t>7</w:t>
            </w:r>
          </w:p>
        </w:tc>
      </w:tr>
    </w:tbl>
    <w:p w:rsidR="000F439E" w:rsidRPr="003B693A" w:rsidRDefault="000F439E" w:rsidP="006D61B1">
      <w:pPr>
        <w:spacing w:after="0" w:line="240" w:lineRule="auto"/>
        <w:jc w:val="both"/>
        <w:rPr>
          <w:rFonts w:ascii="Times New Roman" w:eastAsia="Times New Roman" w:hAnsi="Times New Roman" w:cs="Times New Roman"/>
          <w:b/>
          <w:i/>
          <w:sz w:val="20"/>
          <w:szCs w:val="24"/>
          <w:lang w:eastAsia="ru-RU"/>
        </w:rPr>
      </w:pPr>
      <w:r w:rsidRPr="003B693A">
        <w:rPr>
          <w:rFonts w:ascii="Times New Roman" w:eastAsia="Times New Roman" w:hAnsi="Times New Roman" w:cs="Times New Roman"/>
          <w:b/>
          <w:i/>
          <w:sz w:val="20"/>
          <w:szCs w:val="24"/>
          <w:lang w:eastAsia="ru-RU"/>
        </w:rPr>
        <w:t>*</w:t>
      </w:r>
      <w:r w:rsidRPr="003B693A">
        <w:rPr>
          <w:rFonts w:ascii="Times New Roman" w:eastAsia="Times New Roman" w:hAnsi="Times New Roman" w:cs="Times New Roman"/>
          <w:i/>
          <w:sz w:val="20"/>
          <w:szCs w:val="24"/>
          <w:lang w:eastAsia="ru-RU"/>
        </w:rPr>
        <w:t xml:space="preserve">Produsul intern brut luat în calcul pentru anul 2015 este de 122.563,0 mil.lei, pentru anul 2016 este </w:t>
      </w:r>
      <w:r w:rsidR="00123BC3">
        <w:rPr>
          <w:rFonts w:ascii="Times New Roman" w:eastAsia="Times New Roman" w:hAnsi="Times New Roman" w:cs="Times New Roman"/>
          <w:i/>
          <w:sz w:val="20"/>
          <w:szCs w:val="24"/>
          <w:lang w:eastAsia="ru-RU"/>
        </w:rPr>
        <w:t xml:space="preserve">de </w:t>
      </w:r>
      <w:r w:rsidRPr="003B693A">
        <w:rPr>
          <w:rFonts w:ascii="Times New Roman" w:eastAsia="Times New Roman" w:hAnsi="Times New Roman" w:cs="Times New Roman"/>
          <w:i/>
          <w:sz w:val="20"/>
          <w:szCs w:val="24"/>
          <w:lang w:eastAsia="ru-RU"/>
        </w:rPr>
        <w:t xml:space="preserve">135.397,0 mil.lei, iar pentru anul 2017, conform datelor preliminare ale BNS, este </w:t>
      </w:r>
      <w:r w:rsidR="00123BC3">
        <w:rPr>
          <w:rFonts w:ascii="Times New Roman" w:eastAsia="Times New Roman" w:hAnsi="Times New Roman" w:cs="Times New Roman"/>
          <w:i/>
          <w:sz w:val="20"/>
          <w:szCs w:val="24"/>
          <w:lang w:eastAsia="ru-RU"/>
        </w:rPr>
        <w:t xml:space="preserve">de </w:t>
      </w:r>
      <w:r w:rsidRPr="003B693A">
        <w:rPr>
          <w:rFonts w:ascii="Times New Roman" w:eastAsia="Times New Roman" w:hAnsi="Times New Roman" w:cs="Times New Roman"/>
          <w:i/>
          <w:sz w:val="20"/>
          <w:szCs w:val="24"/>
          <w:lang w:eastAsia="ru-RU"/>
        </w:rPr>
        <w:t>150.369,0 mil.lei.</w:t>
      </w:r>
    </w:p>
    <w:p w:rsidR="000F439E" w:rsidRPr="003B693A" w:rsidRDefault="000F439E" w:rsidP="006D61B1">
      <w:pPr>
        <w:spacing w:after="120" w:line="240" w:lineRule="auto"/>
        <w:jc w:val="both"/>
        <w:rPr>
          <w:rFonts w:ascii="Times New Roman" w:eastAsia="Times New Roman" w:hAnsi="Times New Roman" w:cs="Times New Roman"/>
          <w:i/>
          <w:sz w:val="20"/>
          <w:szCs w:val="24"/>
          <w:lang w:eastAsia="ru-RU"/>
        </w:rPr>
      </w:pPr>
      <w:r w:rsidRPr="003B693A">
        <w:rPr>
          <w:rFonts w:ascii="Times New Roman" w:eastAsia="Times New Roman" w:hAnsi="Times New Roman" w:cs="Times New Roman"/>
          <w:b/>
          <w:i/>
          <w:sz w:val="20"/>
          <w:szCs w:val="24"/>
          <w:lang w:eastAsia="ru-RU"/>
        </w:rPr>
        <w:t>Surs</w:t>
      </w:r>
      <w:r w:rsidR="00123BC3">
        <w:rPr>
          <w:rFonts w:ascii="Times New Roman" w:eastAsia="Times New Roman" w:hAnsi="Times New Roman" w:cs="Times New Roman"/>
          <w:b/>
          <w:i/>
          <w:sz w:val="20"/>
          <w:szCs w:val="24"/>
          <w:lang w:eastAsia="ru-RU"/>
        </w:rPr>
        <w:t>ă</w:t>
      </w:r>
      <w:r w:rsidRPr="003B693A">
        <w:rPr>
          <w:rFonts w:ascii="Times New Roman" w:eastAsia="Times New Roman" w:hAnsi="Times New Roman" w:cs="Times New Roman"/>
          <w:b/>
          <w:i/>
          <w:sz w:val="20"/>
          <w:szCs w:val="24"/>
          <w:lang w:eastAsia="ru-RU"/>
        </w:rPr>
        <w:t>:</w:t>
      </w:r>
      <w:r w:rsidRPr="003B693A">
        <w:rPr>
          <w:rFonts w:ascii="Times New Roman" w:eastAsia="Times New Roman" w:hAnsi="Times New Roman" w:cs="Times New Roman"/>
          <w:sz w:val="20"/>
          <w:szCs w:val="24"/>
          <w:lang w:eastAsia="ru-RU"/>
        </w:rPr>
        <w:t xml:space="preserve"> </w:t>
      </w:r>
      <w:r w:rsidR="006D61B1">
        <w:rPr>
          <w:rFonts w:ascii="Times New Roman" w:eastAsia="Times New Roman" w:hAnsi="Times New Roman" w:cs="Times New Roman"/>
          <w:i/>
          <w:sz w:val="20"/>
          <w:szCs w:val="24"/>
          <w:lang w:eastAsia="ru-RU"/>
        </w:rPr>
        <w:t>Date</w:t>
      </w:r>
      <w:r w:rsidR="004B17FC" w:rsidRPr="004B17FC">
        <w:rPr>
          <w:rFonts w:ascii="Times New Roman" w:eastAsia="Times New Roman" w:hAnsi="Times New Roman" w:cs="Times New Roman"/>
          <w:i/>
          <w:sz w:val="20"/>
          <w:szCs w:val="24"/>
          <w:lang w:eastAsia="ru-RU"/>
        </w:rPr>
        <w:t xml:space="preserve"> generalizate de echipa de audit din</w:t>
      </w:r>
      <w:r w:rsidR="004B17FC">
        <w:rPr>
          <w:rFonts w:ascii="Times New Roman" w:eastAsia="Times New Roman" w:hAnsi="Times New Roman" w:cs="Times New Roman"/>
          <w:sz w:val="20"/>
          <w:szCs w:val="24"/>
          <w:lang w:eastAsia="ru-RU"/>
        </w:rPr>
        <w:t xml:space="preserve"> </w:t>
      </w:r>
      <w:r w:rsidRPr="003B693A">
        <w:rPr>
          <w:rFonts w:ascii="Times New Roman" w:eastAsia="Times New Roman" w:hAnsi="Times New Roman" w:cs="Times New Roman"/>
          <w:i/>
          <w:sz w:val="20"/>
          <w:szCs w:val="24"/>
          <w:lang w:eastAsia="ru-RU"/>
        </w:rPr>
        <w:t xml:space="preserve">Rapoartele privind executarea </w:t>
      </w:r>
      <w:r w:rsidR="006D61B1">
        <w:rPr>
          <w:rFonts w:ascii="Times New Roman" w:eastAsia="Times New Roman" w:hAnsi="Times New Roman" w:cs="Times New Roman"/>
          <w:i/>
          <w:sz w:val="20"/>
          <w:szCs w:val="24"/>
          <w:lang w:eastAsia="ru-RU"/>
        </w:rPr>
        <w:t xml:space="preserve">bugetului de stat </w:t>
      </w:r>
      <w:r w:rsidRPr="003B693A">
        <w:rPr>
          <w:rFonts w:ascii="Times New Roman" w:eastAsia="Times New Roman" w:hAnsi="Times New Roman" w:cs="Times New Roman"/>
          <w:i/>
          <w:sz w:val="20"/>
          <w:szCs w:val="24"/>
          <w:lang w:eastAsia="ru-RU"/>
        </w:rPr>
        <w:t>pe anii 2015-2017</w:t>
      </w:r>
      <w:r w:rsidR="00123BC3">
        <w:rPr>
          <w:rFonts w:ascii="Times New Roman" w:eastAsia="Times New Roman" w:hAnsi="Times New Roman" w:cs="Times New Roman"/>
          <w:i/>
          <w:sz w:val="20"/>
          <w:szCs w:val="24"/>
          <w:lang w:eastAsia="ru-RU"/>
        </w:rPr>
        <w:t>.</w:t>
      </w:r>
    </w:p>
    <w:p w:rsidR="000F439E" w:rsidRDefault="000F439E" w:rsidP="006D61B1">
      <w:pPr>
        <w:spacing w:after="0" w:line="276" w:lineRule="auto"/>
        <w:ind w:firstLine="709"/>
        <w:jc w:val="both"/>
        <w:rPr>
          <w:rFonts w:ascii="Times New Roman" w:hAnsi="Times New Roman"/>
          <w:sz w:val="28"/>
          <w:szCs w:val="28"/>
        </w:rPr>
      </w:pPr>
      <w:r w:rsidRPr="004203D4">
        <w:rPr>
          <w:rFonts w:ascii="Times New Roman" w:hAnsi="Times New Roman"/>
          <w:sz w:val="28"/>
          <w:szCs w:val="28"/>
        </w:rPr>
        <w:t>As</w:t>
      </w:r>
      <w:r>
        <w:rPr>
          <w:rFonts w:ascii="Times New Roman" w:hAnsi="Times New Roman"/>
          <w:sz w:val="28"/>
          <w:szCs w:val="28"/>
        </w:rPr>
        <w:t>tfel, analizând rezultatul execuției bugetului de stat în anul 2017</w:t>
      </w:r>
      <w:r w:rsidR="006D61B1">
        <w:rPr>
          <w:rFonts w:ascii="Times New Roman" w:hAnsi="Times New Roman"/>
          <w:sz w:val="28"/>
          <w:szCs w:val="28"/>
        </w:rPr>
        <w:t>,</w:t>
      </w:r>
      <w:r>
        <w:rPr>
          <w:rFonts w:ascii="Times New Roman" w:hAnsi="Times New Roman"/>
          <w:sz w:val="28"/>
          <w:szCs w:val="28"/>
        </w:rPr>
        <w:t xml:space="preserve"> c</w:t>
      </w:r>
      <w:r w:rsidRPr="004203D4">
        <w:rPr>
          <w:rFonts w:ascii="Times New Roman" w:hAnsi="Times New Roman"/>
          <w:sz w:val="28"/>
          <w:szCs w:val="28"/>
        </w:rPr>
        <w:t>omparativ cu anul 2016</w:t>
      </w:r>
      <w:r w:rsidR="004B17FC">
        <w:rPr>
          <w:rFonts w:ascii="Times New Roman" w:hAnsi="Times New Roman"/>
          <w:sz w:val="28"/>
          <w:szCs w:val="28"/>
        </w:rPr>
        <w:t xml:space="preserve">, </w:t>
      </w:r>
      <w:r>
        <w:rPr>
          <w:rFonts w:ascii="Times New Roman" w:hAnsi="Times New Roman"/>
          <w:sz w:val="28"/>
          <w:szCs w:val="28"/>
        </w:rPr>
        <w:t>când deficitul b</w:t>
      </w:r>
      <w:r w:rsidR="004B17FC">
        <w:rPr>
          <w:rFonts w:ascii="Times New Roman" w:hAnsi="Times New Roman"/>
          <w:sz w:val="28"/>
          <w:szCs w:val="28"/>
        </w:rPr>
        <w:t>ugetar însuma 3433,7 mil.lei,</w:t>
      </w:r>
      <w:r>
        <w:rPr>
          <w:rFonts w:ascii="Times New Roman" w:hAnsi="Times New Roman"/>
          <w:sz w:val="28"/>
          <w:szCs w:val="28"/>
        </w:rPr>
        <w:t xml:space="preserve"> se constată o descreștere a deficitului bugetar</w:t>
      </w:r>
      <w:r w:rsidR="004B17FC">
        <w:rPr>
          <w:rFonts w:ascii="Times New Roman" w:hAnsi="Times New Roman"/>
          <w:sz w:val="28"/>
          <w:szCs w:val="28"/>
        </w:rPr>
        <w:t>, în valoare absolută cu 1902,0 mil.lei</w:t>
      </w:r>
      <w:r w:rsidR="00123BC3">
        <w:rPr>
          <w:rFonts w:ascii="Times New Roman" w:hAnsi="Times New Roman"/>
          <w:sz w:val="28"/>
          <w:szCs w:val="28"/>
        </w:rPr>
        <w:t>,</w:t>
      </w:r>
      <w:r w:rsidR="004B17FC">
        <w:rPr>
          <w:rFonts w:ascii="Times New Roman" w:hAnsi="Times New Roman"/>
          <w:sz w:val="28"/>
          <w:szCs w:val="28"/>
        </w:rPr>
        <w:t xml:space="preserve"> sau de 55,4%</w:t>
      </w:r>
      <w:r>
        <w:rPr>
          <w:rFonts w:ascii="Times New Roman" w:hAnsi="Times New Roman"/>
          <w:sz w:val="28"/>
          <w:szCs w:val="28"/>
        </w:rPr>
        <w:t xml:space="preserve">. De asemenea, </w:t>
      </w:r>
      <w:r>
        <w:rPr>
          <w:rFonts w:ascii="Times New Roman" w:hAnsi="Times New Roman"/>
          <w:sz w:val="28"/>
          <w:szCs w:val="28"/>
        </w:rPr>
        <w:lastRenderedPageBreak/>
        <w:t>comparativ cu anul 2015</w:t>
      </w:r>
      <w:r w:rsidR="004B17FC">
        <w:rPr>
          <w:rFonts w:ascii="Times New Roman" w:hAnsi="Times New Roman"/>
          <w:sz w:val="28"/>
          <w:szCs w:val="28"/>
        </w:rPr>
        <w:t>,</w:t>
      </w:r>
      <w:r>
        <w:rPr>
          <w:rFonts w:ascii="Times New Roman" w:hAnsi="Times New Roman"/>
          <w:sz w:val="28"/>
          <w:szCs w:val="28"/>
        </w:rPr>
        <w:t xml:space="preserve"> deficitul bugetului de stat pentru anul 2017 a înregist</w:t>
      </w:r>
      <w:r w:rsidR="002A6708">
        <w:rPr>
          <w:rFonts w:ascii="Times New Roman" w:hAnsi="Times New Roman"/>
          <w:sz w:val="28"/>
          <w:szCs w:val="28"/>
        </w:rPr>
        <w:t>rat o descreștere cu 533,5 mil.</w:t>
      </w:r>
      <w:r>
        <w:rPr>
          <w:rFonts w:ascii="Times New Roman" w:hAnsi="Times New Roman"/>
          <w:sz w:val="28"/>
          <w:szCs w:val="28"/>
        </w:rPr>
        <w:t>lei</w:t>
      </w:r>
      <w:r w:rsidR="005340C0">
        <w:rPr>
          <w:rFonts w:ascii="Times New Roman" w:hAnsi="Times New Roman"/>
          <w:sz w:val="28"/>
          <w:szCs w:val="28"/>
        </w:rPr>
        <w:t>,</w:t>
      </w:r>
      <w:r>
        <w:rPr>
          <w:rFonts w:ascii="Times New Roman" w:hAnsi="Times New Roman"/>
          <w:sz w:val="28"/>
          <w:szCs w:val="28"/>
        </w:rPr>
        <w:t xml:space="preserve"> sau de 25,8%. </w:t>
      </w:r>
    </w:p>
    <w:p w:rsidR="000F439E" w:rsidRPr="003B693A" w:rsidRDefault="000F439E" w:rsidP="006D61B1">
      <w:pPr>
        <w:spacing w:after="0" w:line="276" w:lineRule="auto"/>
        <w:ind w:firstLine="70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Ca pondere în PIB, deficitul realizat </w:t>
      </w:r>
      <w:r w:rsidR="004B17FC">
        <w:rPr>
          <w:rFonts w:ascii="Times New Roman" w:eastAsia="Times New Roman" w:hAnsi="Times New Roman" w:cs="Times New Roman"/>
          <w:sz w:val="28"/>
          <w:szCs w:val="24"/>
          <w:lang w:eastAsia="ru-RU"/>
        </w:rPr>
        <w:t xml:space="preserve">în anul 2017 </w:t>
      </w:r>
      <w:r>
        <w:rPr>
          <w:rFonts w:ascii="Times New Roman" w:eastAsia="Times New Roman" w:hAnsi="Times New Roman" w:cs="Times New Roman"/>
          <w:sz w:val="28"/>
          <w:szCs w:val="24"/>
          <w:lang w:eastAsia="ru-RU"/>
        </w:rPr>
        <w:t>a constituit 1,0%</w:t>
      </w:r>
      <w:r w:rsidR="005340C0">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 xml:space="preserve"> sau cu 1,9 p.p</w:t>
      </w:r>
      <w:r w:rsidR="005340C0">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 xml:space="preserve"> mai puțin decât indicatorul prognozat (</w:t>
      </w:r>
      <w:r w:rsidR="00841699">
        <w:rPr>
          <w:rFonts w:ascii="Times New Roman" w:eastAsia="Times New Roman" w:hAnsi="Times New Roman" w:cs="Times New Roman"/>
          <w:sz w:val="28"/>
          <w:szCs w:val="24"/>
          <w:lang w:eastAsia="ru-RU"/>
        </w:rPr>
        <w:t>2</w:t>
      </w:r>
      <w:r>
        <w:rPr>
          <w:rFonts w:ascii="Times New Roman" w:eastAsia="Times New Roman" w:hAnsi="Times New Roman" w:cs="Times New Roman"/>
          <w:sz w:val="28"/>
          <w:szCs w:val="24"/>
          <w:lang w:eastAsia="ru-RU"/>
        </w:rPr>
        <w:t>,</w:t>
      </w:r>
      <w:r w:rsidR="00841699">
        <w:rPr>
          <w:rFonts w:ascii="Times New Roman" w:eastAsia="Times New Roman" w:hAnsi="Times New Roman" w:cs="Times New Roman"/>
          <w:sz w:val="28"/>
          <w:szCs w:val="24"/>
          <w:lang w:eastAsia="ru-RU"/>
        </w:rPr>
        <w:t>9</w:t>
      </w:r>
      <w:r>
        <w:rPr>
          <w:rFonts w:ascii="Times New Roman" w:eastAsia="Times New Roman" w:hAnsi="Times New Roman" w:cs="Times New Roman"/>
          <w:sz w:val="28"/>
          <w:szCs w:val="24"/>
          <w:lang w:eastAsia="ru-RU"/>
        </w:rPr>
        <w:t>%).</w:t>
      </w:r>
      <w:r w:rsidR="00764D6E">
        <w:rPr>
          <w:rFonts w:ascii="Times New Roman" w:eastAsia="Times New Roman" w:hAnsi="Times New Roman" w:cs="Times New Roman"/>
          <w:sz w:val="28"/>
          <w:szCs w:val="24"/>
          <w:lang w:eastAsia="ru-RU"/>
        </w:rPr>
        <w:t xml:space="preserve"> </w:t>
      </w:r>
    </w:p>
    <w:p w:rsidR="000F439E" w:rsidRPr="002A6708" w:rsidRDefault="00203312" w:rsidP="006D61B1">
      <w:pPr>
        <w:spacing w:after="0" w:line="276" w:lineRule="auto"/>
        <w:ind w:firstLine="709"/>
        <w:jc w:val="both"/>
        <w:rPr>
          <w:rFonts w:ascii="Times New Roman" w:hAnsi="Times New Roman"/>
          <w:sz w:val="28"/>
          <w:szCs w:val="28"/>
        </w:rPr>
      </w:pPr>
      <w:r>
        <w:rPr>
          <w:rFonts w:ascii="Times New Roman" w:hAnsi="Times New Roman"/>
          <w:sz w:val="28"/>
          <w:szCs w:val="28"/>
        </w:rPr>
        <w:t>Examinările auditului, cât și contrapunerea</w:t>
      </w:r>
      <w:r w:rsidR="000F439E" w:rsidRPr="002A6708">
        <w:rPr>
          <w:rFonts w:ascii="Times New Roman" w:hAnsi="Times New Roman"/>
          <w:sz w:val="28"/>
          <w:szCs w:val="28"/>
        </w:rPr>
        <w:t xml:space="preserve"> datelor rap</w:t>
      </w:r>
      <w:r w:rsidR="004B17FC">
        <w:rPr>
          <w:rFonts w:ascii="Times New Roman" w:hAnsi="Times New Roman"/>
          <w:sz w:val="28"/>
          <w:szCs w:val="28"/>
        </w:rPr>
        <w:t>ortate de MF</w:t>
      </w:r>
      <w:r w:rsidR="000F439E" w:rsidRPr="002A6708">
        <w:rPr>
          <w:rFonts w:ascii="Times New Roman" w:hAnsi="Times New Roman"/>
          <w:sz w:val="28"/>
          <w:szCs w:val="28"/>
        </w:rPr>
        <w:t xml:space="preserve"> cu datele</w:t>
      </w:r>
      <w:r w:rsidR="00764D6E">
        <w:rPr>
          <w:rFonts w:ascii="Times New Roman" w:hAnsi="Times New Roman"/>
          <w:sz w:val="28"/>
          <w:szCs w:val="28"/>
        </w:rPr>
        <w:t xml:space="preserve"> </w:t>
      </w:r>
      <w:r w:rsidR="000F439E" w:rsidRPr="002A6708">
        <w:rPr>
          <w:rFonts w:ascii="Times New Roman" w:hAnsi="Times New Roman"/>
          <w:sz w:val="28"/>
          <w:szCs w:val="28"/>
        </w:rPr>
        <w:t>modificărilor operate pe parcursul anului de gestiune, a</w:t>
      </w:r>
      <w:r>
        <w:rPr>
          <w:rFonts w:ascii="Times New Roman" w:hAnsi="Times New Roman"/>
          <w:sz w:val="28"/>
          <w:szCs w:val="28"/>
        </w:rPr>
        <w:t>u</w:t>
      </w:r>
      <w:r w:rsidR="000F439E" w:rsidRPr="002A6708">
        <w:rPr>
          <w:rFonts w:ascii="Times New Roman" w:hAnsi="Times New Roman"/>
          <w:sz w:val="28"/>
          <w:szCs w:val="28"/>
        </w:rPr>
        <w:t xml:space="preserve"> </w:t>
      </w:r>
      <w:r w:rsidR="005340C0">
        <w:rPr>
          <w:rFonts w:ascii="Times New Roman" w:hAnsi="Times New Roman"/>
          <w:sz w:val="28"/>
          <w:szCs w:val="28"/>
        </w:rPr>
        <w:t>relevat</w:t>
      </w:r>
      <w:r w:rsidR="000F439E" w:rsidRPr="002A6708">
        <w:rPr>
          <w:rFonts w:ascii="Times New Roman" w:hAnsi="Times New Roman"/>
          <w:sz w:val="28"/>
          <w:szCs w:val="28"/>
        </w:rPr>
        <w:t xml:space="preserve"> că</w:t>
      </w:r>
      <w:r w:rsidR="005340C0">
        <w:rPr>
          <w:rFonts w:ascii="Times New Roman" w:hAnsi="Times New Roman"/>
          <w:sz w:val="28"/>
          <w:szCs w:val="28"/>
        </w:rPr>
        <w:t>,</w:t>
      </w:r>
      <w:r w:rsidR="000F439E" w:rsidRPr="002A6708">
        <w:rPr>
          <w:rFonts w:ascii="Times New Roman" w:hAnsi="Times New Roman"/>
          <w:sz w:val="28"/>
          <w:szCs w:val="28"/>
        </w:rPr>
        <w:t xml:space="preserve"> conform prevederilor Legii bugetului de stat pe anul 2017, inițial deficitul bugetului de stat a fost </w:t>
      </w:r>
      <w:r w:rsidR="002A6708">
        <w:rPr>
          <w:rFonts w:ascii="Times New Roman" w:hAnsi="Times New Roman"/>
          <w:sz w:val="28"/>
          <w:szCs w:val="28"/>
        </w:rPr>
        <w:t>aprobat în volum de 4155,6 mil.</w:t>
      </w:r>
      <w:r w:rsidR="000F439E" w:rsidRPr="002A6708">
        <w:rPr>
          <w:rFonts w:ascii="Times New Roman" w:hAnsi="Times New Roman"/>
          <w:sz w:val="28"/>
          <w:szCs w:val="28"/>
        </w:rPr>
        <w:t>lei. Urmare</w:t>
      </w:r>
      <w:r w:rsidR="005340C0">
        <w:rPr>
          <w:rFonts w:ascii="Times New Roman" w:hAnsi="Times New Roman"/>
          <w:sz w:val="28"/>
          <w:szCs w:val="28"/>
        </w:rPr>
        <w:t xml:space="preserve"> a</w:t>
      </w:r>
      <w:r w:rsidR="000F439E" w:rsidRPr="002A6708">
        <w:rPr>
          <w:rFonts w:ascii="Times New Roman" w:hAnsi="Times New Roman"/>
          <w:sz w:val="28"/>
          <w:szCs w:val="28"/>
        </w:rPr>
        <w:t xml:space="preserve"> modificărilor </w:t>
      </w:r>
      <w:r w:rsidR="005340C0">
        <w:rPr>
          <w:rFonts w:ascii="Times New Roman" w:hAnsi="Times New Roman"/>
          <w:sz w:val="28"/>
          <w:szCs w:val="28"/>
        </w:rPr>
        <w:t>efectuate</w:t>
      </w:r>
      <w:r w:rsidR="005340C0" w:rsidRPr="002A6708">
        <w:rPr>
          <w:rFonts w:ascii="Times New Roman" w:hAnsi="Times New Roman"/>
          <w:sz w:val="28"/>
          <w:szCs w:val="28"/>
        </w:rPr>
        <w:t xml:space="preserve"> </w:t>
      </w:r>
      <w:r w:rsidR="000F439E" w:rsidRPr="002A6708">
        <w:rPr>
          <w:rFonts w:ascii="Times New Roman" w:hAnsi="Times New Roman"/>
          <w:sz w:val="28"/>
          <w:szCs w:val="28"/>
        </w:rPr>
        <w:t>pe parcursul anului</w:t>
      </w:r>
      <w:r w:rsidR="005340C0">
        <w:rPr>
          <w:rFonts w:ascii="Times New Roman" w:hAnsi="Times New Roman"/>
          <w:sz w:val="28"/>
          <w:szCs w:val="28"/>
        </w:rPr>
        <w:t>,</w:t>
      </w:r>
      <w:r w:rsidR="000F439E" w:rsidRPr="002A6708">
        <w:rPr>
          <w:rFonts w:ascii="Times New Roman" w:hAnsi="Times New Roman"/>
          <w:sz w:val="28"/>
          <w:szCs w:val="28"/>
        </w:rPr>
        <w:t xml:space="preserve"> deficitul bugetului de stat a fost precizat în volum de 4030,2 mil.lei, </w:t>
      </w:r>
      <w:r w:rsidR="000F439E" w:rsidRPr="007B7508">
        <w:rPr>
          <w:rFonts w:ascii="Times New Roman" w:hAnsi="Times New Roman"/>
          <w:i/>
          <w:sz w:val="28"/>
          <w:szCs w:val="28"/>
        </w:rPr>
        <w:t>situația fiind prezentată în</w:t>
      </w:r>
      <w:r w:rsidR="000F439E" w:rsidRPr="002A6708">
        <w:rPr>
          <w:rFonts w:ascii="Times New Roman" w:hAnsi="Times New Roman"/>
          <w:sz w:val="28"/>
          <w:szCs w:val="28"/>
        </w:rPr>
        <w:t xml:space="preserve"> </w:t>
      </w:r>
      <w:r w:rsidR="000F439E" w:rsidRPr="003F56DB">
        <w:rPr>
          <w:rFonts w:ascii="Times New Roman" w:hAnsi="Times New Roman"/>
          <w:i/>
          <w:sz w:val="28"/>
          <w:szCs w:val="28"/>
        </w:rPr>
        <w:t>Tabelul nr.</w:t>
      </w:r>
      <w:r w:rsidR="007B4AB6">
        <w:rPr>
          <w:rFonts w:ascii="Times New Roman" w:hAnsi="Times New Roman"/>
          <w:i/>
          <w:sz w:val="28"/>
          <w:szCs w:val="28"/>
        </w:rPr>
        <w:t>6</w:t>
      </w:r>
      <w:r w:rsidR="003E62EC">
        <w:rPr>
          <w:rFonts w:ascii="Times New Roman" w:hAnsi="Times New Roman"/>
          <w:i/>
          <w:sz w:val="28"/>
          <w:szCs w:val="28"/>
        </w:rPr>
        <w:t>.</w:t>
      </w:r>
    </w:p>
    <w:p w:rsidR="000F439E" w:rsidRPr="003F56DB" w:rsidRDefault="000F439E" w:rsidP="006D61B1">
      <w:pPr>
        <w:pStyle w:val="a5"/>
        <w:spacing w:after="0" w:line="276" w:lineRule="auto"/>
        <w:ind w:left="0" w:firstLine="720"/>
        <w:contextualSpacing w:val="0"/>
        <w:jc w:val="right"/>
        <w:rPr>
          <w:rFonts w:ascii="Times New Roman" w:hAnsi="Times New Roman"/>
          <w:i/>
          <w:sz w:val="28"/>
          <w:szCs w:val="28"/>
        </w:rPr>
      </w:pPr>
      <w:r w:rsidRPr="003F56DB">
        <w:rPr>
          <w:rFonts w:ascii="Times New Roman" w:hAnsi="Times New Roman"/>
          <w:i/>
          <w:sz w:val="28"/>
          <w:szCs w:val="28"/>
        </w:rPr>
        <w:t>Tabelul nr.</w:t>
      </w:r>
      <w:r w:rsidR="007B4AB6">
        <w:rPr>
          <w:rFonts w:ascii="Times New Roman" w:hAnsi="Times New Roman"/>
          <w:i/>
          <w:sz w:val="28"/>
          <w:szCs w:val="28"/>
        </w:rPr>
        <w:t>6</w:t>
      </w:r>
    </w:p>
    <w:p w:rsidR="000F439E" w:rsidRPr="00CF553C" w:rsidRDefault="00437429" w:rsidP="006D61B1">
      <w:pPr>
        <w:pStyle w:val="a5"/>
        <w:spacing w:before="240" w:after="0" w:line="276" w:lineRule="auto"/>
        <w:ind w:left="0"/>
        <w:jc w:val="center"/>
        <w:rPr>
          <w:rFonts w:ascii="Times New Roman" w:hAnsi="Times New Roman"/>
          <w:b/>
          <w:sz w:val="28"/>
          <w:szCs w:val="28"/>
        </w:rPr>
      </w:pPr>
      <w:r>
        <w:rPr>
          <w:rFonts w:ascii="Times New Roman" w:hAnsi="Times New Roman"/>
          <w:b/>
          <w:sz w:val="24"/>
          <w:szCs w:val="28"/>
        </w:rPr>
        <w:t>Evoluția</w:t>
      </w:r>
      <w:r w:rsidR="00C8597A">
        <w:rPr>
          <w:rFonts w:ascii="Times New Roman" w:hAnsi="Times New Roman"/>
          <w:b/>
          <w:sz w:val="24"/>
          <w:szCs w:val="28"/>
        </w:rPr>
        <w:t xml:space="preserve"> principalilor indici bugetari în contextul modificărilor</w:t>
      </w:r>
      <w:r w:rsidR="00785D5F">
        <w:rPr>
          <w:rFonts w:ascii="Times New Roman" w:hAnsi="Times New Roman"/>
          <w:b/>
          <w:sz w:val="24"/>
          <w:szCs w:val="28"/>
        </w:rPr>
        <w:t xml:space="preserve"> </w:t>
      </w:r>
      <w:r w:rsidR="005340C0">
        <w:rPr>
          <w:rFonts w:ascii="Times New Roman" w:hAnsi="Times New Roman"/>
          <w:b/>
          <w:sz w:val="24"/>
          <w:szCs w:val="28"/>
        </w:rPr>
        <w:t xml:space="preserve">la </w:t>
      </w:r>
      <w:r w:rsidR="00785D5F">
        <w:rPr>
          <w:rFonts w:ascii="Times New Roman" w:hAnsi="Times New Roman"/>
          <w:b/>
          <w:sz w:val="24"/>
          <w:szCs w:val="28"/>
        </w:rPr>
        <w:t>L</w:t>
      </w:r>
      <w:r w:rsidR="00C8597A">
        <w:rPr>
          <w:rFonts w:ascii="Times New Roman" w:hAnsi="Times New Roman"/>
          <w:b/>
          <w:sz w:val="24"/>
          <w:szCs w:val="28"/>
        </w:rPr>
        <w:t>eg</w:t>
      </w:r>
      <w:r w:rsidR="005340C0">
        <w:rPr>
          <w:rFonts w:ascii="Times New Roman" w:hAnsi="Times New Roman"/>
          <w:b/>
          <w:sz w:val="24"/>
          <w:szCs w:val="28"/>
        </w:rPr>
        <w:t>ea</w:t>
      </w:r>
      <w:r w:rsidR="00C8597A">
        <w:rPr>
          <w:rFonts w:ascii="Times New Roman" w:hAnsi="Times New Roman"/>
          <w:b/>
          <w:sz w:val="24"/>
          <w:szCs w:val="28"/>
        </w:rPr>
        <w:t xml:space="preserve"> bugetar</w:t>
      </w:r>
      <w:r w:rsidR="005340C0">
        <w:rPr>
          <w:rFonts w:ascii="Times New Roman" w:hAnsi="Times New Roman"/>
          <w:b/>
          <w:sz w:val="24"/>
          <w:szCs w:val="28"/>
        </w:rPr>
        <w:t>ă</w:t>
      </w:r>
      <w:r w:rsidR="00C8597A">
        <w:rPr>
          <w:rFonts w:ascii="Times New Roman" w:hAnsi="Times New Roman"/>
          <w:b/>
          <w:sz w:val="24"/>
          <w:szCs w:val="28"/>
        </w:rPr>
        <w:t xml:space="preserve"> anual</w:t>
      </w:r>
      <w:r w:rsidR="005340C0">
        <w:rPr>
          <w:rFonts w:ascii="Times New Roman" w:hAnsi="Times New Roman"/>
          <w:b/>
          <w:sz w:val="24"/>
          <w:szCs w:val="28"/>
        </w:rPr>
        <w:t>ă</w:t>
      </w:r>
    </w:p>
    <w:p w:rsidR="000F439E" w:rsidRPr="003F56DB" w:rsidRDefault="000F439E" w:rsidP="006D61B1">
      <w:pPr>
        <w:spacing w:after="0" w:line="276" w:lineRule="auto"/>
        <w:jc w:val="right"/>
        <w:rPr>
          <w:rFonts w:ascii="Times New Roman" w:hAnsi="Times New Roman" w:cs="Times New Roman"/>
          <w:i/>
        </w:rPr>
      </w:pPr>
      <w:r w:rsidRPr="00CC2E95">
        <w:rPr>
          <w:rFonts w:ascii="Times New Roman" w:hAnsi="Times New Roman" w:cs="Times New Roman"/>
          <w:i/>
        </w:rPr>
        <w:t>(mil.lei)</w:t>
      </w:r>
    </w:p>
    <w:tbl>
      <w:tblPr>
        <w:tblStyle w:val="a3"/>
        <w:tblW w:w="0" w:type="auto"/>
        <w:jc w:val="center"/>
        <w:tblLook w:val="04A0" w:firstRow="1" w:lastRow="0" w:firstColumn="1" w:lastColumn="0" w:noHBand="0" w:noVBand="1"/>
      </w:tblPr>
      <w:tblGrid>
        <w:gridCol w:w="1368"/>
        <w:gridCol w:w="1507"/>
        <w:gridCol w:w="1607"/>
        <w:gridCol w:w="1613"/>
        <w:gridCol w:w="2000"/>
        <w:gridCol w:w="1514"/>
      </w:tblGrid>
      <w:tr w:rsidR="00CC2E95" w:rsidRPr="00ED4A7E" w:rsidTr="00350F71">
        <w:trPr>
          <w:jc w:val="center"/>
        </w:trPr>
        <w:tc>
          <w:tcPr>
            <w:tcW w:w="1368" w:type="dxa"/>
            <w:vMerge w:val="restart"/>
          </w:tcPr>
          <w:p w:rsidR="00CC2E95" w:rsidRPr="00ED4A7E" w:rsidRDefault="00CC2E95" w:rsidP="00841699">
            <w:pPr>
              <w:jc w:val="center"/>
              <w:rPr>
                <w:rFonts w:ascii="Times New Roman" w:hAnsi="Times New Roman" w:cs="Times New Roman"/>
                <w:b/>
                <w:sz w:val="24"/>
                <w:szCs w:val="24"/>
              </w:rPr>
            </w:pPr>
            <w:r w:rsidRPr="00ED4A7E">
              <w:rPr>
                <w:rFonts w:ascii="Times New Roman" w:hAnsi="Times New Roman" w:cs="Times New Roman"/>
                <w:b/>
                <w:sz w:val="24"/>
                <w:szCs w:val="24"/>
              </w:rPr>
              <w:t>Indicatori</w:t>
            </w:r>
          </w:p>
        </w:tc>
        <w:tc>
          <w:tcPr>
            <w:tcW w:w="1507" w:type="dxa"/>
            <w:vMerge w:val="restart"/>
          </w:tcPr>
          <w:p w:rsidR="00CC2E95" w:rsidRPr="00ED4A7E" w:rsidRDefault="00CC2E95" w:rsidP="00841699">
            <w:pPr>
              <w:jc w:val="center"/>
              <w:rPr>
                <w:rFonts w:ascii="Times New Roman" w:hAnsi="Times New Roman" w:cs="Times New Roman"/>
                <w:b/>
                <w:sz w:val="24"/>
                <w:szCs w:val="24"/>
              </w:rPr>
            </w:pPr>
            <w:r w:rsidRPr="00ED4A7E">
              <w:rPr>
                <w:rFonts w:ascii="Times New Roman" w:hAnsi="Times New Roman" w:cs="Times New Roman"/>
                <w:b/>
                <w:sz w:val="24"/>
                <w:szCs w:val="24"/>
              </w:rPr>
              <w:t>Aprobat inițial</w:t>
            </w:r>
            <w:r w:rsidR="005340C0">
              <w:rPr>
                <w:rFonts w:ascii="Times New Roman" w:hAnsi="Times New Roman" w:cs="Times New Roman"/>
                <w:b/>
                <w:sz w:val="24"/>
                <w:szCs w:val="24"/>
              </w:rPr>
              <w:t>,</w:t>
            </w:r>
            <w:r w:rsidRPr="00ED4A7E">
              <w:rPr>
                <w:rFonts w:ascii="Times New Roman" w:hAnsi="Times New Roman" w:cs="Times New Roman"/>
                <w:b/>
                <w:sz w:val="24"/>
                <w:szCs w:val="24"/>
              </w:rPr>
              <w:t xml:space="preserve"> Legea nr.279 din 16.12.2016</w:t>
            </w:r>
          </w:p>
        </w:tc>
        <w:tc>
          <w:tcPr>
            <w:tcW w:w="5220" w:type="dxa"/>
            <w:gridSpan w:val="3"/>
            <w:tcBorders>
              <w:bottom w:val="single" w:sz="4" w:space="0" w:color="auto"/>
            </w:tcBorders>
          </w:tcPr>
          <w:p w:rsidR="00CC2E95" w:rsidRDefault="00CC2E95" w:rsidP="00841699">
            <w:pPr>
              <w:jc w:val="center"/>
              <w:rPr>
                <w:rFonts w:ascii="Times New Roman" w:hAnsi="Times New Roman" w:cs="Times New Roman"/>
                <w:b/>
                <w:sz w:val="24"/>
                <w:szCs w:val="24"/>
              </w:rPr>
            </w:pPr>
            <w:r w:rsidRPr="00ED4A7E">
              <w:rPr>
                <w:rFonts w:ascii="Times New Roman" w:hAnsi="Times New Roman" w:cs="Times New Roman"/>
                <w:b/>
                <w:sz w:val="24"/>
                <w:szCs w:val="24"/>
              </w:rPr>
              <w:t>Modificat prin:</w:t>
            </w:r>
          </w:p>
        </w:tc>
        <w:tc>
          <w:tcPr>
            <w:tcW w:w="1514" w:type="dxa"/>
            <w:vMerge w:val="restart"/>
          </w:tcPr>
          <w:p w:rsidR="00CC2E95" w:rsidRPr="00ED4A7E" w:rsidRDefault="00CC2E95" w:rsidP="00841699">
            <w:pPr>
              <w:jc w:val="center"/>
              <w:rPr>
                <w:rFonts w:ascii="Times New Roman" w:hAnsi="Times New Roman" w:cs="Times New Roman"/>
                <w:b/>
                <w:sz w:val="24"/>
                <w:szCs w:val="24"/>
              </w:rPr>
            </w:pPr>
            <w:r>
              <w:rPr>
                <w:rFonts w:ascii="Times New Roman" w:hAnsi="Times New Roman" w:cs="Times New Roman"/>
                <w:b/>
                <w:sz w:val="24"/>
                <w:szCs w:val="24"/>
              </w:rPr>
              <w:t>Conform datelor din rapoartele prezentate</w:t>
            </w:r>
          </w:p>
        </w:tc>
      </w:tr>
      <w:tr w:rsidR="00203312" w:rsidRPr="00ED4A7E" w:rsidTr="00350F71">
        <w:trPr>
          <w:jc w:val="center"/>
        </w:trPr>
        <w:tc>
          <w:tcPr>
            <w:tcW w:w="1368" w:type="dxa"/>
            <w:vMerge/>
          </w:tcPr>
          <w:p w:rsidR="00203312" w:rsidRPr="00ED4A7E" w:rsidRDefault="00203312" w:rsidP="00203312">
            <w:pPr>
              <w:rPr>
                <w:rFonts w:ascii="Times New Roman" w:hAnsi="Times New Roman" w:cs="Times New Roman"/>
                <w:b/>
                <w:sz w:val="24"/>
                <w:szCs w:val="24"/>
              </w:rPr>
            </w:pPr>
          </w:p>
        </w:tc>
        <w:tc>
          <w:tcPr>
            <w:tcW w:w="1507" w:type="dxa"/>
            <w:vMerge/>
            <w:tcBorders>
              <w:right w:val="single" w:sz="4" w:space="0" w:color="auto"/>
            </w:tcBorders>
          </w:tcPr>
          <w:p w:rsidR="00203312" w:rsidRPr="00ED4A7E" w:rsidRDefault="00203312" w:rsidP="00203312">
            <w:pPr>
              <w:rPr>
                <w:rFonts w:ascii="Times New Roman" w:hAnsi="Times New Roman" w:cs="Times New Roman"/>
                <w:b/>
                <w:sz w:val="24"/>
                <w:szCs w:val="24"/>
              </w:rPr>
            </w:pPr>
          </w:p>
        </w:tc>
        <w:tc>
          <w:tcPr>
            <w:tcW w:w="1607" w:type="dxa"/>
            <w:tcBorders>
              <w:top w:val="single" w:sz="4" w:space="0" w:color="auto"/>
              <w:left w:val="single" w:sz="4" w:space="0" w:color="auto"/>
              <w:bottom w:val="single" w:sz="4" w:space="0" w:color="auto"/>
              <w:right w:val="single" w:sz="4" w:space="0" w:color="auto"/>
            </w:tcBorders>
          </w:tcPr>
          <w:p w:rsidR="00203312" w:rsidRPr="00ED4A7E" w:rsidRDefault="00203312" w:rsidP="008D3B4F">
            <w:pPr>
              <w:ind w:left="-149" w:right="-15"/>
              <w:jc w:val="center"/>
              <w:rPr>
                <w:rFonts w:ascii="Times New Roman" w:hAnsi="Times New Roman" w:cs="Times New Roman"/>
                <w:b/>
                <w:sz w:val="24"/>
                <w:szCs w:val="24"/>
              </w:rPr>
            </w:pPr>
            <w:r w:rsidRPr="00ED4A7E">
              <w:rPr>
                <w:rFonts w:ascii="Times New Roman" w:hAnsi="Times New Roman" w:cs="Times New Roman"/>
                <w:b/>
                <w:sz w:val="24"/>
                <w:szCs w:val="24"/>
              </w:rPr>
              <w:t>Legea nr.33 din 17.03.2017</w:t>
            </w:r>
          </w:p>
        </w:tc>
        <w:tc>
          <w:tcPr>
            <w:tcW w:w="1613" w:type="dxa"/>
            <w:tcBorders>
              <w:top w:val="single" w:sz="4" w:space="0" w:color="auto"/>
              <w:left w:val="single" w:sz="4" w:space="0" w:color="auto"/>
              <w:bottom w:val="single" w:sz="4" w:space="0" w:color="auto"/>
              <w:right w:val="single" w:sz="4" w:space="0" w:color="auto"/>
            </w:tcBorders>
          </w:tcPr>
          <w:p w:rsidR="00203312" w:rsidRPr="00ED4A7E" w:rsidRDefault="00203312" w:rsidP="00841699">
            <w:pPr>
              <w:ind w:right="-111"/>
              <w:jc w:val="center"/>
              <w:rPr>
                <w:rFonts w:ascii="Times New Roman" w:hAnsi="Times New Roman" w:cs="Times New Roman"/>
                <w:b/>
                <w:sz w:val="24"/>
                <w:szCs w:val="24"/>
              </w:rPr>
            </w:pPr>
            <w:r>
              <w:rPr>
                <w:rFonts w:ascii="Times New Roman" w:hAnsi="Times New Roman" w:cs="Times New Roman"/>
                <w:b/>
                <w:sz w:val="24"/>
                <w:szCs w:val="24"/>
              </w:rPr>
              <w:t>Legea nr.230 din 10.11.2017</w:t>
            </w:r>
          </w:p>
        </w:tc>
        <w:tc>
          <w:tcPr>
            <w:tcW w:w="2000" w:type="dxa"/>
            <w:tcBorders>
              <w:left w:val="single" w:sz="4" w:space="0" w:color="auto"/>
            </w:tcBorders>
          </w:tcPr>
          <w:p w:rsidR="00203312" w:rsidRPr="00ED4A7E" w:rsidRDefault="00CC2E95" w:rsidP="00841699">
            <w:pPr>
              <w:jc w:val="center"/>
              <w:rPr>
                <w:rFonts w:ascii="Times New Roman" w:hAnsi="Times New Roman" w:cs="Times New Roman"/>
                <w:b/>
                <w:sz w:val="24"/>
                <w:szCs w:val="24"/>
              </w:rPr>
            </w:pPr>
            <w:r>
              <w:rPr>
                <w:rFonts w:ascii="Times New Roman" w:hAnsi="Times New Roman" w:cs="Times New Roman"/>
                <w:b/>
                <w:sz w:val="24"/>
                <w:szCs w:val="24"/>
              </w:rPr>
              <w:t>Î</w:t>
            </w:r>
            <w:r w:rsidR="006468C5">
              <w:rPr>
                <w:rFonts w:ascii="Times New Roman" w:hAnsi="Times New Roman" w:cs="Times New Roman"/>
                <w:b/>
                <w:sz w:val="24"/>
                <w:szCs w:val="24"/>
              </w:rPr>
              <w:t>n baza art.16</w:t>
            </w:r>
            <w:r>
              <w:rPr>
                <w:rFonts w:ascii="Times New Roman" w:hAnsi="Times New Roman" w:cs="Times New Roman"/>
                <w:b/>
                <w:sz w:val="24"/>
                <w:szCs w:val="24"/>
              </w:rPr>
              <w:t xml:space="preserve"> din Legea </w:t>
            </w:r>
            <w:r w:rsidRPr="00ED4A7E">
              <w:rPr>
                <w:rFonts w:ascii="Times New Roman" w:hAnsi="Times New Roman" w:cs="Times New Roman"/>
                <w:b/>
                <w:sz w:val="24"/>
                <w:szCs w:val="24"/>
              </w:rPr>
              <w:t>nr.279 din 16.12.2016</w:t>
            </w:r>
          </w:p>
        </w:tc>
        <w:tc>
          <w:tcPr>
            <w:tcW w:w="1514" w:type="dxa"/>
            <w:vMerge/>
          </w:tcPr>
          <w:p w:rsidR="00203312" w:rsidRPr="00ED4A7E" w:rsidRDefault="00203312" w:rsidP="00203312">
            <w:pPr>
              <w:rPr>
                <w:rFonts w:ascii="Times New Roman" w:hAnsi="Times New Roman" w:cs="Times New Roman"/>
                <w:b/>
                <w:sz w:val="24"/>
                <w:szCs w:val="24"/>
              </w:rPr>
            </w:pPr>
          </w:p>
        </w:tc>
      </w:tr>
      <w:tr w:rsidR="00350F71" w:rsidRPr="00ED4A7E" w:rsidTr="00350F71">
        <w:trPr>
          <w:jc w:val="center"/>
        </w:trPr>
        <w:tc>
          <w:tcPr>
            <w:tcW w:w="1368" w:type="dxa"/>
          </w:tcPr>
          <w:p w:rsidR="00350F71" w:rsidRPr="00ED4A7E" w:rsidRDefault="00350F71" w:rsidP="00350F71">
            <w:pPr>
              <w:rPr>
                <w:rFonts w:ascii="Times New Roman" w:hAnsi="Times New Roman" w:cs="Times New Roman"/>
                <w:b/>
                <w:sz w:val="24"/>
                <w:szCs w:val="24"/>
              </w:rPr>
            </w:pPr>
            <w:r w:rsidRPr="00ED4A7E">
              <w:rPr>
                <w:rFonts w:ascii="Times New Roman" w:hAnsi="Times New Roman" w:cs="Times New Roman"/>
                <w:b/>
                <w:sz w:val="24"/>
                <w:szCs w:val="24"/>
              </w:rPr>
              <w:t>Venituri</w:t>
            </w:r>
          </w:p>
        </w:tc>
        <w:tc>
          <w:tcPr>
            <w:tcW w:w="1507" w:type="dxa"/>
          </w:tcPr>
          <w:p w:rsidR="00350F71" w:rsidRPr="00ED4A7E" w:rsidRDefault="00350F71" w:rsidP="00841699">
            <w:pPr>
              <w:jc w:val="center"/>
              <w:rPr>
                <w:rFonts w:ascii="Times New Roman" w:hAnsi="Times New Roman" w:cs="Times New Roman"/>
                <w:sz w:val="24"/>
                <w:szCs w:val="24"/>
              </w:rPr>
            </w:pPr>
            <w:r>
              <w:rPr>
                <w:rFonts w:ascii="Times New Roman" w:hAnsi="Times New Roman" w:cs="Times New Roman"/>
                <w:sz w:val="24"/>
                <w:szCs w:val="24"/>
              </w:rPr>
              <w:t>32839,2</w:t>
            </w:r>
          </w:p>
        </w:tc>
        <w:tc>
          <w:tcPr>
            <w:tcW w:w="1607" w:type="dxa"/>
            <w:tcBorders>
              <w:top w:val="single" w:sz="4" w:space="0" w:color="auto"/>
            </w:tcBorders>
          </w:tcPr>
          <w:p w:rsidR="00350F71" w:rsidRPr="00ED4A7E" w:rsidRDefault="00350F71" w:rsidP="00841699">
            <w:pPr>
              <w:jc w:val="center"/>
              <w:rPr>
                <w:rFonts w:ascii="Times New Roman" w:hAnsi="Times New Roman" w:cs="Times New Roman"/>
                <w:sz w:val="24"/>
                <w:szCs w:val="24"/>
              </w:rPr>
            </w:pPr>
            <w:r>
              <w:rPr>
                <w:rFonts w:ascii="Times New Roman" w:hAnsi="Times New Roman" w:cs="Times New Roman"/>
                <w:sz w:val="24"/>
                <w:szCs w:val="24"/>
              </w:rPr>
              <w:t>33225,0</w:t>
            </w:r>
          </w:p>
        </w:tc>
        <w:tc>
          <w:tcPr>
            <w:tcW w:w="1613" w:type="dxa"/>
            <w:tcBorders>
              <w:top w:val="single" w:sz="4" w:space="0" w:color="auto"/>
            </w:tcBorders>
          </w:tcPr>
          <w:p w:rsidR="00350F71" w:rsidRPr="00ED4A7E" w:rsidRDefault="00350F71" w:rsidP="00841699">
            <w:pPr>
              <w:jc w:val="center"/>
              <w:rPr>
                <w:rFonts w:ascii="Times New Roman" w:hAnsi="Times New Roman" w:cs="Times New Roman"/>
                <w:sz w:val="24"/>
                <w:szCs w:val="24"/>
              </w:rPr>
            </w:pPr>
            <w:r>
              <w:rPr>
                <w:rFonts w:ascii="Times New Roman" w:hAnsi="Times New Roman" w:cs="Times New Roman"/>
                <w:sz w:val="24"/>
                <w:szCs w:val="24"/>
              </w:rPr>
              <w:t>33766,7</w:t>
            </w:r>
          </w:p>
        </w:tc>
        <w:tc>
          <w:tcPr>
            <w:tcW w:w="2000" w:type="dxa"/>
          </w:tcPr>
          <w:p w:rsidR="00350F71" w:rsidRPr="00ED4A7E" w:rsidRDefault="00350F71" w:rsidP="00841699">
            <w:pPr>
              <w:jc w:val="center"/>
              <w:rPr>
                <w:rFonts w:ascii="Times New Roman" w:hAnsi="Times New Roman" w:cs="Times New Roman"/>
                <w:sz w:val="24"/>
                <w:szCs w:val="24"/>
              </w:rPr>
            </w:pPr>
            <w:r>
              <w:rPr>
                <w:rFonts w:ascii="Times New Roman" w:hAnsi="Times New Roman" w:cs="Times New Roman"/>
                <w:sz w:val="24"/>
                <w:szCs w:val="24"/>
              </w:rPr>
              <w:t>33778,3</w:t>
            </w:r>
          </w:p>
        </w:tc>
        <w:tc>
          <w:tcPr>
            <w:tcW w:w="1514" w:type="dxa"/>
          </w:tcPr>
          <w:p w:rsidR="00350F71" w:rsidRPr="00ED4A7E" w:rsidRDefault="00350F71" w:rsidP="00841699">
            <w:pPr>
              <w:ind w:right="155"/>
              <w:jc w:val="center"/>
              <w:rPr>
                <w:rFonts w:ascii="Times New Roman" w:hAnsi="Times New Roman" w:cs="Times New Roman"/>
                <w:sz w:val="24"/>
                <w:szCs w:val="24"/>
              </w:rPr>
            </w:pPr>
            <w:r>
              <w:rPr>
                <w:rFonts w:ascii="Times New Roman" w:hAnsi="Times New Roman" w:cs="Times New Roman"/>
                <w:sz w:val="24"/>
                <w:szCs w:val="24"/>
              </w:rPr>
              <w:t>33778,3</w:t>
            </w:r>
          </w:p>
        </w:tc>
      </w:tr>
      <w:tr w:rsidR="00350F71" w:rsidRPr="00ED4A7E" w:rsidTr="00350F71">
        <w:trPr>
          <w:jc w:val="center"/>
        </w:trPr>
        <w:tc>
          <w:tcPr>
            <w:tcW w:w="1368" w:type="dxa"/>
          </w:tcPr>
          <w:p w:rsidR="00350F71" w:rsidRPr="00ED4A7E" w:rsidRDefault="00350F71" w:rsidP="00350F71">
            <w:pPr>
              <w:rPr>
                <w:rFonts w:ascii="Times New Roman" w:hAnsi="Times New Roman" w:cs="Times New Roman"/>
                <w:b/>
                <w:sz w:val="24"/>
                <w:szCs w:val="24"/>
              </w:rPr>
            </w:pPr>
            <w:r w:rsidRPr="00ED4A7E">
              <w:rPr>
                <w:rFonts w:ascii="Times New Roman" w:hAnsi="Times New Roman" w:cs="Times New Roman"/>
                <w:b/>
                <w:sz w:val="24"/>
                <w:szCs w:val="24"/>
              </w:rPr>
              <w:t>Cheltuieli</w:t>
            </w:r>
          </w:p>
        </w:tc>
        <w:tc>
          <w:tcPr>
            <w:tcW w:w="1507" w:type="dxa"/>
          </w:tcPr>
          <w:p w:rsidR="00350F71" w:rsidRPr="00ED4A7E" w:rsidRDefault="00350F71" w:rsidP="00841699">
            <w:pPr>
              <w:jc w:val="center"/>
              <w:rPr>
                <w:rFonts w:ascii="Times New Roman" w:hAnsi="Times New Roman" w:cs="Times New Roman"/>
                <w:sz w:val="24"/>
                <w:szCs w:val="24"/>
              </w:rPr>
            </w:pPr>
            <w:r>
              <w:rPr>
                <w:rFonts w:ascii="Times New Roman" w:hAnsi="Times New Roman" w:cs="Times New Roman"/>
                <w:sz w:val="24"/>
                <w:szCs w:val="24"/>
              </w:rPr>
              <w:t>36994,8</w:t>
            </w:r>
          </w:p>
        </w:tc>
        <w:tc>
          <w:tcPr>
            <w:tcW w:w="1607" w:type="dxa"/>
          </w:tcPr>
          <w:p w:rsidR="00350F71" w:rsidRPr="00ED4A7E" w:rsidRDefault="00350F71" w:rsidP="00841699">
            <w:pPr>
              <w:jc w:val="center"/>
              <w:rPr>
                <w:rFonts w:ascii="Times New Roman" w:hAnsi="Times New Roman" w:cs="Times New Roman"/>
                <w:sz w:val="24"/>
                <w:szCs w:val="24"/>
              </w:rPr>
            </w:pPr>
            <w:r>
              <w:rPr>
                <w:rFonts w:ascii="Times New Roman" w:hAnsi="Times New Roman" w:cs="Times New Roman"/>
                <w:sz w:val="24"/>
                <w:szCs w:val="24"/>
              </w:rPr>
              <w:t>37380,6</w:t>
            </w:r>
          </w:p>
        </w:tc>
        <w:tc>
          <w:tcPr>
            <w:tcW w:w="1613" w:type="dxa"/>
          </w:tcPr>
          <w:p w:rsidR="00350F71" w:rsidRPr="00ED4A7E" w:rsidRDefault="00350F71" w:rsidP="00841699">
            <w:pPr>
              <w:jc w:val="center"/>
              <w:rPr>
                <w:rFonts w:ascii="Times New Roman" w:hAnsi="Times New Roman" w:cs="Times New Roman"/>
                <w:sz w:val="24"/>
                <w:szCs w:val="24"/>
              </w:rPr>
            </w:pPr>
            <w:r>
              <w:rPr>
                <w:rFonts w:ascii="Times New Roman" w:hAnsi="Times New Roman" w:cs="Times New Roman"/>
                <w:sz w:val="24"/>
                <w:szCs w:val="24"/>
              </w:rPr>
              <w:t>37796,9</w:t>
            </w:r>
          </w:p>
        </w:tc>
        <w:tc>
          <w:tcPr>
            <w:tcW w:w="2000" w:type="dxa"/>
          </w:tcPr>
          <w:p w:rsidR="00350F71" w:rsidRPr="00ED4A7E" w:rsidRDefault="00350F71" w:rsidP="00CB15E1">
            <w:pPr>
              <w:jc w:val="center"/>
              <w:rPr>
                <w:rFonts w:ascii="Times New Roman" w:hAnsi="Times New Roman" w:cs="Times New Roman"/>
                <w:sz w:val="24"/>
                <w:szCs w:val="24"/>
              </w:rPr>
            </w:pPr>
            <w:r>
              <w:rPr>
                <w:rFonts w:ascii="Times New Roman" w:hAnsi="Times New Roman" w:cs="Times New Roman"/>
                <w:sz w:val="24"/>
                <w:szCs w:val="24"/>
              </w:rPr>
              <w:t>37802,</w:t>
            </w:r>
            <w:r w:rsidR="00CB15E1">
              <w:rPr>
                <w:rFonts w:ascii="Times New Roman" w:hAnsi="Times New Roman" w:cs="Times New Roman"/>
                <w:sz w:val="24"/>
                <w:szCs w:val="24"/>
              </w:rPr>
              <w:t>5</w:t>
            </w:r>
          </w:p>
        </w:tc>
        <w:tc>
          <w:tcPr>
            <w:tcW w:w="1514" w:type="dxa"/>
          </w:tcPr>
          <w:p w:rsidR="00350F71" w:rsidRPr="00ED4A7E" w:rsidRDefault="00350F71" w:rsidP="00CB15E1">
            <w:pPr>
              <w:ind w:right="155"/>
              <w:jc w:val="center"/>
              <w:rPr>
                <w:rFonts w:ascii="Times New Roman" w:hAnsi="Times New Roman" w:cs="Times New Roman"/>
                <w:sz w:val="24"/>
                <w:szCs w:val="24"/>
              </w:rPr>
            </w:pPr>
            <w:r>
              <w:rPr>
                <w:rFonts w:ascii="Times New Roman" w:hAnsi="Times New Roman" w:cs="Times New Roman"/>
                <w:sz w:val="24"/>
                <w:szCs w:val="24"/>
              </w:rPr>
              <w:t>37802,</w:t>
            </w:r>
            <w:r w:rsidR="00CB15E1">
              <w:rPr>
                <w:rFonts w:ascii="Times New Roman" w:hAnsi="Times New Roman" w:cs="Times New Roman"/>
                <w:sz w:val="24"/>
                <w:szCs w:val="24"/>
              </w:rPr>
              <w:t>5</w:t>
            </w:r>
          </w:p>
        </w:tc>
      </w:tr>
      <w:tr w:rsidR="00350F71" w:rsidRPr="00ED4A7E" w:rsidTr="00350F71">
        <w:trPr>
          <w:jc w:val="center"/>
        </w:trPr>
        <w:tc>
          <w:tcPr>
            <w:tcW w:w="1368" w:type="dxa"/>
          </w:tcPr>
          <w:p w:rsidR="00350F71" w:rsidRPr="00ED4A7E" w:rsidRDefault="00350F71" w:rsidP="00350F71">
            <w:pPr>
              <w:rPr>
                <w:rFonts w:ascii="Times New Roman" w:hAnsi="Times New Roman" w:cs="Times New Roman"/>
                <w:b/>
                <w:sz w:val="24"/>
                <w:szCs w:val="24"/>
              </w:rPr>
            </w:pPr>
            <w:r w:rsidRPr="00ED4A7E">
              <w:rPr>
                <w:rFonts w:ascii="Times New Roman" w:hAnsi="Times New Roman" w:cs="Times New Roman"/>
                <w:b/>
                <w:sz w:val="24"/>
                <w:szCs w:val="24"/>
              </w:rPr>
              <w:t>Deficit</w:t>
            </w:r>
          </w:p>
        </w:tc>
        <w:tc>
          <w:tcPr>
            <w:tcW w:w="1507" w:type="dxa"/>
          </w:tcPr>
          <w:p w:rsidR="00350F71" w:rsidRPr="00ED4A7E" w:rsidRDefault="00350F71" w:rsidP="00841699">
            <w:pPr>
              <w:jc w:val="center"/>
              <w:rPr>
                <w:rFonts w:ascii="Times New Roman" w:hAnsi="Times New Roman" w:cs="Times New Roman"/>
                <w:sz w:val="24"/>
                <w:szCs w:val="24"/>
              </w:rPr>
            </w:pPr>
            <w:r>
              <w:rPr>
                <w:rFonts w:ascii="Times New Roman" w:hAnsi="Times New Roman" w:cs="Times New Roman"/>
                <w:sz w:val="24"/>
                <w:szCs w:val="24"/>
              </w:rPr>
              <w:t>-4155,6</w:t>
            </w:r>
          </w:p>
        </w:tc>
        <w:tc>
          <w:tcPr>
            <w:tcW w:w="1607" w:type="dxa"/>
          </w:tcPr>
          <w:p w:rsidR="00350F71" w:rsidRPr="00ED4A7E" w:rsidRDefault="00350F71" w:rsidP="00841699">
            <w:pPr>
              <w:jc w:val="center"/>
              <w:rPr>
                <w:rFonts w:ascii="Times New Roman" w:hAnsi="Times New Roman" w:cs="Times New Roman"/>
                <w:sz w:val="24"/>
                <w:szCs w:val="24"/>
              </w:rPr>
            </w:pPr>
            <w:r>
              <w:rPr>
                <w:rFonts w:ascii="Times New Roman" w:hAnsi="Times New Roman" w:cs="Times New Roman"/>
                <w:sz w:val="24"/>
                <w:szCs w:val="24"/>
              </w:rPr>
              <w:t>-4155,6</w:t>
            </w:r>
          </w:p>
        </w:tc>
        <w:tc>
          <w:tcPr>
            <w:tcW w:w="1613" w:type="dxa"/>
          </w:tcPr>
          <w:p w:rsidR="00350F71" w:rsidRPr="00ED4A7E" w:rsidRDefault="00350F71" w:rsidP="00841699">
            <w:pPr>
              <w:jc w:val="center"/>
              <w:rPr>
                <w:rFonts w:ascii="Times New Roman" w:hAnsi="Times New Roman" w:cs="Times New Roman"/>
                <w:sz w:val="24"/>
                <w:szCs w:val="24"/>
              </w:rPr>
            </w:pPr>
            <w:r>
              <w:rPr>
                <w:rFonts w:ascii="Times New Roman" w:hAnsi="Times New Roman" w:cs="Times New Roman"/>
                <w:sz w:val="24"/>
                <w:szCs w:val="24"/>
              </w:rPr>
              <w:t>-4030,2</w:t>
            </w:r>
          </w:p>
        </w:tc>
        <w:tc>
          <w:tcPr>
            <w:tcW w:w="2000" w:type="dxa"/>
          </w:tcPr>
          <w:p w:rsidR="00350F71" w:rsidRPr="00ED4A7E" w:rsidRDefault="00350F71" w:rsidP="00841699">
            <w:pPr>
              <w:jc w:val="center"/>
              <w:rPr>
                <w:rFonts w:ascii="Times New Roman" w:hAnsi="Times New Roman" w:cs="Times New Roman"/>
                <w:sz w:val="24"/>
                <w:szCs w:val="24"/>
              </w:rPr>
            </w:pPr>
            <w:r>
              <w:rPr>
                <w:rFonts w:ascii="Times New Roman" w:hAnsi="Times New Roman" w:cs="Times New Roman"/>
                <w:sz w:val="24"/>
                <w:szCs w:val="24"/>
              </w:rPr>
              <w:t>-4024,2</w:t>
            </w:r>
          </w:p>
        </w:tc>
        <w:tc>
          <w:tcPr>
            <w:tcW w:w="1514" w:type="dxa"/>
          </w:tcPr>
          <w:p w:rsidR="00350F71" w:rsidRPr="00ED4A7E" w:rsidRDefault="00350F71" w:rsidP="00841699">
            <w:pPr>
              <w:ind w:right="155"/>
              <w:jc w:val="center"/>
              <w:rPr>
                <w:rFonts w:ascii="Times New Roman" w:hAnsi="Times New Roman" w:cs="Times New Roman"/>
                <w:sz w:val="24"/>
                <w:szCs w:val="24"/>
              </w:rPr>
            </w:pPr>
            <w:r>
              <w:rPr>
                <w:rFonts w:ascii="Times New Roman" w:hAnsi="Times New Roman" w:cs="Times New Roman"/>
                <w:sz w:val="24"/>
                <w:szCs w:val="24"/>
              </w:rPr>
              <w:t>-4024,2</w:t>
            </w:r>
          </w:p>
        </w:tc>
      </w:tr>
    </w:tbl>
    <w:p w:rsidR="000F439E" w:rsidRPr="00BB5402" w:rsidRDefault="000F439E" w:rsidP="00E002DB">
      <w:pPr>
        <w:jc w:val="both"/>
        <w:rPr>
          <w:rFonts w:ascii="Times New Roman" w:hAnsi="Times New Roman" w:cs="Times New Roman"/>
          <w:sz w:val="20"/>
          <w:szCs w:val="24"/>
        </w:rPr>
      </w:pPr>
      <w:r w:rsidRPr="00BB5402">
        <w:rPr>
          <w:rFonts w:ascii="Times New Roman" w:hAnsi="Times New Roman" w:cs="Times New Roman"/>
          <w:b/>
          <w:i/>
          <w:sz w:val="20"/>
          <w:szCs w:val="24"/>
        </w:rPr>
        <w:t>Surs</w:t>
      </w:r>
      <w:r w:rsidR="005340C0">
        <w:rPr>
          <w:rFonts w:ascii="Times New Roman" w:hAnsi="Times New Roman" w:cs="Times New Roman"/>
          <w:b/>
          <w:i/>
          <w:sz w:val="20"/>
          <w:szCs w:val="24"/>
        </w:rPr>
        <w:t>ă</w:t>
      </w:r>
      <w:r w:rsidRPr="00BB5402">
        <w:rPr>
          <w:rFonts w:ascii="Times New Roman" w:hAnsi="Times New Roman" w:cs="Times New Roman"/>
          <w:b/>
          <w:i/>
          <w:sz w:val="20"/>
          <w:szCs w:val="24"/>
        </w:rPr>
        <w:t>:</w:t>
      </w:r>
      <w:r w:rsidRPr="00BB5402">
        <w:rPr>
          <w:rFonts w:ascii="Times New Roman" w:hAnsi="Times New Roman" w:cs="Times New Roman"/>
          <w:sz w:val="20"/>
          <w:szCs w:val="24"/>
        </w:rPr>
        <w:t xml:space="preserve"> </w:t>
      </w:r>
      <w:r w:rsidR="00203312" w:rsidRPr="00203312">
        <w:rPr>
          <w:rFonts w:ascii="Times New Roman" w:hAnsi="Times New Roman" w:cs="Times New Roman"/>
          <w:i/>
          <w:sz w:val="20"/>
          <w:szCs w:val="24"/>
        </w:rPr>
        <w:t xml:space="preserve">Datele generalizate de echipa de audit din </w:t>
      </w:r>
      <w:r w:rsidRPr="00BB5402">
        <w:rPr>
          <w:rFonts w:ascii="Times New Roman" w:hAnsi="Times New Roman" w:cs="Times New Roman"/>
          <w:i/>
          <w:sz w:val="20"/>
          <w:szCs w:val="24"/>
        </w:rPr>
        <w:t>Raportul privind executarea bugetului conform clasificației economice</w:t>
      </w:r>
      <w:r>
        <w:rPr>
          <w:rFonts w:ascii="Times New Roman" w:hAnsi="Times New Roman" w:cs="Times New Roman"/>
          <w:i/>
          <w:sz w:val="20"/>
          <w:szCs w:val="24"/>
        </w:rPr>
        <w:t xml:space="preserve"> la situația din 31.12.2017</w:t>
      </w:r>
      <w:r w:rsidR="00E002DB">
        <w:rPr>
          <w:rFonts w:ascii="Times New Roman" w:hAnsi="Times New Roman" w:cs="Times New Roman"/>
          <w:i/>
          <w:sz w:val="20"/>
          <w:szCs w:val="24"/>
        </w:rPr>
        <w:t>, Forma FE-009</w:t>
      </w:r>
      <w:r w:rsidR="005340C0">
        <w:rPr>
          <w:rFonts w:ascii="Times New Roman" w:hAnsi="Times New Roman" w:cs="Times New Roman"/>
          <w:i/>
          <w:sz w:val="20"/>
          <w:szCs w:val="24"/>
        </w:rPr>
        <w:t>.</w:t>
      </w:r>
    </w:p>
    <w:p w:rsidR="000F439E" w:rsidRDefault="00203312" w:rsidP="004425C9">
      <w:pPr>
        <w:pStyle w:val="a5"/>
        <w:spacing w:after="0" w:line="276" w:lineRule="auto"/>
        <w:ind w:left="0" w:firstLine="720"/>
        <w:contextualSpacing w:val="0"/>
        <w:jc w:val="both"/>
        <w:rPr>
          <w:rFonts w:ascii="Times New Roman" w:hAnsi="Times New Roman"/>
          <w:sz w:val="28"/>
          <w:szCs w:val="28"/>
        </w:rPr>
      </w:pPr>
      <w:r>
        <w:rPr>
          <w:rFonts w:ascii="Times New Roman" w:hAnsi="Times New Roman"/>
          <w:sz w:val="28"/>
          <w:szCs w:val="28"/>
        </w:rPr>
        <w:t xml:space="preserve">În baza analizei </w:t>
      </w:r>
      <w:r w:rsidR="004B3612">
        <w:rPr>
          <w:rFonts w:ascii="Times New Roman" w:hAnsi="Times New Roman"/>
          <w:sz w:val="28"/>
          <w:szCs w:val="28"/>
        </w:rPr>
        <w:t>efectuate</w:t>
      </w:r>
      <w:r>
        <w:rPr>
          <w:rFonts w:ascii="Times New Roman" w:hAnsi="Times New Roman"/>
          <w:sz w:val="28"/>
          <w:szCs w:val="28"/>
        </w:rPr>
        <w:t>, auditul</w:t>
      </w:r>
      <w:r w:rsidR="00454946" w:rsidRPr="00454946">
        <w:rPr>
          <w:rFonts w:ascii="Times New Roman" w:hAnsi="Times New Roman"/>
          <w:sz w:val="28"/>
          <w:szCs w:val="28"/>
        </w:rPr>
        <w:t xml:space="preserve"> denotă că MF raportează deficitul bugetului de stat </w:t>
      </w:r>
      <w:r w:rsidR="00454946">
        <w:rPr>
          <w:rFonts w:ascii="Times New Roman" w:hAnsi="Times New Roman"/>
          <w:sz w:val="28"/>
          <w:szCs w:val="28"/>
        </w:rPr>
        <w:t>precizat în volum de 4024,2 mil.</w:t>
      </w:r>
      <w:r w:rsidR="00454946" w:rsidRPr="00454946">
        <w:rPr>
          <w:rFonts w:ascii="Times New Roman" w:hAnsi="Times New Roman"/>
          <w:sz w:val="28"/>
          <w:szCs w:val="28"/>
        </w:rPr>
        <w:t>le</w:t>
      </w:r>
      <w:r w:rsidR="006468C5">
        <w:rPr>
          <w:rFonts w:ascii="Times New Roman" w:hAnsi="Times New Roman"/>
          <w:sz w:val="28"/>
          <w:szCs w:val="28"/>
        </w:rPr>
        <w:t>i</w:t>
      </w:r>
      <w:r w:rsidR="00E06DD0">
        <w:rPr>
          <w:rFonts w:ascii="Times New Roman" w:hAnsi="Times New Roman"/>
          <w:sz w:val="28"/>
          <w:szCs w:val="28"/>
        </w:rPr>
        <w:t>,</w:t>
      </w:r>
      <w:r w:rsidR="006468C5">
        <w:rPr>
          <w:rFonts w:ascii="Times New Roman" w:hAnsi="Times New Roman"/>
          <w:sz w:val="28"/>
          <w:szCs w:val="28"/>
        </w:rPr>
        <w:t xml:space="preserve"> sau cu 5,9 mil.lei mai puțin, în condițiile intrării suplimentare</w:t>
      </w:r>
      <w:r w:rsidR="009A26F7">
        <w:rPr>
          <w:rFonts w:ascii="Times New Roman" w:hAnsi="Times New Roman"/>
          <w:sz w:val="28"/>
          <w:szCs w:val="28"/>
        </w:rPr>
        <w:t>, în aceeași mărime,</w:t>
      </w:r>
      <w:r w:rsidR="006468C5">
        <w:rPr>
          <w:rFonts w:ascii="Times New Roman" w:hAnsi="Times New Roman"/>
          <w:sz w:val="28"/>
          <w:szCs w:val="28"/>
        </w:rPr>
        <w:t xml:space="preserve"> a mijloacelor provenite din surse externe în posesia MAI și SV</w:t>
      </w:r>
      <w:r w:rsidR="00277260">
        <w:rPr>
          <w:rFonts w:ascii="Times New Roman" w:hAnsi="Times New Roman"/>
          <w:sz w:val="28"/>
          <w:szCs w:val="28"/>
        </w:rPr>
        <w:t>. Astfel, p</w:t>
      </w:r>
      <w:r w:rsidR="00454946" w:rsidRPr="00454946">
        <w:rPr>
          <w:rFonts w:ascii="Times New Roman" w:hAnsi="Times New Roman"/>
          <w:sz w:val="28"/>
          <w:szCs w:val="28"/>
        </w:rPr>
        <w:t>otrivit motivației MF, d</w:t>
      </w:r>
      <w:r>
        <w:rPr>
          <w:rFonts w:ascii="Times New Roman" w:hAnsi="Times New Roman"/>
          <w:sz w:val="28"/>
          <w:szCs w:val="28"/>
        </w:rPr>
        <w:t>iferența de 5,9 mil.lei a</w:t>
      </w:r>
      <w:r w:rsidR="00454946" w:rsidRPr="00454946">
        <w:rPr>
          <w:rFonts w:ascii="Times New Roman" w:hAnsi="Times New Roman"/>
          <w:sz w:val="28"/>
          <w:szCs w:val="28"/>
        </w:rPr>
        <w:t xml:space="preserve"> fost condiționată de m</w:t>
      </w:r>
      <w:r>
        <w:rPr>
          <w:rFonts w:ascii="Times New Roman" w:hAnsi="Times New Roman"/>
          <w:sz w:val="28"/>
          <w:szCs w:val="28"/>
        </w:rPr>
        <w:t>odificarea de către M</w:t>
      </w:r>
      <w:r w:rsidR="00454946" w:rsidRPr="00454946">
        <w:rPr>
          <w:rFonts w:ascii="Times New Roman" w:hAnsi="Times New Roman"/>
          <w:sz w:val="28"/>
          <w:szCs w:val="28"/>
        </w:rPr>
        <w:t>F</w:t>
      </w:r>
      <w:r w:rsidR="00454946" w:rsidRPr="00454946">
        <w:rPr>
          <w:rStyle w:val="a9"/>
          <w:rFonts w:ascii="Times New Roman" w:hAnsi="Times New Roman"/>
          <w:sz w:val="28"/>
          <w:szCs w:val="28"/>
        </w:rPr>
        <w:footnoteReference w:id="21"/>
      </w:r>
      <w:r w:rsidR="00454946" w:rsidRPr="00454946">
        <w:rPr>
          <w:rFonts w:ascii="Times New Roman" w:hAnsi="Times New Roman"/>
          <w:sz w:val="28"/>
          <w:szCs w:val="28"/>
        </w:rPr>
        <w:t xml:space="preserve">, la solicitarea Inspectoratului General pentru </w:t>
      </w:r>
      <w:r>
        <w:rPr>
          <w:rFonts w:ascii="Times New Roman" w:hAnsi="Times New Roman"/>
          <w:sz w:val="28"/>
          <w:szCs w:val="28"/>
        </w:rPr>
        <w:t>Situații de Urgență al MAI (nr.</w:t>
      </w:r>
      <w:r w:rsidR="00454946" w:rsidRPr="00454946">
        <w:rPr>
          <w:rFonts w:ascii="Times New Roman" w:hAnsi="Times New Roman"/>
          <w:sz w:val="28"/>
          <w:szCs w:val="28"/>
        </w:rPr>
        <w:t>19/8-2430 din 08.12.2017)</w:t>
      </w:r>
      <w:r w:rsidR="009A26F7">
        <w:rPr>
          <w:rFonts w:ascii="Times New Roman" w:hAnsi="Times New Roman"/>
          <w:sz w:val="28"/>
          <w:szCs w:val="28"/>
        </w:rPr>
        <w:t>,</w:t>
      </w:r>
      <w:r w:rsidR="00454946" w:rsidRPr="00454946">
        <w:rPr>
          <w:rFonts w:ascii="Times New Roman" w:hAnsi="Times New Roman"/>
          <w:sz w:val="28"/>
          <w:szCs w:val="28"/>
        </w:rPr>
        <w:t xml:space="preserve"> </w:t>
      </w:r>
      <w:r w:rsidR="009A26F7">
        <w:rPr>
          <w:rFonts w:ascii="Times New Roman" w:hAnsi="Times New Roman"/>
          <w:sz w:val="28"/>
          <w:szCs w:val="28"/>
        </w:rPr>
        <w:t>urmare a</w:t>
      </w:r>
      <w:r w:rsidR="00454946" w:rsidRPr="00454946">
        <w:rPr>
          <w:rFonts w:ascii="Times New Roman" w:hAnsi="Times New Roman"/>
          <w:sz w:val="28"/>
          <w:szCs w:val="28"/>
        </w:rPr>
        <w:t xml:space="preserve"> intrării mijloacelor în sumă de 2779,4 mil.lei</w:t>
      </w:r>
      <w:r w:rsidR="00785D5F">
        <w:rPr>
          <w:rFonts w:ascii="Times New Roman" w:hAnsi="Times New Roman"/>
          <w:sz w:val="28"/>
          <w:szCs w:val="28"/>
        </w:rPr>
        <w:t>,</w:t>
      </w:r>
      <w:r w:rsidR="00454946" w:rsidRPr="00454946">
        <w:rPr>
          <w:rFonts w:ascii="Times New Roman" w:hAnsi="Times New Roman"/>
          <w:sz w:val="28"/>
          <w:szCs w:val="28"/>
        </w:rPr>
        <w:t xml:space="preserve"> care reprezintă tranșa finală transferată de către </w:t>
      </w:r>
      <w:r>
        <w:rPr>
          <w:rFonts w:ascii="Times New Roman" w:hAnsi="Times New Roman"/>
          <w:sz w:val="28"/>
          <w:szCs w:val="28"/>
        </w:rPr>
        <w:t xml:space="preserve">donator în cadrul </w:t>
      </w:r>
      <w:r w:rsidR="00785D5F">
        <w:rPr>
          <w:rFonts w:ascii="Times New Roman" w:hAnsi="Times New Roman"/>
          <w:sz w:val="28"/>
          <w:szCs w:val="28"/>
        </w:rPr>
        <w:t>P</w:t>
      </w:r>
      <w:r>
        <w:rPr>
          <w:rFonts w:ascii="Times New Roman" w:hAnsi="Times New Roman"/>
          <w:sz w:val="28"/>
          <w:szCs w:val="28"/>
        </w:rPr>
        <w:t>roiectului „</w:t>
      </w:r>
      <w:r w:rsidR="00454946" w:rsidRPr="00454946">
        <w:rPr>
          <w:rFonts w:ascii="Times New Roman" w:hAnsi="Times New Roman"/>
          <w:sz w:val="28"/>
          <w:szCs w:val="28"/>
        </w:rPr>
        <w:t>Îmbunătățirea serviciilor mobile terestre și avia de intervenție de urgență SMURD”</w:t>
      </w:r>
      <w:r>
        <w:rPr>
          <w:rFonts w:ascii="Times New Roman" w:hAnsi="Times New Roman"/>
          <w:sz w:val="28"/>
          <w:szCs w:val="28"/>
        </w:rPr>
        <w:t>,</w:t>
      </w:r>
      <w:r w:rsidR="00454946" w:rsidRPr="00454946">
        <w:rPr>
          <w:rFonts w:ascii="Times New Roman" w:hAnsi="Times New Roman"/>
          <w:sz w:val="28"/>
          <w:szCs w:val="28"/>
        </w:rPr>
        <w:t xml:space="preserve"> </w:t>
      </w:r>
      <w:r w:rsidR="009A26F7">
        <w:rPr>
          <w:rFonts w:ascii="Times New Roman" w:hAnsi="Times New Roman"/>
          <w:sz w:val="28"/>
          <w:szCs w:val="28"/>
        </w:rPr>
        <w:t xml:space="preserve">precum și </w:t>
      </w:r>
      <w:r w:rsidR="00454946" w:rsidRPr="00454946">
        <w:rPr>
          <w:rFonts w:ascii="Times New Roman" w:hAnsi="Times New Roman"/>
          <w:sz w:val="28"/>
          <w:szCs w:val="28"/>
        </w:rPr>
        <w:t>în baza cererii SV (nr.28/08 din 14.08.2017) privind mijloa</w:t>
      </w:r>
      <w:r>
        <w:rPr>
          <w:rFonts w:ascii="Times New Roman" w:hAnsi="Times New Roman"/>
          <w:sz w:val="28"/>
          <w:szCs w:val="28"/>
        </w:rPr>
        <w:t>cele</w:t>
      </w:r>
      <w:r w:rsidR="00454946" w:rsidRPr="00454946">
        <w:rPr>
          <w:rFonts w:ascii="Times New Roman" w:hAnsi="Times New Roman"/>
          <w:sz w:val="28"/>
          <w:szCs w:val="28"/>
        </w:rPr>
        <w:t xml:space="preserve"> </w:t>
      </w:r>
      <w:r>
        <w:rPr>
          <w:rFonts w:ascii="Times New Roman" w:hAnsi="Times New Roman"/>
          <w:sz w:val="28"/>
          <w:szCs w:val="28"/>
        </w:rPr>
        <w:t>i</w:t>
      </w:r>
      <w:r w:rsidR="00454946" w:rsidRPr="00454946">
        <w:rPr>
          <w:rFonts w:ascii="Times New Roman" w:hAnsi="Times New Roman"/>
          <w:sz w:val="28"/>
          <w:szCs w:val="28"/>
        </w:rPr>
        <w:t>ntrate suplimentar cu titlu gratuit din</w:t>
      </w:r>
      <w:r w:rsidR="00764D6E">
        <w:rPr>
          <w:rFonts w:ascii="Times New Roman" w:hAnsi="Times New Roman"/>
          <w:sz w:val="28"/>
          <w:szCs w:val="28"/>
        </w:rPr>
        <w:t xml:space="preserve"> </w:t>
      </w:r>
      <w:r w:rsidR="00454946" w:rsidRPr="00454946">
        <w:rPr>
          <w:rFonts w:ascii="Times New Roman" w:hAnsi="Times New Roman"/>
          <w:sz w:val="28"/>
          <w:szCs w:val="28"/>
        </w:rPr>
        <w:t>partea Comisiei Europene „Granturi capitale primite de la organizațiile internaționale pentru proiecte finanțate din surse externe pentru bugetul de stat”, pentru implementarea Proiectului „IMPEFO” (Laboratorul Serviciului Vamal), în sumă de 3189,6 mil.lei.</w:t>
      </w:r>
      <w:r>
        <w:rPr>
          <w:rFonts w:ascii="Times New Roman" w:hAnsi="Times New Roman"/>
          <w:sz w:val="28"/>
          <w:szCs w:val="28"/>
        </w:rPr>
        <w:t xml:space="preserve"> </w:t>
      </w:r>
    </w:p>
    <w:p w:rsidR="00F307ED" w:rsidRDefault="00F307ED" w:rsidP="004425C9">
      <w:pPr>
        <w:pStyle w:val="a5"/>
        <w:spacing w:before="240" w:after="0" w:line="276" w:lineRule="auto"/>
        <w:ind w:left="0" w:firstLine="709"/>
        <w:jc w:val="both"/>
        <w:rPr>
          <w:rFonts w:ascii="Times New Roman" w:hAnsi="Times New Roman"/>
          <w:b/>
          <w:sz w:val="28"/>
          <w:szCs w:val="28"/>
        </w:rPr>
      </w:pPr>
      <w:r>
        <w:rPr>
          <w:rFonts w:ascii="Times New Roman" w:hAnsi="Times New Roman"/>
          <w:sz w:val="28"/>
          <w:szCs w:val="28"/>
        </w:rPr>
        <w:lastRenderedPageBreak/>
        <w:t>Potrivit cadrului legal</w:t>
      </w:r>
      <w:r>
        <w:rPr>
          <w:rStyle w:val="a9"/>
          <w:rFonts w:ascii="Times New Roman" w:hAnsi="Times New Roman"/>
          <w:sz w:val="28"/>
          <w:szCs w:val="28"/>
        </w:rPr>
        <w:footnoteReference w:id="22"/>
      </w:r>
      <w:r w:rsidR="00277260">
        <w:rPr>
          <w:rFonts w:ascii="Times New Roman" w:hAnsi="Times New Roman"/>
          <w:sz w:val="28"/>
          <w:szCs w:val="28"/>
        </w:rPr>
        <w:t>,</w:t>
      </w:r>
      <w:r w:rsidR="007E129F">
        <w:rPr>
          <w:rFonts w:ascii="Times New Roman" w:hAnsi="Times New Roman"/>
          <w:sz w:val="28"/>
          <w:szCs w:val="28"/>
        </w:rPr>
        <w:t xml:space="preserve"> </w:t>
      </w:r>
      <w:r w:rsidR="00277260" w:rsidRPr="00277260">
        <w:rPr>
          <w:rFonts w:ascii="Times New Roman" w:hAnsi="Times New Roman"/>
          <w:i/>
          <w:sz w:val="28"/>
          <w:szCs w:val="28"/>
        </w:rPr>
        <w:t>„</w:t>
      </w:r>
      <w:r>
        <w:rPr>
          <w:rFonts w:ascii="Times New Roman" w:hAnsi="Times New Roman"/>
          <w:i/>
          <w:sz w:val="28"/>
          <w:szCs w:val="28"/>
        </w:rPr>
        <w:t>s</w:t>
      </w:r>
      <w:r w:rsidRPr="00A45B5F">
        <w:rPr>
          <w:rFonts w:ascii="Times New Roman" w:hAnsi="Times New Roman"/>
          <w:i/>
          <w:sz w:val="28"/>
          <w:szCs w:val="28"/>
        </w:rPr>
        <w:t>ursele de finanțare a bugetului</w:t>
      </w:r>
      <w:r>
        <w:rPr>
          <w:rFonts w:ascii="Times New Roman" w:hAnsi="Times New Roman"/>
          <w:i/>
          <w:sz w:val="28"/>
          <w:szCs w:val="28"/>
        </w:rPr>
        <w:t xml:space="preserve"> sunt operațiuni cu instrumente ale datoriei; operațiuni aferente vânzării și privatizării patrimoniului public; operațiuni cu soldurile în conturile bugetului; alte operațiuni cu activele financiare și cu datoriile bugetului</w:t>
      </w:r>
      <w:r w:rsidR="00277260">
        <w:rPr>
          <w:rFonts w:ascii="Times New Roman" w:hAnsi="Times New Roman"/>
          <w:i/>
          <w:sz w:val="28"/>
          <w:szCs w:val="28"/>
        </w:rPr>
        <w:t>”</w:t>
      </w:r>
      <w:r>
        <w:rPr>
          <w:rFonts w:ascii="Times New Roman" w:hAnsi="Times New Roman"/>
          <w:i/>
          <w:sz w:val="28"/>
          <w:szCs w:val="28"/>
        </w:rPr>
        <w:t>.</w:t>
      </w:r>
      <w:r>
        <w:rPr>
          <w:rFonts w:ascii="Times New Roman" w:hAnsi="Times New Roman"/>
          <w:sz w:val="28"/>
          <w:szCs w:val="28"/>
        </w:rPr>
        <w:t xml:space="preserve"> </w:t>
      </w:r>
    </w:p>
    <w:p w:rsidR="00F307ED" w:rsidRDefault="00F307ED" w:rsidP="004425C9">
      <w:pPr>
        <w:pStyle w:val="a5"/>
        <w:spacing w:before="240" w:after="0" w:line="276" w:lineRule="auto"/>
        <w:ind w:left="0" w:firstLine="709"/>
        <w:jc w:val="both"/>
        <w:rPr>
          <w:rFonts w:ascii="Times New Roman" w:hAnsi="Times New Roman"/>
          <w:sz w:val="28"/>
          <w:szCs w:val="28"/>
        </w:rPr>
      </w:pPr>
      <w:r w:rsidRPr="000B0FA8">
        <w:rPr>
          <w:rFonts w:ascii="Times New Roman" w:hAnsi="Times New Roman"/>
          <w:sz w:val="28"/>
          <w:szCs w:val="28"/>
        </w:rPr>
        <w:t xml:space="preserve">Verificările auditului asupra conformității finanțării deficitului </w:t>
      </w:r>
      <w:r w:rsidR="00277260">
        <w:rPr>
          <w:rFonts w:ascii="Times New Roman" w:hAnsi="Times New Roman"/>
          <w:sz w:val="28"/>
          <w:szCs w:val="28"/>
        </w:rPr>
        <w:t xml:space="preserve">bugetului </w:t>
      </w:r>
      <w:r w:rsidRPr="000B0FA8">
        <w:rPr>
          <w:rFonts w:ascii="Times New Roman" w:hAnsi="Times New Roman"/>
          <w:sz w:val="28"/>
          <w:szCs w:val="28"/>
        </w:rPr>
        <w:t xml:space="preserve">de stat în anul 2017 denotă </w:t>
      </w:r>
      <w:r>
        <w:rPr>
          <w:rFonts w:ascii="Times New Roman" w:hAnsi="Times New Roman"/>
          <w:sz w:val="28"/>
          <w:szCs w:val="28"/>
        </w:rPr>
        <w:t xml:space="preserve">că </w:t>
      </w:r>
      <w:r w:rsidR="00991E4D">
        <w:rPr>
          <w:rFonts w:ascii="Times New Roman" w:hAnsi="Times New Roman"/>
          <w:sz w:val="28"/>
          <w:szCs w:val="28"/>
        </w:rPr>
        <w:t xml:space="preserve">rezultatele executării </w:t>
      </w:r>
      <w:r>
        <w:rPr>
          <w:rFonts w:ascii="Times New Roman" w:hAnsi="Times New Roman"/>
          <w:sz w:val="28"/>
          <w:szCs w:val="28"/>
        </w:rPr>
        <w:t>surse</w:t>
      </w:r>
      <w:r w:rsidR="00277260">
        <w:rPr>
          <w:rFonts w:ascii="Times New Roman" w:hAnsi="Times New Roman"/>
          <w:sz w:val="28"/>
          <w:szCs w:val="28"/>
        </w:rPr>
        <w:t>l</w:t>
      </w:r>
      <w:r w:rsidR="00991E4D">
        <w:rPr>
          <w:rFonts w:ascii="Times New Roman" w:hAnsi="Times New Roman"/>
          <w:sz w:val="28"/>
          <w:szCs w:val="28"/>
        </w:rPr>
        <w:t>or</w:t>
      </w:r>
      <w:r>
        <w:rPr>
          <w:rFonts w:ascii="Times New Roman" w:hAnsi="Times New Roman"/>
          <w:sz w:val="28"/>
          <w:szCs w:val="28"/>
        </w:rPr>
        <w:t xml:space="preserve"> de finanțare a </w:t>
      </w:r>
      <w:r w:rsidR="00991E4D">
        <w:rPr>
          <w:rFonts w:ascii="Times New Roman" w:hAnsi="Times New Roman"/>
          <w:sz w:val="28"/>
          <w:szCs w:val="28"/>
        </w:rPr>
        <w:t>deficitului</w:t>
      </w:r>
      <w:r>
        <w:rPr>
          <w:rFonts w:ascii="Times New Roman" w:hAnsi="Times New Roman"/>
          <w:sz w:val="28"/>
          <w:szCs w:val="28"/>
        </w:rPr>
        <w:t xml:space="preserve"> au fost: </w:t>
      </w:r>
      <w:r w:rsidRPr="00DF0F11">
        <w:rPr>
          <w:rFonts w:ascii="Times New Roman" w:hAnsi="Times New Roman"/>
          <w:i/>
          <w:sz w:val="28"/>
          <w:szCs w:val="28"/>
        </w:rPr>
        <w:t>i)</w:t>
      </w:r>
      <w:r w:rsidRPr="00DF0F11">
        <w:rPr>
          <w:rFonts w:ascii="Times New Roman" w:hAnsi="Times New Roman"/>
          <w:sz w:val="28"/>
          <w:szCs w:val="28"/>
        </w:rPr>
        <w:t xml:space="preserve"> active financiare</w:t>
      </w:r>
      <w:r w:rsidRPr="00B04FE9">
        <w:rPr>
          <w:rFonts w:ascii="Times New Roman" w:hAnsi="Times New Roman"/>
          <w:sz w:val="28"/>
          <w:szCs w:val="28"/>
        </w:rPr>
        <w:t xml:space="preserve"> </w:t>
      </w:r>
      <w:r w:rsidR="00454946">
        <w:rPr>
          <w:rFonts w:ascii="Times New Roman" w:hAnsi="Times New Roman"/>
          <w:sz w:val="28"/>
          <w:szCs w:val="28"/>
        </w:rPr>
        <w:t>în sumă de (-250,0 mil.</w:t>
      </w:r>
      <w:r>
        <w:rPr>
          <w:rFonts w:ascii="Times New Roman" w:hAnsi="Times New Roman"/>
          <w:sz w:val="28"/>
          <w:szCs w:val="28"/>
        </w:rPr>
        <w:t>lei)</w:t>
      </w:r>
      <w:r w:rsidR="00D74F95">
        <w:rPr>
          <w:rFonts w:ascii="Times New Roman" w:hAnsi="Times New Roman"/>
          <w:sz w:val="28"/>
          <w:szCs w:val="28"/>
        </w:rPr>
        <w:t>;</w:t>
      </w:r>
      <w:r>
        <w:rPr>
          <w:rFonts w:ascii="Times New Roman" w:hAnsi="Times New Roman"/>
          <w:sz w:val="28"/>
          <w:szCs w:val="28"/>
        </w:rPr>
        <w:t xml:space="preserve"> </w:t>
      </w:r>
      <w:r w:rsidRPr="00DF0F11">
        <w:rPr>
          <w:rFonts w:ascii="Times New Roman" w:hAnsi="Times New Roman"/>
          <w:i/>
          <w:sz w:val="28"/>
          <w:szCs w:val="28"/>
        </w:rPr>
        <w:t xml:space="preserve">ii) </w:t>
      </w:r>
      <w:r w:rsidRPr="00DF0F11">
        <w:rPr>
          <w:rFonts w:ascii="Times New Roman" w:hAnsi="Times New Roman"/>
          <w:sz w:val="28"/>
          <w:szCs w:val="28"/>
        </w:rPr>
        <w:t xml:space="preserve">datorii </w:t>
      </w:r>
      <w:r w:rsidRPr="00C1498D">
        <w:rPr>
          <w:rFonts w:ascii="Times New Roman" w:hAnsi="Times New Roman"/>
          <w:sz w:val="28"/>
          <w:szCs w:val="28"/>
        </w:rPr>
        <w:t xml:space="preserve">în sumă de </w:t>
      </w:r>
      <w:r>
        <w:rPr>
          <w:rFonts w:ascii="Times New Roman" w:hAnsi="Times New Roman"/>
          <w:sz w:val="28"/>
          <w:szCs w:val="28"/>
        </w:rPr>
        <w:t>3421,2 mil.lei</w:t>
      </w:r>
      <w:r w:rsidR="00FD0507">
        <w:rPr>
          <w:rFonts w:ascii="Times New Roman" w:hAnsi="Times New Roman"/>
          <w:sz w:val="28"/>
          <w:szCs w:val="28"/>
        </w:rPr>
        <w:t>, dintre care datoriile interne –</w:t>
      </w:r>
      <w:r>
        <w:rPr>
          <w:rFonts w:ascii="Times New Roman" w:hAnsi="Times New Roman"/>
          <w:sz w:val="28"/>
          <w:szCs w:val="28"/>
        </w:rPr>
        <w:t xml:space="preserve"> 1118,4 mil.lei</w:t>
      </w:r>
      <w:r w:rsidR="00034FF2">
        <w:rPr>
          <w:rFonts w:ascii="Times New Roman" w:hAnsi="Times New Roman"/>
          <w:sz w:val="28"/>
          <w:szCs w:val="28"/>
        </w:rPr>
        <w:t>,</w:t>
      </w:r>
      <w:r>
        <w:rPr>
          <w:rFonts w:ascii="Times New Roman" w:hAnsi="Times New Roman"/>
          <w:sz w:val="28"/>
          <w:szCs w:val="28"/>
        </w:rPr>
        <w:t xml:space="preserve"> și împrumuturi ext</w:t>
      </w:r>
      <w:r w:rsidR="00FD0507">
        <w:rPr>
          <w:rFonts w:ascii="Times New Roman" w:hAnsi="Times New Roman"/>
          <w:sz w:val="28"/>
          <w:szCs w:val="28"/>
        </w:rPr>
        <w:t xml:space="preserve">erne </w:t>
      </w:r>
      <w:r w:rsidR="00D74F95">
        <w:rPr>
          <w:rFonts w:ascii="Times New Roman" w:hAnsi="Times New Roman"/>
          <w:sz w:val="28"/>
          <w:szCs w:val="28"/>
        </w:rPr>
        <w:t>–</w:t>
      </w:r>
      <w:r w:rsidR="00FD0507">
        <w:rPr>
          <w:rFonts w:ascii="Times New Roman" w:hAnsi="Times New Roman"/>
          <w:sz w:val="28"/>
          <w:szCs w:val="28"/>
        </w:rPr>
        <w:t xml:space="preserve"> 3625,9 mil.lei</w:t>
      </w:r>
      <w:r w:rsidR="00D74F95">
        <w:rPr>
          <w:rFonts w:ascii="Times New Roman" w:hAnsi="Times New Roman"/>
          <w:sz w:val="28"/>
          <w:szCs w:val="28"/>
        </w:rPr>
        <w:t>;</w:t>
      </w:r>
      <w:r w:rsidR="00FD0507">
        <w:rPr>
          <w:rFonts w:ascii="Times New Roman" w:hAnsi="Times New Roman"/>
          <w:sz w:val="28"/>
          <w:szCs w:val="28"/>
        </w:rPr>
        <w:t xml:space="preserve"> și </w:t>
      </w:r>
      <w:r w:rsidR="00FD0507" w:rsidRPr="00DF0F11">
        <w:rPr>
          <w:rFonts w:ascii="Times New Roman" w:hAnsi="Times New Roman"/>
          <w:i/>
          <w:sz w:val="28"/>
          <w:szCs w:val="28"/>
        </w:rPr>
        <w:t>iii)</w:t>
      </w:r>
      <w:r w:rsidR="00FD0507" w:rsidRPr="00DF0F11">
        <w:rPr>
          <w:rFonts w:ascii="Times New Roman" w:hAnsi="Times New Roman"/>
          <w:sz w:val="28"/>
          <w:szCs w:val="28"/>
        </w:rPr>
        <w:t xml:space="preserve"> modificarea soldului de mijloace bănești</w:t>
      </w:r>
      <w:r w:rsidR="00FD0507">
        <w:rPr>
          <w:rFonts w:ascii="Times New Roman" w:hAnsi="Times New Roman"/>
          <w:sz w:val="28"/>
          <w:szCs w:val="28"/>
        </w:rPr>
        <w:t xml:space="preserve"> </w:t>
      </w:r>
      <w:r w:rsidR="00277260">
        <w:rPr>
          <w:rFonts w:ascii="Times New Roman" w:hAnsi="Times New Roman"/>
          <w:sz w:val="28"/>
          <w:szCs w:val="28"/>
        </w:rPr>
        <w:t>în sumă de</w:t>
      </w:r>
      <w:r w:rsidR="00FD0507">
        <w:rPr>
          <w:rFonts w:ascii="Times New Roman" w:hAnsi="Times New Roman"/>
          <w:sz w:val="28"/>
          <w:szCs w:val="28"/>
        </w:rPr>
        <w:t xml:space="preserve"> (-1639,5 mil.lei). T</w:t>
      </w:r>
      <w:r>
        <w:rPr>
          <w:rFonts w:ascii="Times New Roman" w:hAnsi="Times New Roman"/>
          <w:sz w:val="28"/>
          <w:szCs w:val="28"/>
        </w:rPr>
        <w:t>otodată</w:t>
      </w:r>
      <w:r w:rsidR="00277260">
        <w:rPr>
          <w:rFonts w:ascii="Times New Roman" w:hAnsi="Times New Roman"/>
          <w:sz w:val="28"/>
          <w:szCs w:val="28"/>
        </w:rPr>
        <w:t>,</w:t>
      </w:r>
      <w:r>
        <w:rPr>
          <w:rFonts w:ascii="Times New Roman" w:hAnsi="Times New Roman"/>
          <w:sz w:val="28"/>
          <w:szCs w:val="28"/>
        </w:rPr>
        <w:t xml:space="preserve"> pe parcursul anului au fost </w:t>
      </w:r>
      <w:r w:rsidR="004C7EE5">
        <w:rPr>
          <w:rFonts w:ascii="Times New Roman" w:hAnsi="Times New Roman"/>
          <w:sz w:val="28"/>
          <w:szCs w:val="28"/>
        </w:rPr>
        <w:t>rambursate</w:t>
      </w:r>
      <w:r>
        <w:rPr>
          <w:rFonts w:ascii="Times New Roman" w:hAnsi="Times New Roman"/>
          <w:sz w:val="28"/>
          <w:szCs w:val="28"/>
        </w:rPr>
        <w:t xml:space="preserve"> </w:t>
      </w:r>
      <w:r w:rsidR="004C7EE5">
        <w:rPr>
          <w:rFonts w:ascii="Times New Roman" w:hAnsi="Times New Roman"/>
          <w:sz w:val="28"/>
          <w:szCs w:val="28"/>
        </w:rPr>
        <w:t xml:space="preserve">împrumuturi </w:t>
      </w:r>
      <w:r>
        <w:rPr>
          <w:rFonts w:ascii="Times New Roman" w:hAnsi="Times New Roman"/>
          <w:sz w:val="28"/>
          <w:szCs w:val="28"/>
        </w:rPr>
        <w:t>extern</w:t>
      </w:r>
      <w:r w:rsidR="004C7EE5">
        <w:rPr>
          <w:rFonts w:ascii="Times New Roman" w:hAnsi="Times New Roman"/>
          <w:sz w:val="28"/>
          <w:szCs w:val="28"/>
        </w:rPr>
        <w:t>e</w:t>
      </w:r>
      <w:r>
        <w:rPr>
          <w:rFonts w:ascii="Times New Roman" w:hAnsi="Times New Roman"/>
          <w:sz w:val="28"/>
          <w:szCs w:val="28"/>
        </w:rPr>
        <w:t xml:space="preserve"> în sumă de (-1323,1</w:t>
      </w:r>
      <w:r w:rsidR="00D74F95">
        <w:rPr>
          <w:rFonts w:ascii="Times New Roman" w:hAnsi="Times New Roman"/>
          <w:sz w:val="28"/>
          <w:szCs w:val="28"/>
        </w:rPr>
        <w:t xml:space="preserve"> </w:t>
      </w:r>
      <w:r>
        <w:rPr>
          <w:rFonts w:ascii="Times New Roman" w:hAnsi="Times New Roman"/>
          <w:sz w:val="28"/>
          <w:szCs w:val="28"/>
        </w:rPr>
        <w:t>mil.lei)</w:t>
      </w:r>
      <w:r w:rsidR="004C7EE5">
        <w:rPr>
          <w:rFonts w:ascii="Times New Roman" w:hAnsi="Times New Roman"/>
          <w:sz w:val="28"/>
          <w:szCs w:val="28"/>
        </w:rPr>
        <w:t>.</w:t>
      </w:r>
      <w:r>
        <w:rPr>
          <w:rFonts w:ascii="Times New Roman" w:hAnsi="Times New Roman"/>
          <w:sz w:val="28"/>
          <w:szCs w:val="28"/>
        </w:rPr>
        <w:t xml:space="preserve"> </w:t>
      </w:r>
    </w:p>
    <w:p w:rsidR="00815780" w:rsidRDefault="00E64B82" w:rsidP="004425C9">
      <w:pPr>
        <w:pStyle w:val="a5"/>
        <w:spacing w:before="240" w:after="0" w:line="276" w:lineRule="auto"/>
        <w:ind w:left="0" w:firstLine="709"/>
        <w:jc w:val="both"/>
        <w:rPr>
          <w:rFonts w:ascii="Times New Roman" w:hAnsi="Times New Roman"/>
          <w:sz w:val="28"/>
          <w:szCs w:val="28"/>
        </w:rPr>
      </w:pPr>
      <w:r>
        <w:rPr>
          <w:rFonts w:ascii="Times New Roman" w:hAnsi="Times New Roman"/>
          <w:sz w:val="28"/>
          <w:szCs w:val="28"/>
        </w:rPr>
        <w:t>Referitor la</w:t>
      </w:r>
      <w:r w:rsidR="004C7EE5">
        <w:rPr>
          <w:rFonts w:ascii="Times New Roman" w:hAnsi="Times New Roman"/>
          <w:sz w:val="28"/>
          <w:szCs w:val="28"/>
        </w:rPr>
        <w:t xml:space="preserve"> sursa de finanțare a deficitului formată din active financiare, auditul menționează </w:t>
      </w:r>
      <w:r w:rsidR="004B3612">
        <w:rPr>
          <w:rFonts w:ascii="Times New Roman" w:hAnsi="Times New Roman"/>
          <w:sz w:val="28"/>
          <w:szCs w:val="28"/>
        </w:rPr>
        <w:t>că,</w:t>
      </w:r>
      <w:r w:rsidR="004C7EE5">
        <w:rPr>
          <w:rFonts w:ascii="Times New Roman" w:hAnsi="Times New Roman"/>
          <w:sz w:val="28"/>
          <w:szCs w:val="28"/>
        </w:rPr>
        <w:t xml:space="preserve"> </w:t>
      </w:r>
      <w:r w:rsidR="004B3612">
        <w:rPr>
          <w:rFonts w:ascii="Times New Roman" w:hAnsi="Times New Roman"/>
          <w:sz w:val="28"/>
          <w:szCs w:val="28"/>
        </w:rPr>
        <w:t>p</w:t>
      </w:r>
      <w:r w:rsidR="004C7EE5">
        <w:rPr>
          <w:rFonts w:ascii="Times New Roman" w:hAnsi="Times New Roman"/>
          <w:sz w:val="28"/>
          <w:szCs w:val="28"/>
        </w:rPr>
        <w:t xml:space="preserve">otrivit prevederilor </w:t>
      </w:r>
      <w:r w:rsidR="00785D5F">
        <w:rPr>
          <w:rFonts w:ascii="Times New Roman" w:hAnsi="Times New Roman"/>
          <w:sz w:val="28"/>
          <w:szCs w:val="28"/>
        </w:rPr>
        <w:t>h</w:t>
      </w:r>
      <w:r w:rsidR="004C7EE5">
        <w:rPr>
          <w:rFonts w:ascii="Times New Roman" w:hAnsi="Times New Roman"/>
          <w:sz w:val="28"/>
          <w:szCs w:val="28"/>
        </w:rPr>
        <w:t>otărârilor Guvernului</w:t>
      </w:r>
      <w:r w:rsidR="004C7EE5">
        <w:rPr>
          <w:rStyle w:val="a9"/>
          <w:rFonts w:ascii="Times New Roman" w:hAnsi="Times New Roman"/>
          <w:sz w:val="28"/>
          <w:szCs w:val="28"/>
        </w:rPr>
        <w:footnoteReference w:id="23"/>
      </w:r>
      <w:r w:rsidR="004C7EE5">
        <w:rPr>
          <w:rFonts w:ascii="Times New Roman" w:hAnsi="Times New Roman"/>
          <w:sz w:val="28"/>
          <w:szCs w:val="28"/>
        </w:rPr>
        <w:t>, î</w:t>
      </w:r>
      <w:r w:rsidR="00E863F9">
        <w:rPr>
          <w:rFonts w:ascii="Times New Roman" w:hAnsi="Times New Roman"/>
          <w:sz w:val="28"/>
          <w:szCs w:val="28"/>
        </w:rPr>
        <w:t xml:space="preserve">n anul 2017 </w:t>
      </w:r>
      <w:r w:rsidR="00022B19">
        <w:rPr>
          <w:rFonts w:ascii="Times New Roman" w:hAnsi="Times New Roman"/>
          <w:sz w:val="28"/>
          <w:szCs w:val="28"/>
        </w:rPr>
        <w:t xml:space="preserve">MF a alocat din contul mijloacelor prevăzute în BS, pentru majorarea </w:t>
      </w:r>
      <w:r w:rsidR="00F307ED">
        <w:rPr>
          <w:rFonts w:ascii="Times New Roman" w:hAnsi="Times New Roman"/>
          <w:sz w:val="28"/>
          <w:szCs w:val="28"/>
        </w:rPr>
        <w:t>capitalul</w:t>
      </w:r>
      <w:r w:rsidR="00022B19">
        <w:rPr>
          <w:rFonts w:ascii="Times New Roman" w:hAnsi="Times New Roman"/>
          <w:sz w:val="28"/>
          <w:szCs w:val="28"/>
        </w:rPr>
        <w:t>ui</w:t>
      </w:r>
      <w:r w:rsidR="00F307ED">
        <w:rPr>
          <w:rFonts w:ascii="Times New Roman" w:hAnsi="Times New Roman"/>
          <w:sz w:val="28"/>
          <w:szCs w:val="28"/>
        </w:rPr>
        <w:t xml:space="preserve"> social </w:t>
      </w:r>
      <w:r w:rsidR="00022B19">
        <w:rPr>
          <w:rFonts w:ascii="Times New Roman" w:hAnsi="Times New Roman"/>
          <w:sz w:val="28"/>
          <w:szCs w:val="28"/>
        </w:rPr>
        <w:t xml:space="preserve">al </w:t>
      </w:r>
      <w:r w:rsidR="004C7EE5">
        <w:rPr>
          <w:rFonts w:ascii="Times New Roman" w:hAnsi="Times New Roman"/>
          <w:sz w:val="28"/>
          <w:szCs w:val="28"/>
        </w:rPr>
        <w:t xml:space="preserve">Î.S. Fabrica de Sticlă din Chișinău </w:t>
      </w:r>
      <w:r w:rsidR="00210B0E">
        <w:rPr>
          <w:rFonts w:ascii="Times New Roman" w:hAnsi="Times New Roman"/>
          <w:sz w:val="28"/>
          <w:szCs w:val="28"/>
        </w:rPr>
        <w:t>–</w:t>
      </w:r>
      <w:r w:rsidR="00F307ED">
        <w:rPr>
          <w:rFonts w:ascii="Times New Roman" w:hAnsi="Times New Roman"/>
          <w:sz w:val="28"/>
          <w:szCs w:val="28"/>
        </w:rPr>
        <w:t xml:space="preserve"> 12,5 mil.lei</w:t>
      </w:r>
      <w:r w:rsidR="00210B0E">
        <w:rPr>
          <w:rFonts w:ascii="Times New Roman" w:hAnsi="Times New Roman"/>
          <w:sz w:val="28"/>
          <w:szCs w:val="28"/>
        </w:rPr>
        <w:t>,</w:t>
      </w:r>
      <w:r w:rsidR="00F307ED">
        <w:rPr>
          <w:rFonts w:ascii="Times New Roman" w:hAnsi="Times New Roman"/>
          <w:sz w:val="28"/>
          <w:szCs w:val="28"/>
        </w:rPr>
        <w:t xml:space="preserve"> și </w:t>
      </w:r>
      <w:r w:rsidR="004C7EE5">
        <w:rPr>
          <w:rFonts w:ascii="Times New Roman" w:hAnsi="Times New Roman"/>
          <w:sz w:val="28"/>
          <w:szCs w:val="28"/>
        </w:rPr>
        <w:t xml:space="preserve">S.A. „MoldFarm” </w:t>
      </w:r>
      <w:r w:rsidR="00210B0E">
        <w:rPr>
          <w:rFonts w:ascii="Times New Roman" w:hAnsi="Times New Roman"/>
          <w:sz w:val="28"/>
          <w:szCs w:val="28"/>
        </w:rPr>
        <w:t>–</w:t>
      </w:r>
      <w:r w:rsidR="004C7EE5">
        <w:rPr>
          <w:rFonts w:ascii="Times New Roman" w:hAnsi="Times New Roman"/>
          <w:sz w:val="28"/>
          <w:szCs w:val="28"/>
        </w:rPr>
        <w:t xml:space="preserve"> </w:t>
      </w:r>
      <w:r w:rsidR="00F307ED">
        <w:rPr>
          <w:rFonts w:ascii="Times New Roman" w:hAnsi="Times New Roman"/>
          <w:sz w:val="28"/>
          <w:szCs w:val="28"/>
        </w:rPr>
        <w:t>1,0 mil.lei</w:t>
      </w:r>
      <w:r w:rsidR="004C7EE5">
        <w:rPr>
          <w:rFonts w:ascii="Times New Roman" w:hAnsi="Times New Roman"/>
          <w:sz w:val="28"/>
          <w:szCs w:val="28"/>
        </w:rPr>
        <w:t>,</w:t>
      </w:r>
      <w:r w:rsidR="00F307ED">
        <w:rPr>
          <w:rFonts w:ascii="Times New Roman" w:hAnsi="Times New Roman"/>
          <w:sz w:val="28"/>
          <w:szCs w:val="28"/>
        </w:rPr>
        <w:t xml:space="preserve"> </w:t>
      </w:r>
      <w:r w:rsidR="004C7EE5">
        <w:rPr>
          <w:rFonts w:ascii="Times New Roman" w:hAnsi="Times New Roman"/>
          <w:sz w:val="28"/>
          <w:szCs w:val="28"/>
        </w:rPr>
        <w:t xml:space="preserve">în total </w:t>
      </w:r>
      <w:r w:rsidR="00E863F9">
        <w:rPr>
          <w:rFonts w:ascii="Times New Roman" w:hAnsi="Times New Roman"/>
          <w:sz w:val="28"/>
          <w:szCs w:val="28"/>
        </w:rPr>
        <w:t>reprezentând</w:t>
      </w:r>
      <w:r w:rsidR="00F307ED">
        <w:rPr>
          <w:rFonts w:ascii="Times New Roman" w:hAnsi="Times New Roman"/>
          <w:sz w:val="28"/>
          <w:szCs w:val="28"/>
        </w:rPr>
        <w:t xml:space="preserve"> 21,3% din volumul precizat</w:t>
      </w:r>
      <w:r w:rsidR="00DF0F11">
        <w:rPr>
          <w:rFonts w:ascii="Times New Roman" w:hAnsi="Times New Roman"/>
          <w:sz w:val="28"/>
          <w:szCs w:val="28"/>
        </w:rPr>
        <w:t xml:space="preserve"> </w:t>
      </w:r>
      <w:r w:rsidR="00DF0F11" w:rsidRPr="00680CE0">
        <w:rPr>
          <w:rFonts w:ascii="Times New Roman" w:hAnsi="Times New Roman"/>
          <w:sz w:val="28"/>
          <w:szCs w:val="28"/>
        </w:rPr>
        <w:t>la poziția</w:t>
      </w:r>
      <w:r w:rsidR="00E67F11">
        <w:rPr>
          <w:rFonts w:ascii="Times New Roman" w:hAnsi="Times New Roman"/>
          <w:sz w:val="28"/>
          <w:szCs w:val="28"/>
        </w:rPr>
        <w:t xml:space="preserve"> „</w:t>
      </w:r>
      <w:r w:rsidR="00E67F11" w:rsidRPr="00E67F11">
        <w:rPr>
          <w:rFonts w:ascii="Times New Roman" w:hAnsi="Times New Roman"/>
          <w:sz w:val="28"/>
          <w:szCs w:val="28"/>
        </w:rPr>
        <w:t xml:space="preserve">Majorarea volumului acțiunilor </w:t>
      </w:r>
      <w:r w:rsidR="00E67F11">
        <w:rPr>
          <w:rFonts w:ascii="Times New Roman" w:hAnsi="Times New Roman"/>
          <w:sz w:val="28"/>
          <w:szCs w:val="28"/>
        </w:rPr>
        <w:t>ș</w:t>
      </w:r>
      <w:r w:rsidR="00E67F11" w:rsidRPr="00E67F11">
        <w:rPr>
          <w:rFonts w:ascii="Times New Roman" w:hAnsi="Times New Roman"/>
          <w:sz w:val="28"/>
          <w:szCs w:val="28"/>
        </w:rPr>
        <w:t xml:space="preserve">i a cotei părți </w:t>
      </w:r>
      <w:r w:rsidR="00E67F11">
        <w:rPr>
          <w:rFonts w:ascii="Times New Roman" w:hAnsi="Times New Roman"/>
          <w:sz w:val="28"/>
          <w:szCs w:val="28"/>
        </w:rPr>
        <w:t>î</w:t>
      </w:r>
      <w:r w:rsidR="00E67F11" w:rsidRPr="00E67F11">
        <w:rPr>
          <w:rFonts w:ascii="Times New Roman" w:hAnsi="Times New Roman"/>
          <w:sz w:val="28"/>
          <w:szCs w:val="28"/>
        </w:rPr>
        <w:t xml:space="preserve">n capitalul social </w:t>
      </w:r>
      <w:r w:rsidR="00E67F11">
        <w:rPr>
          <w:rFonts w:ascii="Times New Roman" w:hAnsi="Times New Roman"/>
          <w:sz w:val="28"/>
          <w:szCs w:val="28"/>
        </w:rPr>
        <w:t>î</w:t>
      </w:r>
      <w:r w:rsidR="00E67F11" w:rsidRPr="00E67F11">
        <w:rPr>
          <w:rFonts w:ascii="Times New Roman" w:hAnsi="Times New Roman"/>
          <w:sz w:val="28"/>
          <w:szCs w:val="28"/>
        </w:rPr>
        <w:t xml:space="preserve">n interiorul </w:t>
      </w:r>
      <w:r w:rsidR="00E67F11">
        <w:rPr>
          <w:rFonts w:ascii="Times New Roman" w:hAnsi="Times New Roman"/>
          <w:sz w:val="28"/>
          <w:szCs w:val="28"/>
        </w:rPr>
        <w:t>ță</w:t>
      </w:r>
      <w:r w:rsidR="00E67F11" w:rsidRPr="00E67F11">
        <w:rPr>
          <w:rFonts w:ascii="Times New Roman" w:hAnsi="Times New Roman"/>
          <w:sz w:val="28"/>
          <w:szCs w:val="28"/>
        </w:rPr>
        <w:t>rii</w:t>
      </w:r>
      <w:r w:rsidR="00E67F11">
        <w:rPr>
          <w:rFonts w:ascii="Times New Roman" w:hAnsi="Times New Roman"/>
          <w:sz w:val="28"/>
          <w:szCs w:val="28"/>
        </w:rPr>
        <w:t>”</w:t>
      </w:r>
      <w:r w:rsidR="00680CE0">
        <w:rPr>
          <w:rFonts w:ascii="Times New Roman" w:hAnsi="Times New Roman"/>
          <w:sz w:val="28"/>
          <w:szCs w:val="28"/>
        </w:rPr>
        <w:t xml:space="preserve"> (cod-4151)</w:t>
      </w:r>
      <w:r w:rsidR="00F307ED">
        <w:rPr>
          <w:rFonts w:ascii="Times New Roman" w:hAnsi="Times New Roman"/>
          <w:sz w:val="28"/>
          <w:szCs w:val="28"/>
        </w:rPr>
        <w:t xml:space="preserve">. </w:t>
      </w:r>
    </w:p>
    <w:p w:rsidR="00F307ED" w:rsidRDefault="00C8597A" w:rsidP="004425C9">
      <w:pPr>
        <w:pStyle w:val="a5"/>
        <w:spacing w:before="240" w:after="0" w:line="276" w:lineRule="auto"/>
        <w:ind w:left="0" w:firstLine="709"/>
        <w:jc w:val="both"/>
        <w:rPr>
          <w:rFonts w:ascii="Times New Roman" w:hAnsi="Times New Roman"/>
          <w:sz w:val="28"/>
          <w:szCs w:val="28"/>
        </w:rPr>
      </w:pPr>
      <w:r>
        <w:rPr>
          <w:rFonts w:ascii="Times New Roman" w:hAnsi="Times New Roman"/>
          <w:sz w:val="28"/>
          <w:szCs w:val="28"/>
        </w:rPr>
        <w:t>M</w:t>
      </w:r>
      <w:r w:rsidR="00F307ED">
        <w:rPr>
          <w:rFonts w:ascii="Times New Roman" w:hAnsi="Times New Roman"/>
          <w:sz w:val="28"/>
          <w:szCs w:val="28"/>
        </w:rPr>
        <w:t xml:space="preserve">ijloacele obținute </w:t>
      </w:r>
      <w:r w:rsidR="00210B0E">
        <w:rPr>
          <w:rFonts w:ascii="Times New Roman" w:hAnsi="Times New Roman"/>
          <w:sz w:val="28"/>
          <w:szCs w:val="28"/>
        </w:rPr>
        <w:t>din</w:t>
      </w:r>
      <w:r w:rsidR="00F307ED">
        <w:rPr>
          <w:rFonts w:ascii="Times New Roman" w:hAnsi="Times New Roman"/>
          <w:sz w:val="28"/>
          <w:szCs w:val="28"/>
        </w:rPr>
        <w:t xml:space="preserve"> privatizarea pachetului de acțiuni/cotelor sociale/proprietatea publică </w:t>
      </w:r>
      <w:r>
        <w:rPr>
          <w:rFonts w:ascii="Times New Roman" w:hAnsi="Times New Roman"/>
          <w:sz w:val="28"/>
          <w:szCs w:val="28"/>
        </w:rPr>
        <w:t>au însumat</w:t>
      </w:r>
      <w:r w:rsidR="00F307ED">
        <w:rPr>
          <w:rFonts w:ascii="Times New Roman" w:hAnsi="Times New Roman"/>
          <w:sz w:val="28"/>
          <w:szCs w:val="28"/>
        </w:rPr>
        <w:t xml:space="preserve"> 166,1 mil.</w:t>
      </w:r>
      <w:r w:rsidR="00F307ED" w:rsidRPr="00711C01">
        <w:rPr>
          <w:rFonts w:ascii="Times New Roman" w:hAnsi="Times New Roman"/>
          <w:sz w:val="28"/>
          <w:szCs w:val="28"/>
        </w:rPr>
        <w:t>lei</w:t>
      </w:r>
      <w:r w:rsidR="00210B0E">
        <w:rPr>
          <w:rFonts w:ascii="Times New Roman" w:hAnsi="Times New Roman"/>
          <w:sz w:val="28"/>
          <w:szCs w:val="28"/>
        </w:rPr>
        <w:t>,</w:t>
      </w:r>
      <w:r w:rsidR="00F307ED">
        <w:rPr>
          <w:rFonts w:ascii="Times New Roman" w:hAnsi="Times New Roman"/>
          <w:sz w:val="28"/>
          <w:szCs w:val="28"/>
        </w:rPr>
        <w:t xml:space="preserve"> sau 68,1% față de indicatorul precizat</w:t>
      </w:r>
      <w:r w:rsidR="00DF0F11">
        <w:rPr>
          <w:rFonts w:ascii="Times New Roman" w:hAnsi="Times New Roman"/>
          <w:sz w:val="28"/>
          <w:szCs w:val="28"/>
        </w:rPr>
        <w:t xml:space="preserve"> al poziției respective</w:t>
      </w:r>
      <w:r w:rsidR="00F307ED">
        <w:rPr>
          <w:rFonts w:ascii="Times New Roman" w:hAnsi="Times New Roman"/>
          <w:sz w:val="28"/>
          <w:szCs w:val="28"/>
        </w:rPr>
        <w:t xml:space="preserve">. </w:t>
      </w:r>
      <w:r w:rsidR="00815780">
        <w:rPr>
          <w:rFonts w:ascii="Times New Roman" w:hAnsi="Times New Roman"/>
          <w:sz w:val="28"/>
          <w:szCs w:val="28"/>
        </w:rPr>
        <w:t>Verificările și contrapunerile efectuate de către audit referitor la încasările înregistrate în evidența Trezoreriei de Stat cu datele raportate nu au constatat divergențe.</w:t>
      </w:r>
    </w:p>
    <w:p w:rsidR="00F307ED" w:rsidRPr="00BD66BF" w:rsidRDefault="00E863F9" w:rsidP="004425C9">
      <w:pPr>
        <w:pStyle w:val="a5"/>
        <w:spacing w:before="240" w:after="0" w:line="276" w:lineRule="auto"/>
        <w:ind w:left="0" w:firstLine="709"/>
        <w:jc w:val="both"/>
        <w:rPr>
          <w:rFonts w:ascii="Times New Roman" w:hAnsi="Times New Roman"/>
          <w:color w:val="FF0000"/>
          <w:sz w:val="28"/>
          <w:szCs w:val="28"/>
        </w:rPr>
      </w:pPr>
      <w:r>
        <w:rPr>
          <w:rFonts w:ascii="Times New Roman" w:hAnsi="Times New Roman"/>
          <w:sz w:val="28"/>
          <w:szCs w:val="28"/>
        </w:rPr>
        <w:t>A</w:t>
      </w:r>
      <w:r w:rsidR="00F307ED">
        <w:rPr>
          <w:rFonts w:ascii="Times New Roman" w:hAnsi="Times New Roman"/>
          <w:sz w:val="28"/>
          <w:szCs w:val="28"/>
        </w:rPr>
        <w:t xml:space="preserve">lte </w:t>
      </w:r>
      <w:r w:rsidR="009134E9">
        <w:rPr>
          <w:rFonts w:ascii="Times New Roman" w:hAnsi="Times New Roman"/>
          <w:sz w:val="28"/>
          <w:szCs w:val="28"/>
        </w:rPr>
        <w:t>mijloace</w:t>
      </w:r>
      <w:r w:rsidR="00F307ED">
        <w:rPr>
          <w:rFonts w:ascii="Times New Roman" w:hAnsi="Times New Roman"/>
          <w:sz w:val="28"/>
          <w:szCs w:val="28"/>
        </w:rPr>
        <w:t xml:space="preserve"> interne ale bugetului care au servit ca surse de finanțare a deficitului în sumă de 210,6 mil.lei</w:t>
      </w:r>
      <w:r w:rsidR="00210B0E">
        <w:rPr>
          <w:rFonts w:ascii="Times New Roman" w:hAnsi="Times New Roman"/>
          <w:sz w:val="28"/>
          <w:szCs w:val="28"/>
        </w:rPr>
        <w:t>,</w:t>
      </w:r>
      <w:r w:rsidR="00F307ED">
        <w:rPr>
          <w:rFonts w:ascii="Times New Roman" w:hAnsi="Times New Roman"/>
          <w:sz w:val="28"/>
          <w:szCs w:val="28"/>
        </w:rPr>
        <w:t xml:space="preserve"> sau 30,1% din volumul precizat</w:t>
      </w:r>
      <w:r w:rsidR="00210B0E">
        <w:rPr>
          <w:rFonts w:ascii="Times New Roman" w:hAnsi="Times New Roman"/>
          <w:sz w:val="28"/>
          <w:szCs w:val="28"/>
        </w:rPr>
        <w:t>,</w:t>
      </w:r>
      <w:r w:rsidR="00F307ED">
        <w:rPr>
          <w:rFonts w:ascii="Times New Roman" w:hAnsi="Times New Roman"/>
          <w:sz w:val="28"/>
          <w:szCs w:val="28"/>
        </w:rPr>
        <w:t xml:space="preserve"> au fost formate urmare </w:t>
      </w:r>
      <w:r w:rsidR="00210B0E">
        <w:rPr>
          <w:rFonts w:ascii="Times New Roman" w:hAnsi="Times New Roman"/>
          <w:sz w:val="28"/>
          <w:szCs w:val="28"/>
        </w:rPr>
        <w:t xml:space="preserve">a </w:t>
      </w:r>
      <w:r w:rsidR="00F307ED">
        <w:rPr>
          <w:rFonts w:ascii="Times New Roman" w:hAnsi="Times New Roman"/>
          <w:sz w:val="28"/>
          <w:szCs w:val="28"/>
        </w:rPr>
        <w:t xml:space="preserve">transferării în bugetul de stat </w:t>
      </w:r>
      <w:r w:rsidR="00991E4D">
        <w:rPr>
          <w:rFonts w:ascii="Times New Roman" w:hAnsi="Times New Roman"/>
          <w:sz w:val="28"/>
          <w:szCs w:val="28"/>
        </w:rPr>
        <w:t xml:space="preserve">a mijloacelor încasate din valorificarea activelor </w:t>
      </w:r>
      <w:r w:rsidR="00F307ED">
        <w:rPr>
          <w:rFonts w:ascii="Times New Roman" w:hAnsi="Times New Roman"/>
          <w:sz w:val="28"/>
          <w:szCs w:val="28"/>
        </w:rPr>
        <w:t>băncil</w:t>
      </w:r>
      <w:r w:rsidR="00991E4D">
        <w:rPr>
          <w:rFonts w:ascii="Times New Roman" w:hAnsi="Times New Roman"/>
          <w:sz w:val="28"/>
          <w:szCs w:val="28"/>
        </w:rPr>
        <w:t>or</w:t>
      </w:r>
      <w:r w:rsidR="00F307ED">
        <w:rPr>
          <w:rFonts w:ascii="Times New Roman" w:hAnsi="Times New Roman"/>
          <w:sz w:val="28"/>
          <w:szCs w:val="28"/>
        </w:rPr>
        <w:t xml:space="preserve"> care se află în proces de lichidare (BC „Investprivatbank” S.A. </w:t>
      </w:r>
      <w:r w:rsidR="00210B0E">
        <w:rPr>
          <w:rFonts w:ascii="Times New Roman" w:hAnsi="Times New Roman"/>
          <w:sz w:val="28"/>
          <w:szCs w:val="28"/>
        </w:rPr>
        <w:t>–</w:t>
      </w:r>
      <w:r w:rsidR="00F307ED">
        <w:rPr>
          <w:rFonts w:ascii="Times New Roman" w:hAnsi="Times New Roman"/>
          <w:sz w:val="28"/>
          <w:szCs w:val="28"/>
        </w:rPr>
        <w:t xml:space="preserve"> 0,7 mil.lei</w:t>
      </w:r>
      <w:r w:rsidR="00210B0E">
        <w:rPr>
          <w:rFonts w:ascii="Times New Roman" w:hAnsi="Times New Roman"/>
          <w:sz w:val="28"/>
          <w:szCs w:val="28"/>
        </w:rPr>
        <w:t>,</w:t>
      </w:r>
      <w:r w:rsidR="00F307ED">
        <w:rPr>
          <w:rFonts w:ascii="Times New Roman" w:hAnsi="Times New Roman"/>
          <w:sz w:val="28"/>
          <w:szCs w:val="28"/>
        </w:rPr>
        <w:t xml:space="preserve"> și, respectiv, BC</w:t>
      </w:r>
      <w:r w:rsidR="00210B0E">
        <w:rPr>
          <w:rFonts w:ascii="Times New Roman" w:hAnsi="Times New Roman"/>
          <w:sz w:val="28"/>
          <w:szCs w:val="28"/>
        </w:rPr>
        <w:t xml:space="preserve"> </w:t>
      </w:r>
      <w:r w:rsidR="00F307ED">
        <w:rPr>
          <w:rFonts w:ascii="Times New Roman" w:hAnsi="Times New Roman"/>
          <w:sz w:val="28"/>
          <w:szCs w:val="28"/>
        </w:rPr>
        <w:t>„Banca de Economii” S.A</w:t>
      </w:r>
      <w:r w:rsidR="00210B0E">
        <w:rPr>
          <w:rFonts w:ascii="Times New Roman" w:hAnsi="Times New Roman"/>
          <w:sz w:val="28"/>
          <w:szCs w:val="28"/>
        </w:rPr>
        <w:t>.</w:t>
      </w:r>
      <w:r w:rsidR="003929E9">
        <w:rPr>
          <w:rFonts w:ascii="Times New Roman" w:hAnsi="Times New Roman"/>
          <w:sz w:val="28"/>
          <w:szCs w:val="28"/>
        </w:rPr>
        <w:t>, BC „Banca Socială” S.A</w:t>
      </w:r>
      <w:r w:rsidR="00210B0E">
        <w:rPr>
          <w:rFonts w:ascii="Times New Roman" w:hAnsi="Times New Roman"/>
          <w:sz w:val="28"/>
          <w:szCs w:val="28"/>
        </w:rPr>
        <w:t>.</w:t>
      </w:r>
      <w:r w:rsidR="003929E9">
        <w:rPr>
          <w:rFonts w:ascii="Times New Roman" w:hAnsi="Times New Roman"/>
          <w:sz w:val="28"/>
          <w:szCs w:val="28"/>
        </w:rPr>
        <w:t>, B</w:t>
      </w:r>
      <w:r w:rsidR="00F307ED">
        <w:rPr>
          <w:rFonts w:ascii="Times New Roman" w:hAnsi="Times New Roman"/>
          <w:sz w:val="28"/>
          <w:szCs w:val="28"/>
        </w:rPr>
        <w:t>C „Unibank” S.A</w:t>
      </w:r>
      <w:r w:rsidR="00210B0E">
        <w:rPr>
          <w:rFonts w:ascii="Times New Roman" w:hAnsi="Times New Roman"/>
          <w:sz w:val="28"/>
          <w:szCs w:val="28"/>
        </w:rPr>
        <w:t>.</w:t>
      </w:r>
      <w:r w:rsidR="00F307ED">
        <w:rPr>
          <w:rFonts w:ascii="Times New Roman" w:hAnsi="Times New Roman"/>
          <w:sz w:val="28"/>
          <w:szCs w:val="28"/>
        </w:rPr>
        <w:t xml:space="preserve"> în sumă totală de 209,9 mil.lei</w:t>
      </w:r>
      <w:r w:rsidR="00991E4D">
        <w:rPr>
          <w:rFonts w:ascii="Times New Roman" w:hAnsi="Times New Roman"/>
          <w:sz w:val="28"/>
          <w:szCs w:val="28"/>
        </w:rPr>
        <w:t>)</w:t>
      </w:r>
      <w:r w:rsidR="00F307ED">
        <w:rPr>
          <w:rFonts w:ascii="Times New Roman" w:hAnsi="Times New Roman"/>
          <w:sz w:val="28"/>
          <w:szCs w:val="28"/>
        </w:rPr>
        <w:t>. Totodată</w:t>
      </w:r>
      <w:r w:rsidR="00991E4D">
        <w:rPr>
          <w:rFonts w:ascii="Times New Roman" w:hAnsi="Times New Roman"/>
          <w:sz w:val="28"/>
          <w:szCs w:val="28"/>
        </w:rPr>
        <w:t>,</w:t>
      </w:r>
      <w:r w:rsidR="00F307ED">
        <w:rPr>
          <w:rFonts w:ascii="Times New Roman" w:hAnsi="Times New Roman"/>
          <w:sz w:val="28"/>
          <w:szCs w:val="28"/>
        </w:rPr>
        <w:t xml:space="preserve"> se atestă că</w:t>
      </w:r>
      <w:r>
        <w:rPr>
          <w:rFonts w:ascii="Times New Roman" w:hAnsi="Times New Roman"/>
          <w:sz w:val="28"/>
          <w:szCs w:val="28"/>
        </w:rPr>
        <w:t>,</w:t>
      </w:r>
      <w:r w:rsidR="00F307ED">
        <w:rPr>
          <w:rFonts w:ascii="Times New Roman" w:hAnsi="Times New Roman"/>
          <w:sz w:val="28"/>
          <w:szCs w:val="28"/>
        </w:rPr>
        <w:t xml:space="preserve"> </w:t>
      </w:r>
      <w:r>
        <w:rPr>
          <w:rFonts w:ascii="Times New Roman" w:hAnsi="Times New Roman"/>
          <w:sz w:val="28"/>
          <w:szCs w:val="28"/>
        </w:rPr>
        <w:t xml:space="preserve">potrivit datelor MF, </w:t>
      </w:r>
      <w:r w:rsidR="00F307ED">
        <w:rPr>
          <w:rFonts w:ascii="Times New Roman" w:hAnsi="Times New Roman"/>
          <w:sz w:val="28"/>
          <w:szCs w:val="28"/>
        </w:rPr>
        <w:t>la situația din 31.12.2017 datoria băncilor sus</w:t>
      </w:r>
      <w:r w:rsidR="00991E4D">
        <w:rPr>
          <w:rFonts w:ascii="Times New Roman" w:hAnsi="Times New Roman"/>
          <w:sz w:val="28"/>
          <w:szCs w:val="28"/>
        </w:rPr>
        <w:t>-</w:t>
      </w:r>
      <w:r w:rsidR="00F307ED">
        <w:rPr>
          <w:rFonts w:ascii="Times New Roman" w:hAnsi="Times New Roman"/>
          <w:sz w:val="28"/>
          <w:szCs w:val="28"/>
        </w:rPr>
        <w:t>menționate față de MF</w:t>
      </w:r>
      <w:r w:rsidR="00991E4D">
        <w:rPr>
          <w:rFonts w:ascii="Times New Roman" w:hAnsi="Times New Roman"/>
          <w:sz w:val="28"/>
          <w:szCs w:val="28"/>
        </w:rPr>
        <w:t xml:space="preserve"> însuma</w:t>
      </w:r>
      <w:r w:rsidR="00F307ED">
        <w:rPr>
          <w:rFonts w:ascii="Times New Roman" w:hAnsi="Times New Roman"/>
          <w:sz w:val="28"/>
          <w:szCs w:val="28"/>
        </w:rPr>
        <w:t xml:space="preserve"> </w:t>
      </w:r>
      <w:r w:rsidR="00BD66BF">
        <w:rPr>
          <w:rFonts w:ascii="Times New Roman" w:hAnsi="Times New Roman"/>
          <w:sz w:val="28"/>
          <w:szCs w:val="28"/>
        </w:rPr>
        <w:t>13</w:t>
      </w:r>
      <w:r w:rsidR="001144ED">
        <w:rPr>
          <w:rFonts w:ascii="Times New Roman" w:hAnsi="Times New Roman"/>
          <w:sz w:val="28"/>
          <w:szCs w:val="28"/>
        </w:rPr>
        <w:t>408</w:t>
      </w:r>
      <w:r w:rsidR="00BD66BF">
        <w:rPr>
          <w:rFonts w:ascii="Times New Roman" w:hAnsi="Times New Roman"/>
          <w:sz w:val="28"/>
          <w:szCs w:val="28"/>
        </w:rPr>
        <w:t>,</w:t>
      </w:r>
      <w:r w:rsidR="001144ED">
        <w:rPr>
          <w:rFonts w:ascii="Times New Roman" w:hAnsi="Times New Roman"/>
          <w:sz w:val="28"/>
          <w:szCs w:val="28"/>
        </w:rPr>
        <w:t>9</w:t>
      </w:r>
      <w:r w:rsidR="00BD66BF">
        <w:rPr>
          <w:rFonts w:ascii="Times New Roman" w:hAnsi="Times New Roman"/>
          <w:sz w:val="28"/>
          <w:szCs w:val="28"/>
        </w:rPr>
        <w:t xml:space="preserve"> </w:t>
      </w:r>
      <w:r w:rsidR="00991E4D">
        <w:rPr>
          <w:rFonts w:ascii="Times New Roman" w:hAnsi="Times New Roman"/>
          <w:sz w:val="28"/>
          <w:szCs w:val="28"/>
        </w:rPr>
        <w:t xml:space="preserve">mil.lei, urmare </w:t>
      </w:r>
      <w:r w:rsidR="00210B0E">
        <w:rPr>
          <w:rFonts w:ascii="Times New Roman" w:hAnsi="Times New Roman"/>
          <w:sz w:val="28"/>
          <w:szCs w:val="28"/>
        </w:rPr>
        <w:t xml:space="preserve">a </w:t>
      </w:r>
      <w:r w:rsidR="00991E4D">
        <w:rPr>
          <w:rFonts w:ascii="Times New Roman" w:hAnsi="Times New Roman"/>
          <w:sz w:val="28"/>
          <w:szCs w:val="28"/>
        </w:rPr>
        <w:t>asumării obligațiilor de</w:t>
      </w:r>
      <w:r w:rsidR="00825EC3">
        <w:rPr>
          <w:rFonts w:ascii="Times New Roman" w:hAnsi="Times New Roman"/>
          <w:sz w:val="28"/>
          <w:szCs w:val="28"/>
        </w:rPr>
        <w:t xml:space="preserve"> plată </w:t>
      </w:r>
      <w:r w:rsidR="00991E4D">
        <w:rPr>
          <w:rFonts w:ascii="Times New Roman" w:hAnsi="Times New Roman"/>
          <w:sz w:val="28"/>
          <w:szCs w:val="28"/>
        </w:rPr>
        <w:t>derivate din garanțiile</w:t>
      </w:r>
      <w:r w:rsidR="00825EC3">
        <w:rPr>
          <w:rFonts w:ascii="Times New Roman" w:hAnsi="Times New Roman"/>
          <w:sz w:val="28"/>
          <w:szCs w:val="28"/>
        </w:rPr>
        <w:t xml:space="preserve"> de stat acordate </w:t>
      </w:r>
      <w:r w:rsidR="00210B0E">
        <w:rPr>
          <w:rFonts w:ascii="Times New Roman" w:hAnsi="Times New Roman"/>
          <w:sz w:val="28"/>
          <w:szCs w:val="28"/>
        </w:rPr>
        <w:t>acestora</w:t>
      </w:r>
      <w:r w:rsidR="00825EC3">
        <w:rPr>
          <w:rFonts w:ascii="Times New Roman" w:hAnsi="Times New Roman"/>
          <w:sz w:val="28"/>
          <w:szCs w:val="28"/>
        </w:rPr>
        <w:t>.</w:t>
      </w:r>
    </w:p>
    <w:p w:rsidR="000F439E" w:rsidRDefault="000F439E" w:rsidP="004425C9">
      <w:pPr>
        <w:spacing w:line="276" w:lineRule="auto"/>
      </w:pPr>
    </w:p>
    <w:p w:rsidR="0075464B" w:rsidRDefault="00405946" w:rsidP="004425C9">
      <w:pPr>
        <w:pStyle w:val="3"/>
        <w:numPr>
          <w:ilvl w:val="2"/>
          <w:numId w:val="1"/>
        </w:numPr>
        <w:spacing w:line="276" w:lineRule="auto"/>
        <w:ind w:left="0" w:firstLine="709"/>
        <w:jc w:val="both"/>
        <w:rPr>
          <w:rFonts w:ascii="Times New Roman" w:hAnsi="Times New Roman" w:cs="Times New Roman"/>
          <w:b/>
          <w:i/>
          <w:color w:val="000000" w:themeColor="text1"/>
          <w:sz w:val="28"/>
          <w:szCs w:val="28"/>
        </w:rPr>
      </w:pPr>
      <w:bookmarkStart w:id="13" w:name="_Toc515518986"/>
      <w:r>
        <w:rPr>
          <w:rFonts w:ascii="Times New Roman" w:hAnsi="Times New Roman" w:cs="Times New Roman"/>
          <w:b/>
          <w:i/>
          <w:color w:val="000000" w:themeColor="text1"/>
          <w:sz w:val="28"/>
          <w:szCs w:val="28"/>
        </w:rPr>
        <w:lastRenderedPageBreak/>
        <w:t>S</w:t>
      </w:r>
      <w:r w:rsidR="0075464B" w:rsidRPr="0075464B">
        <w:rPr>
          <w:rFonts w:ascii="Times New Roman" w:hAnsi="Times New Roman" w:cs="Times New Roman"/>
          <w:b/>
          <w:i/>
          <w:color w:val="000000" w:themeColor="text1"/>
          <w:sz w:val="28"/>
          <w:szCs w:val="28"/>
        </w:rPr>
        <w:t>oldurile de mijloace bănești la începutul și la finele anului bugetar au fost raportate conform regulilor stabilite</w:t>
      </w:r>
      <w:r w:rsidR="00210B0E">
        <w:rPr>
          <w:rFonts w:ascii="Times New Roman" w:hAnsi="Times New Roman" w:cs="Times New Roman"/>
          <w:b/>
          <w:i/>
          <w:color w:val="000000" w:themeColor="text1"/>
          <w:sz w:val="28"/>
          <w:szCs w:val="28"/>
        </w:rPr>
        <w:t>.</w:t>
      </w:r>
      <w:bookmarkEnd w:id="13"/>
    </w:p>
    <w:p w:rsidR="00C40835" w:rsidRDefault="00405946" w:rsidP="004425C9">
      <w:pPr>
        <w:tabs>
          <w:tab w:val="left" w:pos="990"/>
        </w:tabs>
        <w:spacing w:after="0" w:line="276" w:lineRule="auto"/>
        <w:ind w:firstLine="709"/>
        <w:jc w:val="both"/>
        <w:rPr>
          <w:rFonts w:ascii="Times New Roman" w:hAnsi="Times New Roman"/>
          <w:sz w:val="28"/>
          <w:szCs w:val="28"/>
        </w:rPr>
      </w:pPr>
      <w:r>
        <w:rPr>
          <w:rFonts w:ascii="Times New Roman" w:hAnsi="Times New Roman"/>
          <w:sz w:val="28"/>
          <w:szCs w:val="28"/>
        </w:rPr>
        <w:t xml:space="preserve">Potrivit Raportului </w:t>
      </w:r>
      <w:r w:rsidRPr="000F439E">
        <w:rPr>
          <w:rFonts w:ascii="Times New Roman" w:hAnsi="Times New Roman"/>
          <w:sz w:val="28"/>
          <w:szCs w:val="28"/>
        </w:rPr>
        <w:t>privind executarea indicatorilor generali și surselor de finanțare ale bugetului de stat</w:t>
      </w:r>
      <w:r w:rsidR="00210B0E">
        <w:rPr>
          <w:rFonts w:ascii="Times New Roman" w:hAnsi="Times New Roman"/>
          <w:sz w:val="28"/>
          <w:szCs w:val="28"/>
        </w:rPr>
        <w:t>,</w:t>
      </w:r>
      <w:r>
        <w:rPr>
          <w:rFonts w:ascii="Times New Roman" w:hAnsi="Times New Roman"/>
          <w:sz w:val="28"/>
          <w:szCs w:val="28"/>
        </w:rPr>
        <w:t xml:space="preserve"> Bilanțul contabil privind executarea bugetului de stat</w:t>
      </w:r>
      <w:r>
        <w:rPr>
          <w:rStyle w:val="a9"/>
          <w:rFonts w:ascii="Times New Roman" w:hAnsi="Times New Roman"/>
          <w:sz w:val="28"/>
          <w:szCs w:val="28"/>
        </w:rPr>
        <w:footnoteReference w:id="24"/>
      </w:r>
      <w:r>
        <w:rPr>
          <w:rFonts w:ascii="Times New Roman" w:hAnsi="Times New Roman"/>
          <w:sz w:val="28"/>
          <w:szCs w:val="28"/>
        </w:rPr>
        <w:t xml:space="preserve">, </w:t>
      </w:r>
      <w:r w:rsidR="00CC18FA">
        <w:rPr>
          <w:rFonts w:ascii="Times New Roman" w:hAnsi="Times New Roman"/>
          <w:sz w:val="28"/>
          <w:szCs w:val="28"/>
        </w:rPr>
        <w:t>soldurile mijloacelor bănești la situația din 31.12.2017 au î</w:t>
      </w:r>
      <w:r w:rsidR="00C40835">
        <w:rPr>
          <w:rFonts w:ascii="Times New Roman" w:hAnsi="Times New Roman"/>
          <w:sz w:val="28"/>
          <w:szCs w:val="28"/>
        </w:rPr>
        <w:t>nsumat 4933,9 mil.lei.</w:t>
      </w:r>
    </w:p>
    <w:p w:rsidR="005C2A0B" w:rsidRDefault="00C40835" w:rsidP="004425C9">
      <w:pPr>
        <w:tabs>
          <w:tab w:val="left" w:pos="990"/>
        </w:tabs>
        <w:spacing w:after="0" w:line="276" w:lineRule="auto"/>
        <w:ind w:firstLine="709"/>
        <w:jc w:val="both"/>
        <w:rPr>
          <w:rFonts w:ascii="Times New Roman" w:hAnsi="Times New Roman"/>
          <w:sz w:val="28"/>
          <w:szCs w:val="28"/>
        </w:rPr>
      </w:pPr>
      <w:r>
        <w:rPr>
          <w:rFonts w:ascii="Times New Roman" w:hAnsi="Times New Roman"/>
          <w:sz w:val="28"/>
          <w:szCs w:val="28"/>
        </w:rPr>
        <w:t>Examinările auditului denotă majora</w:t>
      </w:r>
      <w:r w:rsidR="002F2B3E">
        <w:rPr>
          <w:rFonts w:ascii="Times New Roman" w:hAnsi="Times New Roman"/>
          <w:sz w:val="28"/>
          <w:szCs w:val="28"/>
        </w:rPr>
        <w:t>re</w:t>
      </w:r>
      <w:r>
        <w:rPr>
          <w:rFonts w:ascii="Times New Roman" w:hAnsi="Times New Roman"/>
          <w:sz w:val="28"/>
          <w:szCs w:val="28"/>
        </w:rPr>
        <w:t>a soldurilor</w:t>
      </w:r>
      <w:r w:rsidR="002F2B3E">
        <w:rPr>
          <w:rFonts w:ascii="Times New Roman" w:hAnsi="Times New Roman"/>
          <w:sz w:val="28"/>
          <w:szCs w:val="28"/>
        </w:rPr>
        <w:t xml:space="preserve"> cu 1635,7 mil.</w:t>
      </w:r>
      <w:r w:rsidR="00CC18FA">
        <w:rPr>
          <w:rFonts w:ascii="Times New Roman" w:hAnsi="Times New Roman"/>
          <w:sz w:val="28"/>
          <w:szCs w:val="28"/>
        </w:rPr>
        <w:t>lei (50,0%)</w:t>
      </w:r>
      <w:r w:rsidR="00210B0E">
        <w:rPr>
          <w:rFonts w:ascii="Times New Roman" w:hAnsi="Times New Roman"/>
          <w:sz w:val="28"/>
          <w:szCs w:val="28"/>
        </w:rPr>
        <w:t>,</w:t>
      </w:r>
      <w:r w:rsidR="00CC18FA">
        <w:rPr>
          <w:rFonts w:ascii="Times New Roman" w:hAnsi="Times New Roman"/>
          <w:sz w:val="28"/>
          <w:szCs w:val="28"/>
        </w:rPr>
        <w:t xml:space="preserve"> compara</w:t>
      </w:r>
      <w:r>
        <w:rPr>
          <w:rFonts w:ascii="Times New Roman" w:hAnsi="Times New Roman"/>
          <w:sz w:val="28"/>
          <w:szCs w:val="28"/>
        </w:rPr>
        <w:t>tiv cu situația din 31.12.201</w:t>
      </w:r>
      <w:r w:rsidR="005C2A0B">
        <w:rPr>
          <w:rFonts w:ascii="Times New Roman" w:hAnsi="Times New Roman"/>
          <w:sz w:val="28"/>
          <w:szCs w:val="28"/>
        </w:rPr>
        <w:t xml:space="preserve">6. Preponderent, această majorare este condiționată de nivelul de executare a părții de venituri și </w:t>
      </w:r>
      <w:r w:rsidR="00210B0E">
        <w:rPr>
          <w:rFonts w:ascii="Times New Roman" w:hAnsi="Times New Roman"/>
          <w:sz w:val="28"/>
          <w:szCs w:val="28"/>
        </w:rPr>
        <w:t xml:space="preserve">de </w:t>
      </w:r>
      <w:r w:rsidR="005C2A0B">
        <w:rPr>
          <w:rFonts w:ascii="Times New Roman" w:hAnsi="Times New Roman"/>
          <w:sz w:val="28"/>
          <w:szCs w:val="28"/>
        </w:rPr>
        <w:t>gradul scăzut de valorificare a alocațiilor bugetare aprobate.</w:t>
      </w:r>
    </w:p>
    <w:p w:rsidR="009959FD" w:rsidRDefault="00C40835" w:rsidP="004425C9">
      <w:pPr>
        <w:tabs>
          <w:tab w:val="left" w:pos="990"/>
        </w:tabs>
        <w:spacing w:after="0" w:line="276" w:lineRule="auto"/>
        <w:ind w:firstLine="709"/>
        <w:jc w:val="both"/>
        <w:rPr>
          <w:rFonts w:ascii="Times New Roman" w:hAnsi="Times New Roman"/>
          <w:sz w:val="28"/>
          <w:szCs w:val="28"/>
        </w:rPr>
      </w:pPr>
      <w:r>
        <w:rPr>
          <w:rFonts w:ascii="Times New Roman" w:hAnsi="Times New Roman"/>
          <w:sz w:val="28"/>
          <w:szCs w:val="28"/>
        </w:rPr>
        <w:t xml:space="preserve">Verificările auditului </w:t>
      </w:r>
      <w:r w:rsidR="00127984">
        <w:rPr>
          <w:rFonts w:ascii="Times New Roman" w:hAnsi="Times New Roman"/>
          <w:sz w:val="28"/>
          <w:szCs w:val="28"/>
        </w:rPr>
        <w:t>relevă că soldul</w:t>
      </w:r>
      <w:r w:rsidR="00CC18FA">
        <w:rPr>
          <w:rFonts w:ascii="Times New Roman" w:hAnsi="Times New Roman"/>
          <w:sz w:val="28"/>
          <w:szCs w:val="28"/>
        </w:rPr>
        <w:t xml:space="preserve"> mijloacelor bănești în</w:t>
      </w:r>
      <w:r w:rsidR="00127984">
        <w:rPr>
          <w:rFonts w:ascii="Times New Roman" w:hAnsi="Times New Roman"/>
          <w:sz w:val="28"/>
          <w:szCs w:val="28"/>
        </w:rPr>
        <w:t xml:space="preserve"> conturile bugetului de stat este constituit: </w:t>
      </w:r>
      <w:r w:rsidR="00127984">
        <w:rPr>
          <w:rFonts w:ascii="Times New Roman" w:hAnsi="Times New Roman"/>
          <w:i/>
          <w:sz w:val="28"/>
          <w:szCs w:val="28"/>
        </w:rPr>
        <w:t>i)</w:t>
      </w:r>
      <w:r w:rsidR="00127984">
        <w:rPr>
          <w:rFonts w:ascii="Times New Roman" w:hAnsi="Times New Roman"/>
          <w:sz w:val="28"/>
          <w:szCs w:val="28"/>
        </w:rPr>
        <w:t xml:space="preserve"> în moned</w:t>
      </w:r>
      <w:r w:rsidR="00210B0E">
        <w:rPr>
          <w:rFonts w:ascii="Times New Roman" w:hAnsi="Times New Roman"/>
          <w:sz w:val="28"/>
          <w:szCs w:val="28"/>
        </w:rPr>
        <w:t>ă</w:t>
      </w:r>
      <w:r w:rsidR="00127984">
        <w:rPr>
          <w:rFonts w:ascii="Times New Roman" w:hAnsi="Times New Roman"/>
          <w:sz w:val="28"/>
          <w:szCs w:val="28"/>
        </w:rPr>
        <w:t xml:space="preserve"> națională </w:t>
      </w:r>
      <w:r w:rsidR="00210B0E">
        <w:rPr>
          <w:rFonts w:ascii="Times New Roman" w:hAnsi="Times New Roman"/>
          <w:sz w:val="28"/>
          <w:szCs w:val="28"/>
        </w:rPr>
        <w:t>–</w:t>
      </w:r>
      <w:r w:rsidR="00127984">
        <w:rPr>
          <w:rFonts w:ascii="Times New Roman" w:hAnsi="Times New Roman"/>
          <w:sz w:val="28"/>
          <w:szCs w:val="28"/>
        </w:rPr>
        <w:t xml:space="preserve"> </w:t>
      </w:r>
      <w:r w:rsidR="00CC18FA">
        <w:rPr>
          <w:rFonts w:ascii="Times New Roman" w:hAnsi="Times New Roman"/>
          <w:sz w:val="28"/>
          <w:szCs w:val="28"/>
        </w:rPr>
        <w:t xml:space="preserve">2372,5 mil.lei, </w:t>
      </w:r>
      <w:r w:rsidR="00CC18FA" w:rsidRPr="00E54757">
        <w:rPr>
          <w:rFonts w:ascii="Times New Roman" w:hAnsi="Times New Roman"/>
          <w:i/>
          <w:sz w:val="28"/>
          <w:szCs w:val="28"/>
        </w:rPr>
        <w:t>ii)</w:t>
      </w:r>
      <w:r w:rsidR="00CC18FA">
        <w:rPr>
          <w:rFonts w:ascii="Times New Roman" w:hAnsi="Times New Roman"/>
          <w:i/>
          <w:sz w:val="28"/>
          <w:szCs w:val="28"/>
        </w:rPr>
        <w:t xml:space="preserve"> </w:t>
      </w:r>
      <w:r w:rsidR="00CC18FA" w:rsidRPr="00E54757">
        <w:rPr>
          <w:rFonts w:ascii="Times New Roman" w:hAnsi="Times New Roman"/>
          <w:sz w:val="28"/>
          <w:szCs w:val="28"/>
        </w:rPr>
        <w:t>în valut</w:t>
      </w:r>
      <w:r w:rsidR="00210B0E">
        <w:rPr>
          <w:rFonts w:ascii="Times New Roman" w:hAnsi="Times New Roman"/>
          <w:sz w:val="28"/>
          <w:szCs w:val="28"/>
        </w:rPr>
        <w:t>ă</w:t>
      </w:r>
      <w:r w:rsidR="00CC18FA" w:rsidRPr="00E54757">
        <w:rPr>
          <w:rFonts w:ascii="Times New Roman" w:hAnsi="Times New Roman"/>
          <w:sz w:val="28"/>
          <w:szCs w:val="28"/>
        </w:rPr>
        <w:t xml:space="preserve"> străină</w:t>
      </w:r>
      <w:r w:rsidR="00CC18FA">
        <w:rPr>
          <w:rFonts w:ascii="Times New Roman" w:hAnsi="Times New Roman"/>
          <w:sz w:val="28"/>
          <w:szCs w:val="28"/>
        </w:rPr>
        <w:t xml:space="preserve"> – 2439,6 mil.lei și </w:t>
      </w:r>
      <w:r w:rsidR="00CC18FA" w:rsidRPr="00EC50E2">
        <w:rPr>
          <w:rFonts w:ascii="Times New Roman" w:hAnsi="Times New Roman"/>
          <w:i/>
          <w:sz w:val="28"/>
          <w:szCs w:val="28"/>
        </w:rPr>
        <w:t>iii)</w:t>
      </w:r>
      <w:r w:rsidR="00CC18FA" w:rsidRPr="00EC50E2">
        <w:rPr>
          <w:rFonts w:ascii="Times New Roman" w:hAnsi="Times New Roman"/>
          <w:sz w:val="28"/>
          <w:szCs w:val="28"/>
        </w:rPr>
        <w:t xml:space="preserve"> </w:t>
      </w:r>
      <w:r w:rsidR="005D33EC">
        <w:rPr>
          <w:rFonts w:ascii="Times New Roman" w:hAnsi="Times New Roman"/>
          <w:sz w:val="28"/>
          <w:szCs w:val="28"/>
        </w:rPr>
        <w:t xml:space="preserve">din </w:t>
      </w:r>
      <w:r w:rsidR="00CC18FA">
        <w:rPr>
          <w:rFonts w:ascii="Times New Roman" w:hAnsi="Times New Roman"/>
          <w:sz w:val="28"/>
          <w:szCs w:val="28"/>
        </w:rPr>
        <w:t>sold</w:t>
      </w:r>
      <w:r w:rsidR="00210B0E">
        <w:rPr>
          <w:rFonts w:ascii="Times New Roman" w:hAnsi="Times New Roman"/>
          <w:sz w:val="28"/>
          <w:szCs w:val="28"/>
        </w:rPr>
        <w:t>ul</w:t>
      </w:r>
      <w:r w:rsidR="00CC18FA">
        <w:rPr>
          <w:rFonts w:ascii="Times New Roman" w:hAnsi="Times New Roman"/>
          <w:sz w:val="28"/>
          <w:szCs w:val="28"/>
        </w:rPr>
        <w:t xml:space="preserve"> de</w:t>
      </w:r>
      <w:r w:rsidR="00127984">
        <w:rPr>
          <w:rFonts w:ascii="Times New Roman" w:hAnsi="Times New Roman"/>
          <w:sz w:val="28"/>
          <w:szCs w:val="28"/>
        </w:rPr>
        <w:t xml:space="preserve"> mijloace pe conturi curente în</w:t>
      </w:r>
      <w:r w:rsidR="00AD0627">
        <w:rPr>
          <w:rFonts w:ascii="Times New Roman" w:hAnsi="Times New Roman"/>
          <w:sz w:val="28"/>
          <w:szCs w:val="28"/>
        </w:rPr>
        <w:t xml:space="preserve"> </w:t>
      </w:r>
      <w:r w:rsidR="00CC18FA">
        <w:rPr>
          <w:rFonts w:ascii="Times New Roman" w:hAnsi="Times New Roman"/>
          <w:sz w:val="28"/>
          <w:szCs w:val="28"/>
        </w:rPr>
        <w:t>afara sistemu</w:t>
      </w:r>
      <w:r w:rsidR="00AD0627">
        <w:rPr>
          <w:rFonts w:ascii="Times New Roman" w:hAnsi="Times New Roman"/>
          <w:sz w:val="28"/>
          <w:szCs w:val="28"/>
        </w:rPr>
        <w:t>lui trezorerial – 121,8 mil.lei.</w:t>
      </w:r>
      <w:r w:rsidR="004E10ED">
        <w:rPr>
          <w:rFonts w:ascii="Times New Roman" w:hAnsi="Times New Roman"/>
          <w:sz w:val="28"/>
          <w:szCs w:val="28"/>
        </w:rPr>
        <w:t xml:space="preserve"> De menționat că soldul de mijloace pentru c</w:t>
      </w:r>
      <w:r w:rsidR="00AD0627">
        <w:rPr>
          <w:rFonts w:ascii="Times New Roman" w:hAnsi="Times New Roman"/>
          <w:sz w:val="28"/>
          <w:szCs w:val="28"/>
        </w:rPr>
        <w:t>onturile curente în afara sist</w:t>
      </w:r>
      <w:r w:rsidR="00D63977">
        <w:rPr>
          <w:rFonts w:ascii="Times New Roman" w:hAnsi="Times New Roman"/>
          <w:sz w:val="28"/>
          <w:szCs w:val="28"/>
        </w:rPr>
        <w:t xml:space="preserve">emului trezorerial </w:t>
      </w:r>
      <w:r w:rsidR="004E10ED">
        <w:rPr>
          <w:rFonts w:ascii="Times New Roman" w:hAnsi="Times New Roman"/>
          <w:sz w:val="28"/>
          <w:szCs w:val="28"/>
        </w:rPr>
        <w:t xml:space="preserve">(121,8 mil.lei) </w:t>
      </w:r>
      <w:r w:rsidR="005D33EC">
        <w:rPr>
          <w:rFonts w:ascii="Times New Roman" w:hAnsi="Times New Roman"/>
          <w:sz w:val="28"/>
          <w:szCs w:val="28"/>
        </w:rPr>
        <w:t>este</w:t>
      </w:r>
      <w:r w:rsidR="00D63977">
        <w:rPr>
          <w:rFonts w:ascii="Times New Roman" w:hAnsi="Times New Roman"/>
          <w:sz w:val="28"/>
          <w:szCs w:val="28"/>
        </w:rPr>
        <w:t xml:space="preserve"> </w:t>
      </w:r>
      <w:r w:rsidR="004E10ED">
        <w:rPr>
          <w:rFonts w:ascii="Times New Roman" w:hAnsi="Times New Roman"/>
          <w:sz w:val="28"/>
          <w:szCs w:val="28"/>
        </w:rPr>
        <w:t xml:space="preserve">aferent conturilor desemnate </w:t>
      </w:r>
      <w:r w:rsidR="00AD0627">
        <w:rPr>
          <w:rFonts w:ascii="Times New Roman" w:hAnsi="Times New Roman"/>
          <w:sz w:val="28"/>
          <w:szCs w:val="28"/>
        </w:rPr>
        <w:t>pentru</w:t>
      </w:r>
      <w:r w:rsidR="004E10ED">
        <w:rPr>
          <w:rFonts w:ascii="Times New Roman" w:hAnsi="Times New Roman"/>
          <w:sz w:val="28"/>
          <w:szCs w:val="28"/>
        </w:rPr>
        <w:t>:</w:t>
      </w:r>
      <w:r w:rsidR="00AD0627">
        <w:rPr>
          <w:rFonts w:ascii="Times New Roman" w:hAnsi="Times New Roman"/>
          <w:sz w:val="28"/>
          <w:szCs w:val="28"/>
        </w:rPr>
        <w:t xml:space="preserve"> </w:t>
      </w:r>
      <w:r w:rsidR="004E10ED" w:rsidRPr="004E10ED">
        <w:rPr>
          <w:rFonts w:ascii="Times New Roman" w:hAnsi="Times New Roman"/>
          <w:i/>
          <w:sz w:val="28"/>
          <w:szCs w:val="28"/>
        </w:rPr>
        <w:t>i)</w:t>
      </w:r>
      <w:r w:rsidR="004E10ED">
        <w:rPr>
          <w:rFonts w:ascii="Times New Roman" w:hAnsi="Times New Roman"/>
          <w:sz w:val="28"/>
          <w:szCs w:val="28"/>
        </w:rPr>
        <w:t xml:space="preserve"> </w:t>
      </w:r>
      <w:r w:rsidR="00AD0627">
        <w:rPr>
          <w:rFonts w:ascii="Times New Roman" w:hAnsi="Times New Roman"/>
          <w:sz w:val="28"/>
          <w:szCs w:val="28"/>
        </w:rPr>
        <w:t>15 proiecte investiționale</w:t>
      </w:r>
      <w:r w:rsidR="00D63977">
        <w:rPr>
          <w:rFonts w:ascii="Times New Roman" w:hAnsi="Times New Roman"/>
          <w:sz w:val="28"/>
          <w:szCs w:val="28"/>
        </w:rPr>
        <w:t xml:space="preserve"> conform cerințelor donatorilor externi, </w:t>
      </w:r>
      <w:r w:rsidR="004E10ED" w:rsidRPr="004E10ED">
        <w:rPr>
          <w:rFonts w:ascii="Times New Roman" w:hAnsi="Times New Roman"/>
          <w:i/>
          <w:sz w:val="28"/>
          <w:szCs w:val="28"/>
        </w:rPr>
        <w:t>ii)</w:t>
      </w:r>
      <w:r w:rsidR="004E10ED">
        <w:rPr>
          <w:rFonts w:ascii="Times New Roman" w:hAnsi="Times New Roman"/>
          <w:i/>
          <w:sz w:val="28"/>
          <w:szCs w:val="28"/>
        </w:rPr>
        <w:t xml:space="preserve"> </w:t>
      </w:r>
      <w:r w:rsidR="005C2A0B" w:rsidRPr="005C2A0B">
        <w:rPr>
          <w:rFonts w:ascii="Times New Roman" w:hAnsi="Times New Roman"/>
          <w:sz w:val="28"/>
          <w:szCs w:val="28"/>
        </w:rPr>
        <w:t>40</w:t>
      </w:r>
      <w:r w:rsidR="005C2A0B">
        <w:rPr>
          <w:rFonts w:ascii="Times New Roman" w:hAnsi="Times New Roman"/>
          <w:i/>
          <w:sz w:val="28"/>
          <w:szCs w:val="28"/>
        </w:rPr>
        <w:t xml:space="preserve"> </w:t>
      </w:r>
      <w:r w:rsidR="00D63977">
        <w:rPr>
          <w:rFonts w:ascii="Times New Roman" w:hAnsi="Times New Roman"/>
          <w:sz w:val="28"/>
          <w:szCs w:val="28"/>
        </w:rPr>
        <w:t xml:space="preserve">ambasade și consulate </w:t>
      </w:r>
      <w:r w:rsidR="009959FD">
        <w:rPr>
          <w:rFonts w:ascii="Times New Roman" w:hAnsi="Times New Roman"/>
          <w:sz w:val="28"/>
          <w:szCs w:val="28"/>
        </w:rPr>
        <w:t xml:space="preserve">ale </w:t>
      </w:r>
      <w:r w:rsidR="00D63977">
        <w:rPr>
          <w:rFonts w:ascii="Times New Roman" w:hAnsi="Times New Roman"/>
          <w:sz w:val="28"/>
          <w:szCs w:val="28"/>
        </w:rPr>
        <w:t>Republicii Moldova</w:t>
      </w:r>
      <w:r w:rsidR="004E10ED">
        <w:rPr>
          <w:rFonts w:ascii="Times New Roman" w:hAnsi="Times New Roman"/>
          <w:sz w:val="28"/>
          <w:szCs w:val="28"/>
        </w:rPr>
        <w:t xml:space="preserve"> în străinătate</w:t>
      </w:r>
      <w:r w:rsidR="00D63977">
        <w:rPr>
          <w:rFonts w:ascii="Times New Roman" w:hAnsi="Times New Roman"/>
          <w:sz w:val="28"/>
          <w:szCs w:val="28"/>
        </w:rPr>
        <w:t xml:space="preserve">, </w:t>
      </w:r>
      <w:r w:rsidR="004E10ED" w:rsidRPr="004E10ED">
        <w:rPr>
          <w:rFonts w:ascii="Times New Roman" w:hAnsi="Times New Roman"/>
          <w:i/>
          <w:sz w:val="28"/>
          <w:szCs w:val="28"/>
        </w:rPr>
        <w:t>iii)</w:t>
      </w:r>
      <w:r w:rsidR="004E10ED">
        <w:rPr>
          <w:rFonts w:ascii="Times New Roman" w:hAnsi="Times New Roman"/>
          <w:sz w:val="28"/>
          <w:szCs w:val="28"/>
        </w:rPr>
        <w:t xml:space="preserve"> </w:t>
      </w:r>
      <w:r w:rsidR="00D63977">
        <w:rPr>
          <w:rFonts w:ascii="Times New Roman" w:hAnsi="Times New Roman"/>
          <w:sz w:val="28"/>
          <w:szCs w:val="28"/>
        </w:rPr>
        <w:t xml:space="preserve">Comisia Națională a RM pentru UNESCO și </w:t>
      </w:r>
      <w:r w:rsidR="004E10ED" w:rsidRPr="004E10ED">
        <w:rPr>
          <w:rFonts w:ascii="Times New Roman" w:hAnsi="Times New Roman"/>
          <w:i/>
          <w:sz w:val="28"/>
          <w:szCs w:val="28"/>
        </w:rPr>
        <w:t>iv)</w:t>
      </w:r>
      <w:r w:rsidR="004E10ED">
        <w:rPr>
          <w:rFonts w:ascii="Times New Roman" w:hAnsi="Times New Roman"/>
          <w:sz w:val="28"/>
          <w:szCs w:val="28"/>
        </w:rPr>
        <w:t xml:space="preserve"> </w:t>
      </w:r>
      <w:r w:rsidR="00D63977">
        <w:rPr>
          <w:rFonts w:ascii="Times New Roman" w:hAnsi="Times New Roman"/>
          <w:sz w:val="28"/>
          <w:szCs w:val="28"/>
        </w:rPr>
        <w:t>2 centre de reabilitare pentru copii, a invalizilor și pensionarilor amplasate în localitatea Sergheevca, Ucraina.</w:t>
      </w:r>
    </w:p>
    <w:p w:rsidR="00405FC4" w:rsidRPr="00405FC4" w:rsidRDefault="00405FC4" w:rsidP="004425C9">
      <w:pPr>
        <w:tabs>
          <w:tab w:val="left" w:pos="990"/>
        </w:tabs>
        <w:spacing w:after="0" w:line="276" w:lineRule="auto"/>
        <w:ind w:firstLine="709"/>
        <w:jc w:val="both"/>
        <w:rPr>
          <w:rFonts w:ascii="Times New Roman" w:hAnsi="Times New Roman"/>
          <w:sz w:val="28"/>
          <w:szCs w:val="28"/>
        </w:rPr>
      </w:pPr>
      <w:r w:rsidRPr="005251F4">
        <w:rPr>
          <w:rFonts w:ascii="Times New Roman" w:hAnsi="Times New Roman"/>
          <w:sz w:val="28"/>
          <w:szCs w:val="28"/>
        </w:rPr>
        <w:t xml:space="preserve">Totodată, în aspectul instituțiilor financiare, soldul mijloacelor bănești raportate la situația din 31.12.2017 sunt înregistrate: </w:t>
      </w:r>
      <w:r w:rsidRPr="005251F4">
        <w:rPr>
          <w:rFonts w:ascii="Times New Roman" w:hAnsi="Times New Roman"/>
          <w:i/>
          <w:sz w:val="28"/>
          <w:szCs w:val="28"/>
        </w:rPr>
        <w:t>i)</w:t>
      </w:r>
      <w:r w:rsidRPr="005251F4">
        <w:rPr>
          <w:rFonts w:ascii="Times New Roman" w:hAnsi="Times New Roman"/>
          <w:sz w:val="28"/>
          <w:szCs w:val="28"/>
        </w:rPr>
        <w:t xml:space="preserve"> în CUT - 1863,5 mil.lei; </w:t>
      </w:r>
      <w:r w:rsidRPr="005251F4">
        <w:rPr>
          <w:rFonts w:ascii="Times New Roman" w:hAnsi="Times New Roman"/>
          <w:i/>
          <w:sz w:val="28"/>
          <w:szCs w:val="28"/>
        </w:rPr>
        <w:t>ii)</w:t>
      </w:r>
      <w:r w:rsidRPr="005251F4">
        <w:rPr>
          <w:rFonts w:ascii="Times New Roman" w:hAnsi="Times New Roman"/>
          <w:sz w:val="28"/>
          <w:szCs w:val="28"/>
        </w:rPr>
        <w:t xml:space="preserve"> în conturile BNM – 2439,6 mil.lei; </w:t>
      </w:r>
      <w:r w:rsidRPr="005251F4">
        <w:rPr>
          <w:rFonts w:ascii="Times New Roman" w:hAnsi="Times New Roman"/>
          <w:i/>
          <w:sz w:val="28"/>
          <w:szCs w:val="28"/>
        </w:rPr>
        <w:t>iii)</w:t>
      </w:r>
      <w:r w:rsidRPr="005251F4">
        <w:rPr>
          <w:rFonts w:ascii="Times New Roman" w:hAnsi="Times New Roman"/>
          <w:sz w:val="28"/>
          <w:szCs w:val="28"/>
        </w:rPr>
        <w:t xml:space="preserve"> în cont de depozit la BNM - 508,9 mil.lei; </w:t>
      </w:r>
      <w:r w:rsidRPr="005251F4">
        <w:rPr>
          <w:rFonts w:ascii="Times New Roman" w:hAnsi="Times New Roman"/>
          <w:i/>
          <w:sz w:val="28"/>
          <w:szCs w:val="28"/>
        </w:rPr>
        <w:t>iv)</w:t>
      </w:r>
      <w:r w:rsidRPr="005251F4">
        <w:rPr>
          <w:rFonts w:ascii="Times New Roman" w:hAnsi="Times New Roman"/>
          <w:sz w:val="28"/>
          <w:szCs w:val="28"/>
        </w:rPr>
        <w:t xml:space="preserve"> în conturile MAIB - 0,1 mil.lei; </w:t>
      </w:r>
      <w:r w:rsidRPr="005251F4">
        <w:rPr>
          <w:rFonts w:ascii="Times New Roman" w:hAnsi="Times New Roman"/>
          <w:i/>
          <w:sz w:val="28"/>
          <w:szCs w:val="28"/>
        </w:rPr>
        <w:t>v)</w:t>
      </w:r>
      <w:r w:rsidRPr="005251F4">
        <w:rPr>
          <w:rFonts w:ascii="Times New Roman" w:hAnsi="Times New Roman"/>
          <w:sz w:val="28"/>
          <w:szCs w:val="28"/>
        </w:rPr>
        <w:t xml:space="preserve"> în conturile din afara sistemului trezorerial - 121,8 mil.lei. Verificările auditului au constatat că soldurile mijloacelor bănești menționate sunt confirmate prin extrasele bancare și trezoreriale. De asemenea, verificările auditului menționează că totalul sumei de 508,9 mil.lei din contul de depozit la BNM este aferent constituirii rezervei de lichidități</w:t>
      </w:r>
      <w:r w:rsidRPr="005251F4">
        <w:rPr>
          <w:rFonts w:ascii="Times New Roman" w:hAnsi="Times New Roman"/>
          <w:i/>
          <w:sz w:val="28"/>
          <w:szCs w:val="28"/>
        </w:rPr>
        <w:t>,</w:t>
      </w:r>
      <w:r w:rsidRPr="005251F4">
        <w:rPr>
          <w:rFonts w:ascii="Times New Roman" w:hAnsi="Times New Roman"/>
          <w:sz w:val="28"/>
          <w:szCs w:val="28"/>
        </w:rPr>
        <w:t xml:space="preserve"> urmare emiterii obligațiunilor de stat prin majorarea datoriei de stat interne, cu încadrarea în plafonul stabilit prin Legea bugetară anuală. </w:t>
      </w:r>
    </w:p>
    <w:p w:rsidR="0075464B" w:rsidRDefault="005C2A0B" w:rsidP="004425C9">
      <w:pPr>
        <w:spacing w:after="0" w:line="276" w:lineRule="auto"/>
        <w:ind w:firstLine="709"/>
        <w:jc w:val="both"/>
        <w:rPr>
          <w:rFonts w:ascii="Times New Roman" w:hAnsi="Times New Roman"/>
          <w:sz w:val="28"/>
          <w:szCs w:val="28"/>
        </w:rPr>
      </w:pPr>
      <w:r>
        <w:rPr>
          <w:rFonts w:ascii="Times New Roman" w:hAnsi="Times New Roman"/>
          <w:sz w:val="28"/>
          <w:szCs w:val="28"/>
        </w:rPr>
        <w:t>Concomitent, referitor la soldurile</w:t>
      </w:r>
      <w:r w:rsidR="00F5680E">
        <w:rPr>
          <w:rFonts w:ascii="Times New Roman" w:hAnsi="Times New Roman"/>
          <w:sz w:val="28"/>
          <w:szCs w:val="28"/>
        </w:rPr>
        <w:t xml:space="preserve"> din conturile din afara sistemului trezorerial</w:t>
      </w:r>
      <w:r w:rsidR="009959FD">
        <w:rPr>
          <w:rFonts w:ascii="Times New Roman" w:hAnsi="Times New Roman"/>
          <w:sz w:val="28"/>
          <w:szCs w:val="28"/>
        </w:rPr>
        <w:t>,</w:t>
      </w:r>
      <w:r w:rsidR="00F5680E">
        <w:rPr>
          <w:rFonts w:ascii="Times New Roman" w:hAnsi="Times New Roman"/>
          <w:sz w:val="28"/>
          <w:szCs w:val="28"/>
        </w:rPr>
        <w:t xml:space="preserve"> </w:t>
      </w:r>
      <w:r>
        <w:rPr>
          <w:rFonts w:ascii="Times New Roman" w:hAnsi="Times New Roman"/>
          <w:sz w:val="28"/>
          <w:szCs w:val="28"/>
        </w:rPr>
        <w:t xml:space="preserve">auditul denotă că acestea </w:t>
      </w:r>
      <w:r w:rsidR="00F5680E">
        <w:rPr>
          <w:rFonts w:ascii="Times New Roman" w:hAnsi="Times New Roman"/>
          <w:sz w:val="28"/>
          <w:szCs w:val="28"/>
        </w:rPr>
        <w:t>sunt consolidate în baza ra</w:t>
      </w:r>
      <w:r>
        <w:rPr>
          <w:rFonts w:ascii="Times New Roman" w:hAnsi="Times New Roman"/>
          <w:sz w:val="28"/>
          <w:szCs w:val="28"/>
        </w:rPr>
        <w:t xml:space="preserve">poartelor </w:t>
      </w:r>
      <w:r w:rsidR="00CF65A1">
        <w:rPr>
          <w:rFonts w:ascii="Times New Roman" w:hAnsi="Times New Roman"/>
          <w:sz w:val="28"/>
          <w:szCs w:val="28"/>
        </w:rPr>
        <w:t>autorităților/instituțiilor bugetare</w:t>
      </w:r>
      <w:r w:rsidR="009959FD">
        <w:rPr>
          <w:rFonts w:ascii="Times New Roman" w:hAnsi="Times New Roman"/>
          <w:sz w:val="28"/>
          <w:szCs w:val="28"/>
        </w:rPr>
        <w:t xml:space="preserve">. </w:t>
      </w:r>
      <w:r w:rsidR="009959FD" w:rsidRPr="005251F4">
        <w:rPr>
          <w:rFonts w:ascii="Times New Roman" w:hAnsi="Times New Roman"/>
          <w:sz w:val="28"/>
          <w:szCs w:val="28"/>
        </w:rPr>
        <w:t>În același timp,</w:t>
      </w:r>
      <w:r w:rsidRPr="005251F4">
        <w:rPr>
          <w:rFonts w:ascii="Times New Roman" w:hAnsi="Times New Roman"/>
          <w:sz w:val="28"/>
          <w:szCs w:val="28"/>
        </w:rPr>
        <w:t xml:space="preserve"> </w:t>
      </w:r>
      <w:r w:rsidR="00510D43" w:rsidRPr="005251F4">
        <w:rPr>
          <w:rFonts w:ascii="Times New Roman" w:hAnsi="Times New Roman"/>
          <w:sz w:val="28"/>
          <w:szCs w:val="28"/>
        </w:rPr>
        <w:t xml:space="preserve">confirmarea soldurilor la proiectele investiționale din granturi și credite externe aflate la conturile în bănci comerciale se efectuează prin prezentarea lunară a „Rapoartelor privind executarea bugetului în afara sistemului trezorerial” </w:t>
      </w:r>
      <w:r w:rsidR="005251F4">
        <w:rPr>
          <w:rFonts w:ascii="Times New Roman" w:hAnsi="Times New Roman"/>
          <w:sz w:val="28"/>
          <w:szCs w:val="28"/>
        </w:rPr>
        <w:t>(</w:t>
      </w:r>
      <w:r w:rsidR="00510D43" w:rsidRPr="005251F4">
        <w:rPr>
          <w:rFonts w:ascii="Times New Roman" w:hAnsi="Times New Roman"/>
          <w:sz w:val="28"/>
          <w:szCs w:val="28"/>
        </w:rPr>
        <w:t>FD-040</w:t>
      </w:r>
      <w:r w:rsidR="005251F4">
        <w:rPr>
          <w:rFonts w:ascii="Times New Roman" w:hAnsi="Times New Roman"/>
          <w:sz w:val="28"/>
          <w:szCs w:val="28"/>
        </w:rPr>
        <w:t>)</w:t>
      </w:r>
      <w:r w:rsidR="00510D43" w:rsidRPr="005251F4">
        <w:rPr>
          <w:rFonts w:ascii="Times New Roman" w:hAnsi="Times New Roman"/>
          <w:sz w:val="28"/>
          <w:szCs w:val="28"/>
        </w:rPr>
        <w:t>, cu anexarea Informației confirmată prin extrasele băncilor comerciale în care sunt deservite proiectele respective.</w:t>
      </w:r>
    </w:p>
    <w:p w:rsidR="008748B3" w:rsidRDefault="004027D7" w:rsidP="004425C9">
      <w:pPr>
        <w:spacing w:after="240" w:line="276" w:lineRule="auto"/>
        <w:ind w:firstLine="709"/>
        <w:jc w:val="both"/>
        <w:rPr>
          <w:rFonts w:ascii="Times New Roman" w:hAnsi="Times New Roman"/>
          <w:sz w:val="28"/>
          <w:szCs w:val="28"/>
        </w:rPr>
      </w:pPr>
      <w:r>
        <w:rPr>
          <w:rFonts w:ascii="Times New Roman" w:hAnsi="Times New Roman"/>
          <w:sz w:val="28"/>
          <w:szCs w:val="28"/>
        </w:rPr>
        <w:lastRenderedPageBreak/>
        <w:t>U</w:t>
      </w:r>
      <w:r w:rsidR="008748B3" w:rsidRPr="00FB7A39">
        <w:rPr>
          <w:rFonts w:ascii="Times New Roman" w:hAnsi="Times New Roman"/>
          <w:sz w:val="28"/>
          <w:szCs w:val="28"/>
        </w:rPr>
        <w:t xml:space="preserve">rmare </w:t>
      </w:r>
      <w:r w:rsidR="00E466BE">
        <w:rPr>
          <w:rFonts w:ascii="Times New Roman" w:hAnsi="Times New Roman"/>
          <w:sz w:val="28"/>
          <w:szCs w:val="28"/>
        </w:rPr>
        <w:t xml:space="preserve">a </w:t>
      </w:r>
      <w:r w:rsidR="008748B3" w:rsidRPr="00FB7A39">
        <w:rPr>
          <w:rFonts w:ascii="Times New Roman" w:hAnsi="Times New Roman"/>
          <w:sz w:val="28"/>
          <w:szCs w:val="28"/>
        </w:rPr>
        <w:t>contrapunerii datelor vizând soldurile de mijloace bănești la 01.01.2017</w:t>
      </w:r>
      <w:r w:rsidR="00E466BE">
        <w:rPr>
          <w:rFonts w:ascii="Times New Roman" w:hAnsi="Times New Roman"/>
          <w:sz w:val="28"/>
          <w:szCs w:val="28"/>
        </w:rPr>
        <w:t>,</w:t>
      </w:r>
      <w:r w:rsidR="008748B3" w:rsidRPr="00FB7A39">
        <w:rPr>
          <w:rFonts w:ascii="Times New Roman" w:hAnsi="Times New Roman"/>
          <w:sz w:val="28"/>
          <w:szCs w:val="28"/>
        </w:rPr>
        <w:t xml:space="preserve"> reflectate în Raportul privind executarea bugetului de stat pe anul 2017</w:t>
      </w:r>
      <w:r w:rsidR="00E466BE">
        <w:rPr>
          <w:rFonts w:ascii="Times New Roman" w:hAnsi="Times New Roman"/>
          <w:sz w:val="28"/>
          <w:szCs w:val="28"/>
        </w:rPr>
        <w:t>,</w:t>
      </w:r>
      <w:r w:rsidR="008748B3" w:rsidRPr="00FB7A39">
        <w:rPr>
          <w:rFonts w:ascii="Times New Roman" w:hAnsi="Times New Roman"/>
          <w:sz w:val="28"/>
          <w:szCs w:val="28"/>
        </w:rPr>
        <w:t xml:space="preserve"> cu datele din 31.12.2016, reflectate în Raportul privind executarea bugetului de stat pe anul 2016</w:t>
      </w:r>
      <w:r w:rsidR="00E466BE">
        <w:rPr>
          <w:rFonts w:ascii="Times New Roman" w:hAnsi="Times New Roman"/>
          <w:sz w:val="28"/>
          <w:szCs w:val="28"/>
        </w:rPr>
        <w:t>,</w:t>
      </w:r>
      <w:r w:rsidR="008748B3" w:rsidRPr="00FB7A39">
        <w:rPr>
          <w:rFonts w:ascii="Times New Roman" w:hAnsi="Times New Roman"/>
          <w:sz w:val="28"/>
          <w:szCs w:val="28"/>
        </w:rPr>
        <w:t xml:space="preserve"> auditul </w:t>
      </w:r>
      <w:r w:rsidR="005C2A0B">
        <w:rPr>
          <w:rFonts w:ascii="Times New Roman" w:hAnsi="Times New Roman"/>
          <w:sz w:val="28"/>
          <w:szCs w:val="28"/>
        </w:rPr>
        <w:t xml:space="preserve">nu </w:t>
      </w:r>
      <w:r>
        <w:rPr>
          <w:rFonts w:ascii="Times New Roman" w:hAnsi="Times New Roman"/>
          <w:sz w:val="28"/>
          <w:szCs w:val="28"/>
        </w:rPr>
        <w:t xml:space="preserve">a </w:t>
      </w:r>
      <w:r w:rsidR="008748B3" w:rsidRPr="00FB7A39">
        <w:rPr>
          <w:rFonts w:ascii="Times New Roman" w:hAnsi="Times New Roman"/>
          <w:sz w:val="28"/>
          <w:szCs w:val="28"/>
        </w:rPr>
        <w:t>constat</w:t>
      </w:r>
      <w:r>
        <w:rPr>
          <w:rFonts w:ascii="Times New Roman" w:hAnsi="Times New Roman"/>
          <w:sz w:val="28"/>
          <w:szCs w:val="28"/>
        </w:rPr>
        <w:t>at</w:t>
      </w:r>
      <w:r w:rsidR="008748B3" w:rsidRPr="00FB7A39">
        <w:rPr>
          <w:rFonts w:ascii="Times New Roman" w:hAnsi="Times New Roman"/>
          <w:sz w:val="28"/>
          <w:szCs w:val="28"/>
        </w:rPr>
        <w:t xml:space="preserve"> a</w:t>
      </w:r>
      <w:r w:rsidR="005C2A0B">
        <w:rPr>
          <w:rFonts w:ascii="Times New Roman" w:hAnsi="Times New Roman"/>
          <w:sz w:val="28"/>
          <w:szCs w:val="28"/>
        </w:rPr>
        <w:t>bateri</w:t>
      </w:r>
      <w:r w:rsidR="008748B3" w:rsidRPr="00FB7A39">
        <w:rPr>
          <w:rFonts w:ascii="Times New Roman" w:hAnsi="Times New Roman"/>
          <w:sz w:val="28"/>
          <w:szCs w:val="28"/>
        </w:rPr>
        <w:t>.</w:t>
      </w:r>
    </w:p>
    <w:p w:rsidR="001E4F1C" w:rsidRPr="0075464B" w:rsidRDefault="000C2AF5" w:rsidP="004425C9">
      <w:pPr>
        <w:pStyle w:val="3"/>
        <w:numPr>
          <w:ilvl w:val="2"/>
          <w:numId w:val="1"/>
        </w:numPr>
        <w:spacing w:line="276" w:lineRule="auto"/>
        <w:ind w:left="0" w:firstLine="709"/>
        <w:jc w:val="both"/>
        <w:rPr>
          <w:rFonts w:ascii="Times New Roman" w:hAnsi="Times New Roman" w:cs="Times New Roman"/>
          <w:b/>
          <w:i/>
          <w:color w:val="000000" w:themeColor="text1"/>
          <w:sz w:val="28"/>
          <w:szCs w:val="28"/>
        </w:rPr>
      </w:pPr>
      <w:bookmarkStart w:id="14" w:name="_Toc515518987"/>
      <w:r>
        <w:rPr>
          <w:rFonts w:ascii="Times New Roman" w:hAnsi="Times New Roman" w:cs="Times New Roman"/>
          <w:b/>
          <w:i/>
          <w:color w:val="000000" w:themeColor="text1"/>
          <w:sz w:val="28"/>
          <w:szCs w:val="28"/>
        </w:rPr>
        <w:t>Regularitatea</w:t>
      </w:r>
      <w:r w:rsidR="001E4F1C" w:rsidRPr="0075464B">
        <w:rPr>
          <w:rFonts w:ascii="Times New Roman" w:hAnsi="Times New Roman" w:cs="Times New Roman"/>
          <w:b/>
          <w:i/>
          <w:color w:val="000000" w:themeColor="text1"/>
          <w:sz w:val="28"/>
          <w:szCs w:val="28"/>
        </w:rPr>
        <w:t xml:space="preserve"> deschider</w:t>
      </w:r>
      <w:r>
        <w:rPr>
          <w:rFonts w:ascii="Times New Roman" w:hAnsi="Times New Roman" w:cs="Times New Roman"/>
          <w:b/>
          <w:i/>
          <w:color w:val="000000" w:themeColor="text1"/>
          <w:sz w:val="28"/>
          <w:szCs w:val="28"/>
        </w:rPr>
        <w:t>ii</w:t>
      </w:r>
      <w:r w:rsidR="001E4F1C" w:rsidRPr="0075464B">
        <w:rPr>
          <w:rFonts w:ascii="Times New Roman" w:hAnsi="Times New Roman" w:cs="Times New Roman"/>
          <w:b/>
          <w:i/>
          <w:color w:val="000000" w:themeColor="text1"/>
          <w:sz w:val="28"/>
          <w:szCs w:val="28"/>
        </w:rPr>
        <w:t>/închider</w:t>
      </w:r>
      <w:r>
        <w:rPr>
          <w:rFonts w:ascii="Times New Roman" w:hAnsi="Times New Roman" w:cs="Times New Roman"/>
          <w:b/>
          <w:i/>
          <w:color w:val="000000" w:themeColor="text1"/>
          <w:sz w:val="28"/>
          <w:szCs w:val="28"/>
        </w:rPr>
        <w:t>ii</w:t>
      </w:r>
      <w:r w:rsidR="001E4F1C" w:rsidRPr="0075464B">
        <w:rPr>
          <w:rFonts w:ascii="Times New Roman" w:hAnsi="Times New Roman" w:cs="Times New Roman"/>
          <w:b/>
          <w:i/>
          <w:color w:val="000000" w:themeColor="text1"/>
          <w:sz w:val="28"/>
          <w:szCs w:val="28"/>
        </w:rPr>
        <w:t xml:space="preserve"> conturilor trezoreriale </w:t>
      </w:r>
      <w:r w:rsidR="00E466BE">
        <w:rPr>
          <w:rFonts w:ascii="Times New Roman" w:hAnsi="Times New Roman" w:cs="Times New Roman"/>
          <w:b/>
          <w:i/>
          <w:color w:val="000000" w:themeColor="text1"/>
          <w:sz w:val="28"/>
          <w:szCs w:val="28"/>
        </w:rPr>
        <w:t xml:space="preserve">ale </w:t>
      </w:r>
      <w:r w:rsidR="001E4F1C" w:rsidRPr="0075464B">
        <w:rPr>
          <w:rFonts w:ascii="Times New Roman" w:hAnsi="Times New Roman" w:cs="Times New Roman"/>
          <w:b/>
          <w:i/>
          <w:color w:val="000000" w:themeColor="text1"/>
          <w:sz w:val="28"/>
          <w:szCs w:val="28"/>
        </w:rPr>
        <w:t>autorităților/</w:t>
      </w:r>
      <w:r>
        <w:rPr>
          <w:rFonts w:ascii="Times New Roman" w:hAnsi="Times New Roman" w:cs="Times New Roman"/>
          <w:b/>
          <w:i/>
          <w:color w:val="000000" w:themeColor="text1"/>
          <w:sz w:val="28"/>
          <w:szCs w:val="28"/>
        </w:rPr>
        <w:t xml:space="preserve">instituțiilor bugetare, urmare </w:t>
      </w:r>
      <w:r w:rsidR="00E466BE">
        <w:rPr>
          <w:rFonts w:ascii="Times New Roman" w:hAnsi="Times New Roman" w:cs="Times New Roman"/>
          <w:b/>
          <w:i/>
          <w:color w:val="000000" w:themeColor="text1"/>
          <w:sz w:val="28"/>
          <w:szCs w:val="28"/>
        </w:rPr>
        <w:t xml:space="preserve">a </w:t>
      </w:r>
      <w:r>
        <w:rPr>
          <w:rFonts w:ascii="Times New Roman" w:hAnsi="Times New Roman" w:cs="Times New Roman"/>
          <w:b/>
          <w:i/>
          <w:color w:val="000000" w:themeColor="text1"/>
          <w:sz w:val="28"/>
          <w:szCs w:val="28"/>
        </w:rPr>
        <w:t>reorganizării unor APC</w:t>
      </w:r>
      <w:bookmarkEnd w:id="14"/>
    </w:p>
    <w:p w:rsidR="00815780" w:rsidRPr="00815780" w:rsidRDefault="00815780" w:rsidP="004425C9">
      <w:pPr>
        <w:spacing w:after="0" w:line="276" w:lineRule="auto"/>
        <w:ind w:firstLine="709"/>
        <w:jc w:val="both"/>
        <w:rPr>
          <w:rFonts w:ascii="Times New Roman" w:eastAsia="Times New Roman" w:hAnsi="Times New Roman" w:cs="Times New Roman"/>
          <w:color w:val="000000"/>
          <w:sz w:val="28"/>
          <w:szCs w:val="28"/>
        </w:rPr>
      </w:pPr>
      <w:r w:rsidRPr="00815780">
        <w:rPr>
          <w:rFonts w:ascii="Times New Roman" w:hAnsi="Times New Roman" w:cs="Times New Roman"/>
          <w:sz w:val="28"/>
          <w:szCs w:val="28"/>
        </w:rPr>
        <w:t xml:space="preserve">În anul 2017 a fost efectuată reforma administrației publice centrale, inițiate în conformitate cu Hotărârea Parlamentului nr.189 din 21.07.2017 „Pentru aprobarea listei ministerelor”. Procedura de reorganizare s-a efectuat în baza Hotărârii Guvernului nr.594 din 26.07.2017 „Cu privire la restructurarea administrației publice centrale de specialitate”. </w:t>
      </w:r>
      <w:r w:rsidRPr="00815780">
        <w:rPr>
          <w:rFonts w:ascii="Times New Roman" w:eastAsia="Times New Roman" w:hAnsi="Times New Roman" w:cs="Times New Roman"/>
          <w:color w:val="000000"/>
          <w:sz w:val="28"/>
          <w:szCs w:val="28"/>
        </w:rPr>
        <w:t>Astfel, din 16</w:t>
      </w:r>
      <w:r w:rsidRPr="00815780">
        <w:rPr>
          <w:rFonts w:ascii="Times New Roman" w:eastAsia="Times New Roman" w:hAnsi="Times New Roman" w:cs="Times New Roman"/>
          <w:b/>
          <w:color w:val="000000"/>
          <w:sz w:val="28"/>
          <w:szCs w:val="28"/>
        </w:rPr>
        <w:t xml:space="preserve"> </w:t>
      </w:r>
      <w:r w:rsidRPr="00815780">
        <w:rPr>
          <w:rFonts w:ascii="Times New Roman" w:eastAsia="Times New Roman" w:hAnsi="Times New Roman" w:cs="Times New Roman"/>
          <w:color w:val="000000"/>
          <w:sz w:val="28"/>
          <w:szCs w:val="28"/>
        </w:rPr>
        <w:t xml:space="preserve">ministere, </w:t>
      </w:r>
      <w:r w:rsidR="00E466BE">
        <w:rPr>
          <w:rFonts w:ascii="Times New Roman" w:eastAsia="Times New Roman" w:hAnsi="Times New Roman" w:cs="Times New Roman"/>
          <w:color w:val="000000"/>
          <w:sz w:val="28"/>
          <w:szCs w:val="28"/>
        </w:rPr>
        <w:t xml:space="preserve">4 </w:t>
      </w:r>
      <w:r w:rsidRPr="00815780">
        <w:rPr>
          <w:rFonts w:ascii="Times New Roman" w:eastAsia="Times New Roman" w:hAnsi="Times New Roman" w:cs="Times New Roman"/>
          <w:color w:val="000000"/>
          <w:sz w:val="28"/>
          <w:szCs w:val="28"/>
        </w:rPr>
        <w:t>au fost reorganizate prin absorbți</w:t>
      </w:r>
      <w:r w:rsidR="00E466BE">
        <w:rPr>
          <w:rFonts w:ascii="Times New Roman" w:eastAsia="Times New Roman" w:hAnsi="Times New Roman" w:cs="Times New Roman"/>
          <w:color w:val="000000"/>
          <w:sz w:val="28"/>
          <w:szCs w:val="28"/>
        </w:rPr>
        <w:t>a a</w:t>
      </w:r>
      <w:r w:rsidRPr="00815780">
        <w:rPr>
          <w:rFonts w:ascii="Times New Roman" w:eastAsia="Times New Roman" w:hAnsi="Times New Roman" w:cs="Times New Roman"/>
          <w:color w:val="000000"/>
          <w:sz w:val="28"/>
          <w:szCs w:val="28"/>
        </w:rPr>
        <w:t xml:space="preserve"> 11 ministere,</w:t>
      </w:r>
      <w:r w:rsidRPr="00815780">
        <w:rPr>
          <w:rFonts w:ascii="Times New Roman" w:eastAsia="Times New Roman" w:hAnsi="Times New Roman" w:cs="Times New Roman"/>
          <w:b/>
          <w:color w:val="000000"/>
          <w:sz w:val="28"/>
          <w:szCs w:val="28"/>
        </w:rPr>
        <w:t xml:space="preserve"> </w:t>
      </w:r>
      <w:r w:rsidR="00E466BE" w:rsidRPr="00CF65A1">
        <w:rPr>
          <w:rFonts w:ascii="Times New Roman" w:eastAsia="Times New Roman" w:hAnsi="Times New Roman" w:cs="Times New Roman"/>
          <w:color w:val="000000"/>
          <w:sz w:val="28"/>
          <w:szCs w:val="28"/>
        </w:rPr>
        <w:t>iar</w:t>
      </w:r>
      <w:r w:rsidRPr="00815780">
        <w:rPr>
          <w:rFonts w:ascii="Times New Roman" w:eastAsia="Times New Roman" w:hAnsi="Times New Roman" w:cs="Times New Roman"/>
          <w:color w:val="000000"/>
          <w:sz w:val="28"/>
          <w:szCs w:val="28"/>
        </w:rPr>
        <w:t xml:space="preserve"> 5 nu au suportat modificări/reorganizări. </w:t>
      </w:r>
    </w:p>
    <w:p w:rsidR="00610B19" w:rsidRDefault="00F5680E" w:rsidP="004425C9">
      <w:pPr>
        <w:pStyle w:val="a5"/>
        <w:spacing w:after="0" w:line="276" w:lineRule="auto"/>
        <w:ind w:left="0" w:right="51" w:firstLine="709"/>
        <w:jc w:val="both"/>
        <w:rPr>
          <w:rFonts w:ascii="Times New Roman" w:hAnsi="Times New Roman"/>
          <w:sz w:val="28"/>
          <w:szCs w:val="28"/>
        </w:rPr>
      </w:pPr>
      <w:r>
        <w:rPr>
          <w:rFonts w:ascii="Times New Roman" w:hAnsi="Times New Roman"/>
          <w:sz w:val="28"/>
          <w:szCs w:val="28"/>
        </w:rPr>
        <w:t>Verificările auditului referitor la deschiderea/închiderea</w:t>
      </w:r>
      <w:r w:rsidRPr="00F5680E">
        <w:rPr>
          <w:rFonts w:ascii="Times New Roman" w:hAnsi="Times New Roman"/>
          <w:sz w:val="28"/>
          <w:szCs w:val="28"/>
        </w:rPr>
        <w:t xml:space="preserve"> conturilor trezoreriale </w:t>
      </w:r>
      <w:r w:rsidR="00814BC2">
        <w:rPr>
          <w:rFonts w:ascii="Times New Roman" w:hAnsi="Times New Roman"/>
          <w:sz w:val="28"/>
          <w:szCs w:val="28"/>
        </w:rPr>
        <w:t xml:space="preserve">ale </w:t>
      </w:r>
      <w:r w:rsidRPr="00F5680E">
        <w:rPr>
          <w:rFonts w:ascii="Times New Roman" w:hAnsi="Times New Roman"/>
          <w:sz w:val="28"/>
          <w:szCs w:val="28"/>
        </w:rPr>
        <w:t xml:space="preserve">autorităților/instituțiilor bugetare, urmare </w:t>
      </w:r>
      <w:r w:rsidR="007D15CB">
        <w:rPr>
          <w:rFonts w:ascii="Times New Roman" w:hAnsi="Times New Roman"/>
          <w:sz w:val="28"/>
          <w:szCs w:val="28"/>
        </w:rPr>
        <w:t xml:space="preserve">a </w:t>
      </w:r>
      <w:r w:rsidRPr="00F5680E">
        <w:rPr>
          <w:rFonts w:ascii="Times New Roman" w:hAnsi="Times New Roman"/>
          <w:sz w:val="28"/>
          <w:szCs w:val="28"/>
        </w:rPr>
        <w:t>reorganizării unor APC</w:t>
      </w:r>
      <w:r w:rsidR="00814BC2">
        <w:rPr>
          <w:rFonts w:ascii="Times New Roman" w:hAnsi="Times New Roman"/>
          <w:sz w:val="28"/>
          <w:szCs w:val="28"/>
        </w:rPr>
        <w:t>,</w:t>
      </w:r>
      <w:r w:rsidRPr="00F5680E">
        <w:rPr>
          <w:rFonts w:ascii="Times New Roman" w:hAnsi="Times New Roman"/>
          <w:sz w:val="28"/>
          <w:szCs w:val="28"/>
        </w:rPr>
        <w:t xml:space="preserve"> </w:t>
      </w:r>
      <w:r>
        <w:rPr>
          <w:rFonts w:ascii="Times New Roman" w:hAnsi="Times New Roman"/>
          <w:sz w:val="28"/>
          <w:szCs w:val="28"/>
        </w:rPr>
        <w:t xml:space="preserve">au constatat următoarele. </w:t>
      </w:r>
    </w:p>
    <w:p w:rsidR="00610B19" w:rsidRPr="00610B19" w:rsidRDefault="00F5680E" w:rsidP="004425C9">
      <w:pPr>
        <w:pStyle w:val="a5"/>
        <w:spacing w:after="0" w:line="276" w:lineRule="auto"/>
        <w:ind w:left="0" w:right="51" w:firstLine="709"/>
        <w:jc w:val="both"/>
        <w:rPr>
          <w:rFonts w:ascii="Times New Roman" w:hAnsi="Times New Roman"/>
          <w:sz w:val="28"/>
          <w:szCs w:val="28"/>
        </w:rPr>
      </w:pPr>
      <w:r>
        <w:rPr>
          <w:rFonts w:ascii="Times New Roman" w:hAnsi="Times New Roman"/>
          <w:sz w:val="28"/>
          <w:szCs w:val="28"/>
        </w:rPr>
        <w:t>Conform cadrului normativ</w:t>
      </w:r>
      <w:r>
        <w:rPr>
          <w:rStyle w:val="a9"/>
          <w:rFonts w:ascii="Times New Roman" w:hAnsi="Times New Roman"/>
          <w:sz w:val="28"/>
          <w:szCs w:val="28"/>
        </w:rPr>
        <w:footnoteReference w:id="25"/>
      </w:r>
      <w:r>
        <w:rPr>
          <w:rFonts w:ascii="Times New Roman" w:hAnsi="Times New Roman"/>
          <w:sz w:val="28"/>
          <w:szCs w:val="28"/>
        </w:rPr>
        <w:t xml:space="preserve">, </w:t>
      </w:r>
      <w:r w:rsidR="00610B19" w:rsidRPr="00610B19">
        <w:rPr>
          <w:rFonts w:ascii="Times New Roman" w:hAnsi="Times New Roman"/>
          <w:sz w:val="28"/>
          <w:szCs w:val="28"/>
        </w:rPr>
        <w:t xml:space="preserve">Ministerul Finanțelor </w:t>
      </w:r>
      <w:r w:rsidR="00610B19">
        <w:rPr>
          <w:rFonts w:ascii="Times New Roman" w:hAnsi="Times New Roman"/>
          <w:sz w:val="28"/>
          <w:szCs w:val="28"/>
        </w:rPr>
        <w:t>urma să</w:t>
      </w:r>
      <w:r w:rsidR="00610B19" w:rsidRPr="00610B19">
        <w:rPr>
          <w:rFonts w:ascii="Times New Roman" w:hAnsi="Times New Roman"/>
          <w:sz w:val="28"/>
          <w:szCs w:val="28"/>
        </w:rPr>
        <w:t xml:space="preserve"> prez</w:t>
      </w:r>
      <w:r w:rsidR="00610B19">
        <w:rPr>
          <w:rFonts w:ascii="Times New Roman" w:hAnsi="Times New Roman"/>
          <w:sz w:val="28"/>
          <w:szCs w:val="28"/>
        </w:rPr>
        <w:t>i</w:t>
      </w:r>
      <w:r w:rsidR="00610B19" w:rsidRPr="00610B19">
        <w:rPr>
          <w:rFonts w:ascii="Times New Roman" w:hAnsi="Times New Roman"/>
          <w:sz w:val="28"/>
          <w:szCs w:val="28"/>
        </w:rPr>
        <w:t>nt</w:t>
      </w:r>
      <w:r w:rsidR="00610B19">
        <w:rPr>
          <w:rFonts w:ascii="Times New Roman" w:hAnsi="Times New Roman"/>
          <w:sz w:val="28"/>
          <w:szCs w:val="28"/>
        </w:rPr>
        <w:t>e</w:t>
      </w:r>
      <w:r w:rsidR="00610B19" w:rsidRPr="00610B19">
        <w:rPr>
          <w:rFonts w:ascii="Times New Roman" w:hAnsi="Times New Roman"/>
          <w:sz w:val="28"/>
          <w:szCs w:val="28"/>
        </w:rPr>
        <w:t xml:space="preserve"> Guvernului</w:t>
      </w:r>
      <w:r w:rsidR="00814BC2">
        <w:rPr>
          <w:rFonts w:ascii="Times New Roman" w:hAnsi="Times New Roman"/>
          <w:sz w:val="28"/>
          <w:szCs w:val="28"/>
        </w:rPr>
        <w:t>,</w:t>
      </w:r>
      <w:r w:rsidR="00610B19" w:rsidRPr="00610B19">
        <w:rPr>
          <w:rFonts w:ascii="Times New Roman" w:hAnsi="Times New Roman"/>
          <w:i/>
          <w:sz w:val="28"/>
          <w:szCs w:val="28"/>
        </w:rPr>
        <w:t xml:space="preserve"> </w:t>
      </w:r>
      <w:r w:rsidR="00610B19" w:rsidRPr="00610B19">
        <w:rPr>
          <w:rFonts w:ascii="Times New Roman" w:hAnsi="Times New Roman"/>
          <w:sz w:val="28"/>
          <w:szCs w:val="28"/>
        </w:rPr>
        <w:t>în termen de 45 de zile de la data intrării în vigoare a hotăr</w:t>
      </w:r>
      <w:r w:rsidR="00610B19">
        <w:rPr>
          <w:rFonts w:ascii="Times New Roman" w:hAnsi="Times New Roman"/>
          <w:sz w:val="28"/>
          <w:szCs w:val="28"/>
        </w:rPr>
        <w:t>â</w:t>
      </w:r>
      <w:r w:rsidR="00610B19" w:rsidRPr="00610B19">
        <w:rPr>
          <w:rFonts w:ascii="Times New Roman" w:hAnsi="Times New Roman"/>
          <w:sz w:val="28"/>
          <w:szCs w:val="28"/>
        </w:rPr>
        <w:t>r</w:t>
      </w:r>
      <w:r w:rsidR="00610B19">
        <w:rPr>
          <w:rFonts w:ascii="Times New Roman" w:hAnsi="Times New Roman"/>
          <w:sz w:val="28"/>
          <w:szCs w:val="28"/>
        </w:rPr>
        <w:t>i</w:t>
      </w:r>
      <w:r w:rsidR="00610B19" w:rsidRPr="00610B19">
        <w:rPr>
          <w:rFonts w:ascii="Times New Roman" w:hAnsi="Times New Roman"/>
          <w:sz w:val="28"/>
          <w:szCs w:val="28"/>
        </w:rPr>
        <w:t>i</w:t>
      </w:r>
      <w:r w:rsidR="00610B19">
        <w:rPr>
          <w:rFonts w:ascii="Times New Roman" w:hAnsi="Times New Roman"/>
          <w:sz w:val="28"/>
          <w:szCs w:val="28"/>
        </w:rPr>
        <w:t xml:space="preserve"> menționate</w:t>
      </w:r>
      <w:r w:rsidR="00610B19" w:rsidRPr="00610B19">
        <w:rPr>
          <w:rFonts w:ascii="Times New Roman" w:hAnsi="Times New Roman"/>
          <w:sz w:val="28"/>
          <w:szCs w:val="28"/>
        </w:rPr>
        <w:t>, proiectul hotăr</w:t>
      </w:r>
      <w:r w:rsidR="00610B19">
        <w:rPr>
          <w:rFonts w:ascii="Times New Roman" w:hAnsi="Times New Roman"/>
          <w:sz w:val="28"/>
          <w:szCs w:val="28"/>
        </w:rPr>
        <w:t>â</w:t>
      </w:r>
      <w:r w:rsidR="00610B19" w:rsidRPr="00610B19">
        <w:rPr>
          <w:rFonts w:ascii="Times New Roman" w:hAnsi="Times New Roman"/>
          <w:sz w:val="28"/>
          <w:szCs w:val="28"/>
        </w:rPr>
        <w:t>rii Guvernului privind redistribuirea alocațiilor, aprobate prin Legea bugetul</w:t>
      </w:r>
      <w:r w:rsidR="00815780">
        <w:rPr>
          <w:rFonts w:ascii="Times New Roman" w:hAnsi="Times New Roman"/>
          <w:sz w:val="28"/>
          <w:szCs w:val="28"/>
        </w:rPr>
        <w:t>ui de stat pentru anul 2017 nr.</w:t>
      </w:r>
      <w:r w:rsidR="00610B19" w:rsidRPr="00610B19">
        <w:rPr>
          <w:rFonts w:ascii="Times New Roman" w:hAnsi="Times New Roman"/>
          <w:sz w:val="28"/>
          <w:szCs w:val="28"/>
        </w:rPr>
        <w:t>279 din 16 decembrie 2016, între ministere, alte autorități administrative centrale și structuri organizaționale din sfera lor de competenț</w:t>
      </w:r>
      <w:r w:rsidR="00610B19">
        <w:rPr>
          <w:rFonts w:ascii="Times New Roman" w:hAnsi="Times New Roman"/>
          <w:sz w:val="28"/>
          <w:szCs w:val="28"/>
        </w:rPr>
        <w:t xml:space="preserve">ă. </w:t>
      </w:r>
    </w:p>
    <w:p w:rsidR="003462D6" w:rsidRDefault="00476255" w:rsidP="004425C9">
      <w:pPr>
        <w:pStyle w:val="a5"/>
        <w:spacing w:after="0" w:line="276" w:lineRule="auto"/>
        <w:ind w:left="0" w:right="51" w:firstLine="709"/>
        <w:jc w:val="both"/>
        <w:rPr>
          <w:rFonts w:ascii="Times New Roman" w:hAnsi="Times New Roman"/>
          <w:sz w:val="28"/>
          <w:szCs w:val="28"/>
        </w:rPr>
      </w:pPr>
      <w:r>
        <w:rPr>
          <w:rFonts w:ascii="Times New Roman" w:hAnsi="Times New Roman"/>
          <w:sz w:val="28"/>
          <w:szCs w:val="28"/>
        </w:rPr>
        <w:t>Activitățile</w:t>
      </w:r>
      <w:r w:rsidR="00610B19">
        <w:rPr>
          <w:rFonts w:ascii="Times New Roman" w:hAnsi="Times New Roman"/>
          <w:sz w:val="28"/>
          <w:szCs w:val="28"/>
        </w:rPr>
        <w:t xml:space="preserve"> de audit</w:t>
      </w:r>
      <w:r>
        <w:rPr>
          <w:rFonts w:ascii="Times New Roman" w:hAnsi="Times New Roman"/>
          <w:sz w:val="28"/>
          <w:szCs w:val="28"/>
        </w:rPr>
        <w:t xml:space="preserve"> efectuate</w:t>
      </w:r>
      <w:r w:rsidR="00610B19">
        <w:rPr>
          <w:rFonts w:ascii="Times New Roman" w:hAnsi="Times New Roman"/>
          <w:sz w:val="28"/>
          <w:szCs w:val="28"/>
        </w:rPr>
        <w:t xml:space="preserve"> </w:t>
      </w:r>
      <w:r>
        <w:rPr>
          <w:rFonts w:ascii="Times New Roman" w:hAnsi="Times New Roman"/>
          <w:sz w:val="28"/>
          <w:szCs w:val="28"/>
        </w:rPr>
        <w:t>au</w:t>
      </w:r>
      <w:r w:rsidR="00610B19">
        <w:rPr>
          <w:rFonts w:ascii="Times New Roman" w:hAnsi="Times New Roman"/>
          <w:sz w:val="28"/>
          <w:szCs w:val="28"/>
        </w:rPr>
        <w:t xml:space="preserve"> </w:t>
      </w:r>
      <w:r w:rsidR="00814BC2">
        <w:rPr>
          <w:rFonts w:ascii="Times New Roman" w:hAnsi="Times New Roman"/>
          <w:sz w:val="28"/>
          <w:szCs w:val="28"/>
        </w:rPr>
        <w:t xml:space="preserve">relevat </w:t>
      </w:r>
      <w:r w:rsidR="00CF65A1">
        <w:rPr>
          <w:rFonts w:ascii="Times New Roman" w:hAnsi="Times New Roman"/>
          <w:sz w:val="28"/>
          <w:szCs w:val="28"/>
        </w:rPr>
        <w:t>că Ministerul Finanțelor nu a stipulat termen</w:t>
      </w:r>
      <w:r w:rsidR="007D15CB">
        <w:rPr>
          <w:rFonts w:ascii="Times New Roman" w:hAnsi="Times New Roman"/>
          <w:sz w:val="28"/>
          <w:szCs w:val="28"/>
        </w:rPr>
        <w:t>ele</w:t>
      </w:r>
      <w:r w:rsidR="00CF65A1">
        <w:rPr>
          <w:rFonts w:ascii="Times New Roman" w:hAnsi="Times New Roman"/>
          <w:sz w:val="28"/>
          <w:szCs w:val="28"/>
        </w:rPr>
        <w:t xml:space="preserve"> de </w:t>
      </w:r>
      <w:r w:rsidR="00610B19">
        <w:rPr>
          <w:rFonts w:ascii="Times New Roman" w:hAnsi="Times New Roman"/>
          <w:sz w:val="28"/>
          <w:szCs w:val="28"/>
        </w:rPr>
        <w:t>închidere</w:t>
      </w:r>
      <w:r w:rsidR="00CF65A1">
        <w:rPr>
          <w:rFonts w:ascii="Times New Roman" w:hAnsi="Times New Roman"/>
          <w:sz w:val="28"/>
          <w:szCs w:val="28"/>
        </w:rPr>
        <w:t xml:space="preserve"> </w:t>
      </w:r>
      <w:r w:rsidR="00610B19">
        <w:rPr>
          <w:rFonts w:ascii="Times New Roman" w:hAnsi="Times New Roman"/>
          <w:sz w:val="28"/>
          <w:szCs w:val="28"/>
        </w:rPr>
        <w:t>a conturilor trezoreriale ale autorităților/instituțiilor bugetare reorganizate</w:t>
      </w:r>
      <w:r w:rsidR="00CF65A1">
        <w:rPr>
          <w:rFonts w:ascii="Times New Roman" w:hAnsi="Times New Roman"/>
          <w:sz w:val="28"/>
          <w:szCs w:val="28"/>
        </w:rPr>
        <w:t>, din care cauză procedura de închidere a conturilor trezoreriale a derulat</w:t>
      </w:r>
      <w:r w:rsidR="00610B19">
        <w:rPr>
          <w:rFonts w:ascii="Times New Roman" w:hAnsi="Times New Roman"/>
          <w:sz w:val="28"/>
          <w:szCs w:val="28"/>
        </w:rPr>
        <w:t xml:space="preserve"> în perioada 19.09.2017 –</w:t>
      </w:r>
      <w:r w:rsidR="00CF65A1">
        <w:rPr>
          <w:rFonts w:ascii="Times New Roman" w:hAnsi="Times New Roman"/>
          <w:sz w:val="28"/>
          <w:szCs w:val="28"/>
        </w:rPr>
        <w:t>31.03.2018</w:t>
      </w:r>
      <w:r w:rsidR="00610B19">
        <w:rPr>
          <w:rFonts w:ascii="Times New Roman" w:hAnsi="Times New Roman"/>
          <w:sz w:val="28"/>
          <w:szCs w:val="28"/>
        </w:rPr>
        <w:t xml:space="preserve">, fapt confirmat și prin </w:t>
      </w:r>
      <w:r w:rsidR="00B160B4" w:rsidRPr="00DB3940">
        <w:rPr>
          <w:rFonts w:ascii="Times New Roman" w:hAnsi="Times New Roman"/>
          <w:sz w:val="28"/>
          <w:szCs w:val="28"/>
        </w:rPr>
        <w:t>informați</w:t>
      </w:r>
      <w:r w:rsidR="00610B19">
        <w:rPr>
          <w:rFonts w:ascii="Times New Roman" w:hAnsi="Times New Roman"/>
          <w:sz w:val="28"/>
          <w:szCs w:val="28"/>
        </w:rPr>
        <w:t>a</w:t>
      </w:r>
      <w:r w:rsidR="00B160B4" w:rsidRPr="00DB3940">
        <w:rPr>
          <w:rFonts w:ascii="Times New Roman" w:hAnsi="Times New Roman"/>
          <w:sz w:val="28"/>
          <w:szCs w:val="28"/>
        </w:rPr>
        <w:t xml:space="preserve"> </w:t>
      </w:r>
      <w:r w:rsidR="00B160B4">
        <w:rPr>
          <w:rFonts w:ascii="Times New Roman" w:hAnsi="Times New Roman"/>
          <w:sz w:val="28"/>
          <w:szCs w:val="28"/>
        </w:rPr>
        <w:t>prezentat</w:t>
      </w:r>
      <w:r w:rsidR="00610B19">
        <w:rPr>
          <w:rFonts w:ascii="Times New Roman" w:hAnsi="Times New Roman"/>
          <w:sz w:val="28"/>
          <w:szCs w:val="28"/>
        </w:rPr>
        <w:t>ă</w:t>
      </w:r>
      <w:r w:rsidR="00B160B4">
        <w:rPr>
          <w:rFonts w:ascii="Times New Roman" w:hAnsi="Times New Roman"/>
          <w:sz w:val="28"/>
          <w:szCs w:val="28"/>
        </w:rPr>
        <w:t xml:space="preserve"> de Trezoreria Regională Chișinău</w:t>
      </w:r>
      <w:r w:rsidR="00F5680E">
        <w:rPr>
          <w:rFonts w:ascii="Times New Roman" w:hAnsi="Times New Roman"/>
          <w:sz w:val="28"/>
          <w:szCs w:val="28"/>
        </w:rPr>
        <w:t xml:space="preserve"> </w:t>
      </w:r>
      <w:r w:rsidR="00814BC2">
        <w:rPr>
          <w:rFonts w:ascii="Times New Roman" w:hAnsi="Times New Roman"/>
          <w:sz w:val="28"/>
          <w:szCs w:val="28"/>
        </w:rPr>
        <w:t>–</w:t>
      </w:r>
      <w:r w:rsidR="00F5680E">
        <w:rPr>
          <w:rFonts w:ascii="Times New Roman" w:hAnsi="Times New Roman"/>
          <w:sz w:val="28"/>
          <w:szCs w:val="28"/>
        </w:rPr>
        <w:t xml:space="preserve"> </w:t>
      </w:r>
      <w:r w:rsidR="00610B19">
        <w:rPr>
          <w:rFonts w:ascii="Times New Roman" w:hAnsi="Times New Roman"/>
          <w:sz w:val="28"/>
          <w:szCs w:val="28"/>
        </w:rPr>
        <w:t>bugetul de stat.</w:t>
      </w:r>
      <w:r w:rsidR="00F5680E">
        <w:rPr>
          <w:rFonts w:ascii="Times New Roman" w:hAnsi="Times New Roman"/>
          <w:sz w:val="28"/>
          <w:szCs w:val="28"/>
        </w:rPr>
        <w:t xml:space="preserve"> </w:t>
      </w:r>
    </w:p>
    <w:p w:rsidR="00FB7A39" w:rsidRDefault="00610B19" w:rsidP="004425C9">
      <w:pPr>
        <w:pStyle w:val="a5"/>
        <w:spacing w:after="0" w:line="276" w:lineRule="auto"/>
        <w:ind w:left="0" w:right="51" w:firstLine="709"/>
        <w:jc w:val="both"/>
        <w:rPr>
          <w:rFonts w:ascii="Times New Roman" w:hAnsi="Times New Roman"/>
          <w:i/>
          <w:sz w:val="28"/>
          <w:szCs w:val="28"/>
        </w:rPr>
      </w:pPr>
      <w:r>
        <w:rPr>
          <w:rFonts w:ascii="Times New Roman" w:hAnsi="Times New Roman"/>
          <w:sz w:val="28"/>
          <w:szCs w:val="28"/>
        </w:rPr>
        <w:t xml:space="preserve">Astfel, </w:t>
      </w:r>
      <w:r w:rsidR="00B160B4" w:rsidRPr="003D32C9">
        <w:rPr>
          <w:rFonts w:ascii="Times New Roman" w:hAnsi="Times New Roman"/>
          <w:sz w:val="28"/>
          <w:szCs w:val="28"/>
        </w:rPr>
        <w:t>soldurile veniturilor colectate și a</w:t>
      </w:r>
      <w:r w:rsidR="00814BC2">
        <w:rPr>
          <w:rFonts w:ascii="Times New Roman" w:hAnsi="Times New Roman"/>
          <w:sz w:val="28"/>
          <w:szCs w:val="28"/>
        </w:rPr>
        <w:t>le</w:t>
      </w:r>
      <w:r w:rsidR="00B160B4" w:rsidRPr="003D32C9">
        <w:rPr>
          <w:rFonts w:ascii="Times New Roman" w:hAnsi="Times New Roman"/>
          <w:sz w:val="28"/>
          <w:szCs w:val="28"/>
        </w:rPr>
        <w:t xml:space="preserve"> altor mijloace</w:t>
      </w:r>
      <w:r w:rsidR="00B160B4" w:rsidRPr="00E62453">
        <w:rPr>
          <w:rFonts w:ascii="Times New Roman" w:hAnsi="Times New Roman"/>
          <w:sz w:val="28"/>
          <w:szCs w:val="28"/>
        </w:rPr>
        <w:t xml:space="preserve"> a </w:t>
      </w:r>
      <w:r w:rsidR="00B160B4">
        <w:rPr>
          <w:rFonts w:ascii="Times New Roman" w:hAnsi="Times New Roman"/>
          <w:sz w:val="28"/>
          <w:szCs w:val="28"/>
        </w:rPr>
        <w:t>4</w:t>
      </w:r>
      <w:r w:rsidR="007C4775">
        <w:rPr>
          <w:rFonts w:ascii="Times New Roman" w:hAnsi="Times New Roman"/>
          <w:sz w:val="28"/>
          <w:szCs w:val="28"/>
        </w:rPr>
        <w:t>1</w:t>
      </w:r>
      <w:r w:rsidR="00B160B4">
        <w:rPr>
          <w:rFonts w:ascii="Times New Roman" w:hAnsi="Times New Roman"/>
          <w:sz w:val="28"/>
          <w:szCs w:val="28"/>
        </w:rPr>
        <w:t xml:space="preserve"> </w:t>
      </w:r>
      <w:r w:rsidR="00814BC2">
        <w:rPr>
          <w:rFonts w:ascii="Times New Roman" w:hAnsi="Times New Roman"/>
          <w:sz w:val="28"/>
          <w:szCs w:val="28"/>
        </w:rPr>
        <w:t xml:space="preserve">de </w:t>
      </w:r>
      <w:r w:rsidR="00B160B4" w:rsidRPr="00E62453">
        <w:rPr>
          <w:rFonts w:ascii="Times New Roman" w:hAnsi="Times New Roman"/>
          <w:sz w:val="28"/>
          <w:szCs w:val="28"/>
        </w:rPr>
        <w:t>autorități/i</w:t>
      </w:r>
      <w:r w:rsidR="00B160B4">
        <w:rPr>
          <w:rFonts w:ascii="Times New Roman" w:hAnsi="Times New Roman"/>
          <w:sz w:val="28"/>
          <w:szCs w:val="28"/>
        </w:rPr>
        <w:t>nstituții bugetare reorganizate au fost transferate</w:t>
      </w:r>
      <w:r w:rsidR="00452778">
        <w:rPr>
          <w:rFonts w:ascii="Times New Roman" w:hAnsi="Times New Roman"/>
          <w:sz w:val="28"/>
          <w:szCs w:val="28"/>
        </w:rPr>
        <w:t>, în sumă totală de 17,8 mil.lei,</w:t>
      </w:r>
      <w:r w:rsidR="00B160B4">
        <w:rPr>
          <w:rFonts w:ascii="Times New Roman" w:hAnsi="Times New Roman"/>
          <w:sz w:val="28"/>
          <w:szCs w:val="28"/>
        </w:rPr>
        <w:t xml:space="preserve"> urmare </w:t>
      </w:r>
      <w:r w:rsidR="00814BC2">
        <w:rPr>
          <w:rFonts w:ascii="Times New Roman" w:hAnsi="Times New Roman"/>
          <w:sz w:val="28"/>
          <w:szCs w:val="28"/>
        </w:rPr>
        <w:t xml:space="preserve">a </w:t>
      </w:r>
      <w:r w:rsidR="00B160B4">
        <w:rPr>
          <w:rFonts w:ascii="Times New Roman" w:hAnsi="Times New Roman"/>
          <w:sz w:val="28"/>
          <w:szCs w:val="28"/>
        </w:rPr>
        <w:t>închiderii conturilor trezoreriale vechi la conturile trezoreriale noi</w:t>
      </w:r>
      <w:r w:rsidR="00814BC2">
        <w:rPr>
          <w:rFonts w:ascii="Times New Roman" w:hAnsi="Times New Roman"/>
          <w:sz w:val="28"/>
          <w:szCs w:val="28"/>
        </w:rPr>
        <w:t>.</w:t>
      </w:r>
      <w:r w:rsidRPr="00B056FC">
        <w:rPr>
          <w:rFonts w:ascii="Times New Roman" w:hAnsi="Times New Roman"/>
          <w:i/>
          <w:sz w:val="28"/>
          <w:szCs w:val="28"/>
        </w:rPr>
        <w:t xml:space="preserve"> </w:t>
      </w:r>
      <w:r w:rsidR="00814BC2">
        <w:rPr>
          <w:rFonts w:ascii="Times New Roman" w:hAnsi="Times New Roman"/>
          <w:i/>
          <w:sz w:val="28"/>
          <w:szCs w:val="28"/>
        </w:rPr>
        <w:t>I</w:t>
      </w:r>
      <w:r w:rsidRPr="00B056FC">
        <w:rPr>
          <w:rFonts w:ascii="Times New Roman" w:hAnsi="Times New Roman"/>
          <w:i/>
          <w:sz w:val="28"/>
          <w:szCs w:val="28"/>
        </w:rPr>
        <w:t xml:space="preserve">nformația detaliată </w:t>
      </w:r>
      <w:r w:rsidR="00814BC2">
        <w:rPr>
          <w:rFonts w:ascii="Times New Roman" w:hAnsi="Times New Roman"/>
          <w:i/>
          <w:sz w:val="28"/>
          <w:szCs w:val="28"/>
        </w:rPr>
        <w:t>este</w:t>
      </w:r>
      <w:r w:rsidRPr="00B056FC">
        <w:rPr>
          <w:rFonts w:ascii="Times New Roman" w:hAnsi="Times New Roman"/>
          <w:i/>
          <w:sz w:val="28"/>
          <w:szCs w:val="28"/>
        </w:rPr>
        <w:t xml:space="preserve"> prezentată în </w:t>
      </w:r>
      <w:r w:rsidR="00100EC4">
        <w:rPr>
          <w:rFonts w:ascii="Times New Roman" w:hAnsi="Times New Roman"/>
          <w:i/>
          <w:sz w:val="28"/>
          <w:szCs w:val="28"/>
        </w:rPr>
        <w:t>Tabelul nr.</w:t>
      </w:r>
      <w:r w:rsidR="00024D8E">
        <w:rPr>
          <w:rFonts w:ascii="Times New Roman" w:hAnsi="Times New Roman"/>
          <w:i/>
          <w:sz w:val="28"/>
          <w:szCs w:val="28"/>
        </w:rPr>
        <w:t>2</w:t>
      </w:r>
      <w:r w:rsidR="00100EC4">
        <w:rPr>
          <w:rFonts w:ascii="Times New Roman" w:hAnsi="Times New Roman"/>
          <w:i/>
          <w:sz w:val="28"/>
          <w:szCs w:val="28"/>
        </w:rPr>
        <w:t xml:space="preserve"> din </w:t>
      </w:r>
      <w:r w:rsidR="003462D6" w:rsidRPr="00FB7A39">
        <w:rPr>
          <w:rFonts w:ascii="Times New Roman" w:hAnsi="Times New Roman"/>
          <w:i/>
          <w:sz w:val="28"/>
          <w:szCs w:val="28"/>
        </w:rPr>
        <w:t xml:space="preserve">Anexa </w:t>
      </w:r>
      <w:r w:rsidR="003462D6" w:rsidRPr="00B056FC">
        <w:rPr>
          <w:rFonts w:ascii="Times New Roman" w:hAnsi="Times New Roman"/>
          <w:i/>
          <w:sz w:val="28"/>
          <w:szCs w:val="28"/>
        </w:rPr>
        <w:t>nr.</w:t>
      </w:r>
      <w:r w:rsidR="00100EC4">
        <w:rPr>
          <w:rFonts w:ascii="Times New Roman" w:hAnsi="Times New Roman"/>
          <w:i/>
          <w:sz w:val="28"/>
          <w:szCs w:val="28"/>
        </w:rPr>
        <w:t>3</w:t>
      </w:r>
      <w:r w:rsidR="00FB7A39">
        <w:rPr>
          <w:rFonts w:ascii="Times New Roman" w:hAnsi="Times New Roman"/>
          <w:i/>
          <w:sz w:val="28"/>
          <w:szCs w:val="28"/>
        </w:rPr>
        <w:t xml:space="preserve"> </w:t>
      </w:r>
      <w:r w:rsidR="00100EC4">
        <w:rPr>
          <w:rFonts w:ascii="Times New Roman" w:hAnsi="Times New Roman"/>
          <w:i/>
          <w:sz w:val="28"/>
          <w:szCs w:val="28"/>
        </w:rPr>
        <w:t>la</w:t>
      </w:r>
      <w:r w:rsidR="00FB7A39">
        <w:rPr>
          <w:rFonts w:ascii="Times New Roman" w:hAnsi="Times New Roman"/>
          <w:i/>
          <w:sz w:val="28"/>
          <w:szCs w:val="28"/>
        </w:rPr>
        <w:t xml:space="preserve"> prezentul Raport</w:t>
      </w:r>
      <w:r w:rsidR="00814BC2">
        <w:rPr>
          <w:rFonts w:ascii="Times New Roman" w:hAnsi="Times New Roman"/>
          <w:i/>
          <w:sz w:val="28"/>
          <w:szCs w:val="28"/>
        </w:rPr>
        <w:t xml:space="preserve"> de audit</w:t>
      </w:r>
      <w:r w:rsidR="003462D6" w:rsidRPr="00FB7A39">
        <w:rPr>
          <w:rFonts w:ascii="Times New Roman" w:hAnsi="Times New Roman"/>
          <w:i/>
          <w:sz w:val="28"/>
          <w:szCs w:val="28"/>
        </w:rPr>
        <w:t>.</w:t>
      </w:r>
    </w:p>
    <w:p w:rsidR="00B160B4" w:rsidRDefault="003D32C9" w:rsidP="004425C9">
      <w:pPr>
        <w:pStyle w:val="a5"/>
        <w:spacing w:after="0" w:line="276" w:lineRule="auto"/>
        <w:ind w:left="0" w:right="51" w:firstLine="709"/>
        <w:jc w:val="both"/>
        <w:rPr>
          <w:rFonts w:ascii="Times New Roman" w:hAnsi="Times New Roman"/>
          <w:sz w:val="28"/>
          <w:szCs w:val="28"/>
        </w:rPr>
      </w:pPr>
      <w:r>
        <w:rPr>
          <w:rFonts w:ascii="Times New Roman" w:hAnsi="Times New Roman"/>
          <w:sz w:val="28"/>
          <w:szCs w:val="28"/>
        </w:rPr>
        <w:t>T</w:t>
      </w:r>
      <w:r w:rsidR="00B160B4">
        <w:rPr>
          <w:rFonts w:ascii="Times New Roman" w:hAnsi="Times New Roman"/>
          <w:sz w:val="28"/>
          <w:szCs w:val="28"/>
        </w:rPr>
        <w:t>otodată</w:t>
      </w:r>
      <w:r>
        <w:rPr>
          <w:rFonts w:ascii="Times New Roman" w:hAnsi="Times New Roman"/>
          <w:sz w:val="28"/>
          <w:szCs w:val="28"/>
        </w:rPr>
        <w:t>,</w:t>
      </w:r>
      <w:r w:rsidR="00B160B4">
        <w:rPr>
          <w:rFonts w:ascii="Times New Roman" w:hAnsi="Times New Roman"/>
          <w:sz w:val="28"/>
          <w:szCs w:val="28"/>
        </w:rPr>
        <w:t xml:space="preserve"> după închiderea și transferarea soldurilor veniturilor colectate</w:t>
      </w:r>
      <w:r w:rsidR="00452778">
        <w:rPr>
          <w:rFonts w:ascii="Times New Roman" w:hAnsi="Times New Roman"/>
          <w:sz w:val="28"/>
          <w:szCs w:val="28"/>
        </w:rPr>
        <w:t>,</w:t>
      </w:r>
      <w:r w:rsidR="00B160B4">
        <w:rPr>
          <w:rFonts w:ascii="Times New Roman" w:hAnsi="Times New Roman"/>
          <w:sz w:val="28"/>
          <w:szCs w:val="28"/>
        </w:rPr>
        <w:t xml:space="preserve"> </w:t>
      </w:r>
      <w:r w:rsidR="00610B19">
        <w:rPr>
          <w:rFonts w:ascii="Times New Roman" w:hAnsi="Times New Roman"/>
          <w:sz w:val="28"/>
          <w:szCs w:val="28"/>
        </w:rPr>
        <w:t xml:space="preserve">au fost admise și </w:t>
      </w:r>
      <w:r w:rsidR="00B160B4" w:rsidRPr="003462D6">
        <w:rPr>
          <w:rFonts w:ascii="Times New Roman" w:hAnsi="Times New Roman"/>
          <w:sz w:val="28"/>
          <w:szCs w:val="28"/>
        </w:rPr>
        <w:t>efectuate corectări a</w:t>
      </w:r>
      <w:r w:rsidR="00610B19">
        <w:rPr>
          <w:rFonts w:ascii="Times New Roman" w:hAnsi="Times New Roman"/>
          <w:sz w:val="28"/>
          <w:szCs w:val="28"/>
        </w:rPr>
        <w:t>le</w:t>
      </w:r>
      <w:r w:rsidR="00B160B4" w:rsidRPr="003462D6">
        <w:rPr>
          <w:rFonts w:ascii="Times New Roman" w:hAnsi="Times New Roman"/>
          <w:sz w:val="28"/>
          <w:szCs w:val="28"/>
        </w:rPr>
        <w:t xml:space="preserve"> soldurilor la conturile trezoreriale noi deschise </w:t>
      </w:r>
      <w:r w:rsidR="00A236A8">
        <w:rPr>
          <w:rFonts w:ascii="Times New Roman" w:hAnsi="Times New Roman"/>
          <w:sz w:val="28"/>
          <w:szCs w:val="28"/>
        </w:rPr>
        <w:t>pentru</w:t>
      </w:r>
      <w:r w:rsidR="00B160B4">
        <w:rPr>
          <w:rFonts w:ascii="Times New Roman" w:hAnsi="Times New Roman"/>
          <w:sz w:val="28"/>
          <w:szCs w:val="28"/>
        </w:rPr>
        <w:t xml:space="preserve"> 25 </w:t>
      </w:r>
      <w:r w:rsidR="007E63EF">
        <w:rPr>
          <w:rFonts w:ascii="Times New Roman" w:hAnsi="Times New Roman"/>
          <w:sz w:val="28"/>
          <w:szCs w:val="28"/>
        </w:rPr>
        <w:t>din 4</w:t>
      </w:r>
      <w:r w:rsidR="007C4775">
        <w:rPr>
          <w:rFonts w:ascii="Times New Roman" w:hAnsi="Times New Roman"/>
          <w:sz w:val="28"/>
          <w:szCs w:val="28"/>
        </w:rPr>
        <w:t>1</w:t>
      </w:r>
      <w:r w:rsidR="00A236A8">
        <w:rPr>
          <w:rFonts w:ascii="Times New Roman" w:hAnsi="Times New Roman"/>
          <w:sz w:val="28"/>
          <w:szCs w:val="28"/>
        </w:rPr>
        <w:t xml:space="preserve"> de instituții bugetare</w:t>
      </w:r>
      <w:r w:rsidR="00452778">
        <w:rPr>
          <w:rFonts w:ascii="Times New Roman" w:hAnsi="Times New Roman"/>
          <w:sz w:val="28"/>
          <w:szCs w:val="28"/>
        </w:rPr>
        <w:t>,</w:t>
      </w:r>
      <w:r w:rsidR="007E63EF">
        <w:rPr>
          <w:rFonts w:ascii="Times New Roman" w:hAnsi="Times New Roman"/>
          <w:sz w:val="28"/>
          <w:szCs w:val="28"/>
        </w:rPr>
        <w:t xml:space="preserve"> </w:t>
      </w:r>
      <w:r w:rsidR="003462D6">
        <w:rPr>
          <w:rFonts w:ascii="Times New Roman" w:hAnsi="Times New Roman"/>
          <w:sz w:val="28"/>
          <w:szCs w:val="28"/>
        </w:rPr>
        <w:t>în sumă de 3</w:t>
      </w:r>
      <w:r w:rsidR="00043FBB">
        <w:rPr>
          <w:rFonts w:ascii="Times New Roman" w:hAnsi="Times New Roman"/>
          <w:sz w:val="28"/>
          <w:szCs w:val="28"/>
        </w:rPr>
        <w:t>,</w:t>
      </w:r>
      <w:r w:rsidR="00B160B4">
        <w:rPr>
          <w:rFonts w:ascii="Times New Roman" w:hAnsi="Times New Roman"/>
          <w:sz w:val="28"/>
          <w:szCs w:val="28"/>
        </w:rPr>
        <w:t>7 mi</w:t>
      </w:r>
      <w:r w:rsidR="00043FBB">
        <w:rPr>
          <w:rFonts w:ascii="Times New Roman" w:hAnsi="Times New Roman"/>
          <w:sz w:val="28"/>
          <w:szCs w:val="28"/>
        </w:rPr>
        <w:t>l.</w:t>
      </w:r>
      <w:r w:rsidR="00B160B4">
        <w:rPr>
          <w:rFonts w:ascii="Times New Roman" w:hAnsi="Times New Roman"/>
          <w:sz w:val="28"/>
          <w:szCs w:val="28"/>
        </w:rPr>
        <w:t xml:space="preserve">lei, urmare </w:t>
      </w:r>
      <w:r w:rsidR="00452778">
        <w:rPr>
          <w:rFonts w:ascii="Times New Roman" w:hAnsi="Times New Roman"/>
          <w:sz w:val="28"/>
          <w:szCs w:val="28"/>
        </w:rPr>
        <w:t xml:space="preserve">a </w:t>
      </w:r>
      <w:r w:rsidR="00B160B4">
        <w:rPr>
          <w:rFonts w:ascii="Times New Roman" w:hAnsi="Times New Roman"/>
          <w:sz w:val="28"/>
          <w:szCs w:val="28"/>
        </w:rPr>
        <w:t xml:space="preserve">redistribuirii alocațiilor </w:t>
      </w:r>
      <w:r w:rsidR="00B160B4">
        <w:rPr>
          <w:rFonts w:ascii="Times New Roman" w:hAnsi="Times New Roman"/>
          <w:sz w:val="28"/>
          <w:szCs w:val="28"/>
        </w:rPr>
        <w:lastRenderedPageBreak/>
        <w:t>aprobate prin Legea bugetului de stat pentru anul 2017 între ministere, alte autorități administrative centrale și structuri organizaționale din sfera lor de competență</w:t>
      </w:r>
      <w:r w:rsidR="003462D6">
        <w:rPr>
          <w:rFonts w:ascii="Times New Roman" w:hAnsi="Times New Roman"/>
          <w:sz w:val="28"/>
          <w:szCs w:val="28"/>
        </w:rPr>
        <w:t>.</w:t>
      </w:r>
    </w:p>
    <w:p w:rsidR="007E63EF" w:rsidRPr="004E0CD6" w:rsidRDefault="00476255" w:rsidP="004425C9">
      <w:pPr>
        <w:pStyle w:val="a5"/>
        <w:spacing w:before="240" w:after="0" w:line="276" w:lineRule="auto"/>
        <w:ind w:left="0" w:right="49" w:firstLine="709"/>
        <w:jc w:val="both"/>
        <w:rPr>
          <w:rFonts w:ascii="Times New Roman" w:hAnsi="Times New Roman"/>
          <w:i/>
          <w:sz w:val="28"/>
          <w:szCs w:val="28"/>
        </w:rPr>
      </w:pPr>
      <w:r>
        <w:rPr>
          <w:rFonts w:ascii="Times New Roman" w:hAnsi="Times New Roman"/>
          <w:sz w:val="28"/>
          <w:szCs w:val="28"/>
        </w:rPr>
        <w:t>L</w:t>
      </w:r>
      <w:r w:rsidR="00457F49">
        <w:rPr>
          <w:rFonts w:ascii="Times New Roman" w:hAnsi="Times New Roman"/>
          <w:sz w:val="28"/>
          <w:szCs w:val="28"/>
        </w:rPr>
        <w:t>a situația din 31.12.2017,</w:t>
      </w:r>
      <w:r w:rsidR="00457F49" w:rsidRPr="003462D6">
        <w:rPr>
          <w:rFonts w:ascii="Times New Roman" w:hAnsi="Times New Roman"/>
          <w:sz w:val="28"/>
          <w:szCs w:val="28"/>
        </w:rPr>
        <w:t xml:space="preserve"> </w:t>
      </w:r>
      <w:r w:rsidR="003462D6">
        <w:rPr>
          <w:rFonts w:ascii="Times New Roman" w:hAnsi="Times New Roman"/>
          <w:sz w:val="28"/>
          <w:szCs w:val="28"/>
        </w:rPr>
        <w:t>se atest</w:t>
      </w:r>
      <w:r w:rsidR="004425C9">
        <w:rPr>
          <w:rFonts w:ascii="Times New Roman" w:hAnsi="Times New Roman"/>
          <w:sz w:val="28"/>
          <w:szCs w:val="28"/>
        </w:rPr>
        <w:t>a</w:t>
      </w:r>
      <w:r w:rsidR="003462D6">
        <w:rPr>
          <w:rFonts w:ascii="Times New Roman" w:hAnsi="Times New Roman"/>
          <w:sz w:val="28"/>
          <w:szCs w:val="28"/>
        </w:rPr>
        <w:t xml:space="preserve"> neînchiderea l</w:t>
      </w:r>
      <w:r w:rsidR="003462D6" w:rsidRPr="00C2236B">
        <w:rPr>
          <w:rFonts w:ascii="Times New Roman" w:hAnsi="Times New Roman"/>
          <w:sz w:val="28"/>
          <w:szCs w:val="28"/>
        </w:rPr>
        <w:t>a</w:t>
      </w:r>
      <w:r w:rsidR="003462D6">
        <w:rPr>
          <w:rFonts w:ascii="Times New Roman" w:hAnsi="Times New Roman"/>
          <w:sz w:val="28"/>
          <w:szCs w:val="28"/>
        </w:rPr>
        <w:t xml:space="preserve"> 6 </w:t>
      </w:r>
      <w:r>
        <w:rPr>
          <w:rFonts w:ascii="Times New Roman" w:hAnsi="Times New Roman"/>
          <w:sz w:val="28"/>
          <w:szCs w:val="28"/>
        </w:rPr>
        <w:t>APC</w:t>
      </w:r>
      <w:r w:rsidR="003462D6">
        <w:rPr>
          <w:rFonts w:ascii="Times New Roman" w:hAnsi="Times New Roman"/>
          <w:sz w:val="28"/>
          <w:szCs w:val="28"/>
        </w:rPr>
        <w:t xml:space="preserve"> reorganizate</w:t>
      </w:r>
      <w:r w:rsidR="00007919">
        <w:rPr>
          <w:rFonts w:ascii="Times New Roman" w:hAnsi="Times New Roman"/>
          <w:sz w:val="28"/>
          <w:szCs w:val="28"/>
        </w:rPr>
        <w:t>/absorbite</w:t>
      </w:r>
      <w:r w:rsidR="003462D6">
        <w:rPr>
          <w:rFonts w:ascii="Times New Roman" w:hAnsi="Times New Roman"/>
          <w:sz w:val="28"/>
          <w:szCs w:val="28"/>
        </w:rPr>
        <w:t xml:space="preserve"> a</w:t>
      </w:r>
      <w:r w:rsidR="00B160B4">
        <w:rPr>
          <w:rFonts w:ascii="Times New Roman" w:hAnsi="Times New Roman"/>
          <w:sz w:val="28"/>
          <w:szCs w:val="28"/>
        </w:rPr>
        <w:t xml:space="preserve"> </w:t>
      </w:r>
      <w:r w:rsidR="003462D6">
        <w:rPr>
          <w:rFonts w:ascii="Times New Roman" w:hAnsi="Times New Roman"/>
          <w:sz w:val="28"/>
          <w:szCs w:val="28"/>
        </w:rPr>
        <w:t>c</w:t>
      </w:r>
      <w:r w:rsidR="00B160B4" w:rsidRPr="003462D6">
        <w:rPr>
          <w:rFonts w:ascii="Times New Roman" w:hAnsi="Times New Roman"/>
          <w:sz w:val="28"/>
          <w:szCs w:val="28"/>
        </w:rPr>
        <w:t>onturil</w:t>
      </w:r>
      <w:r w:rsidR="003462D6">
        <w:rPr>
          <w:rFonts w:ascii="Times New Roman" w:hAnsi="Times New Roman"/>
          <w:sz w:val="28"/>
          <w:szCs w:val="28"/>
        </w:rPr>
        <w:t>or</w:t>
      </w:r>
      <w:r w:rsidR="00B160B4" w:rsidRPr="003462D6">
        <w:rPr>
          <w:rFonts w:ascii="Times New Roman" w:hAnsi="Times New Roman"/>
          <w:sz w:val="28"/>
          <w:szCs w:val="28"/>
        </w:rPr>
        <w:t xml:space="preserve"> trezoreriale cu soldurile mijloacelor </w:t>
      </w:r>
      <w:r w:rsidR="003462D6">
        <w:rPr>
          <w:rFonts w:ascii="Times New Roman" w:hAnsi="Times New Roman"/>
          <w:sz w:val="28"/>
          <w:szCs w:val="28"/>
        </w:rPr>
        <w:t>i</w:t>
      </w:r>
      <w:r w:rsidR="00B160B4" w:rsidRPr="003462D6">
        <w:rPr>
          <w:rFonts w:ascii="Times New Roman" w:hAnsi="Times New Roman"/>
          <w:sz w:val="28"/>
          <w:szCs w:val="28"/>
        </w:rPr>
        <w:t>ntrate temporar în posesie</w:t>
      </w:r>
      <w:r w:rsidR="00B160B4">
        <w:rPr>
          <w:rFonts w:ascii="Times New Roman" w:hAnsi="Times New Roman"/>
          <w:sz w:val="28"/>
          <w:szCs w:val="28"/>
        </w:rPr>
        <w:t xml:space="preserve"> în sumă totală de 830,6 mii lei</w:t>
      </w:r>
      <w:r w:rsidR="003462D6">
        <w:rPr>
          <w:rFonts w:ascii="Times New Roman" w:hAnsi="Times New Roman"/>
          <w:sz w:val="28"/>
          <w:szCs w:val="28"/>
        </w:rPr>
        <w:t>,</w:t>
      </w:r>
      <w:r w:rsidR="00B160B4">
        <w:rPr>
          <w:rFonts w:ascii="Times New Roman" w:hAnsi="Times New Roman"/>
          <w:sz w:val="28"/>
          <w:szCs w:val="28"/>
        </w:rPr>
        <w:t xml:space="preserve"> dintre care</w:t>
      </w:r>
      <w:r w:rsidR="00A236A8">
        <w:rPr>
          <w:rFonts w:ascii="Times New Roman" w:hAnsi="Times New Roman"/>
          <w:sz w:val="28"/>
          <w:szCs w:val="28"/>
        </w:rPr>
        <w:t>:</w:t>
      </w:r>
      <w:r w:rsidR="00B160B4">
        <w:rPr>
          <w:rFonts w:ascii="Times New Roman" w:hAnsi="Times New Roman"/>
          <w:sz w:val="28"/>
          <w:szCs w:val="28"/>
        </w:rPr>
        <w:t xml:space="preserve"> 701,</w:t>
      </w:r>
      <w:r w:rsidR="000A7D52">
        <w:rPr>
          <w:rFonts w:ascii="Times New Roman" w:hAnsi="Times New Roman"/>
          <w:sz w:val="28"/>
          <w:szCs w:val="28"/>
        </w:rPr>
        <w:t xml:space="preserve">2 </w:t>
      </w:r>
      <w:r w:rsidR="00B160B4">
        <w:rPr>
          <w:rFonts w:ascii="Times New Roman" w:hAnsi="Times New Roman"/>
          <w:sz w:val="28"/>
          <w:szCs w:val="28"/>
        </w:rPr>
        <w:t xml:space="preserve">mii lei revin Ministerului </w:t>
      </w:r>
      <w:r w:rsidR="003462D6">
        <w:rPr>
          <w:rFonts w:ascii="Times New Roman" w:hAnsi="Times New Roman"/>
          <w:sz w:val="28"/>
          <w:szCs w:val="28"/>
        </w:rPr>
        <w:t>S</w:t>
      </w:r>
      <w:r w:rsidR="00B160B4">
        <w:rPr>
          <w:rFonts w:ascii="Times New Roman" w:hAnsi="Times New Roman"/>
          <w:sz w:val="28"/>
          <w:szCs w:val="28"/>
        </w:rPr>
        <w:t>ănătății; 105</w:t>
      </w:r>
      <w:r w:rsidR="007E63EF">
        <w:rPr>
          <w:rFonts w:ascii="Times New Roman" w:hAnsi="Times New Roman"/>
          <w:sz w:val="28"/>
          <w:szCs w:val="28"/>
        </w:rPr>
        <w:t>,0</w:t>
      </w:r>
      <w:r w:rsidR="00B160B4">
        <w:rPr>
          <w:rFonts w:ascii="Times New Roman" w:hAnsi="Times New Roman"/>
          <w:sz w:val="28"/>
          <w:szCs w:val="28"/>
        </w:rPr>
        <w:t xml:space="preserve"> mii lei </w:t>
      </w:r>
      <w:r w:rsidR="00A236A8">
        <w:rPr>
          <w:rFonts w:ascii="Times New Roman" w:hAnsi="Times New Roman"/>
          <w:sz w:val="28"/>
          <w:szCs w:val="28"/>
        </w:rPr>
        <w:t>–</w:t>
      </w:r>
      <w:r w:rsidR="007C4775">
        <w:rPr>
          <w:rFonts w:ascii="Times New Roman" w:hAnsi="Times New Roman"/>
          <w:sz w:val="28"/>
          <w:szCs w:val="28"/>
        </w:rPr>
        <w:t xml:space="preserve"> </w:t>
      </w:r>
      <w:r w:rsidR="00B160B4">
        <w:rPr>
          <w:rFonts w:ascii="Times New Roman" w:hAnsi="Times New Roman"/>
          <w:sz w:val="28"/>
          <w:szCs w:val="28"/>
        </w:rPr>
        <w:t xml:space="preserve">Ministerului Educației; </w:t>
      </w:r>
      <w:r w:rsidR="00043FBB">
        <w:rPr>
          <w:rFonts w:ascii="Times New Roman" w:hAnsi="Times New Roman"/>
          <w:sz w:val="28"/>
          <w:szCs w:val="28"/>
        </w:rPr>
        <w:t>12,4 mii lei</w:t>
      </w:r>
      <w:r w:rsidR="007C4775">
        <w:rPr>
          <w:rFonts w:ascii="Times New Roman" w:hAnsi="Times New Roman"/>
          <w:sz w:val="28"/>
          <w:szCs w:val="28"/>
        </w:rPr>
        <w:t xml:space="preserve"> –</w:t>
      </w:r>
      <w:r w:rsidR="00043FBB">
        <w:rPr>
          <w:rFonts w:ascii="Times New Roman" w:hAnsi="Times New Roman"/>
          <w:sz w:val="28"/>
          <w:szCs w:val="28"/>
        </w:rPr>
        <w:t xml:space="preserve"> Ministerului Culturii</w:t>
      </w:r>
      <w:r w:rsidR="00A236A8">
        <w:rPr>
          <w:rFonts w:ascii="Times New Roman" w:hAnsi="Times New Roman"/>
          <w:sz w:val="28"/>
          <w:szCs w:val="28"/>
        </w:rPr>
        <w:t>,</w:t>
      </w:r>
      <w:r w:rsidR="00043FBB">
        <w:rPr>
          <w:rFonts w:ascii="Times New Roman" w:hAnsi="Times New Roman"/>
          <w:sz w:val="28"/>
          <w:szCs w:val="28"/>
        </w:rPr>
        <w:t xml:space="preserve"> și </w:t>
      </w:r>
      <w:r w:rsidR="007C4775">
        <w:rPr>
          <w:rFonts w:ascii="Times New Roman" w:hAnsi="Times New Roman"/>
          <w:sz w:val="28"/>
          <w:szCs w:val="28"/>
        </w:rPr>
        <w:t xml:space="preserve">11,7 mii lei – </w:t>
      </w:r>
      <w:r w:rsidR="00B160B4">
        <w:rPr>
          <w:rFonts w:ascii="Times New Roman" w:hAnsi="Times New Roman"/>
          <w:sz w:val="28"/>
          <w:szCs w:val="28"/>
        </w:rPr>
        <w:t>Ministerului Mediului</w:t>
      </w:r>
      <w:r w:rsidR="003462D6">
        <w:rPr>
          <w:rFonts w:ascii="Times New Roman" w:hAnsi="Times New Roman"/>
          <w:sz w:val="28"/>
          <w:szCs w:val="28"/>
        </w:rPr>
        <w:t xml:space="preserve"> etc., acestea fiind închise prin transferul mijloacelor</w:t>
      </w:r>
      <w:r w:rsidR="0072372E">
        <w:rPr>
          <w:rFonts w:ascii="Times New Roman" w:hAnsi="Times New Roman"/>
          <w:sz w:val="28"/>
          <w:szCs w:val="28"/>
        </w:rPr>
        <w:t xml:space="preserve"> la conturile noi deschise în Tr</w:t>
      </w:r>
      <w:r w:rsidR="00007919">
        <w:rPr>
          <w:rFonts w:ascii="Times New Roman" w:hAnsi="Times New Roman"/>
          <w:sz w:val="28"/>
          <w:szCs w:val="28"/>
        </w:rPr>
        <w:t>ezoreria Regională Chișinău – bugetul de stat</w:t>
      </w:r>
      <w:r w:rsidR="0072372E">
        <w:rPr>
          <w:rFonts w:ascii="Times New Roman" w:hAnsi="Times New Roman"/>
          <w:sz w:val="28"/>
          <w:szCs w:val="28"/>
        </w:rPr>
        <w:t>.</w:t>
      </w:r>
      <w:r w:rsidR="007E63EF">
        <w:rPr>
          <w:rFonts w:ascii="Times New Roman" w:hAnsi="Times New Roman"/>
          <w:sz w:val="28"/>
          <w:szCs w:val="28"/>
        </w:rPr>
        <w:t xml:space="preserve"> </w:t>
      </w:r>
      <w:r w:rsidR="007E63EF" w:rsidRPr="000A7D52">
        <w:rPr>
          <w:rFonts w:ascii="Times New Roman" w:hAnsi="Times New Roman"/>
          <w:i/>
          <w:sz w:val="28"/>
          <w:szCs w:val="28"/>
        </w:rPr>
        <w:t>Informați</w:t>
      </w:r>
      <w:r w:rsidR="00A236A8">
        <w:rPr>
          <w:rFonts w:ascii="Times New Roman" w:hAnsi="Times New Roman"/>
          <w:i/>
          <w:sz w:val="28"/>
          <w:szCs w:val="28"/>
        </w:rPr>
        <w:t>i detaliate</w:t>
      </w:r>
      <w:r w:rsidR="007E63EF" w:rsidRPr="000A7D52">
        <w:rPr>
          <w:rFonts w:ascii="Times New Roman" w:hAnsi="Times New Roman"/>
          <w:i/>
          <w:sz w:val="28"/>
          <w:szCs w:val="28"/>
        </w:rPr>
        <w:t xml:space="preserve"> se prezintă în</w:t>
      </w:r>
      <w:r w:rsidR="007E63EF">
        <w:rPr>
          <w:rFonts w:ascii="Times New Roman" w:hAnsi="Times New Roman"/>
          <w:sz w:val="28"/>
          <w:szCs w:val="28"/>
        </w:rPr>
        <w:t xml:space="preserve"> </w:t>
      </w:r>
      <w:r w:rsidR="007E63EF" w:rsidRPr="004E0CD6">
        <w:rPr>
          <w:rFonts w:ascii="Times New Roman" w:hAnsi="Times New Roman"/>
          <w:i/>
          <w:sz w:val="28"/>
          <w:szCs w:val="28"/>
        </w:rPr>
        <w:t>Tabel</w:t>
      </w:r>
      <w:r w:rsidR="003E62EC">
        <w:rPr>
          <w:rFonts w:ascii="Times New Roman" w:hAnsi="Times New Roman"/>
          <w:i/>
          <w:sz w:val="28"/>
          <w:szCs w:val="28"/>
        </w:rPr>
        <w:t>ul</w:t>
      </w:r>
      <w:r w:rsidR="007E63EF" w:rsidRPr="004E0CD6">
        <w:rPr>
          <w:rFonts w:ascii="Times New Roman" w:hAnsi="Times New Roman"/>
          <w:i/>
          <w:sz w:val="28"/>
          <w:szCs w:val="28"/>
        </w:rPr>
        <w:t xml:space="preserve"> </w:t>
      </w:r>
      <w:r w:rsidR="007E63EF" w:rsidRPr="00B056FC">
        <w:rPr>
          <w:rFonts w:ascii="Times New Roman" w:hAnsi="Times New Roman"/>
          <w:i/>
          <w:sz w:val="28"/>
          <w:szCs w:val="28"/>
        </w:rPr>
        <w:t>nr</w:t>
      </w:r>
      <w:r w:rsidR="00B056FC">
        <w:rPr>
          <w:rFonts w:ascii="Times New Roman" w:hAnsi="Times New Roman"/>
          <w:i/>
          <w:sz w:val="28"/>
          <w:szCs w:val="28"/>
        </w:rPr>
        <w:t>.</w:t>
      </w:r>
      <w:r w:rsidR="00024D8E">
        <w:rPr>
          <w:rFonts w:ascii="Times New Roman" w:hAnsi="Times New Roman"/>
          <w:i/>
          <w:sz w:val="28"/>
          <w:szCs w:val="28"/>
        </w:rPr>
        <w:t>3</w:t>
      </w:r>
      <w:r w:rsidR="007E63EF" w:rsidRPr="004E0CD6">
        <w:rPr>
          <w:rFonts w:ascii="Times New Roman" w:hAnsi="Times New Roman"/>
          <w:i/>
          <w:sz w:val="28"/>
          <w:szCs w:val="28"/>
        </w:rPr>
        <w:t xml:space="preserve"> din Anexa </w:t>
      </w:r>
      <w:r w:rsidR="00B056FC">
        <w:rPr>
          <w:rFonts w:ascii="Times New Roman" w:hAnsi="Times New Roman"/>
          <w:i/>
          <w:sz w:val="28"/>
          <w:szCs w:val="28"/>
        </w:rPr>
        <w:t>nr.3</w:t>
      </w:r>
      <w:r w:rsidR="0072372E" w:rsidRPr="004E0CD6">
        <w:rPr>
          <w:rFonts w:ascii="Times New Roman" w:hAnsi="Times New Roman"/>
          <w:sz w:val="28"/>
          <w:szCs w:val="28"/>
        </w:rPr>
        <w:t xml:space="preserve"> </w:t>
      </w:r>
      <w:r w:rsidR="004E0CD6" w:rsidRPr="004E0CD6">
        <w:rPr>
          <w:rFonts w:ascii="Times New Roman" w:hAnsi="Times New Roman"/>
          <w:i/>
          <w:sz w:val="28"/>
          <w:szCs w:val="28"/>
        </w:rPr>
        <w:t>la prezentul Raport</w:t>
      </w:r>
      <w:r w:rsidR="00A236A8">
        <w:rPr>
          <w:rFonts w:ascii="Times New Roman" w:hAnsi="Times New Roman"/>
          <w:i/>
          <w:sz w:val="28"/>
          <w:szCs w:val="28"/>
        </w:rPr>
        <w:t xml:space="preserve"> de audit</w:t>
      </w:r>
      <w:r w:rsidR="004E0CD6" w:rsidRPr="004E0CD6">
        <w:rPr>
          <w:rFonts w:ascii="Times New Roman" w:hAnsi="Times New Roman"/>
          <w:i/>
          <w:sz w:val="28"/>
          <w:szCs w:val="28"/>
        </w:rPr>
        <w:t>.</w:t>
      </w:r>
    </w:p>
    <w:p w:rsidR="009B6957" w:rsidRDefault="001E14FC" w:rsidP="004425C9">
      <w:pPr>
        <w:pStyle w:val="a5"/>
        <w:spacing w:before="240" w:after="0" w:line="276" w:lineRule="auto"/>
        <w:ind w:left="0" w:right="49" w:firstLine="709"/>
        <w:jc w:val="both"/>
        <w:rPr>
          <w:rFonts w:ascii="Times New Roman" w:hAnsi="Times New Roman"/>
          <w:sz w:val="28"/>
          <w:szCs w:val="28"/>
        </w:rPr>
      </w:pPr>
      <w:r>
        <w:rPr>
          <w:rFonts w:ascii="Times New Roman" w:hAnsi="Times New Roman"/>
          <w:sz w:val="28"/>
          <w:szCs w:val="28"/>
        </w:rPr>
        <w:t>Î</w:t>
      </w:r>
      <w:r w:rsidR="009B6957">
        <w:rPr>
          <w:rFonts w:ascii="Times New Roman" w:hAnsi="Times New Roman"/>
          <w:sz w:val="28"/>
          <w:szCs w:val="28"/>
        </w:rPr>
        <w:t xml:space="preserve">n cazul Ministerului Educației, care </w:t>
      </w:r>
      <w:r w:rsidR="00277C8D">
        <w:rPr>
          <w:rFonts w:ascii="Times New Roman" w:hAnsi="Times New Roman"/>
          <w:sz w:val="28"/>
          <w:szCs w:val="28"/>
        </w:rPr>
        <w:t xml:space="preserve">la 31.12.2017 </w:t>
      </w:r>
      <w:r w:rsidR="009B6957">
        <w:rPr>
          <w:rFonts w:ascii="Times New Roman" w:hAnsi="Times New Roman"/>
          <w:sz w:val="28"/>
          <w:szCs w:val="28"/>
        </w:rPr>
        <w:t xml:space="preserve">înregistra </w:t>
      </w:r>
      <w:r w:rsidR="00457F49">
        <w:rPr>
          <w:rFonts w:ascii="Times New Roman" w:hAnsi="Times New Roman"/>
          <w:sz w:val="28"/>
          <w:szCs w:val="28"/>
        </w:rPr>
        <w:t xml:space="preserve">un sold de </w:t>
      </w:r>
      <w:r w:rsidR="009B6957">
        <w:rPr>
          <w:rFonts w:ascii="Times New Roman" w:hAnsi="Times New Roman"/>
          <w:sz w:val="28"/>
          <w:szCs w:val="28"/>
        </w:rPr>
        <w:t>105,0 mii lei, auditul nu a putut verific</w:t>
      </w:r>
      <w:r>
        <w:rPr>
          <w:rFonts w:ascii="Times New Roman" w:hAnsi="Times New Roman"/>
          <w:sz w:val="28"/>
          <w:szCs w:val="28"/>
        </w:rPr>
        <w:t>a</w:t>
      </w:r>
      <w:r w:rsidR="009B6957">
        <w:rPr>
          <w:rFonts w:ascii="Times New Roman" w:hAnsi="Times New Roman"/>
          <w:sz w:val="28"/>
          <w:szCs w:val="28"/>
        </w:rPr>
        <w:t xml:space="preserve"> reflect</w:t>
      </w:r>
      <w:r>
        <w:rPr>
          <w:rFonts w:ascii="Times New Roman" w:hAnsi="Times New Roman"/>
          <w:sz w:val="28"/>
          <w:szCs w:val="28"/>
        </w:rPr>
        <w:t>area</w:t>
      </w:r>
      <w:r w:rsidR="009B6957">
        <w:rPr>
          <w:rFonts w:ascii="Times New Roman" w:hAnsi="Times New Roman"/>
          <w:sz w:val="28"/>
          <w:szCs w:val="28"/>
        </w:rPr>
        <w:t xml:space="preserve"> </w:t>
      </w:r>
      <w:r w:rsidR="00277C8D">
        <w:rPr>
          <w:rFonts w:ascii="Times New Roman" w:hAnsi="Times New Roman"/>
          <w:sz w:val="28"/>
          <w:szCs w:val="28"/>
        </w:rPr>
        <w:t xml:space="preserve">acestuia </w:t>
      </w:r>
      <w:r w:rsidR="009B6957">
        <w:rPr>
          <w:rFonts w:ascii="Times New Roman" w:hAnsi="Times New Roman"/>
          <w:sz w:val="28"/>
          <w:szCs w:val="28"/>
        </w:rPr>
        <w:t>în Bilanțul contabil</w:t>
      </w:r>
      <w:r>
        <w:rPr>
          <w:rFonts w:ascii="Times New Roman" w:hAnsi="Times New Roman"/>
          <w:sz w:val="28"/>
          <w:szCs w:val="28"/>
        </w:rPr>
        <w:t>,</w:t>
      </w:r>
      <w:r w:rsidR="007C4775">
        <w:rPr>
          <w:rFonts w:ascii="Times New Roman" w:hAnsi="Times New Roman"/>
          <w:sz w:val="28"/>
          <w:szCs w:val="28"/>
        </w:rPr>
        <w:t xml:space="preserve"> </w:t>
      </w:r>
      <w:r w:rsidR="009B6957">
        <w:rPr>
          <w:rFonts w:ascii="Times New Roman" w:hAnsi="Times New Roman"/>
          <w:sz w:val="28"/>
          <w:szCs w:val="28"/>
        </w:rPr>
        <w:t xml:space="preserve">din cauza </w:t>
      </w:r>
      <w:r w:rsidR="000A7D52">
        <w:rPr>
          <w:rFonts w:ascii="Times New Roman" w:hAnsi="Times New Roman"/>
          <w:sz w:val="28"/>
          <w:szCs w:val="28"/>
        </w:rPr>
        <w:t xml:space="preserve">că acesta a fost prezentat Ministerului Finanțelor după finalizarea auditului, la data de 24.05.2018. </w:t>
      </w:r>
    </w:p>
    <w:p w:rsidR="007C4775" w:rsidRDefault="007C4775" w:rsidP="004425C9">
      <w:pPr>
        <w:pStyle w:val="a5"/>
        <w:spacing w:before="240" w:after="0" w:line="276" w:lineRule="auto"/>
        <w:ind w:left="0" w:right="49" w:firstLine="709"/>
        <w:jc w:val="both"/>
        <w:rPr>
          <w:rFonts w:ascii="Times New Roman" w:hAnsi="Times New Roman"/>
          <w:sz w:val="28"/>
          <w:szCs w:val="28"/>
        </w:rPr>
      </w:pPr>
    </w:p>
    <w:p w:rsidR="00126249" w:rsidRDefault="00126249" w:rsidP="004425C9">
      <w:pPr>
        <w:pStyle w:val="3"/>
        <w:numPr>
          <w:ilvl w:val="2"/>
          <w:numId w:val="1"/>
        </w:numPr>
        <w:spacing w:line="276" w:lineRule="auto"/>
        <w:ind w:left="0" w:firstLine="720"/>
        <w:jc w:val="both"/>
        <w:rPr>
          <w:rFonts w:ascii="Times New Roman" w:hAnsi="Times New Roman" w:cs="Times New Roman"/>
          <w:b/>
          <w:i/>
          <w:color w:val="auto"/>
          <w:sz w:val="28"/>
        </w:rPr>
      </w:pPr>
      <w:bookmarkStart w:id="15" w:name="_Toc515518988"/>
      <w:r w:rsidRPr="00B65FAB">
        <w:rPr>
          <w:rFonts w:ascii="Times New Roman" w:hAnsi="Times New Roman" w:cs="Times New Roman"/>
          <w:b/>
          <w:i/>
          <w:color w:val="auto"/>
          <w:sz w:val="28"/>
        </w:rPr>
        <w:t>Efectuarea transferurilor interbugetare</w:t>
      </w:r>
      <w:bookmarkEnd w:id="15"/>
      <w:r w:rsidRPr="00B65FAB">
        <w:rPr>
          <w:rFonts w:ascii="Times New Roman" w:hAnsi="Times New Roman" w:cs="Times New Roman"/>
          <w:b/>
          <w:i/>
          <w:color w:val="auto"/>
          <w:sz w:val="28"/>
        </w:rPr>
        <w:t xml:space="preserve"> </w:t>
      </w:r>
    </w:p>
    <w:p w:rsidR="0076727A" w:rsidRDefault="0076727A" w:rsidP="004425C9">
      <w:pPr>
        <w:spacing w:after="0" w:line="276" w:lineRule="auto"/>
        <w:ind w:right="49" w:firstLine="709"/>
        <w:jc w:val="both"/>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Pentru anul 2017</w:t>
      </w:r>
      <w:r w:rsidR="00277C8D">
        <w:rPr>
          <w:rFonts w:ascii="Times New Roman" w:eastAsia="MS Mincho" w:hAnsi="Times New Roman" w:cs="Times New Roman"/>
          <w:sz w:val="28"/>
          <w:szCs w:val="28"/>
          <w:lang w:eastAsia="ja-JP"/>
        </w:rPr>
        <w:t>,</w:t>
      </w:r>
      <w:r>
        <w:rPr>
          <w:rFonts w:ascii="Times New Roman" w:eastAsia="MS Mincho" w:hAnsi="Times New Roman" w:cs="Times New Roman"/>
          <w:sz w:val="28"/>
          <w:szCs w:val="28"/>
          <w:lang w:eastAsia="ja-JP"/>
        </w:rPr>
        <w:t xml:space="preserve"> în bugetul de stat au fost aprobate transferuri către alte bugete în sumă de 16926,6 mil.lei, dintre care: BASS – 6105,2 mil.lei, FAOAM – 2593,0 mil.lei, BUAT – 8228,4 mil.lei. Ulterior, prin modificările operate în Legea bugetului de stat, valoarea transferurilor a ajuns la suma de 17834,2 mil.lei, inclusiv transferurile către BASS – 6023,5 mil.lei (-81,7 mil.lei) și către BUAT – 9217,7 mil.lei (+989,3 mil.lei). </w:t>
      </w:r>
    </w:p>
    <w:p w:rsidR="0076727A" w:rsidRDefault="0076727A" w:rsidP="004425C9">
      <w:pPr>
        <w:spacing w:after="0" w:line="276" w:lineRule="auto"/>
        <w:ind w:right="49" w:firstLine="709"/>
        <w:jc w:val="both"/>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Verificările auditului privind executarea transferurilor de la bugetul de stat a</w:t>
      </w:r>
      <w:r w:rsidR="00277C8D">
        <w:rPr>
          <w:rFonts w:ascii="Times New Roman" w:eastAsia="MS Mincho" w:hAnsi="Times New Roman" w:cs="Times New Roman"/>
          <w:sz w:val="28"/>
          <w:szCs w:val="28"/>
          <w:lang w:eastAsia="ja-JP"/>
        </w:rPr>
        <w:t>u</w:t>
      </w:r>
      <w:r>
        <w:rPr>
          <w:rFonts w:ascii="Times New Roman" w:eastAsia="MS Mincho" w:hAnsi="Times New Roman" w:cs="Times New Roman"/>
          <w:sz w:val="28"/>
          <w:szCs w:val="28"/>
          <w:lang w:eastAsia="ja-JP"/>
        </w:rPr>
        <w:t xml:space="preserve"> </w:t>
      </w:r>
      <w:r w:rsidR="00277C8D">
        <w:rPr>
          <w:rFonts w:ascii="Times New Roman" w:eastAsia="MS Mincho" w:hAnsi="Times New Roman" w:cs="Times New Roman"/>
          <w:sz w:val="28"/>
          <w:szCs w:val="28"/>
          <w:lang w:eastAsia="ja-JP"/>
        </w:rPr>
        <w:t xml:space="preserve">stabilit </w:t>
      </w:r>
      <w:r>
        <w:rPr>
          <w:rFonts w:ascii="Times New Roman" w:eastAsia="MS Mincho" w:hAnsi="Times New Roman" w:cs="Times New Roman"/>
          <w:sz w:val="28"/>
          <w:szCs w:val="28"/>
          <w:lang w:eastAsia="ja-JP"/>
        </w:rPr>
        <w:t xml:space="preserve">că volumul </w:t>
      </w:r>
      <w:r w:rsidR="00277C8D">
        <w:rPr>
          <w:rFonts w:ascii="Times New Roman" w:eastAsia="MS Mincho" w:hAnsi="Times New Roman" w:cs="Times New Roman"/>
          <w:sz w:val="28"/>
          <w:szCs w:val="28"/>
          <w:lang w:eastAsia="ja-JP"/>
        </w:rPr>
        <w:t xml:space="preserve">acestora </w:t>
      </w:r>
      <w:r>
        <w:rPr>
          <w:rFonts w:ascii="Times New Roman" w:eastAsia="MS Mincho" w:hAnsi="Times New Roman" w:cs="Times New Roman"/>
          <w:sz w:val="28"/>
          <w:szCs w:val="28"/>
          <w:lang w:eastAsia="ja-JP"/>
        </w:rPr>
        <w:t>a constituit 17662,1 mil.lei, nivelul de executare fiind de 99,0%</w:t>
      </w:r>
      <w:r w:rsidR="00277C8D">
        <w:rPr>
          <w:rFonts w:ascii="Times New Roman" w:eastAsia="MS Mincho" w:hAnsi="Times New Roman" w:cs="Times New Roman"/>
          <w:sz w:val="28"/>
          <w:szCs w:val="28"/>
          <w:lang w:eastAsia="ja-JP"/>
        </w:rPr>
        <w:t>,</w:t>
      </w:r>
      <w:r>
        <w:rPr>
          <w:rFonts w:ascii="Times New Roman" w:eastAsia="MS Mincho" w:hAnsi="Times New Roman" w:cs="Times New Roman"/>
          <w:sz w:val="28"/>
          <w:szCs w:val="28"/>
          <w:lang w:eastAsia="ja-JP"/>
        </w:rPr>
        <w:t xml:space="preserve"> sau cu 0,7 p.p</w:t>
      </w:r>
      <w:r w:rsidR="00FD5765">
        <w:rPr>
          <w:rFonts w:ascii="Times New Roman" w:eastAsia="MS Mincho" w:hAnsi="Times New Roman" w:cs="Times New Roman"/>
          <w:sz w:val="28"/>
          <w:szCs w:val="28"/>
          <w:lang w:eastAsia="ja-JP"/>
        </w:rPr>
        <w:t>.</w:t>
      </w:r>
      <w:r>
        <w:rPr>
          <w:rFonts w:ascii="Times New Roman" w:eastAsia="MS Mincho" w:hAnsi="Times New Roman" w:cs="Times New Roman"/>
          <w:sz w:val="28"/>
          <w:szCs w:val="28"/>
          <w:lang w:eastAsia="ja-JP"/>
        </w:rPr>
        <w:t xml:space="preserve"> mai puțin față de anul 2016, inclusiv</w:t>
      </w:r>
      <w:r w:rsidR="00277C8D">
        <w:rPr>
          <w:rFonts w:ascii="Times New Roman" w:eastAsia="MS Mincho" w:hAnsi="Times New Roman" w:cs="Times New Roman"/>
          <w:sz w:val="28"/>
          <w:szCs w:val="28"/>
          <w:lang w:eastAsia="ja-JP"/>
        </w:rPr>
        <w:t>:</w:t>
      </w:r>
      <w:r w:rsidRPr="002E4375">
        <w:rPr>
          <w:rFonts w:ascii="Times New Roman" w:eastAsia="MS Mincho" w:hAnsi="Times New Roman" w:cs="Times New Roman"/>
          <w:sz w:val="28"/>
          <w:szCs w:val="28"/>
          <w:lang w:eastAsia="ja-JP"/>
        </w:rPr>
        <w:t xml:space="preserve"> </w:t>
      </w:r>
      <w:r>
        <w:rPr>
          <w:rFonts w:ascii="Times New Roman" w:eastAsia="MS Mincho" w:hAnsi="Times New Roman" w:cs="Times New Roman"/>
          <w:sz w:val="28"/>
          <w:szCs w:val="28"/>
          <w:lang w:eastAsia="ja-JP"/>
        </w:rPr>
        <w:t>către BASS – 5941,0 mil.lei, cu un nivel de executare de 98,6%</w:t>
      </w:r>
      <w:r w:rsidR="00277C8D">
        <w:rPr>
          <w:rFonts w:ascii="Times New Roman" w:eastAsia="MS Mincho" w:hAnsi="Times New Roman" w:cs="Times New Roman"/>
          <w:sz w:val="28"/>
          <w:szCs w:val="28"/>
          <w:lang w:eastAsia="ja-JP"/>
        </w:rPr>
        <w:t>,</w:t>
      </w:r>
      <w:r>
        <w:rPr>
          <w:rFonts w:ascii="Times New Roman" w:eastAsia="MS Mincho" w:hAnsi="Times New Roman" w:cs="Times New Roman"/>
          <w:sz w:val="28"/>
          <w:szCs w:val="28"/>
          <w:lang w:eastAsia="ja-JP"/>
        </w:rPr>
        <w:t xml:space="preserve"> sau cu 0,8 p.p</w:t>
      </w:r>
      <w:r w:rsidR="00FD5765">
        <w:rPr>
          <w:rFonts w:ascii="Times New Roman" w:eastAsia="MS Mincho" w:hAnsi="Times New Roman" w:cs="Times New Roman"/>
          <w:sz w:val="28"/>
          <w:szCs w:val="28"/>
          <w:lang w:eastAsia="ja-JP"/>
        </w:rPr>
        <w:t>.</w:t>
      </w:r>
      <w:r>
        <w:rPr>
          <w:rFonts w:ascii="Times New Roman" w:eastAsia="MS Mincho" w:hAnsi="Times New Roman" w:cs="Times New Roman"/>
          <w:sz w:val="28"/>
          <w:szCs w:val="28"/>
          <w:lang w:eastAsia="ja-JP"/>
        </w:rPr>
        <w:t xml:space="preserve"> mai puțin față de anul 2016, FAOAM – 2593,0 mil.lei, cu un nivel de executare de 100%</w:t>
      </w:r>
      <w:r w:rsidR="00277C8D">
        <w:rPr>
          <w:rFonts w:ascii="Times New Roman" w:eastAsia="MS Mincho" w:hAnsi="Times New Roman" w:cs="Times New Roman"/>
          <w:sz w:val="28"/>
          <w:szCs w:val="28"/>
          <w:lang w:eastAsia="ja-JP"/>
        </w:rPr>
        <w:t>,</w:t>
      </w:r>
      <w:r>
        <w:rPr>
          <w:rFonts w:ascii="Times New Roman" w:eastAsia="MS Mincho" w:hAnsi="Times New Roman" w:cs="Times New Roman"/>
          <w:sz w:val="28"/>
          <w:szCs w:val="28"/>
          <w:lang w:eastAsia="ja-JP"/>
        </w:rPr>
        <w:t xml:space="preserve"> și BUAT – 9128,1 mil.lei</w:t>
      </w:r>
      <w:r w:rsidR="00277C8D">
        <w:rPr>
          <w:rFonts w:ascii="Times New Roman" w:eastAsia="MS Mincho" w:hAnsi="Times New Roman" w:cs="Times New Roman"/>
          <w:sz w:val="28"/>
          <w:szCs w:val="28"/>
          <w:lang w:eastAsia="ja-JP"/>
        </w:rPr>
        <w:t>,</w:t>
      </w:r>
      <w:r>
        <w:rPr>
          <w:rFonts w:ascii="Times New Roman" w:eastAsia="MS Mincho" w:hAnsi="Times New Roman" w:cs="Times New Roman"/>
          <w:sz w:val="28"/>
          <w:szCs w:val="28"/>
          <w:lang w:eastAsia="ja-JP"/>
        </w:rPr>
        <w:t xml:space="preserve"> cu un nivel de executare de 99,0%</w:t>
      </w:r>
      <w:r w:rsidR="00277C8D">
        <w:rPr>
          <w:rFonts w:ascii="Times New Roman" w:eastAsia="MS Mincho" w:hAnsi="Times New Roman" w:cs="Times New Roman"/>
          <w:sz w:val="28"/>
          <w:szCs w:val="28"/>
          <w:lang w:eastAsia="ja-JP"/>
        </w:rPr>
        <w:t>,</w:t>
      </w:r>
      <w:r>
        <w:rPr>
          <w:rFonts w:ascii="Times New Roman" w:eastAsia="MS Mincho" w:hAnsi="Times New Roman" w:cs="Times New Roman"/>
          <w:sz w:val="28"/>
          <w:szCs w:val="28"/>
          <w:lang w:eastAsia="ja-JP"/>
        </w:rPr>
        <w:t xml:space="preserve"> sau cu 0,9 p.p</w:t>
      </w:r>
      <w:r w:rsidR="00FD5765">
        <w:rPr>
          <w:rFonts w:ascii="Times New Roman" w:eastAsia="MS Mincho" w:hAnsi="Times New Roman" w:cs="Times New Roman"/>
          <w:sz w:val="28"/>
          <w:szCs w:val="28"/>
          <w:lang w:eastAsia="ja-JP"/>
        </w:rPr>
        <w:t>.</w:t>
      </w:r>
      <w:r>
        <w:rPr>
          <w:rFonts w:ascii="Times New Roman" w:eastAsia="MS Mincho" w:hAnsi="Times New Roman" w:cs="Times New Roman"/>
          <w:sz w:val="28"/>
          <w:szCs w:val="28"/>
          <w:lang w:eastAsia="ja-JP"/>
        </w:rPr>
        <w:t xml:space="preserve"> mai puțin față de anul 2016. </w:t>
      </w:r>
    </w:p>
    <w:p w:rsidR="0076727A" w:rsidRPr="00AC6434" w:rsidRDefault="0076727A" w:rsidP="004425C9">
      <w:pPr>
        <w:spacing w:after="0" w:line="276" w:lineRule="auto"/>
        <w:ind w:right="49" w:firstLine="709"/>
        <w:jc w:val="both"/>
        <w:rPr>
          <w:rFonts w:ascii="Times New Roman" w:eastAsia="Times New Roman" w:hAnsi="Times New Roman" w:cs="Times New Roman"/>
          <w:i/>
          <w:sz w:val="28"/>
          <w:szCs w:val="28"/>
        </w:rPr>
      </w:pPr>
      <w:r>
        <w:rPr>
          <w:rFonts w:ascii="Times New Roman" w:eastAsia="MS Mincho" w:hAnsi="Times New Roman" w:cs="Times New Roman"/>
          <w:sz w:val="28"/>
          <w:szCs w:val="28"/>
          <w:lang w:eastAsia="ja-JP"/>
        </w:rPr>
        <w:t>Ponderea transferurilor de la bugetul de stat</w:t>
      </w:r>
      <w:r w:rsidRPr="00065AD9">
        <w:rPr>
          <w:rFonts w:ascii="Times New Roman" w:eastAsia="MS Mincho" w:hAnsi="Times New Roman" w:cs="Times New Roman"/>
          <w:sz w:val="28"/>
          <w:szCs w:val="28"/>
          <w:lang w:eastAsia="ja-JP"/>
        </w:rPr>
        <w:t xml:space="preserve"> </w:t>
      </w:r>
      <w:r>
        <w:rPr>
          <w:rFonts w:ascii="Times New Roman" w:eastAsia="MS Mincho" w:hAnsi="Times New Roman" w:cs="Times New Roman"/>
          <w:sz w:val="28"/>
          <w:szCs w:val="28"/>
          <w:lang w:eastAsia="ja-JP"/>
        </w:rPr>
        <w:t xml:space="preserve">în totalul veniturilor proprii ale bugetelor componente </w:t>
      </w:r>
      <w:r w:rsidR="00277C8D">
        <w:rPr>
          <w:rFonts w:ascii="Times New Roman" w:eastAsia="MS Mincho" w:hAnsi="Times New Roman" w:cs="Times New Roman"/>
          <w:sz w:val="28"/>
          <w:szCs w:val="28"/>
          <w:lang w:eastAsia="ja-JP"/>
        </w:rPr>
        <w:t xml:space="preserve">ale </w:t>
      </w:r>
      <w:r>
        <w:rPr>
          <w:rFonts w:ascii="Times New Roman" w:eastAsia="MS Mincho" w:hAnsi="Times New Roman" w:cs="Times New Roman"/>
          <w:sz w:val="28"/>
          <w:szCs w:val="28"/>
          <w:lang w:eastAsia="ja-JP"/>
        </w:rPr>
        <w:t xml:space="preserve">BPN a constituit </w:t>
      </w:r>
      <w:r w:rsidRPr="00FD5765">
        <w:rPr>
          <w:rFonts w:ascii="Times New Roman" w:eastAsia="MS Mincho" w:hAnsi="Times New Roman" w:cs="Times New Roman"/>
          <w:sz w:val="28"/>
          <w:szCs w:val="28"/>
          <w:lang w:eastAsia="ja-JP"/>
        </w:rPr>
        <w:t>33</w:t>
      </w:r>
      <w:r w:rsidR="0046002E" w:rsidRPr="00FD5765">
        <w:rPr>
          <w:rFonts w:ascii="Times New Roman" w:eastAsia="MS Mincho" w:hAnsi="Times New Roman" w:cs="Times New Roman"/>
          <w:sz w:val="28"/>
          <w:szCs w:val="28"/>
          <w:lang w:eastAsia="ja-JP"/>
        </w:rPr>
        <w:t>,</w:t>
      </w:r>
      <w:r w:rsidR="00F036DD">
        <w:rPr>
          <w:rFonts w:ascii="Times New Roman" w:eastAsia="MS Mincho" w:hAnsi="Times New Roman" w:cs="Times New Roman"/>
          <w:sz w:val="28"/>
          <w:szCs w:val="28"/>
          <w:lang w:eastAsia="ja-JP"/>
        </w:rPr>
        <w:t>3</w:t>
      </w:r>
      <w:r w:rsidRPr="00FD5765">
        <w:rPr>
          <w:rFonts w:ascii="Times New Roman" w:eastAsia="MS Mincho" w:hAnsi="Times New Roman" w:cs="Times New Roman"/>
          <w:sz w:val="28"/>
          <w:szCs w:val="28"/>
          <w:lang w:eastAsia="ja-JP"/>
        </w:rPr>
        <w:t>%</w:t>
      </w:r>
      <w:r>
        <w:rPr>
          <w:rFonts w:ascii="Times New Roman" w:eastAsia="MS Mincho" w:hAnsi="Times New Roman" w:cs="Times New Roman"/>
          <w:sz w:val="28"/>
          <w:szCs w:val="28"/>
          <w:lang w:eastAsia="ja-JP"/>
        </w:rPr>
        <w:t xml:space="preserve"> la BASS, </w:t>
      </w:r>
      <w:r w:rsidRPr="00FD5765">
        <w:rPr>
          <w:rFonts w:ascii="Times New Roman" w:eastAsia="MS Mincho" w:hAnsi="Times New Roman" w:cs="Times New Roman"/>
          <w:sz w:val="28"/>
          <w:szCs w:val="28"/>
          <w:lang w:eastAsia="ja-JP"/>
        </w:rPr>
        <w:t>41</w:t>
      </w:r>
      <w:r w:rsidR="0046002E" w:rsidRPr="00FD5765">
        <w:rPr>
          <w:rFonts w:ascii="Times New Roman" w:eastAsia="MS Mincho" w:hAnsi="Times New Roman" w:cs="Times New Roman"/>
          <w:sz w:val="28"/>
          <w:szCs w:val="28"/>
          <w:lang w:eastAsia="ja-JP"/>
        </w:rPr>
        <w:t>,</w:t>
      </w:r>
      <w:r w:rsidR="00F036DD">
        <w:rPr>
          <w:rFonts w:ascii="Times New Roman" w:eastAsia="MS Mincho" w:hAnsi="Times New Roman" w:cs="Times New Roman"/>
          <w:sz w:val="28"/>
          <w:szCs w:val="28"/>
          <w:lang w:eastAsia="ja-JP"/>
        </w:rPr>
        <w:t>4</w:t>
      </w:r>
      <w:r w:rsidRPr="00FD5765">
        <w:rPr>
          <w:rFonts w:ascii="Times New Roman" w:eastAsia="MS Mincho" w:hAnsi="Times New Roman" w:cs="Times New Roman"/>
          <w:sz w:val="28"/>
          <w:szCs w:val="28"/>
          <w:lang w:eastAsia="ja-JP"/>
        </w:rPr>
        <w:t>%</w:t>
      </w:r>
      <w:r>
        <w:rPr>
          <w:rFonts w:ascii="Times New Roman" w:eastAsia="MS Mincho" w:hAnsi="Times New Roman" w:cs="Times New Roman"/>
          <w:sz w:val="28"/>
          <w:szCs w:val="28"/>
          <w:lang w:eastAsia="ja-JP"/>
        </w:rPr>
        <w:t xml:space="preserve"> la FAOAM (în descreștere cu </w:t>
      </w:r>
      <w:r w:rsidR="00F036DD">
        <w:rPr>
          <w:rFonts w:ascii="Times New Roman" w:eastAsia="MS Mincho" w:hAnsi="Times New Roman" w:cs="Times New Roman"/>
          <w:sz w:val="28"/>
          <w:szCs w:val="28"/>
          <w:lang w:eastAsia="ja-JP"/>
        </w:rPr>
        <w:t xml:space="preserve">2,2 </w:t>
      </w:r>
      <w:r>
        <w:rPr>
          <w:rFonts w:ascii="Times New Roman" w:eastAsia="MS Mincho" w:hAnsi="Times New Roman" w:cs="Times New Roman"/>
          <w:sz w:val="28"/>
          <w:szCs w:val="28"/>
          <w:lang w:eastAsia="ja-JP"/>
        </w:rPr>
        <w:t xml:space="preserve">p.p. față de anul 2016) și </w:t>
      </w:r>
      <w:r w:rsidRPr="00FD5765">
        <w:rPr>
          <w:rFonts w:ascii="Times New Roman" w:eastAsia="MS Mincho" w:hAnsi="Times New Roman" w:cs="Times New Roman"/>
          <w:sz w:val="28"/>
          <w:szCs w:val="28"/>
          <w:lang w:eastAsia="ja-JP"/>
        </w:rPr>
        <w:t>70</w:t>
      </w:r>
      <w:r w:rsidR="0046002E" w:rsidRPr="00FD5765">
        <w:rPr>
          <w:rFonts w:ascii="Times New Roman" w:eastAsia="MS Mincho" w:hAnsi="Times New Roman" w:cs="Times New Roman"/>
          <w:sz w:val="28"/>
          <w:szCs w:val="28"/>
          <w:lang w:eastAsia="ja-JP"/>
        </w:rPr>
        <w:t>,</w:t>
      </w:r>
      <w:r w:rsidR="00FD5765" w:rsidRPr="00FD5765">
        <w:rPr>
          <w:rFonts w:ascii="Times New Roman" w:eastAsia="MS Mincho" w:hAnsi="Times New Roman" w:cs="Times New Roman"/>
          <w:sz w:val="28"/>
          <w:szCs w:val="28"/>
          <w:lang w:eastAsia="ja-JP"/>
        </w:rPr>
        <w:t>0</w:t>
      </w:r>
      <w:r w:rsidRPr="00FD5765">
        <w:rPr>
          <w:rFonts w:ascii="Times New Roman" w:eastAsia="MS Mincho" w:hAnsi="Times New Roman" w:cs="Times New Roman"/>
          <w:sz w:val="28"/>
          <w:szCs w:val="28"/>
          <w:lang w:eastAsia="ja-JP"/>
        </w:rPr>
        <w:t>%</w:t>
      </w:r>
      <w:r>
        <w:rPr>
          <w:rFonts w:ascii="Times New Roman" w:eastAsia="MS Mincho" w:hAnsi="Times New Roman" w:cs="Times New Roman"/>
          <w:sz w:val="28"/>
          <w:szCs w:val="28"/>
          <w:lang w:eastAsia="ja-JP"/>
        </w:rPr>
        <w:t xml:space="preserve"> la BUAT (în creștere cu 2,5 p.p. față de anul 2016). </w:t>
      </w:r>
      <w:r>
        <w:rPr>
          <w:rFonts w:ascii="Times New Roman" w:eastAsia="Times New Roman" w:hAnsi="Times New Roman" w:cs="Times New Roman"/>
          <w:sz w:val="28"/>
          <w:szCs w:val="28"/>
        </w:rPr>
        <w:t>Dinamica veniturilor</w:t>
      </w:r>
      <w:r w:rsidRPr="007E4DF8">
        <w:rPr>
          <w:rFonts w:ascii="Times New Roman" w:eastAsia="Times New Roman" w:hAnsi="Times New Roman" w:cs="Times New Roman"/>
          <w:sz w:val="28"/>
          <w:szCs w:val="28"/>
        </w:rPr>
        <w:t xml:space="preserve"> proprii a</w:t>
      </w:r>
      <w:r>
        <w:rPr>
          <w:rFonts w:ascii="Times New Roman" w:eastAsia="Times New Roman" w:hAnsi="Times New Roman" w:cs="Times New Roman"/>
          <w:sz w:val="28"/>
          <w:szCs w:val="28"/>
        </w:rPr>
        <w:t>le</w:t>
      </w:r>
      <w:r w:rsidRPr="007E4DF8">
        <w:rPr>
          <w:rFonts w:ascii="Times New Roman" w:eastAsia="Times New Roman" w:hAnsi="Times New Roman" w:cs="Times New Roman"/>
          <w:sz w:val="28"/>
          <w:szCs w:val="28"/>
        </w:rPr>
        <w:t xml:space="preserve"> BASS </w:t>
      </w:r>
      <w:r>
        <w:rPr>
          <w:rFonts w:ascii="Times New Roman" w:eastAsia="Times New Roman" w:hAnsi="Times New Roman" w:cs="Times New Roman"/>
          <w:sz w:val="28"/>
          <w:szCs w:val="28"/>
        </w:rPr>
        <w:t xml:space="preserve">și </w:t>
      </w:r>
      <w:r w:rsidRPr="007E4DF8">
        <w:rPr>
          <w:rFonts w:ascii="Times New Roman" w:eastAsia="Times New Roman" w:hAnsi="Times New Roman" w:cs="Times New Roman"/>
          <w:sz w:val="28"/>
          <w:szCs w:val="28"/>
        </w:rPr>
        <w:t xml:space="preserve">FAOAM </w:t>
      </w:r>
      <w:r>
        <w:rPr>
          <w:rFonts w:ascii="Times New Roman" w:eastAsia="Times New Roman" w:hAnsi="Times New Roman" w:cs="Times New Roman"/>
          <w:sz w:val="28"/>
          <w:szCs w:val="28"/>
        </w:rPr>
        <w:t>a</w:t>
      </w:r>
      <w:r w:rsidRPr="007E4DF8">
        <w:rPr>
          <w:rFonts w:ascii="Times New Roman" w:eastAsia="Times New Roman" w:hAnsi="Times New Roman" w:cs="Times New Roman"/>
          <w:sz w:val="28"/>
          <w:szCs w:val="28"/>
        </w:rPr>
        <w:t xml:space="preserve"> înregistrat </w:t>
      </w:r>
      <w:r>
        <w:rPr>
          <w:rFonts w:ascii="Times New Roman" w:eastAsia="Times New Roman" w:hAnsi="Times New Roman" w:cs="Times New Roman"/>
          <w:sz w:val="28"/>
          <w:szCs w:val="28"/>
        </w:rPr>
        <w:t>un ritm de creștere pozitiv,</w:t>
      </w:r>
      <w:r w:rsidRPr="007E4DF8">
        <w:rPr>
          <w:rFonts w:ascii="Times New Roman" w:eastAsia="Times New Roman" w:hAnsi="Times New Roman" w:cs="Times New Roman"/>
          <w:sz w:val="28"/>
          <w:szCs w:val="28"/>
        </w:rPr>
        <w:t xml:space="preserve"> devansând </w:t>
      </w:r>
      <w:r>
        <w:rPr>
          <w:rFonts w:ascii="Times New Roman" w:eastAsia="Times New Roman" w:hAnsi="Times New Roman" w:cs="Times New Roman"/>
          <w:sz w:val="28"/>
          <w:szCs w:val="28"/>
        </w:rPr>
        <w:t>volumul transferurilor interbugetare</w:t>
      </w:r>
      <w:r w:rsidR="00F036D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F036DD">
        <w:rPr>
          <w:rFonts w:ascii="Times New Roman" w:eastAsia="Times New Roman" w:hAnsi="Times New Roman" w:cs="Times New Roman"/>
          <w:sz w:val="28"/>
          <w:szCs w:val="28"/>
        </w:rPr>
        <w:t xml:space="preserve">Deși totalul veniturilor </w:t>
      </w:r>
      <w:r>
        <w:rPr>
          <w:rFonts w:ascii="Times New Roman" w:eastAsia="Times New Roman" w:hAnsi="Times New Roman" w:cs="Times New Roman"/>
          <w:sz w:val="28"/>
          <w:szCs w:val="28"/>
        </w:rPr>
        <w:t xml:space="preserve">proprii ale BUAT a înregistrat o </w:t>
      </w:r>
      <w:r w:rsidR="00F036DD">
        <w:rPr>
          <w:rFonts w:ascii="Times New Roman" w:eastAsia="Times New Roman" w:hAnsi="Times New Roman" w:cs="Times New Roman"/>
          <w:sz w:val="28"/>
          <w:szCs w:val="28"/>
        </w:rPr>
        <w:t xml:space="preserve">creștere </w:t>
      </w:r>
      <w:r>
        <w:rPr>
          <w:rFonts w:ascii="Times New Roman" w:eastAsia="Times New Roman" w:hAnsi="Times New Roman" w:cs="Times New Roman"/>
          <w:sz w:val="28"/>
          <w:szCs w:val="28"/>
        </w:rPr>
        <w:t xml:space="preserve">de </w:t>
      </w:r>
      <w:r w:rsidRPr="005B02A8">
        <w:rPr>
          <w:rFonts w:ascii="Times New Roman" w:eastAsia="Times New Roman" w:hAnsi="Times New Roman" w:cs="Times New Roman"/>
          <w:sz w:val="28"/>
          <w:szCs w:val="28"/>
        </w:rPr>
        <w:t>0,</w:t>
      </w:r>
      <w:r w:rsidR="00F036DD">
        <w:rPr>
          <w:rFonts w:ascii="Times New Roman" w:eastAsia="Times New Roman" w:hAnsi="Times New Roman" w:cs="Times New Roman"/>
          <w:sz w:val="28"/>
          <w:szCs w:val="28"/>
        </w:rPr>
        <w:t>1</w:t>
      </w:r>
      <w:r w:rsidR="00F036DD" w:rsidRPr="005B02A8">
        <w:rPr>
          <w:rFonts w:ascii="Times New Roman" w:eastAsia="Times New Roman" w:hAnsi="Times New Roman" w:cs="Times New Roman"/>
          <w:sz w:val="28"/>
          <w:szCs w:val="28"/>
        </w:rPr>
        <w:t xml:space="preserve"> </w:t>
      </w:r>
      <w:r w:rsidRPr="005B02A8">
        <w:rPr>
          <w:rFonts w:ascii="Times New Roman" w:eastAsia="Times New Roman" w:hAnsi="Times New Roman" w:cs="Times New Roman"/>
          <w:sz w:val="28"/>
          <w:szCs w:val="28"/>
        </w:rPr>
        <w:t>mlrd.lei</w:t>
      </w:r>
      <w:r w:rsidR="0046002E">
        <w:rPr>
          <w:rFonts w:ascii="Times New Roman" w:eastAsia="Times New Roman" w:hAnsi="Times New Roman" w:cs="Times New Roman"/>
          <w:sz w:val="28"/>
          <w:szCs w:val="28"/>
        </w:rPr>
        <w:t xml:space="preserve"> comparativ cu anul </w:t>
      </w:r>
      <w:r w:rsidR="00F036DD">
        <w:rPr>
          <w:rFonts w:ascii="Times New Roman" w:eastAsia="Times New Roman" w:hAnsi="Times New Roman" w:cs="Times New Roman"/>
          <w:sz w:val="28"/>
          <w:szCs w:val="28"/>
        </w:rPr>
        <w:t>2016, acesta a rămas la un nivel inferior nivelului transferurilor interbugetare</w:t>
      </w:r>
      <w:r w:rsidR="0046002E">
        <w:rPr>
          <w:rFonts w:ascii="Times New Roman" w:eastAsia="Times New Roman" w:hAnsi="Times New Roman" w:cs="Times New Roman"/>
          <w:sz w:val="28"/>
          <w:szCs w:val="28"/>
        </w:rPr>
        <w:t xml:space="preserve">. </w:t>
      </w:r>
      <w:r w:rsidR="0046002E" w:rsidRPr="0046002E">
        <w:rPr>
          <w:rFonts w:ascii="Times New Roman" w:eastAsia="Times New Roman" w:hAnsi="Times New Roman" w:cs="Times New Roman"/>
          <w:i/>
          <w:sz w:val="28"/>
          <w:szCs w:val="28"/>
        </w:rPr>
        <w:t>Analiza auditului referitor la coraportul transferurilor de la bugetul de stat față de veniturile proprii ale bugetelor componente ale BPN se</w:t>
      </w:r>
      <w:r w:rsidR="0046002E">
        <w:rPr>
          <w:rFonts w:ascii="Times New Roman" w:eastAsia="Times New Roman" w:hAnsi="Times New Roman" w:cs="Times New Roman"/>
          <w:i/>
          <w:sz w:val="28"/>
          <w:szCs w:val="28"/>
        </w:rPr>
        <w:t xml:space="preserve"> prezi</w:t>
      </w:r>
      <w:r w:rsidRPr="0046002E">
        <w:rPr>
          <w:rFonts w:ascii="Times New Roman" w:eastAsia="Times New Roman" w:hAnsi="Times New Roman" w:cs="Times New Roman"/>
          <w:i/>
          <w:sz w:val="28"/>
          <w:szCs w:val="28"/>
        </w:rPr>
        <w:t xml:space="preserve">ntă în </w:t>
      </w:r>
      <w:r w:rsidRPr="00AC6434">
        <w:rPr>
          <w:rFonts w:ascii="Times New Roman" w:eastAsia="Times New Roman" w:hAnsi="Times New Roman" w:cs="Times New Roman"/>
          <w:i/>
          <w:sz w:val="28"/>
          <w:szCs w:val="28"/>
        </w:rPr>
        <w:t>Diagrama nr.</w:t>
      </w:r>
      <w:r w:rsidR="007E2376">
        <w:rPr>
          <w:rFonts w:ascii="Times New Roman" w:eastAsia="Times New Roman" w:hAnsi="Times New Roman" w:cs="Times New Roman"/>
          <w:i/>
          <w:sz w:val="28"/>
          <w:szCs w:val="28"/>
        </w:rPr>
        <w:t>2</w:t>
      </w:r>
      <w:r>
        <w:rPr>
          <w:rFonts w:ascii="Times New Roman" w:eastAsia="Times New Roman" w:hAnsi="Times New Roman" w:cs="Times New Roman"/>
          <w:i/>
          <w:sz w:val="28"/>
          <w:szCs w:val="28"/>
        </w:rPr>
        <w:t>.</w:t>
      </w:r>
    </w:p>
    <w:p w:rsidR="0076727A" w:rsidRPr="00AC6434" w:rsidRDefault="0076727A" w:rsidP="004425C9">
      <w:pPr>
        <w:spacing w:after="0" w:line="276" w:lineRule="auto"/>
        <w:ind w:right="49" w:firstLine="630"/>
        <w:jc w:val="right"/>
        <w:rPr>
          <w:rFonts w:ascii="Times New Roman" w:eastAsia="MS Mincho" w:hAnsi="Times New Roman" w:cs="Times New Roman"/>
          <w:i/>
          <w:sz w:val="28"/>
          <w:szCs w:val="28"/>
          <w:lang w:eastAsia="ja-JP"/>
        </w:rPr>
      </w:pPr>
      <w:r w:rsidRPr="00AC6434">
        <w:rPr>
          <w:rFonts w:ascii="Times New Roman" w:eastAsia="Times New Roman" w:hAnsi="Times New Roman" w:cs="Times New Roman"/>
          <w:i/>
          <w:sz w:val="28"/>
          <w:szCs w:val="28"/>
        </w:rPr>
        <w:lastRenderedPageBreak/>
        <w:t>Diagrama nr.</w:t>
      </w:r>
      <w:r w:rsidR="007E2376">
        <w:rPr>
          <w:rFonts w:ascii="Times New Roman" w:eastAsia="Times New Roman" w:hAnsi="Times New Roman" w:cs="Times New Roman"/>
          <w:i/>
          <w:sz w:val="28"/>
          <w:szCs w:val="28"/>
        </w:rPr>
        <w:t>2</w:t>
      </w:r>
    </w:p>
    <w:p w:rsidR="0076727A" w:rsidRDefault="0076727A" w:rsidP="004425C9">
      <w:pPr>
        <w:spacing w:after="0" w:line="276" w:lineRule="auto"/>
        <w:jc w:val="center"/>
        <w:rPr>
          <w:rFonts w:ascii="Times New Roman" w:eastAsia="MS Mincho" w:hAnsi="Times New Roman" w:cs="Times New Roman"/>
          <w:b/>
          <w:sz w:val="24"/>
          <w:lang w:eastAsia="ja-JP"/>
        </w:rPr>
      </w:pPr>
      <w:r w:rsidRPr="00AC6434">
        <w:rPr>
          <w:rFonts w:ascii="Times New Roman" w:eastAsia="MS Mincho" w:hAnsi="Times New Roman" w:cs="Times New Roman"/>
          <w:b/>
          <w:sz w:val="24"/>
          <w:lang w:eastAsia="ja-JP"/>
        </w:rPr>
        <w:t xml:space="preserve">Sinteza </w:t>
      </w:r>
      <w:r w:rsidR="00C25617">
        <w:rPr>
          <w:rFonts w:ascii="Times New Roman" w:eastAsia="MS Mincho" w:hAnsi="Times New Roman" w:cs="Times New Roman"/>
          <w:b/>
          <w:sz w:val="24"/>
          <w:lang w:eastAsia="ja-JP"/>
        </w:rPr>
        <w:t xml:space="preserve">executării </w:t>
      </w:r>
      <w:r w:rsidR="00C25617" w:rsidRPr="00AC6434">
        <w:rPr>
          <w:rFonts w:ascii="Times New Roman" w:eastAsia="MS Mincho" w:hAnsi="Times New Roman" w:cs="Times New Roman"/>
          <w:b/>
          <w:sz w:val="24"/>
          <w:lang w:eastAsia="ja-JP"/>
        </w:rPr>
        <w:t>transferurilor de la bugetu</w:t>
      </w:r>
      <w:r w:rsidR="00C25617">
        <w:rPr>
          <w:rFonts w:ascii="Times New Roman" w:eastAsia="MS Mincho" w:hAnsi="Times New Roman" w:cs="Times New Roman"/>
          <w:b/>
          <w:sz w:val="24"/>
          <w:lang w:eastAsia="ja-JP"/>
        </w:rPr>
        <w:t>l de stat</w:t>
      </w:r>
      <w:r w:rsidR="00F036DD">
        <w:rPr>
          <w:rFonts w:ascii="Times New Roman" w:eastAsia="MS Mincho" w:hAnsi="Times New Roman" w:cs="Times New Roman"/>
          <w:b/>
          <w:sz w:val="24"/>
          <w:lang w:eastAsia="ja-JP"/>
        </w:rPr>
        <w:t>*</w:t>
      </w:r>
      <w:r w:rsidR="00C25617" w:rsidRPr="00AC6434">
        <w:rPr>
          <w:rFonts w:ascii="Times New Roman" w:eastAsia="MS Mincho" w:hAnsi="Times New Roman" w:cs="Times New Roman"/>
          <w:b/>
          <w:sz w:val="24"/>
          <w:lang w:eastAsia="ja-JP"/>
        </w:rPr>
        <w:t xml:space="preserve"> </w:t>
      </w:r>
      <w:r w:rsidR="00C25617">
        <w:rPr>
          <w:rFonts w:ascii="Times New Roman" w:eastAsia="MS Mincho" w:hAnsi="Times New Roman" w:cs="Times New Roman"/>
          <w:b/>
          <w:sz w:val="24"/>
          <w:lang w:eastAsia="ja-JP"/>
        </w:rPr>
        <w:t>în comparație cu veniturile</w:t>
      </w:r>
      <w:r w:rsidRPr="00AC6434">
        <w:rPr>
          <w:rFonts w:ascii="Times New Roman" w:eastAsia="MS Mincho" w:hAnsi="Times New Roman" w:cs="Times New Roman"/>
          <w:b/>
          <w:sz w:val="24"/>
          <w:lang w:eastAsia="ja-JP"/>
        </w:rPr>
        <w:t xml:space="preserve"> proprii </w:t>
      </w:r>
      <w:r w:rsidR="00F036DD">
        <w:rPr>
          <w:rFonts w:ascii="Times New Roman" w:eastAsia="MS Mincho" w:hAnsi="Times New Roman" w:cs="Times New Roman"/>
          <w:b/>
          <w:sz w:val="24"/>
          <w:lang w:eastAsia="ja-JP"/>
        </w:rPr>
        <w:t xml:space="preserve">ale bugetelor componente ale BPN în </w:t>
      </w:r>
      <w:r>
        <w:rPr>
          <w:rFonts w:ascii="Times New Roman" w:eastAsia="MS Mincho" w:hAnsi="Times New Roman" w:cs="Times New Roman"/>
          <w:b/>
          <w:sz w:val="24"/>
          <w:lang w:eastAsia="ja-JP"/>
        </w:rPr>
        <w:t>perioada 2015-2017</w:t>
      </w:r>
    </w:p>
    <w:p w:rsidR="0076727A" w:rsidRPr="004359DC" w:rsidRDefault="0076727A" w:rsidP="004425C9">
      <w:pPr>
        <w:spacing w:after="0" w:line="276" w:lineRule="auto"/>
        <w:ind w:right="49"/>
        <w:jc w:val="right"/>
        <w:rPr>
          <w:rFonts w:ascii="Times New Roman" w:eastAsia="Times New Roman" w:hAnsi="Times New Roman" w:cs="Times New Roman"/>
          <w:strike/>
          <w:sz w:val="28"/>
          <w:szCs w:val="28"/>
          <w:highlight w:val="yellow"/>
        </w:rPr>
      </w:pPr>
      <w:r w:rsidRPr="00AC6434">
        <w:rPr>
          <w:rFonts w:ascii="Times New Roman" w:eastAsia="MS Mincho" w:hAnsi="Times New Roman" w:cs="Times New Roman"/>
          <w:i/>
          <w:sz w:val="24"/>
          <w:lang w:eastAsia="ja-JP"/>
        </w:rPr>
        <w:t>(mlrd.lei)</w:t>
      </w:r>
    </w:p>
    <w:p w:rsidR="00F036DD" w:rsidRDefault="00F036DD" w:rsidP="004425C9">
      <w:pPr>
        <w:spacing w:after="0" w:line="276" w:lineRule="auto"/>
        <w:ind w:right="-601"/>
        <w:jc w:val="both"/>
        <w:rPr>
          <w:rFonts w:ascii="Times New Roman" w:eastAsia="MS Mincho" w:hAnsi="Times New Roman" w:cs="Times New Roman"/>
          <w:b/>
          <w:sz w:val="20"/>
          <w:szCs w:val="20"/>
          <w:lang w:eastAsia="ja-JP"/>
        </w:rPr>
      </w:pPr>
      <w:r w:rsidRPr="007E4DF8">
        <w:rPr>
          <w:rFonts w:ascii="Times New Roman" w:eastAsia="Times New Roman" w:hAnsi="Times New Roman" w:cs="Times New Roman"/>
          <w:b/>
          <w:strike/>
          <w:noProof/>
          <w:sz w:val="16"/>
          <w:szCs w:val="16"/>
          <w:lang w:val="ru-RU" w:eastAsia="ru-RU"/>
        </w:rPr>
        <w:drawing>
          <wp:inline distT="0" distB="0" distL="0" distR="0" wp14:anchorId="7E414335" wp14:editId="28BC33B4">
            <wp:extent cx="2018030" cy="1767732"/>
            <wp:effectExtent l="0" t="0" r="1270" b="444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7E4DF8">
        <w:rPr>
          <w:rFonts w:ascii="Times New Roman" w:eastAsia="Times New Roman" w:hAnsi="Times New Roman" w:cs="Times New Roman"/>
          <w:b/>
          <w:strike/>
          <w:noProof/>
          <w:sz w:val="16"/>
          <w:szCs w:val="16"/>
          <w:lang w:val="ru-RU" w:eastAsia="ru-RU"/>
        </w:rPr>
        <w:drawing>
          <wp:inline distT="0" distB="0" distL="0" distR="0" wp14:anchorId="57184626" wp14:editId="5947FDC3">
            <wp:extent cx="2018581" cy="1768415"/>
            <wp:effectExtent l="0" t="0" r="1270" b="381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7E4DF8">
        <w:rPr>
          <w:rFonts w:ascii="Times New Roman" w:eastAsia="Times New Roman" w:hAnsi="Times New Roman" w:cs="Times New Roman"/>
          <w:b/>
          <w:strike/>
          <w:noProof/>
          <w:sz w:val="16"/>
          <w:szCs w:val="16"/>
          <w:lang w:val="ru-RU" w:eastAsia="ru-RU"/>
        </w:rPr>
        <w:drawing>
          <wp:inline distT="0" distB="0" distL="0" distR="0" wp14:anchorId="39DF1980" wp14:editId="3EE22069">
            <wp:extent cx="2066925" cy="1768416"/>
            <wp:effectExtent l="0" t="0" r="9525" b="381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036DD" w:rsidRPr="00405476" w:rsidRDefault="00F036DD" w:rsidP="004425C9">
      <w:pPr>
        <w:spacing w:after="0" w:line="276" w:lineRule="auto"/>
        <w:jc w:val="both"/>
        <w:rPr>
          <w:rFonts w:ascii="Times New Roman" w:eastAsia="MS Mincho" w:hAnsi="Times New Roman" w:cs="Times New Roman"/>
          <w:sz w:val="20"/>
          <w:szCs w:val="20"/>
          <w:lang w:eastAsia="ja-JP"/>
        </w:rPr>
      </w:pPr>
      <w:r w:rsidRPr="005251F4">
        <w:rPr>
          <w:rFonts w:ascii="Times New Roman" w:eastAsia="MS Mincho" w:hAnsi="Times New Roman" w:cs="Times New Roman"/>
          <w:b/>
          <w:sz w:val="20"/>
          <w:szCs w:val="20"/>
          <w:lang w:eastAsia="ja-JP"/>
        </w:rPr>
        <w:t xml:space="preserve">*Notă: </w:t>
      </w:r>
      <w:r w:rsidRPr="005251F4">
        <w:rPr>
          <w:rFonts w:ascii="Times New Roman" w:eastAsia="MS Mincho" w:hAnsi="Times New Roman" w:cs="Times New Roman"/>
          <w:sz w:val="20"/>
          <w:szCs w:val="20"/>
          <w:lang w:eastAsia="ja-JP"/>
        </w:rPr>
        <w:t xml:space="preserve">Transferurile </w:t>
      </w:r>
      <w:r w:rsidR="005251F4">
        <w:rPr>
          <w:rFonts w:ascii="Times New Roman" w:eastAsia="MS Mincho" w:hAnsi="Times New Roman" w:cs="Times New Roman"/>
          <w:sz w:val="20"/>
          <w:szCs w:val="20"/>
          <w:lang w:eastAsia="ja-JP"/>
        </w:rPr>
        <w:t>în conformitate cu</w:t>
      </w:r>
      <w:r w:rsidRPr="005251F4">
        <w:rPr>
          <w:rFonts w:ascii="Times New Roman" w:eastAsia="MS Mincho" w:hAnsi="Times New Roman" w:cs="Times New Roman"/>
          <w:sz w:val="20"/>
          <w:szCs w:val="20"/>
          <w:lang w:eastAsia="ja-JP"/>
        </w:rPr>
        <w:t xml:space="preserve"> art.3</w:t>
      </w:r>
      <w:r w:rsidR="00C4649E" w:rsidRPr="005251F4">
        <w:rPr>
          <w:rFonts w:ascii="Times New Roman" w:eastAsia="MS Mincho" w:hAnsi="Times New Roman" w:cs="Times New Roman"/>
          <w:sz w:val="20"/>
          <w:szCs w:val="20"/>
          <w:lang w:eastAsia="ja-JP"/>
        </w:rPr>
        <w:t xml:space="preserve"> lit.</w:t>
      </w:r>
      <w:r w:rsidR="00BA4FED">
        <w:rPr>
          <w:rFonts w:ascii="Times New Roman" w:eastAsia="MS Mincho" w:hAnsi="Times New Roman" w:cs="Times New Roman"/>
          <w:sz w:val="20"/>
          <w:szCs w:val="20"/>
          <w:lang w:eastAsia="ja-JP"/>
        </w:rPr>
        <w:t xml:space="preserve"> </w:t>
      </w:r>
      <w:r w:rsidR="00C4649E" w:rsidRPr="005251F4">
        <w:rPr>
          <w:rFonts w:ascii="Times New Roman" w:eastAsia="MS Mincho" w:hAnsi="Times New Roman" w:cs="Times New Roman"/>
          <w:sz w:val="20"/>
          <w:szCs w:val="20"/>
          <w:lang w:eastAsia="ja-JP"/>
        </w:rPr>
        <w:t xml:space="preserve">a) </w:t>
      </w:r>
      <w:r w:rsidRPr="005251F4">
        <w:rPr>
          <w:rFonts w:ascii="Times New Roman" w:eastAsia="MS Mincho" w:hAnsi="Times New Roman" w:cs="Times New Roman"/>
          <w:sz w:val="20"/>
          <w:szCs w:val="20"/>
          <w:lang w:eastAsia="ja-JP"/>
        </w:rPr>
        <w:t>din Legea bugetului de stat pentru anul 2017.</w:t>
      </w:r>
    </w:p>
    <w:p w:rsidR="0076727A" w:rsidRDefault="0076727A" w:rsidP="004425C9">
      <w:pPr>
        <w:spacing w:after="120" w:line="276" w:lineRule="auto"/>
        <w:jc w:val="both"/>
        <w:rPr>
          <w:rFonts w:ascii="Times New Roman" w:eastAsia="MS Mincho" w:hAnsi="Times New Roman" w:cs="Times New Roman"/>
          <w:i/>
          <w:sz w:val="20"/>
          <w:szCs w:val="20"/>
          <w:lang w:eastAsia="ja-JP"/>
        </w:rPr>
      </w:pPr>
      <w:r w:rsidRPr="00C41233">
        <w:rPr>
          <w:rFonts w:ascii="Times New Roman" w:eastAsia="MS Mincho" w:hAnsi="Times New Roman" w:cs="Times New Roman"/>
          <w:b/>
          <w:sz w:val="20"/>
          <w:szCs w:val="20"/>
          <w:lang w:eastAsia="ja-JP"/>
        </w:rPr>
        <w:t>Surs</w:t>
      </w:r>
      <w:r w:rsidR="00277C8D">
        <w:rPr>
          <w:rFonts w:ascii="Times New Roman" w:eastAsia="MS Mincho" w:hAnsi="Times New Roman" w:cs="Times New Roman"/>
          <w:b/>
          <w:sz w:val="20"/>
          <w:szCs w:val="20"/>
          <w:lang w:eastAsia="ja-JP"/>
        </w:rPr>
        <w:t>ă</w:t>
      </w:r>
      <w:r>
        <w:rPr>
          <w:rFonts w:ascii="Times New Roman" w:eastAsia="MS Mincho" w:hAnsi="Times New Roman" w:cs="Times New Roman"/>
          <w:b/>
          <w:sz w:val="20"/>
          <w:szCs w:val="20"/>
          <w:lang w:eastAsia="ja-JP"/>
        </w:rPr>
        <w:t xml:space="preserve">: </w:t>
      </w:r>
      <w:r w:rsidRPr="00CC6760">
        <w:rPr>
          <w:rFonts w:ascii="Times New Roman" w:eastAsia="MS Mincho" w:hAnsi="Times New Roman" w:cs="Times New Roman"/>
          <w:i/>
          <w:sz w:val="20"/>
          <w:szCs w:val="20"/>
          <w:lang w:eastAsia="ja-JP"/>
        </w:rPr>
        <w:t>Informații generalizate de echipa de audit în baza datelor prezentate de M</w:t>
      </w:r>
      <w:r w:rsidR="00277C8D">
        <w:rPr>
          <w:rFonts w:ascii="Times New Roman" w:eastAsia="MS Mincho" w:hAnsi="Times New Roman" w:cs="Times New Roman"/>
          <w:i/>
          <w:sz w:val="20"/>
          <w:szCs w:val="20"/>
          <w:lang w:eastAsia="ja-JP"/>
        </w:rPr>
        <w:t xml:space="preserve">inisterul </w:t>
      </w:r>
      <w:r w:rsidRPr="00CC6760">
        <w:rPr>
          <w:rFonts w:ascii="Times New Roman" w:eastAsia="MS Mincho" w:hAnsi="Times New Roman" w:cs="Times New Roman"/>
          <w:i/>
          <w:sz w:val="20"/>
          <w:szCs w:val="20"/>
          <w:lang w:eastAsia="ja-JP"/>
        </w:rPr>
        <w:t>F</w:t>
      </w:r>
      <w:r w:rsidR="00277C8D">
        <w:rPr>
          <w:rFonts w:ascii="Times New Roman" w:eastAsia="MS Mincho" w:hAnsi="Times New Roman" w:cs="Times New Roman"/>
          <w:i/>
          <w:sz w:val="20"/>
          <w:szCs w:val="20"/>
          <w:lang w:eastAsia="ja-JP"/>
        </w:rPr>
        <w:t>inanțelor.</w:t>
      </w:r>
    </w:p>
    <w:p w:rsidR="0076727A" w:rsidRDefault="0076727A" w:rsidP="004425C9">
      <w:pPr>
        <w:spacing w:after="0" w:line="276" w:lineRule="auto"/>
        <w:ind w:firstLine="709"/>
        <w:jc w:val="both"/>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 xml:space="preserve">Volumul transferurilor de la bugetul de stat către BUAT a fost aprobat inițial la nivel de 8228,4 mil.lei, iar în urma </w:t>
      </w:r>
      <w:r w:rsidR="00F036DD">
        <w:rPr>
          <w:rFonts w:ascii="Times New Roman" w:eastAsia="MS Mincho" w:hAnsi="Times New Roman" w:cs="Times New Roman"/>
          <w:sz w:val="28"/>
          <w:szCs w:val="28"/>
          <w:lang w:eastAsia="ja-JP"/>
        </w:rPr>
        <w:t xml:space="preserve">rectificărilor </w:t>
      </w:r>
      <w:r>
        <w:rPr>
          <w:rFonts w:ascii="Times New Roman" w:eastAsia="MS Mincho" w:hAnsi="Times New Roman" w:cs="Times New Roman"/>
          <w:sz w:val="28"/>
          <w:szCs w:val="28"/>
          <w:lang w:eastAsia="ja-JP"/>
        </w:rPr>
        <w:t>a fost majorat până la 9217,7 mil.lei (+989,3 mil.lei)</w:t>
      </w:r>
      <w:r w:rsidR="0068508D">
        <w:rPr>
          <w:rFonts w:ascii="Times New Roman" w:eastAsia="MS Mincho" w:hAnsi="Times New Roman" w:cs="Times New Roman"/>
          <w:sz w:val="28"/>
          <w:szCs w:val="28"/>
          <w:lang w:eastAsia="ja-JP"/>
        </w:rPr>
        <w:t>, executarea de casă constituind 9128,1 mil.lei</w:t>
      </w:r>
      <w:r w:rsidR="005021DD">
        <w:rPr>
          <w:rFonts w:ascii="Times New Roman" w:eastAsia="MS Mincho" w:hAnsi="Times New Roman" w:cs="Times New Roman"/>
          <w:sz w:val="28"/>
          <w:szCs w:val="28"/>
          <w:lang w:eastAsia="ja-JP"/>
        </w:rPr>
        <w:t>,</w:t>
      </w:r>
      <w:r w:rsidR="0068508D">
        <w:rPr>
          <w:rFonts w:ascii="Times New Roman" w:eastAsia="MS Mincho" w:hAnsi="Times New Roman" w:cs="Times New Roman"/>
          <w:sz w:val="28"/>
          <w:szCs w:val="28"/>
          <w:lang w:eastAsia="ja-JP"/>
        </w:rPr>
        <w:t xml:space="preserve"> sau cu 89,6 mil</w:t>
      </w:r>
      <w:r w:rsidR="005021DD">
        <w:rPr>
          <w:rFonts w:ascii="Times New Roman" w:eastAsia="MS Mincho" w:hAnsi="Times New Roman" w:cs="Times New Roman"/>
          <w:sz w:val="28"/>
          <w:szCs w:val="28"/>
          <w:lang w:eastAsia="ja-JP"/>
        </w:rPr>
        <w:t>.</w:t>
      </w:r>
      <w:r w:rsidR="0068508D">
        <w:rPr>
          <w:rFonts w:ascii="Times New Roman" w:eastAsia="MS Mincho" w:hAnsi="Times New Roman" w:cs="Times New Roman"/>
          <w:sz w:val="28"/>
          <w:szCs w:val="28"/>
          <w:lang w:eastAsia="ja-JP"/>
        </w:rPr>
        <w:t>lei mai puțin decât nivelul precizat.</w:t>
      </w:r>
      <w:r w:rsidR="009134E9">
        <w:rPr>
          <w:rFonts w:ascii="Times New Roman" w:eastAsia="MS Mincho" w:hAnsi="Times New Roman" w:cs="Times New Roman"/>
          <w:sz w:val="28"/>
          <w:szCs w:val="28"/>
          <w:lang w:eastAsia="ja-JP"/>
        </w:rPr>
        <w:t xml:space="preserve"> Totodată, comparativ cu anul 2016, volumul transferurilor de la bugetul de stat s-a majorat cu </w:t>
      </w:r>
      <w:r w:rsidR="0041653F" w:rsidRPr="00C43DD1">
        <w:rPr>
          <w:rFonts w:ascii="Times New Roman" w:eastAsia="MS Mincho" w:hAnsi="Times New Roman" w:cs="Times New Roman"/>
          <w:sz w:val="28"/>
          <w:szCs w:val="28"/>
          <w:lang w:eastAsia="ja-JP"/>
        </w:rPr>
        <w:t>1</w:t>
      </w:r>
      <w:r w:rsidR="009134E9" w:rsidRPr="00C43DD1">
        <w:rPr>
          <w:rFonts w:ascii="Times New Roman" w:eastAsia="MS Mincho" w:hAnsi="Times New Roman" w:cs="Times New Roman"/>
          <w:sz w:val="28"/>
          <w:szCs w:val="28"/>
          <w:lang w:eastAsia="ja-JP"/>
        </w:rPr>
        <w:t>3</w:t>
      </w:r>
      <w:r w:rsidR="0041653F" w:rsidRPr="00C43DD1">
        <w:rPr>
          <w:rFonts w:ascii="Times New Roman" w:eastAsia="MS Mincho" w:hAnsi="Times New Roman" w:cs="Times New Roman"/>
          <w:sz w:val="28"/>
          <w:szCs w:val="28"/>
          <w:lang w:eastAsia="ja-JP"/>
        </w:rPr>
        <w:t>5</w:t>
      </w:r>
      <w:r w:rsidR="009134E9" w:rsidRPr="00C43DD1">
        <w:rPr>
          <w:rFonts w:ascii="Times New Roman" w:eastAsia="MS Mincho" w:hAnsi="Times New Roman" w:cs="Times New Roman"/>
          <w:sz w:val="28"/>
          <w:szCs w:val="28"/>
          <w:lang w:eastAsia="ja-JP"/>
        </w:rPr>
        <w:t>3,</w:t>
      </w:r>
      <w:r w:rsidR="0041653F" w:rsidRPr="00C43DD1">
        <w:rPr>
          <w:rFonts w:ascii="Times New Roman" w:eastAsia="MS Mincho" w:hAnsi="Times New Roman" w:cs="Times New Roman"/>
          <w:sz w:val="28"/>
          <w:szCs w:val="28"/>
          <w:lang w:eastAsia="ja-JP"/>
        </w:rPr>
        <w:t>5</w:t>
      </w:r>
      <w:r w:rsidR="009134E9" w:rsidRPr="0041653F">
        <w:rPr>
          <w:rFonts w:ascii="Times New Roman" w:eastAsia="MS Mincho" w:hAnsi="Times New Roman" w:cs="Times New Roman"/>
          <w:sz w:val="28"/>
          <w:szCs w:val="28"/>
          <w:lang w:eastAsia="ja-JP"/>
        </w:rPr>
        <w:t xml:space="preserve"> mil.lei</w:t>
      </w:r>
      <w:r w:rsidR="009134E9">
        <w:rPr>
          <w:rFonts w:ascii="Times New Roman" w:eastAsia="MS Mincho" w:hAnsi="Times New Roman" w:cs="Times New Roman"/>
          <w:sz w:val="28"/>
          <w:szCs w:val="28"/>
          <w:lang w:eastAsia="ja-JP"/>
        </w:rPr>
        <w:t>.</w:t>
      </w:r>
      <w:r w:rsidR="0041653F">
        <w:rPr>
          <w:rFonts w:ascii="Times New Roman" w:eastAsia="MS Mincho" w:hAnsi="Times New Roman" w:cs="Times New Roman"/>
          <w:sz w:val="28"/>
          <w:szCs w:val="28"/>
          <w:lang w:eastAsia="ja-JP"/>
        </w:rPr>
        <w:t xml:space="preserve"> </w:t>
      </w:r>
      <w:r w:rsidR="00325CA7" w:rsidRPr="009D7A44">
        <w:rPr>
          <w:rFonts w:ascii="Times New Roman" w:eastAsia="MS Mincho" w:hAnsi="Times New Roman" w:cs="Times New Roman"/>
          <w:sz w:val="28"/>
          <w:szCs w:val="28"/>
          <w:lang w:eastAsia="ja-JP"/>
        </w:rPr>
        <w:t>În mare parte, această majorare se datorează faptului că</w:t>
      </w:r>
      <w:r w:rsidR="005021DD">
        <w:rPr>
          <w:rFonts w:ascii="Times New Roman" w:eastAsia="MS Mincho" w:hAnsi="Times New Roman" w:cs="Times New Roman"/>
          <w:sz w:val="28"/>
          <w:szCs w:val="28"/>
          <w:lang w:eastAsia="ja-JP"/>
        </w:rPr>
        <w:t>,</w:t>
      </w:r>
      <w:r w:rsidR="00325CA7" w:rsidRPr="009D7A44">
        <w:rPr>
          <w:rFonts w:ascii="Times New Roman" w:eastAsia="MS Mincho" w:hAnsi="Times New Roman" w:cs="Times New Roman"/>
          <w:sz w:val="28"/>
          <w:szCs w:val="28"/>
          <w:lang w:eastAsia="ja-JP"/>
        </w:rPr>
        <w:t xml:space="preserve"> prin </w:t>
      </w:r>
      <w:r w:rsidR="00F3104D" w:rsidRPr="009D7A44">
        <w:rPr>
          <w:rFonts w:ascii="Times New Roman" w:eastAsia="MS Mincho" w:hAnsi="Times New Roman" w:cs="Times New Roman"/>
          <w:sz w:val="28"/>
          <w:szCs w:val="28"/>
          <w:lang w:eastAsia="ja-JP"/>
        </w:rPr>
        <w:t>modific</w:t>
      </w:r>
      <w:r w:rsidR="00F3104D">
        <w:rPr>
          <w:rFonts w:ascii="Times New Roman" w:eastAsia="MS Mincho" w:hAnsi="Times New Roman" w:cs="Times New Roman"/>
          <w:sz w:val="28"/>
          <w:szCs w:val="28"/>
          <w:lang w:eastAsia="ja-JP"/>
        </w:rPr>
        <w:t>ările</w:t>
      </w:r>
      <w:r w:rsidR="00F3104D" w:rsidRPr="009D7A44">
        <w:rPr>
          <w:rFonts w:ascii="Times New Roman" w:eastAsia="MS Mincho" w:hAnsi="Times New Roman" w:cs="Times New Roman"/>
          <w:sz w:val="28"/>
          <w:szCs w:val="28"/>
          <w:lang w:eastAsia="ja-JP"/>
        </w:rPr>
        <w:t xml:space="preserve"> operat</w:t>
      </w:r>
      <w:r w:rsidR="00F3104D">
        <w:rPr>
          <w:rFonts w:ascii="Times New Roman" w:eastAsia="MS Mincho" w:hAnsi="Times New Roman" w:cs="Times New Roman"/>
          <w:sz w:val="28"/>
          <w:szCs w:val="28"/>
          <w:lang w:eastAsia="ja-JP"/>
        </w:rPr>
        <w:t>e</w:t>
      </w:r>
      <w:r w:rsidR="00F3104D" w:rsidRPr="009D7A44">
        <w:rPr>
          <w:rFonts w:ascii="Times New Roman" w:eastAsia="MS Mincho" w:hAnsi="Times New Roman" w:cs="Times New Roman"/>
          <w:sz w:val="28"/>
          <w:szCs w:val="28"/>
          <w:lang w:eastAsia="ja-JP"/>
        </w:rPr>
        <w:t xml:space="preserve"> </w:t>
      </w:r>
      <w:r w:rsidR="00325CA7" w:rsidRPr="009D7A44">
        <w:rPr>
          <w:rFonts w:ascii="Times New Roman" w:eastAsia="MS Mincho" w:hAnsi="Times New Roman" w:cs="Times New Roman"/>
          <w:sz w:val="28"/>
          <w:szCs w:val="28"/>
          <w:lang w:eastAsia="ja-JP"/>
        </w:rPr>
        <w:t>în</w:t>
      </w:r>
      <w:r w:rsidR="00AB5250">
        <w:rPr>
          <w:rFonts w:ascii="Times New Roman" w:eastAsia="MS Mincho" w:hAnsi="Times New Roman" w:cs="Times New Roman"/>
          <w:sz w:val="28"/>
          <w:szCs w:val="28"/>
          <w:lang w:eastAsia="ja-JP"/>
        </w:rPr>
        <w:t xml:space="preserve"> </w:t>
      </w:r>
      <w:r w:rsidR="00F3104D">
        <w:rPr>
          <w:rFonts w:ascii="Times New Roman" w:eastAsia="MS Mincho" w:hAnsi="Times New Roman" w:cs="Times New Roman"/>
          <w:sz w:val="28"/>
          <w:szCs w:val="28"/>
          <w:lang w:eastAsia="ja-JP"/>
        </w:rPr>
        <w:t>Legea privind finanțele publice locale nr.397 din 16.10.2003</w:t>
      </w:r>
      <w:r w:rsidR="00F3104D">
        <w:rPr>
          <w:rStyle w:val="a9"/>
          <w:rFonts w:ascii="Times New Roman" w:eastAsia="MS Mincho" w:hAnsi="Times New Roman" w:cs="Times New Roman"/>
          <w:sz w:val="28"/>
          <w:szCs w:val="28"/>
          <w:lang w:eastAsia="ja-JP"/>
        </w:rPr>
        <w:footnoteReference w:id="26"/>
      </w:r>
      <w:r w:rsidR="00F3104D">
        <w:rPr>
          <w:rFonts w:ascii="Times New Roman" w:eastAsia="MS Mincho" w:hAnsi="Times New Roman" w:cs="Times New Roman"/>
          <w:sz w:val="28"/>
          <w:szCs w:val="28"/>
          <w:lang w:eastAsia="ja-JP"/>
        </w:rPr>
        <w:t xml:space="preserve"> și </w:t>
      </w:r>
      <w:r w:rsidR="00325CA7" w:rsidRPr="009D7A44">
        <w:rPr>
          <w:rFonts w:ascii="Times New Roman" w:eastAsia="MS Mincho" w:hAnsi="Times New Roman" w:cs="Times New Roman"/>
          <w:sz w:val="28"/>
          <w:szCs w:val="28"/>
          <w:lang w:eastAsia="ja-JP"/>
        </w:rPr>
        <w:t>Legea fondului rutier nr.720 din 02.02.1996</w:t>
      </w:r>
      <w:r w:rsidR="00F3104D">
        <w:rPr>
          <w:rStyle w:val="a9"/>
          <w:rFonts w:ascii="Times New Roman" w:eastAsia="MS Mincho" w:hAnsi="Times New Roman" w:cs="Times New Roman"/>
          <w:sz w:val="28"/>
          <w:szCs w:val="28"/>
          <w:lang w:eastAsia="ja-JP"/>
        </w:rPr>
        <w:footnoteReference w:id="27"/>
      </w:r>
      <w:r w:rsidR="005021DD">
        <w:rPr>
          <w:rFonts w:ascii="Times New Roman" w:eastAsia="MS Mincho" w:hAnsi="Times New Roman" w:cs="Times New Roman"/>
          <w:sz w:val="28"/>
          <w:szCs w:val="28"/>
          <w:lang w:eastAsia="ja-JP"/>
        </w:rPr>
        <w:t>,</w:t>
      </w:r>
      <w:r w:rsidR="00325CA7" w:rsidRPr="009D7A44">
        <w:rPr>
          <w:rFonts w:ascii="Times New Roman" w:eastAsia="MS Mincho" w:hAnsi="Times New Roman" w:cs="Times New Roman"/>
          <w:sz w:val="28"/>
          <w:szCs w:val="28"/>
          <w:lang w:eastAsia="ja-JP"/>
        </w:rPr>
        <w:t xml:space="preserve"> </w:t>
      </w:r>
      <w:r w:rsidR="00F3104D">
        <w:rPr>
          <w:rFonts w:ascii="Times New Roman" w:eastAsia="MS Mincho" w:hAnsi="Times New Roman" w:cs="Times New Roman"/>
          <w:sz w:val="28"/>
          <w:szCs w:val="28"/>
          <w:lang w:eastAsia="ja-JP"/>
        </w:rPr>
        <w:t xml:space="preserve">ambele </w:t>
      </w:r>
      <w:r w:rsidR="00325CA7" w:rsidRPr="009D7A44">
        <w:rPr>
          <w:rFonts w:ascii="Times New Roman" w:eastAsia="MS Mincho" w:hAnsi="Times New Roman" w:cs="Times New Roman"/>
          <w:sz w:val="28"/>
          <w:szCs w:val="28"/>
          <w:lang w:eastAsia="ja-JP"/>
        </w:rPr>
        <w:t>cu aplicare din 1 ianuarie 2017,</w:t>
      </w:r>
      <w:r w:rsidR="00AD2630">
        <w:rPr>
          <w:rFonts w:ascii="Times New Roman" w:eastAsia="MS Mincho" w:hAnsi="Times New Roman" w:cs="Times New Roman"/>
          <w:sz w:val="28"/>
          <w:szCs w:val="28"/>
          <w:lang w:eastAsia="ja-JP"/>
        </w:rPr>
        <w:t xml:space="preserve"> transferurile de la bugetul de stat către BUAT au fost suplinite cu un tip nou de transferuri cu destinație specială, și anume „infrastructura drumurilor publice locale”.</w:t>
      </w:r>
      <w:r w:rsidR="00325CA7" w:rsidRPr="009D7A44">
        <w:rPr>
          <w:rFonts w:ascii="Times New Roman" w:eastAsia="MS Mincho" w:hAnsi="Times New Roman" w:cs="Times New Roman"/>
          <w:sz w:val="28"/>
          <w:szCs w:val="28"/>
          <w:lang w:eastAsia="ja-JP"/>
        </w:rPr>
        <w:t xml:space="preserve"> Astfel, la precizarea bugetului de stat pentru întreținerea drumurilor locale au fost alocate </w:t>
      </w:r>
      <w:r w:rsidR="00325CA7" w:rsidRPr="009D7A44">
        <w:rPr>
          <w:rFonts w:ascii="Times New Roman" w:hAnsi="Times New Roman" w:cs="Times New Roman"/>
          <w:bCs/>
          <w:sz w:val="28"/>
          <w:szCs w:val="28"/>
        </w:rPr>
        <w:t>736,2 mil.lei</w:t>
      </w:r>
      <w:r w:rsidR="00325CA7" w:rsidRPr="009D7A44">
        <w:rPr>
          <w:rFonts w:ascii="Times New Roman" w:eastAsia="MS Mincho" w:hAnsi="Times New Roman" w:cs="Times New Roman"/>
          <w:sz w:val="28"/>
          <w:szCs w:val="28"/>
          <w:lang w:eastAsia="ja-JP"/>
        </w:rPr>
        <w:t>.</w:t>
      </w:r>
    </w:p>
    <w:p w:rsidR="0068508D" w:rsidRDefault="0068508D" w:rsidP="004425C9">
      <w:pPr>
        <w:spacing w:after="0" w:line="276" w:lineRule="auto"/>
        <w:ind w:firstLine="709"/>
        <w:jc w:val="both"/>
        <w:rPr>
          <w:rFonts w:ascii="Times New Roman" w:eastAsia="MS Mincho" w:hAnsi="Times New Roman" w:cs="Times New Roman"/>
          <w:sz w:val="28"/>
          <w:szCs w:val="28"/>
          <w:lang w:eastAsia="ja-JP"/>
        </w:rPr>
      </w:pPr>
      <w:r w:rsidRPr="009D7A44">
        <w:rPr>
          <w:rFonts w:ascii="Times New Roman" w:eastAsia="MS Mincho" w:hAnsi="Times New Roman" w:cs="Times New Roman"/>
          <w:sz w:val="28"/>
          <w:szCs w:val="28"/>
          <w:lang w:eastAsia="ja-JP"/>
        </w:rPr>
        <w:t>Auditul atestă că</w:t>
      </w:r>
      <w:r w:rsidR="00B71FEA" w:rsidRPr="009D7A44">
        <w:rPr>
          <w:rFonts w:ascii="Times New Roman" w:eastAsia="MS Mincho" w:hAnsi="Times New Roman" w:cs="Times New Roman"/>
          <w:sz w:val="28"/>
          <w:szCs w:val="28"/>
          <w:lang w:eastAsia="ja-JP"/>
        </w:rPr>
        <w:t xml:space="preserve"> în anul 2017 </w:t>
      </w:r>
      <w:r w:rsidR="00AD2630">
        <w:rPr>
          <w:rFonts w:ascii="Times New Roman" w:eastAsia="MS Mincho" w:hAnsi="Times New Roman" w:cs="Times New Roman"/>
          <w:sz w:val="28"/>
          <w:szCs w:val="28"/>
          <w:lang w:eastAsia="ja-JP"/>
        </w:rPr>
        <w:t>volumul</w:t>
      </w:r>
      <w:r w:rsidR="00AD2630" w:rsidRPr="009D7A44">
        <w:rPr>
          <w:rFonts w:ascii="Times New Roman" w:eastAsia="MS Mincho" w:hAnsi="Times New Roman" w:cs="Times New Roman"/>
          <w:sz w:val="28"/>
          <w:szCs w:val="28"/>
          <w:lang w:eastAsia="ja-JP"/>
        </w:rPr>
        <w:t xml:space="preserve"> </w:t>
      </w:r>
      <w:r w:rsidR="00B71FEA" w:rsidRPr="009D7A44">
        <w:rPr>
          <w:rFonts w:ascii="Times New Roman" w:eastAsia="MS Mincho" w:hAnsi="Times New Roman" w:cs="Times New Roman"/>
          <w:sz w:val="28"/>
          <w:szCs w:val="28"/>
          <w:lang w:eastAsia="ja-JP"/>
        </w:rPr>
        <w:t>transferurilor de la bugetul de stat către BUAT (</w:t>
      </w:r>
      <w:r w:rsidR="003B1F8A" w:rsidRPr="009D7A44">
        <w:rPr>
          <w:rFonts w:ascii="Times New Roman" w:eastAsia="MS Mincho" w:hAnsi="Times New Roman" w:cs="Times New Roman"/>
          <w:sz w:val="28"/>
          <w:szCs w:val="28"/>
          <w:lang w:eastAsia="ja-JP"/>
        </w:rPr>
        <w:t>9128,1 mil.lei</w:t>
      </w:r>
      <w:r w:rsidR="00B71FEA" w:rsidRPr="009D7A44">
        <w:rPr>
          <w:rFonts w:ascii="Times New Roman" w:eastAsia="MS Mincho" w:hAnsi="Times New Roman" w:cs="Times New Roman"/>
          <w:sz w:val="28"/>
          <w:szCs w:val="28"/>
          <w:lang w:eastAsia="ja-JP"/>
        </w:rPr>
        <w:t>)</w:t>
      </w:r>
      <w:r w:rsidR="003B1F8A" w:rsidRPr="009D7A44">
        <w:rPr>
          <w:rFonts w:ascii="Times New Roman" w:eastAsia="MS Mincho" w:hAnsi="Times New Roman" w:cs="Times New Roman"/>
          <w:sz w:val="28"/>
          <w:szCs w:val="28"/>
          <w:lang w:eastAsia="ja-JP"/>
        </w:rPr>
        <w:t xml:space="preserve"> </w:t>
      </w:r>
      <w:r w:rsidR="00AD2630">
        <w:rPr>
          <w:rFonts w:ascii="Times New Roman" w:eastAsia="MS Mincho" w:hAnsi="Times New Roman" w:cs="Times New Roman"/>
          <w:sz w:val="28"/>
          <w:szCs w:val="28"/>
          <w:lang w:eastAsia="ja-JP"/>
        </w:rPr>
        <w:t xml:space="preserve">a devansat </w:t>
      </w:r>
      <w:r w:rsidR="005021DD" w:rsidRPr="009D7A44">
        <w:rPr>
          <w:rFonts w:ascii="Times New Roman" w:eastAsia="MS Mincho" w:hAnsi="Times New Roman" w:cs="Times New Roman"/>
          <w:sz w:val="28"/>
          <w:szCs w:val="28"/>
          <w:lang w:eastAsia="ja-JP"/>
        </w:rPr>
        <w:t xml:space="preserve">de circa 2,3 ori </w:t>
      </w:r>
      <w:r w:rsidR="003B1F8A" w:rsidRPr="009D7A44">
        <w:rPr>
          <w:rFonts w:ascii="Times New Roman" w:eastAsia="MS Mincho" w:hAnsi="Times New Roman" w:cs="Times New Roman"/>
          <w:sz w:val="28"/>
          <w:szCs w:val="28"/>
          <w:lang w:eastAsia="ja-JP"/>
        </w:rPr>
        <w:t>volumul veniturilor proprii încasate (</w:t>
      </w:r>
      <w:r w:rsidR="00BE39F8" w:rsidRPr="009D7A44">
        <w:rPr>
          <w:rFonts w:ascii="Times New Roman" w:eastAsia="MS Mincho" w:hAnsi="Times New Roman" w:cs="Times New Roman"/>
          <w:sz w:val="28"/>
          <w:szCs w:val="28"/>
          <w:lang w:eastAsia="ja-JP"/>
        </w:rPr>
        <w:t>3</w:t>
      </w:r>
      <w:r w:rsidR="003B1F8A" w:rsidRPr="009D7A44">
        <w:rPr>
          <w:rFonts w:ascii="Times New Roman" w:eastAsia="MS Mincho" w:hAnsi="Times New Roman" w:cs="Times New Roman"/>
          <w:sz w:val="28"/>
          <w:szCs w:val="28"/>
          <w:lang w:eastAsia="ja-JP"/>
        </w:rPr>
        <w:t>9</w:t>
      </w:r>
      <w:r w:rsidR="00BE39F8" w:rsidRPr="009D7A44">
        <w:rPr>
          <w:rFonts w:ascii="Times New Roman" w:eastAsia="MS Mincho" w:hAnsi="Times New Roman" w:cs="Times New Roman"/>
          <w:sz w:val="28"/>
          <w:szCs w:val="28"/>
          <w:lang w:eastAsia="ja-JP"/>
        </w:rPr>
        <w:t>09,0</w:t>
      </w:r>
      <w:r w:rsidR="008D138F" w:rsidRPr="009D7A44">
        <w:rPr>
          <w:rFonts w:ascii="Times New Roman" w:eastAsia="MS Mincho" w:hAnsi="Times New Roman" w:cs="Times New Roman"/>
          <w:sz w:val="28"/>
          <w:szCs w:val="28"/>
          <w:lang w:eastAsia="ja-JP"/>
        </w:rPr>
        <w:t xml:space="preserve"> </w:t>
      </w:r>
      <w:r w:rsidR="00BE39F8" w:rsidRPr="009D7A44">
        <w:rPr>
          <w:rFonts w:ascii="Times New Roman" w:eastAsia="MS Mincho" w:hAnsi="Times New Roman" w:cs="Times New Roman"/>
          <w:sz w:val="28"/>
          <w:szCs w:val="28"/>
          <w:lang w:eastAsia="ja-JP"/>
        </w:rPr>
        <w:t>mil.lei)</w:t>
      </w:r>
      <w:r w:rsidR="003B1F8A" w:rsidRPr="009D7A44">
        <w:rPr>
          <w:rFonts w:ascii="Times New Roman" w:eastAsia="MS Mincho" w:hAnsi="Times New Roman" w:cs="Times New Roman"/>
          <w:sz w:val="28"/>
          <w:szCs w:val="28"/>
          <w:lang w:eastAsia="ja-JP"/>
        </w:rPr>
        <w:t>, ce</w:t>
      </w:r>
      <w:r w:rsidR="005021DD">
        <w:rPr>
          <w:rFonts w:ascii="Times New Roman" w:eastAsia="MS Mincho" w:hAnsi="Times New Roman" w:cs="Times New Roman"/>
          <w:sz w:val="28"/>
          <w:szCs w:val="28"/>
          <w:lang w:eastAsia="ja-JP"/>
        </w:rPr>
        <w:t>e</w:t>
      </w:r>
      <w:r w:rsidR="003B1F8A" w:rsidRPr="009D7A44">
        <w:rPr>
          <w:rFonts w:ascii="Times New Roman" w:eastAsia="MS Mincho" w:hAnsi="Times New Roman" w:cs="Times New Roman"/>
          <w:sz w:val="28"/>
          <w:szCs w:val="28"/>
          <w:lang w:eastAsia="ja-JP"/>
        </w:rPr>
        <w:t>a ce relevă gradul înalt de dependență a BUAT față pe bugetul de stat.</w:t>
      </w:r>
      <w:r w:rsidR="008D138F" w:rsidRPr="009D7A44">
        <w:rPr>
          <w:rFonts w:ascii="Times New Roman" w:eastAsia="MS Mincho" w:hAnsi="Times New Roman" w:cs="Times New Roman"/>
          <w:sz w:val="28"/>
          <w:szCs w:val="28"/>
          <w:lang w:eastAsia="ja-JP"/>
        </w:rPr>
        <w:t xml:space="preserve"> De menționat că, pe de o parte</w:t>
      </w:r>
      <w:r w:rsidR="005021DD">
        <w:rPr>
          <w:rFonts w:ascii="Times New Roman" w:eastAsia="MS Mincho" w:hAnsi="Times New Roman" w:cs="Times New Roman"/>
          <w:sz w:val="28"/>
          <w:szCs w:val="28"/>
          <w:lang w:eastAsia="ja-JP"/>
        </w:rPr>
        <w:t>,</w:t>
      </w:r>
      <w:r w:rsidR="008D138F" w:rsidRPr="009D7A44">
        <w:rPr>
          <w:rFonts w:ascii="Times New Roman" w:eastAsia="MS Mincho" w:hAnsi="Times New Roman" w:cs="Times New Roman"/>
          <w:sz w:val="28"/>
          <w:szCs w:val="28"/>
          <w:lang w:eastAsia="ja-JP"/>
        </w:rPr>
        <w:t xml:space="preserve"> situația este cauzată de implementarea noului sistem de transferuri, cât și de propunerile MF de continuare a efectuării transferurilor de compensare temporară, iar pe de altă parte, de lipsa capacităților </w:t>
      </w:r>
      <w:r w:rsidR="00104B99" w:rsidRPr="009D7A44">
        <w:rPr>
          <w:rFonts w:ascii="Times New Roman" w:eastAsia="MS Mincho" w:hAnsi="Times New Roman" w:cs="Times New Roman"/>
          <w:sz w:val="28"/>
          <w:szCs w:val="28"/>
          <w:lang w:eastAsia="ja-JP"/>
        </w:rPr>
        <w:t xml:space="preserve">și responsabilității </w:t>
      </w:r>
      <w:r w:rsidR="008D138F" w:rsidRPr="009D7A44">
        <w:rPr>
          <w:rFonts w:ascii="Times New Roman" w:eastAsia="MS Mincho" w:hAnsi="Times New Roman" w:cs="Times New Roman"/>
          <w:sz w:val="28"/>
          <w:szCs w:val="28"/>
          <w:lang w:eastAsia="ja-JP"/>
        </w:rPr>
        <w:t>APL de a</w:t>
      </w:r>
      <w:r w:rsidR="005021DD">
        <w:rPr>
          <w:rFonts w:ascii="Times New Roman" w:eastAsia="MS Mincho" w:hAnsi="Times New Roman" w:cs="Times New Roman"/>
          <w:sz w:val="28"/>
          <w:szCs w:val="28"/>
          <w:lang w:eastAsia="ja-JP"/>
        </w:rPr>
        <w:t>-și</w:t>
      </w:r>
      <w:r w:rsidR="008D138F" w:rsidRPr="009D7A44">
        <w:rPr>
          <w:rFonts w:ascii="Times New Roman" w:eastAsia="MS Mincho" w:hAnsi="Times New Roman" w:cs="Times New Roman"/>
          <w:sz w:val="28"/>
          <w:szCs w:val="28"/>
          <w:lang w:eastAsia="ja-JP"/>
        </w:rPr>
        <w:t xml:space="preserve"> consolida baza fiscală</w:t>
      </w:r>
      <w:r w:rsidR="00104B99" w:rsidRPr="009D7A44">
        <w:rPr>
          <w:rFonts w:ascii="Times New Roman" w:eastAsia="MS Mincho" w:hAnsi="Times New Roman" w:cs="Times New Roman"/>
          <w:sz w:val="28"/>
          <w:szCs w:val="28"/>
          <w:lang w:eastAsia="ja-JP"/>
        </w:rPr>
        <w:t xml:space="preserve"> proprie</w:t>
      </w:r>
      <w:r w:rsidR="008D138F" w:rsidRPr="009D7A44">
        <w:rPr>
          <w:rFonts w:ascii="Times New Roman" w:eastAsia="MS Mincho" w:hAnsi="Times New Roman" w:cs="Times New Roman"/>
          <w:sz w:val="28"/>
          <w:szCs w:val="28"/>
          <w:lang w:eastAsia="ja-JP"/>
        </w:rPr>
        <w:t>.</w:t>
      </w:r>
    </w:p>
    <w:p w:rsidR="00664C58" w:rsidRDefault="0076727A" w:rsidP="004425C9">
      <w:pPr>
        <w:spacing w:after="0" w:line="276" w:lineRule="auto"/>
        <w:ind w:firstLine="709"/>
        <w:jc w:val="both"/>
        <w:rPr>
          <w:rFonts w:ascii="Times New Roman" w:eastAsia="MS Mincho" w:hAnsi="Times New Roman" w:cs="Times New Roman"/>
          <w:sz w:val="28"/>
          <w:szCs w:val="28"/>
          <w:lang w:eastAsia="ja-JP"/>
        </w:rPr>
      </w:pPr>
      <w:r w:rsidRPr="0046002E">
        <w:rPr>
          <w:rFonts w:ascii="Times New Roman" w:eastAsia="MS Mincho" w:hAnsi="Times New Roman" w:cs="Times New Roman"/>
          <w:sz w:val="28"/>
          <w:szCs w:val="28"/>
          <w:lang w:eastAsia="ja-JP"/>
        </w:rPr>
        <w:t>Conform prevederilor legale</w:t>
      </w:r>
      <w:r>
        <w:rPr>
          <w:rStyle w:val="a9"/>
          <w:rFonts w:ascii="Times New Roman" w:eastAsia="MS Mincho" w:hAnsi="Times New Roman" w:cs="Times New Roman"/>
          <w:sz w:val="28"/>
          <w:szCs w:val="28"/>
          <w:lang w:eastAsia="ja-JP"/>
        </w:rPr>
        <w:footnoteReference w:id="28"/>
      </w:r>
      <w:r>
        <w:rPr>
          <w:rFonts w:ascii="Times New Roman" w:eastAsia="MS Mincho" w:hAnsi="Times New Roman" w:cs="Times New Roman"/>
          <w:sz w:val="28"/>
          <w:szCs w:val="28"/>
          <w:lang w:eastAsia="ja-JP"/>
        </w:rPr>
        <w:t xml:space="preserve">, BUAT beneficiază de transferuri cu destinație generală și </w:t>
      </w:r>
      <w:r w:rsidR="005021DD">
        <w:rPr>
          <w:rFonts w:ascii="Times New Roman" w:eastAsia="MS Mincho" w:hAnsi="Times New Roman" w:cs="Times New Roman"/>
          <w:sz w:val="28"/>
          <w:szCs w:val="28"/>
          <w:lang w:eastAsia="ja-JP"/>
        </w:rPr>
        <w:t xml:space="preserve">de </w:t>
      </w:r>
      <w:r>
        <w:rPr>
          <w:rFonts w:ascii="Times New Roman" w:eastAsia="MS Mincho" w:hAnsi="Times New Roman" w:cs="Times New Roman"/>
          <w:sz w:val="28"/>
          <w:szCs w:val="28"/>
          <w:lang w:eastAsia="ja-JP"/>
        </w:rPr>
        <w:t xml:space="preserve">transferuri cu destinație specială. </w:t>
      </w:r>
      <w:r w:rsidR="00C87EDE" w:rsidRPr="009D7A44">
        <w:rPr>
          <w:rFonts w:ascii="Times New Roman" w:eastAsia="MS Mincho" w:hAnsi="Times New Roman" w:cs="Times New Roman"/>
          <w:sz w:val="28"/>
          <w:szCs w:val="28"/>
          <w:lang w:eastAsia="ja-JP"/>
        </w:rPr>
        <w:t>Conform art.IV</w:t>
      </w:r>
      <w:r w:rsidR="00C87EDE">
        <w:rPr>
          <w:rFonts w:ascii="Times New Roman" w:eastAsia="MS Mincho" w:hAnsi="Times New Roman" w:cs="Times New Roman"/>
          <w:sz w:val="28"/>
          <w:szCs w:val="28"/>
          <w:lang w:eastAsia="ja-JP"/>
        </w:rPr>
        <w:t xml:space="preserve"> din Legea nr.267 din </w:t>
      </w:r>
      <w:r w:rsidR="00C87EDE">
        <w:rPr>
          <w:rFonts w:ascii="Times New Roman" w:eastAsia="MS Mincho" w:hAnsi="Times New Roman" w:cs="Times New Roman"/>
          <w:sz w:val="28"/>
          <w:szCs w:val="28"/>
          <w:lang w:eastAsia="ja-JP"/>
        </w:rPr>
        <w:lastRenderedPageBreak/>
        <w:t>01.11.2013 pentru modificarea și completarea unor acte legislative, Guvernul a fost abilitat cu dreptul de a forma în componența bugetului de stat un fond de compensare, în proporție de până la 1% din veniturile bugetului de stat pe o perioadă de 2 ani (2015 și 2016)</w:t>
      </w:r>
      <w:r w:rsidR="00B529BF">
        <w:rPr>
          <w:rFonts w:ascii="Times New Roman" w:eastAsia="MS Mincho" w:hAnsi="Times New Roman" w:cs="Times New Roman"/>
          <w:sz w:val="28"/>
          <w:szCs w:val="28"/>
          <w:lang w:eastAsia="ja-JP"/>
        </w:rPr>
        <w:t>,</w:t>
      </w:r>
      <w:r w:rsidR="00C87EDE">
        <w:rPr>
          <w:rFonts w:ascii="Times New Roman" w:eastAsia="MS Mincho" w:hAnsi="Times New Roman" w:cs="Times New Roman"/>
          <w:sz w:val="28"/>
          <w:szCs w:val="28"/>
          <w:lang w:eastAsia="ja-JP"/>
        </w:rPr>
        <w:t xml:space="preserve"> pentru acoperirea riscurilor apărute în urma descentralizării financiare a </w:t>
      </w:r>
      <w:r w:rsidR="00B529BF">
        <w:rPr>
          <w:rFonts w:ascii="Times New Roman" w:eastAsia="MS Mincho" w:hAnsi="Times New Roman" w:cs="Times New Roman"/>
          <w:sz w:val="28"/>
          <w:szCs w:val="28"/>
          <w:lang w:eastAsia="ja-JP"/>
        </w:rPr>
        <w:t>UAT</w:t>
      </w:r>
      <w:r w:rsidR="00C87EDE">
        <w:rPr>
          <w:rFonts w:ascii="Times New Roman" w:eastAsia="MS Mincho" w:hAnsi="Times New Roman" w:cs="Times New Roman"/>
          <w:sz w:val="28"/>
          <w:szCs w:val="28"/>
          <w:lang w:eastAsia="ja-JP"/>
        </w:rPr>
        <w:t>. La expirarea prevederilor legii menționate, prin art.17 din Legea bugetului de stat pentru anul 2017 Guvernul iarăși se abilitează cu dreptul de a forma în componența bugetului de stat un fond de compensare, în proporție de până la 0,5% din veniturile bugetului de stat</w:t>
      </w:r>
      <w:r w:rsidR="00C4649E">
        <w:rPr>
          <w:rFonts w:ascii="Times New Roman" w:eastAsia="MS Mincho" w:hAnsi="Times New Roman" w:cs="Times New Roman"/>
          <w:sz w:val="28"/>
          <w:szCs w:val="28"/>
          <w:lang w:eastAsia="ja-JP"/>
        </w:rPr>
        <w:t>,</w:t>
      </w:r>
      <w:r w:rsidR="00C87EDE">
        <w:rPr>
          <w:rFonts w:ascii="Times New Roman" w:eastAsia="MS Mincho" w:hAnsi="Times New Roman" w:cs="Times New Roman"/>
          <w:sz w:val="28"/>
          <w:szCs w:val="28"/>
          <w:lang w:eastAsia="ja-JP"/>
        </w:rPr>
        <w:t xml:space="preserve"> </w:t>
      </w:r>
      <w:r w:rsidR="00C87EDE" w:rsidRPr="00AD2630">
        <w:rPr>
          <w:rFonts w:ascii="Times New Roman" w:eastAsia="MS Mincho" w:hAnsi="Times New Roman" w:cs="Times New Roman"/>
          <w:i/>
          <w:sz w:val="28"/>
          <w:szCs w:val="28"/>
          <w:lang w:eastAsia="ja-JP"/>
        </w:rPr>
        <w:t>„</w:t>
      </w:r>
      <w:r w:rsidR="00C87EDE" w:rsidRPr="00467F76">
        <w:rPr>
          <w:rFonts w:ascii="Times New Roman" w:eastAsia="MS Mincho" w:hAnsi="Times New Roman" w:cs="Times New Roman"/>
          <w:i/>
          <w:sz w:val="28"/>
          <w:szCs w:val="28"/>
          <w:lang w:eastAsia="ja-JP"/>
        </w:rPr>
        <w:t>în legătură cu rezultatele modeste în vederea consolidării bazei de venituri proprii ale administrațiilor publice local</w:t>
      </w:r>
      <w:r w:rsidR="00C87EDE" w:rsidRPr="00764D6E">
        <w:rPr>
          <w:rFonts w:ascii="Times New Roman" w:eastAsia="MS Mincho" w:hAnsi="Times New Roman" w:cs="Times New Roman"/>
          <w:i/>
          <w:sz w:val="28"/>
          <w:szCs w:val="28"/>
          <w:lang w:eastAsia="ja-JP"/>
        </w:rPr>
        <w:t>e</w:t>
      </w:r>
      <w:r w:rsidR="00C87EDE" w:rsidRPr="00AD2630">
        <w:rPr>
          <w:rFonts w:ascii="Times New Roman" w:eastAsia="MS Mincho" w:hAnsi="Times New Roman" w:cs="Times New Roman"/>
          <w:i/>
          <w:sz w:val="28"/>
          <w:szCs w:val="28"/>
          <w:lang w:eastAsia="ja-JP"/>
        </w:rPr>
        <w:t>”.</w:t>
      </w:r>
    </w:p>
    <w:p w:rsidR="00C605E8" w:rsidRDefault="0076727A" w:rsidP="004425C9">
      <w:pPr>
        <w:spacing w:after="0" w:line="276" w:lineRule="auto"/>
        <w:ind w:firstLine="709"/>
        <w:jc w:val="both"/>
        <w:rPr>
          <w:rFonts w:ascii="Times New Roman" w:eastAsia="MS Mincho" w:hAnsi="Times New Roman" w:cs="Times New Roman"/>
          <w:sz w:val="28"/>
          <w:szCs w:val="28"/>
          <w:lang w:eastAsia="ja-JP"/>
        </w:rPr>
      </w:pPr>
      <w:r w:rsidRPr="00A56397">
        <w:rPr>
          <w:rFonts w:ascii="Times New Roman" w:eastAsia="MS Mincho" w:hAnsi="Times New Roman" w:cs="Times New Roman"/>
          <w:sz w:val="28"/>
          <w:szCs w:val="28"/>
          <w:lang w:eastAsia="ja-JP"/>
        </w:rPr>
        <w:t>Astfel, în anul 2017 transferurile cu destinație general</w:t>
      </w:r>
      <w:r>
        <w:rPr>
          <w:rFonts w:ascii="Times New Roman" w:eastAsia="MS Mincho" w:hAnsi="Times New Roman" w:cs="Times New Roman"/>
          <w:sz w:val="28"/>
          <w:szCs w:val="28"/>
          <w:lang w:eastAsia="ja-JP"/>
        </w:rPr>
        <w:t>ă au constituit 1211,1 mil.lei</w:t>
      </w:r>
      <w:r w:rsidR="00764D6E">
        <w:rPr>
          <w:rFonts w:ascii="Times New Roman" w:eastAsia="MS Mincho" w:hAnsi="Times New Roman" w:cs="Times New Roman"/>
          <w:sz w:val="28"/>
          <w:szCs w:val="28"/>
          <w:lang w:eastAsia="ja-JP"/>
        </w:rPr>
        <w:t>,</w:t>
      </w:r>
      <w:r>
        <w:rPr>
          <w:rFonts w:ascii="Times New Roman" w:eastAsia="MS Mincho" w:hAnsi="Times New Roman" w:cs="Times New Roman"/>
          <w:sz w:val="28"/>
          <w:szCs w:val="28"/>
          <w:lang w:eastAsia="ja-JP"/>
        </w:rPr>
        <w:t xml:space="preserve"> cu nivelul de </w:t>
      </w:r>
      <w:r w:rsidRPr="00A56397">
        <w:rPr>
          <w:rFonts w:ascii="Times New Roman" w:eastAsia="MS Mincho" w:hAnsi="Times New Roman" w:cs="Times New Roman"/>
          <w:sz w:val="28"/>
          <w:szCs w:val="28"/>
          <w:lang w:eastAsia="ja-JP"/>
        </w:rPr>
        <w:t>executa</w:t>
      </w:r>
      <w:r>
        <w:rPr>
          <w:rFonts w:ascii="Times New Roman" w:eastAsia="MS Mincho" w:hAnsi="Times New Roman" w:cs="Times New Roman"/>
          <w:sz w:val="28"/>
          <w:szCs w:val="28"/>
          <w:lang w:eastAsia="ja-JP"/>
        </w:rPr>
        <w:t>r</w:t>
      </w:r>
      <w:r w:rsidRPr="00A56397">
        <w:rPr>
          <w:rFonts w:ascii="Times New Roman" w:eastAsia="MS Mincho" w:hAnsi="Times New Roman" w:cs="Times New Roman"/>
          <w:sz w:val="28"/>
          <w:szCs w:val="28"/>
          <w:lang w:eastAsia="ja-JP"/>
        </w:rPr>
        <w:t xml:space="preserve">e </w:t>
      </w:r>
      <w:r>
        <w:rPr>
          <w:rFonts w:ascii="Times New Roman" w:eastAsia="MS Mincho" w:hAnsi="Times New Roman" w:cs="Times New Roman"/>
          <w:sz w:val="28"/>
          <w:szCs w:val="28"/>
          <w:lang w:eastAsia="ja-JP"/>
        </w:rPr>
        <w:t>de 100%</w:t>
      </w:r>
      <w:r w:rsidRPr="00A56397">
        <w:rPr>
          <w:rFonts w:ascii="Times New Roman" w:eastAsia="MS Mincho" w:hAnsi="Times New Roman" w:cs="Times New Roman"/>
          <w:sz w:val="28"/>
          <w:szCs w:val="28"/>
          <w:lang w:eastAsia="ja-JP"/>
        </w:rPr>
        <w:t>, transferuri</w:t>
      </w:r>
      <w:r>
        <w:rPr>
          <w:rFonts w:ascii="Times New Roman" w:eastAsia="MS Mincho" w:hAnsi="Times New Roman" w:cs="Times New Roman"/>
          <w:sz w:val="28"/>
          <w:szCs w:val="28"/>
          <w:lang w:eastAsia="ja-JP"/>
        </w:rPr>
        <w:t>le</w:t>
      </w:r>
      <w:r w:rsidRPr="00A56397">
        <w:rPr>
          <w:rFonts w:ascii="Times New Roman" w:eastAsia="MS Mincho" w:hAnsi="Times New Roman" w:cs="Times New Roman"/>
          <w:sz w:val="28"/>
          <w:szCs w:val="28"/>
          <w:lang w:eastAsia="ja-JP"/>
        </w:rPr>
        <w:t xml:space="preserve"> cu destinație specială – 7</w:t>
      </w:r>
      <w:r w:rsidR="0068508D">
        <w:rPr>
          <w:rFonts w:ascii="Times New Roman" w:eastAsia="MS Mincho" w:hAnsi="Times New Roman" w:cs="Times New Roman"/>
          <w:sz w:val="28"/>
          <w:szCs w:val="28"/>
          <w:lang w:eastAsia="ja-JP"/>
        </w:rPr>
        <w:t>818,2</w:t>
      </w:r>
      <w:r w:rsidRPr="00A56397">
        <w:rPr>
          <w:rFonts w:ascii="Times New Roman" w:eastAsia="MS Mincho" w:hAnsi="Times New Roman" w:cs="Times New Roman"/>
          <w:sz w:val="28"/>
          <w:szCs w:val="28"/>
          <w:lang w:eastAsia="ja-JP"/>
        </w:rPr>
        <w:t xml:space="preserve"> mil.lei</w:t>
      </w:r>
      <w:r w:rsidR="00AD2630">
        <w:rPr>
          <w:rFonts w:ascii="Times New Roman" w:eastAsia="MS Mincho" w:hAnsi="Times New Roman" w:cs="Times New Roman"/>
          <w:sz w:val="28"/>
          <w:szCs w:val="28"/>
          <w:lang w:eastAsia="ja-JP"/>
        </w:rPr>
        <w:t>,</w:t>
      </w:r>
      <w:r w:rsidRPr="00A56397">
        <w:rPr>
          <w:rFonts w:ascii="Times New Roman" w:eastAsia="MS Mincho" w:hAnsi="Times New Roman" w:cs="Times New Roman"/>
          <w:sz w:val="28"/>
          <w:szCs w:val="28"/>
          <w:lang w:eastAsia="ja-JP"/>
        </w:rPr>
        <w:t xml:space="preserve"> </w:t>
      </w:r>
      <w:r>
        <w:rPr>
          <w:rFonts w:ascii="Times New Roman" w:eastAsia="MS Mincho" w:hAnsi="Times New Roman" w:cs="Times New Roman"/>
          <w:sz w:val="28"/>
          <w:szCs w:val="28"/>
          <w:lang w:eastAsia="ja-JP"/>
        </w:rPr>
        <w:t xml:space="preserve">cu nivelul de </w:t>
      </w:r>
      <w:r w:rsidRPr="00A56397">
        <w:rPr>
          <w:rFonts w:ascii="Times New Roman" w:eastAsia="MS Mincho" w:hAnsi="Times New Roman" w:cs="Times New Roman"/>
          <w:sz w:val="28"/>
          <w:szCs w:val="28"/>
          <w:lang w:eastAsia="ja-JP"/>
        </w:rPr>
        <w:t>executa</w:t>
      </w:r>
      <w:r>
        <w:rPr>
          <w:rFonts w:ascii="Times New Roman" w:eastAsia="MS Mincho" w:hAnsi="Times New Roman" w:cs="Times New Roman"/>
          <w:sz w:val="28"/>
          <w:szCs w:val="28"/>
          <w:lang w:eastAsia="ja-JP"/>
        </w:rPr>
        <w:t>r</w:t>
      </w:r>
      <w:r w:rsidRPr="00A56397">
        <w:rPr>
          <w:rFonts w:ascii="Times New Roman" w:eastAsia="MS Mincho" w:hAnsi="Times New Roman" w:cs="Times New Roman"/>
          <w:sz w:val="28"/>
          <w:szCs w:val="28"/>
          <w:lang w:eastAsia="ja-JP"/>
        </w:rPr>
        <w:t xml:space="preserve">e </w:t>
      </w:r>
      <w:r>
        <w:rPr>
          <w:rFonts w:ascii="Times New Roman" w:eastAsia="MS Mincho" w:hAnsi="Times New Roman" w:cs="Times New Roman"/>
          <w:sz w:val="28"/>
          <w:szCs w:val="28"/>
          <w:lang w:eastAsia="ja-JP"/>
        </w:rPr>
        <w:t>de 98,</w:t>
      </w:r>
      <w:r w:rsidR="0068508D">
        <w:rPr>
          <w:rFonts w:ascii="Times New Roman" w:eastAsia="MS Mincho" w:hAnsi="Times New Roman" w:cs="Times New Roman"/>
          <w:sz w:val="28"/>
          <w:szCs w:val="28"/>
          <w:lang w:eastAsia="ja-JP"/>
        </w:rPr>
        <w:t>8%</w:t>
      </w:r>
      <w:r w:rsidR="00764D6E">
        <w:rPr>
          <w:rFonts w:ascii="Times New Roman" w:eastAsia="MS Mincho" w:hAnsi="Times New Roman" w:cs="Times New Roman"/>
          <w:sz w:val="28"/>
          <w:szCs w:val="28"/>
          <w:lang w:eastAsia="ja-JP"/>
        </w:rPr>
        <w:t>,</w:t>
      </w:r>
      <w:r w:rsidR="0068508D">
        <w:rPr>
          <w:rFonts w:ascii="Times New Roman" w:eastAsia="MS Mincho" w:hAnsi="Times New Roman" w:cs="Times New Roman"/>
          <w:sz w:val="28"/>
          <w:szCs w:val="28"/>
          <w:lang w:eastAsia="ja-JP"/>
        </w:rPr>
        <w:t xml:space="preserve"> sau mai puțin cu 89,6 mil.lei. În afara acestora, de la bugetul de stat au fost efectuate către BUAT </w:t>
      </w:r>
      <w:r>
        <w:rPr>
          <w:rFonts w:ascii="Times New Roman" w:eastAsia="MS Mincho" w:hAnsi="Times New Roman" w:cs="Times New Roman"/>
          <w:sz w:val="28"/>
          <w:szCs w:val="28"/>
          <w:lang w:eastAsia="ja-JP"/>
        </w:rPr>
        <w:t>tr</w:t>
      </w:r>
      <w:r w:rsidR="0068508D">
        <w:rPr>
          <w:rFonts w:ascii="Times New Roman" w:eastAsia="MS Mincho" w:hAnsi="Times New Roman" w:cs="Times New Roman"/>
          <w:sz w:val="28"/>
          <w:szCs w:val="28"/>
          <w:lang w:eastAsia="ja-JP"/>
        </w:rPr>
        <w:t>ansferuri</w:t>
      </w:r>
      <w:r>
        <w:rPr>
          <w:rFonts w:ascii="Times New Roman" w:eastAsia="MS Mincho" w:hAnsi="Times New Roman" w:cs="Times New Roman"/>
          <w:sz w:val="28"/>
          <w:szCs w:val="28"/>
          <w:lang w:eastAsia="ja-JP"/>
        </w:rPr>
        <w:t xml:space="preserve"> </w:t>
      </w:r>
      <w:r w:rsidR="0068508D">
        <w:rPr>
          <w:rFonts w:ascii="Times New Roman" w:eastAsia="MS Mincho" w:hAnsi="Times New Roman" w:cs="Times New Roman"/>
          <w:sz w:val="28"/>
          <w:szCs w:val="28"/>
          <w:lang w:eastAsia="ja-JP"/>
        </w:rPr>
        <w:t xml:space="preserve">în sumă totală de 98,8 mil.lei, din care </w:t>
      </w:r>
      <w:r w:rsidR="0068508D" w:rsidRPr="00C605E8">
        <w:rPr>
          <w:rFonts w:ascii="Times New Roman" w:eastAsia="MS Mincho" w:hAnsi="Times New Roman" w:cs="Times New Roman"/>
          <w:sz w:val="28"/>
          <w:szCs w:val="28"/>
          <w:lang w:eastAsia="ja-JP"/>
        </w:rPr>
        <w:t>84,3 mil.lei</w:t>
      </w:r>
      <w:r w:rsidR="0068508D">
        <w:rPr>
          <w:rFonts w:ascii="Times New Roman" w:eastAsia="MS Mincho" w:hAnsi="Times New Roman" w:cs="Times New Roman"/>
          <w:sz w:val="28"/>
          <w:szCs w:val="28"/>
          <w:lang w:eastAsia="ja-JP"/>
        </w:rPr>
        <w:t xml:space="preserve"> </w:t>
      </w:r>
      <w:r w:rsidR="00764D6E">
        <w:rPr>
          <w:rFonts w:ascii="Times New Roman" w:eastAsia="MS Mincho" w:hAnsi="Times New Roman" w:cs="Times New Roman"/>
          <w:sz w:val="28"/>
          <w:szCs w:val="28"/>
          <w:lang w:eastAsia="ja-JP"/>
        </w:rPr>
        <w:t xml:space="preserve">– </w:t>
      </w:r>
      <w:r w:rsidR="0068508D">
        <w:rPr>
          <w:rFonts w:ascii="Times New Roman" w:eastAsia="MS Mincho" w:hAnsi="Times New Roman" w:cs="Times New Roman"/>
          <w:sz w:val="28"/>
          <w:szCs w:val="28"/>
          <w:lang w:eastAsia="ja-JP"/>
        </w:rPr>
        <w:t xml:space="preserve">din </w:t>
      </w:r>
      <w:r>
        <w:rPr>
          <w:rFonts w:ascii="Times New Roman" w:eastAsia="MS Mincho" w:hAnsi="Times New Roman" w:cs="Times New Roman"/>
          <w:sz w:val="28"/>
          <w:szCs w:val="28"/>
          <w:lang w:eastAsia="ja-JP"/>
        </w:rPr>
        <w:t xml:space="preserve">fondul de compensare și alte transferuri </w:t>
      </w:r>
      <w:r w:rsidR="00C605E8">
        <w:rPr>
          <w:rFonts w:ascii="Times New Roman" w:eastAsia="MS Mincho" w:hAnsi="Times New Roman" w:cs="Times New Roman"/>
          <w:sz w:val="28"/>
          <w:szCs w:val="28"/>
          <w:lang w:eastAsia="ja-JP"/>
        </w:rPr>
        <w:t xml:space="preserve">curente </w:t>
      </w:r>
      <w:r>
        <w:rPr>
          <w:rFonts w:ascii="Times New Roman" w:eastAsia="MS Mincho" w:hAnsi="Times New Roman" w:cs="Times New Roman"/>
          <w:sz w:val="28"/>
          <w:szCs w:val="28"/>
          <w:lang w:eastAsia="ja-JP"/>
        </w:rPr>
        <w:t>cu des</w:t>
      </w:r>
      <w:r w:rsidR="0068508D">
        <w:rPr>
          <w:rFonts w:ascii="Times New Roman" w:eastAsia="MS Mincho" w:hAnsi="Times New Roman" w:cs="Times New Roman"/>
          <w:sz w:val="28"/>
          <w:szCs w:val="28"/>
          <w:lang w:eastAsia="ja-JP"/>
        </w:rPr>
        <w:t>tinație generală</w:t>
      </w:r>
      <w:r w:rsidR="00C605E8">
        <w:rPr>
          <w:rStyle w:val="a9"/>
          <w:rFonts w:ascii="Times New Roman" w:eastAsia="MS Mincho" w:hAnsi="Times New Roman" w:cs="Times New Roman"/>
          <w:sz w:val="28"/>
          <w:szCs w:val="28"/>
          <w:lang w:eastAsia="ja-JP"/>
        </w:rPr>
        <w:footnoteReference w:id="29"/>
      </w:r>
      <w:r w:rsidR="00C605E8">
        <w:rPr>
          <w:rFonts w:ascii="Times New Roman" w:eastAsia="MS Mincho" w:hAnsi="Times New Roman" w:cs="Times New Roman"/>
          <w:sz w:val="28"/>
          <w:szCs w:val="28"/>
          <w:lang w:eastAsia="ja-JP"/>
        </w:rPr>
        <w:t xml:space="preserve"> în sumă de 14,5 mil.lei </w:t>
      </w:r>
      <w:r w:rsidR="00C605E8" w:rsidRPr="00C605E8">
        <w:rPr>
          <w:rFonts w:ascii="Times New Roman" w:eastAsia="MS Mincho" w:hAnsi="Times New Roman" w:cs="Times New Roman"/>
          <w:i/>
          <w:sz w:val="28"/>
          <w:szCs w:val="28"/>
          <w:lang w:eastAsia="ja-JP"/>
        </w:rPr>
        <w:t>(„pentru compensarea majorării de la 1 ianuarie 2017 a cuantumului alocației lunare pentru întreținerea unui copil în serviciile casă de copii de tip familial și asistență parentală profesionistă, pentru compensarea majorării salariale (cu indicele 1,2) pentru asistenții sociali din cadrul serviciului de asistență socială comunitară, precum și pentru acoperirea cheltuielilor efectuate în anul 2016 din contul veniturilor proprii ale bugetelor locale pentru măsurile de protecție socială finanțate din contul transferurilor cu destinație specială de la bugetul de stat</w:t>
      </w:r>
      <w:r w:rsidR="00C605E8">
        <w:rPr>
          <w:rFonts w:ascii="Times New Roman" w:eastAsia="MS Mincho" w:hAnsi="Times New Roman" w:cs="Times New Roman"/>
          <w:i/>
          <w:sz w:val="28"/>
          <w:szCs w:val="28"/>
          <w:lang w:eastAsia="ja-JP"/>
        </w:rPr>
        <w:t>”</w:t>
      </w:r>
      <w:r w:rsidR="00C605E8" w:rsidRPr="00C605E8">
        <w:rPr>
          <w:rFonts w:ascii="Times New Roman" w:eastAsia="MS Mincho" w:hAnsi="Times New Roman" w:cs="Times New Roman"/>
          <w:i/>
          <w:sz w:val="28"/>
          <w:szCs w:val="28"/>
          <w:lang w:eastAsia="ja-JP"/>
        </w:rPr>
        <w:t>)</w:t>
      </w:r>
      <w:r w:rsidR="00C605E8">
        <w:rPr>
          <w:rFonts w:ascii="Times New Roman" w:eastAsia="MS Mincho" w:hAnsi="Times New Roman" w:cs="Times New Roman"/>
          <w:i/>
          <w:sz w:val="28"/>
          <w:szCs w:val="28"/>
          <w:lang w:eastAsia="ja-JP"/>
        </w:rPr>
        <w:t>.</w:t>
      </w:r>
      <w:r w:rsidR="007E2376">
        <w:rPr>
          <w:rFonts w:ascii="Times New Roman" w:eastAsia="MS Mincho" w:hAnsi="Times New Roman" w:cs="Times New Roman"/>
          <w:sz w:val="28"/>
          <w:szCs w:val="28"/>
          <w:lang w:eastAsia="ja-JP"/>
        </w:rPr>
        <w:t xml:space="preserve"> </w:t>
      </w:r>
    </w:p>
    <w:p w:rsidR="0076727A" w:rsidRDefault="007E2376" w:rsidP="004425C9">
      <w:pPr>
        <w:spacing w:after="0" w:line="276" w:lineRule="auto"/>
        <w:ind w:firstLine="709"/>
        <w:jc w:val="both"/>
        <w:rPr>
          <w:rFonts w:ascii="Times New Roman" w:eastAsia="MS Mincho" w:hAnsi="Times New Roman" w:cs="Times New Roman"/>
          <w:sz w:val="28"/>
          <w:szCs w:val="28"/>
          <w:highlight w:val="yellow"/>
          <w:lang w:eastAsia="ja-JP"/>
        </w:rPr>
      </w:pPr>
      <w:r w:rsidRPr="0068508D">
        <w:rPr>
          <w:rFonts w:ascii="Times New Roman" w:eastAsia="MS Mincho" w:hAnsi="Times New Roman" w:cs="Times New Roman"/>
          <w:i/>
          <w:sz w:val="28"/>
          <w:szCs w:val="28"/>
          <w:lang w:eastAsia="ja-JP"/>
        </w:rPr>
        <w:t xml:space="preserve">Analiza efectuată privind </w:t>
      </w:r>
      <w:r w:rsidR="0068508D">
        <w:rPr>
          <w:rFonts w:ascii="Times New Roman" w:eastAsia="MS Mincho" w:hAnsi="Times New Roman" w:cs="Times New Roman"/>
          <w:i/>
          <w:sz w:val="28"/>
          <w:szCs w:val="28"/>
          <w:lang w:eastAsia="ja-JP"/>
        </w:rPr>
        <w:t>sinteza executării</w:t>
      </w:r>
      <w:r w:rsidRPr="0068508D">
        <w:rPr>
          <w:rFonts w:ascii="Times New Roman" w:eastAsia="MS Mincho" w:hAnsi="Times New Roman" w:cs="Times New Roman"/>
          <w:i/>
          <w:sz w:val="28"/>
          <w:szCs w:val="28"/>
          <w:lang w:eastAsia="ja-JP"/>
        </w:rPr>
        <w:t xml:space="preserve"> transferurilor </w:t>
      </w:r>
      <w:r w:rsidR="0068508D">
        <w:rPr>
          <w:rFonts w:ascii="Times New Roman" w:eastAsia="MS Mincho" w:hAnsi="Times New Roman" w:cs="Times New Roman"/>
          <w:i/>
          <w:sz w:val="28"/>
          <w:szCs w:val="28"/>
          <w:lang w:eastAsia="ja-JP"/>
        </w:rPr>
        <w:t xml:space="preserve">de la bugetul de stat </w:t>
      </w:r>
      <w:r w:rsidRPr="0068508D">
        <w:rPr>
          <w:rFonts w:ascii="Times New Roman" w:eastAsia="MS Mincho" w:hAnsi="Times New Roman" w:cs="Times New Roman"/>
          <w:i/>
          <w:sz w:val="28"/>
          <w:szCs w:val="28"/>
          <w:lang w:eastAsia="ja-JP"/>
        </w:rPr>
        <w:t>către BUAT în anul 2017 se prezintă în</w:t>
      </w:r>
      <w:r>
        <w:rPr>
          <w:rFonts w:ascii="Times New Roman" w:eastAsia="MS Mincho" w:hAnsi="Times New Roman" w:cs="Times New Roman"/>
          <w:sz w:val="28"/>
          <w:szCs w:val="28"/>
          <w:lang w:eastAsia="ja-JP"/>
        </w:rPr>
        <w:t xml:space="preserve"> </w:t>
      </w:r>
      <w:r w:rsidRPr="007E2376">
        <w:rPr>
          <w:rFonts w:ascii="Times New Roman" w:eastAsia="MS Mincho" w:hAnsi="Times New Roman" w:cs="Times New Roman"/>
          <w:i/>
          <w:sz w:val="28"/>
          <w:szCs w:val="28"/>
          <w:lang w:eastAsia="ja-JP"/>
        </w:rPr>
        <w:t>Tabelul nr.7.</w:t>
      </w:r>
    </w:p>
    <w:p w:rsidR="0076727A" w:rsidRPr="00C53DF0" w:rsidRDefault="0076727A" w:rsidP="004425C9">
      <w:pPr>
        <w:spacing w:after="0" w:line="276" w:lineRule="auto"/>
        <w:jc w:val="right"/>
        <w:rPr>
          <w:rFonts w:ascii="Times New Roman" w:eastAsia="MS Mincho" w:hAnsi="Times New Roman" w:cs="Times New Roman"/>
          <w:i/>
          <w:sz w:val="28"/>
          <w:szCs w:val="28"/>
          <w:lang w:eastAsia="ja-JP"/>
        </w:rPr>
      </w:pPr>
      <w:r w:rsidRPr="00C53DF0">
        <w:rPr>
          <w:rFonts w:ascii="Times New Roman" w:eastAsia="MS Mincho" w:hAnsi="Times New Roman" w:cs="Times New Roman"/>
          <w:i/>
          <w:sz w:val="28"/>
          <w:szCs w:val="28"/>
          <w:lang w:eastAsia="ja-JP"/>
        </w:rPr>
        <w:t>Tabelul nr.</w:t>
      </w:r>
      <w:r w:rsidR="007E2376">
        <w:rPr>
          <w:rFonts w:ascii="Times New Roman" w:eastAsia="MS Mincho" w:hAnsi="Times New Roman" w:cs="Times New Roman"/>
          <w:i/>
          <w:sz w:val="28"/>
          <w:szCs w:val="28"/>
          <w:lang w:eastAsia="ja-JP"/>
        </w:rPr>
        <w:t>7</w:t>
      </w:r>
      <w:r w:rsidRPr="00C53DF0">
        <w:rPr>
          <w:rFonts w:ascii="Times New Roman" w:eastAsia="MS Mincho" w:hAnsi="Times New Roman" w:cs="Times New Roman"/>
          <w:i/>
          <w:sz w:val="28"/>
          <w:szCs w:val="28"/>
          <w:lang w:eastAsia="ja-JP"/>
        </w:rPr>
        <w:t xml:space="preserve"> </w:t>
      </w:r>
    </w:p>
    <w:p w:rsidR="0076727A" w:rsidRDefault="0076727A" w:rsidP="0076727A">
      <w:pPr>
        <w:spacing w:after="0" w:line="276" w:lineRule="auto"/>
        <w:ind w:right="-91"/>
        <w:jc w:val="center"/>
        <w:rPr>
          <w:rFonts w:ascii="Times New Roman" w:eastAsia="MS Mincho" w:hAnsi="Times New Roman" w:cs="Times New Roman"/>
          <w:b/>
          <w:sz w:val="24"/>
          <w:szCs w:val="28"/>
          <w:lang w:eastAsia="ja-JP"/>
        </w:rPr>
      </w:pPr>
      <w:r w:rsidRPr="00C53DF0">
        <w:rPr>
          <w:rFonts w:ascii="Times New Roman" w:eastAsia="MS Mincho" w:hAnsi="Times New Roman" w:cs="Times New Roman"/>
          <w:b/>
          <w:sz w:val="24"/>
          <w:szCs w:val="28"/>
          <w:lang w:eastAsia="ja-JP"/>
        </w:rPr>
        <w:t xml:space="preserve">Sinteza executării transferurilor </w:t>
      </w:r>
      <w:r w:rsidR="00AD6168">
        <w:rPr>
          <w:rFonts w:ascii="Times New Roman" w:eastAsia="MS Mincho" w:hAnsi="Times New Roman" w:cs="Times New Roman"/>
          <w:b/>
          <w:sz w:val="24"/>
          <w:szCs w:val="28"/>
          <w:lang w:eastAsia="ja-JP"/>
        </w:rPr>
        <w:t xml:space="preserve">de la bugetul de stat </w:t>
      </w:r>
      <w:r w:rsidRPr="00C53DF0">
        <w:rPr>
          <w:rFonts w:ascii="Times New Roman" w:eastAsia="MS Mincho" w:hAnsi="Times New Roman" w:cs="Times New Roman"/>
          <w:b/>
          <w:sz w:val="24"/>
          <w:szCs w:val="28"/>
          <w:lang w:eastAsia="ja-JP"/>
        </w:rPr>
        <w:t xml:space="preserve">către </w:t>
      </w:r>
      <w:r w:rsidR="0068508D">
        <w:rPr>
          <w:rFonts w:ascii="Times New Roman" w:eastAsia="MS Mincho" w:hAnsi="Times New Roman" w:cs="Times New Roman"/>
          <w:b/>
          <w:sz w:val="24"/>
          <w:szCs w:val="28"/>
          <w:lang w:eastAsia="ja-JP"/>
        </w:rPr>
        <w:t>BUAT</w:t>
      </w:r>
      <w:r w:rsidR="005623B3">
        <w:rPr>
          <w:rFonts w:ascii="Times New Roman" w:eastAsia="MS Mincho" w:hAnsi="Times New Roman" w:cs="Times New Roman"/>
          <w:b/>
          <w:sz w:val="24"/>
          <w:szCs w:val="28"/>
          <w:lang w:eastAsia="ja-JP"/>
        </w:rPr>
        <w:t xml:space="preserve"> pe anul 2017</w:t>
      </w:r>
    </w:p>
    <w:p w:rsidR="0076727A" w:rsidRPr="001E2080" w:rsidRDefault="0076727A" w:rsidP="004425C9">
      <w:pPr>
        <w:spacing w:after="0" w:line="276" w:lineRule="auto"/>
        <w:jc w:val="right"/>
        <w:rPr>
          <w:rFonts w:ascii="Times New Roman" w:eastAsia="MS Mincho" w:hAnsi="Times New Roman" w:cs="Times New Roman"/>
          <w:i/>
          <w:sz w:val="28"/>
          <w:szCs w:val="28"/>
          <w:lang w:eastAsia="ja-JP"/>
        </w:rPr>
      </w:pPr>
      <w:r>
        <w:rPr>
          <w:rFonts w:ascii="Times New Roman" w:eastAsia="MS Mincho" w:hAnsi="Times New Roman" w:cs="Times New Roman"/>
          <w:sz w:val="28"/>
          <w:szCs w:val="28"/>
          <w:lang w:eastAsia="ja-JP"/>
        </w:rPr>
        <w:t xml:space="preserve"> </w:t>
      </w:r>
      <w:r w:rsidRPr="004C49CA">
        <w:rPr>
          <w:rFonts w:ascii="Times New Roman" w:eastAsia="MS Mincho" w:hAnsi="Times New Roman" w:cs="Times New Roman"/>
          <w:i/>
          <w:sz w:val="24"/>
          <w:szCs w:val="28"/>
          <w:lang w:eastAsia="ja-JP"/>
        </w:rPr>
        <w:t>(mi</w:t>
      </w:r>
      <w:r w:rsidR="001E2080" w:rsidRPr="004C49CA">
        <w:rPr>
          <w:rFonts w:ascii="Times New Roman" w:eastAsia="MS Mincho" w:hAnsi="Times New Roman" w:cs="Times New Roman"/>
          <w:i/>
          <w:sz w:val="24"/>
          <w:szCs w:val="28"/>
          <w:lang w:eastAsia="ja-JP"/>
        </w:rPr>
        <w:t>l</w:t>
      </w:r>
      <w:r w:rsidRPr="004C49CA">
        <w:rPr>
          <w:rFonts w:ascii="Times New Roman" w:eastAsia="MS Mincho" w:hAnsi="Times New Roman" w:cs="Times New Roman"/>
          <w:i/>
          <w:sz w:val="24"/>
          <w:szCs w:val="28"/>
          <w:lang w:eastAsia="ja-JP"/>
        </w:rPr>
        <w:t>.lei)</w:t>
      </w:r>
    </w:p>
    <w:tbl>
      <w:tblPr>
        <w:tblStyle w:val="ListTable4-Accent51"/>
        <w:tblW w:w="9634" w:type="dxa"/>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ayout w:type="fixed"/>
        <w:tblLook w:val="04A0" w:firstRow="1" w:lastRow="0" w:firstColumn="1" w:lastColumn="0" w:noHBand="0" w:noVBand="1"/>
      </w:tblPr>
      <w:tblGrid>
        <w:gridCol w:w="2547"/>
        <w:gridCol w:w="993"/>
        <w:gridCol w:w="992"/>
        <w:gridCol w:w="992"/>
        <w:gridCol w:w="992"/>
        <w:gridCol w:w="992"/>
        <w:gridCol w:w="992"/>
        <w:gridCol w:w="1134"/>
      </w:tblGrid>
      <w:tr w:rsidR="001E2080" w:rsidTr="00A149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Merge w:val="restart"/>
            <w:tcBorders>
              <w:top w:val="none" w:sz="0" w:space="0" w:color="auto"/>
              <w:left w:val="none" w:sz="0" w:space="0" w:color="auto"/>
              <w:bottom w:val="none" w:sz="0" w:space="0" w:color="auto"/>
            </w:tcBorders>
            <w:shd w:val="clear" w:color="auto" w:fill="1F4E79" w:themeFill="accent1" w:themeFillShade="80"/>
            <w:vAlign w:val="center"/>
          </w:tcPr>
          <w:p w:rsidR="001E2080" w:rsidRPr="00A1490B" w:rsidRDefault="001E2080" w:rsidP="00FE1897">
            <w:pPr>
              <w:spacing w:after="160" w:line="256" w:lineRule="auto"/>
              <w:ind w:right="-93"/>
              <w:jc w:val="center"/>
              <w:rPr>
                <w:rFonts w:ascii="Times New Roman" w:eastAsia="MS Mincho" w:hAnsi="Times New Roman" w:cs="Times New Roman"/>
                <w:sz w:val="24"/>
              </w:rPr>
            </w:pPr>
            <w:r w:rsidRPr="00A1490B">
              <w:rPr>
                <w:rFonts w:ascii="Times New Roman" w:eastAsia="MS Mincho" w:hAnsi="Times New Roman" w:cs="Times New Roman"/>
                <w:sz w:val="24"/>
              </w:rPr>
              <w:t>Indicatori</w:t>
            </w:r>
          </w:p>
        </w:tc>
        <w:tc>
          <w:tcPr>
            <w:tcW w:w="993" w:type="dxa"/>
            <w:vMerge w:val="restart"/>
            <w:tcBorders>
              <w:top w:val="none" w:sz="0" w:space="0" w:color="auto"/>
              <w:bottom w:val="none" w:sz="0" w:space="0" w:color="auto"/>
            </w:tcBorders>
            <w:shd w:val="clear" w:color="auto" w:fill="1F4E79" w:themeFill="accent1" w:themeFillShade="80"/>
            <w:vAlign w:val="center"/>
          </w:tcPr>
          <w:p w:rsidR="001E2080" w:rsidRPr="00A1490B" w:rsidRDefault="001E2080" w:rsidP="00FE1897">
            <w:pPr>
              <w:spacing w:after="160" w:line="256" w:lineRule="auto"/>
              <w:ind w:right="-93"/>
              <w:jc w:val="center"/>
              <w:cnfStyle w:val="100000000000" w:firstRow="1" w:lastRow="0" w:firstColumn="0" w:lastColumn="0" w:oddVBand="0" w:evenVBand="0" w:oddHBand="0" w:evenHBand="0" w:firstRowFirstColumn="0" w:firstRowLastColumn="0" w:lastRowFirstColumn="0" w:lastRowLastColumn="0"/>
              <w:rPr>
                <w:rFonts w:ascii="Times New Roman" w:eastAsia="MS Mincho" w:hAnsi="Times New Roman" w:cs="Times New Roman"/>
                <w:sz w:val="24"/>
              </w:rPr>
            </w:pPr>
            <w:r w:rsidRPr="00A1490B">
              <w:rPr>
                <w:rFonts w:ascii="Times New Roman" w:eastAsia="MS Mincho" w:hAnsi="Times New Roman" w:cs="Times New Roman"/>
                <w:sz w:val="24"/>
              </w:rPr>
              <w:t>Aprobat pe an</w:t>
            </w:r>
          </w:p>
        </w:tc>
        <w:tc>
          <w:tcPr>
            <w:tcW w:w="992" w:type="dxa"/>
            <w:vMerge w:val="restart"/>
            <w:tcBorders>
              <w:top w:val="none" w:sz="0" w:space="0" w:color="auto"/>
              <w:bottom w:val="none" w:sz="0" w:space="0" w:color="auto"/>
            </w:tcBorders>
            <w:shd w:val="clear" w:color="auto" w:fill="1F4E79" w:themeFill="accent1" w:themeFillShade="80"/>
            <w:vAlign w:val="center"/>
          </w:tcPr>
          <w:p w:rsidR="001E2080" w:rsidRPr="00A1490B" w:rsidRDefault="001E2080" w:rsidP="00FE1897">
            <w:pPr>
              <w:spacing w:after="160" w:line="256" w:lineRule="auto"/>
              <w:ind w:right="-93"/>
              <w:jc w:val="center"/>
              <w:cnfStyle w:val="100000000000" w:firstRow="1" w:lastRow="0" w:firstColumn="0" w:lastColumn="0" w:oddVBand="0" w:evenVBand="0" w:oddHBand="0" w:evenHBand="0" w:firstRowFirstColumn="0" w:firstRowLastColumn="0" w:lastRowFirstColumn="0" w:lastRowLastColumn="0"/>
              <w:rPr>
                <w:rFonts w:ascii="Times New Roman" w:eastAsia="MS Mincho" w:hAnsi="Times New Roman" w:cs="Times New Roman"/>
                <w:sz w:val="24"/>
              </w:rPr>
            </w:pPr>
            <w:r w:rsidRPr="00A1490B">
              <w:rPr>
                <w:rFonts w:ascii="Times New Roman" w:eastAsia="MS Mincho" w:hAnsi="Times New Roman" w:cs="Times New Roman"/>
                <w:sz w:val="24"/>
              </w:rPr>
              <w:t>Precizat pe an</w:t>
            </w:r>
          </w:p>
        </w:tc>
        <w:tc>
          <w:tcPr>
            <w:tcW w:w="1984" w:type="dxa"/>
            <w:gridSpan w:val="2"/>
            <w:tcBorders>
              <w:top w:val="none" w:sz="0" w:space="0" w:color="auto"/>
              <w:bottom w:val="none" w:sz="0" w:space="0" w:color="auto"/>
            </w:tcBorders>
            <w:shd w:val="clear" w:color="auto" w:fill="1F4E79" w:themeFill="accent1" w:themeFillShade="80"/>
            <w:vAlign w:val="center"/>
          </w:tcPr>
          <w:p w:rsidR="001E2080" w:rsidRPr="00A1490B" w:rsidRDefault="001E2080" w:rsidP="00FE1897">
            <w:pPr>
              <w:ind w:left="-102" w:right="-103"/>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1490B">
              <w:rPr>
                <w:rFonts w:ascii="Times New Roman" w:eastAsia="Times New Roman" w:hAnsi="Times New Roman" w:cs="Times New Roman"/>
                <w:sz w:val="24"/>
                <w:szCs w:val="24"/>
                <w:lang w:eastAsia="ru-RU"/>
              </w:rPr>
              <w:t>Precizat pe an față de aprobat pe an</w:t>
            </w:r>
          </w:p>
        </w:tc>
        <w:tc>
          <w:tcPr>
            <w:tcW w:w="992" w:type="dxa"/>
            <w:vMerge w:val="restart"/>
            <w:tcBorders>
              <w:top w:val="none" w:sz="0" w:space="0" w:color="auto"/>
              <w:bottom w:val="none" w:sz="0" w:space="0" w:color="auto"/>
            </w:tcBorders>
            <w:shd w:val="clear" w:color="auto" w:fill="1F4E79" w:themeFill="accent1" w:themeFillShade="80"/>
            <w:vAlign w:val="center"/>
          </w:tcPr>
          <w:p w:rsidR="001E2080" w:rsidRPr="00A1490B" w:rsidRDefault="001E2080" w:rsidP="00FE1897">
            <w:pPr>
              <w:ind w:left="-115" w:right="-102"/>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1490B">
              <w:rPr>
                <w:rFonts w:ascii="Times New Roman" w:eastAsia="Times New Roman" w:hAnsi="Times New Roman" w:cs="Times New Roman"/>
                <w:sz w:val="24"/>
                <w:szCs w:val="24"/>
                <w:lang w:eastAsia="ru-RU"/>
              </w:rPr>
              <w:t>Executat</w:t>
            </w:r>
          </w:p>
        </w:tc>
        <w:tc>
          <w:tcPr>
            <w:tcW w:w="2126" w:type="dxa"/>
            <w:gridSpan w:val="2"/>
            <w:tcBorders>
              <w:top w:val="none" w:sz="0" w:space="0" w:color="auto"/>
              <w:bottom w:val="none" w:sz="0" w:space="0" w:color="auto"/>
              <w:right w:val="none" w:sz="0" w:space="0" w:color="auto"/>
            </w:tcBorders>
            <w:shd w:val="clear" w:color="auto" w:fill="1F4E79" w:themeFill="accent1" w:themeFillShade="80"/>
            <w:vAlign w:val="center"/>
          </w:tcPr>
          <w:p w:rsidR="001E2080" w:rsidRPr="00A1490B" w:rsidRDefault="001E2080" w:rsidP="00FE1897">
            <w:pPr>
              <w:spacing w:line="256" w:lineRule="auto"/>
              <w:ind w:right="-93"/>
              <w:jc w:val="center"/>
              <w:cnfStyle w:val="100000000000" w:firstRow="1" w:lastRow="0" w:firstColumn="0" w:lastColumn="0" w:oddVBand="0" w:evenVBand="0" w:oddHBand="0" w:evenHBand="0" w:firstRowFirstColumn="0" w:firstRowLastColumn="0" w:lastRowFirstColumn="0" w:lastRowLastColumn="0"/>
              <w:rPr>
                <w:rFonts w:ascii="Times New Roman" w:eastAsia="MS Mincho" w:hAnsi="Times New Roman" w:cs="Times New Roman"/>
                <w:sz w:val="24"/>
                <w:szCs w:val="24"/>
              </w:rPr>
            </w:pPr>
            <w:r w:rsidRPr="00A1490B">
              <w:rPr>
                <w:rFonts w:ascii="Times New Roman" w:eastAsia="MS Mincho" w:hAnsi="Times New Roman" w:cs="Times New Roman"/>
                <w:sz w:val="24"/>
                <w:szCs w:val="24"/>
              </w:rPr>
              <w:t>Executat față</w:t>
            </w:r>
          </w:p>
          <w:p w:rsidR="001E2080" w:rsidRPr="00A1490B" w:rsidRDefault="001E2080" w:rsidP="00FE1897">
            <w:pPr>
              <w:spacing w:line="256" w:lineRule="auto"/>
              <w:ind w:right="-93"/>
              <w:jc w:val="center"/>
              <w:cnfStyle w:val="100000000000" w:firstRow="1" w:lastRow="0" w:firstColumn="0" w:lastColumn="0" w:oddVBand="0" w:evenVBand="0" w:oddHBand="0" w:evenHBand="0" w:firstRowFirstColumn="0" w:firstRowLastColumn="0" w:lastRowFirstColumn="0" w:lastRowLastColumn="0"/>
              <w:rPr>
                <w:rFonts w:ascii="Times New Roman" w:eastAsia="MS Mincho" w:hAnsi="Times New Roman" w:cs="Times New Roman"/>
                <w:sz w:val="24"/>
                <w:szCs w:val="24"/>
              </w:rPr>
            </w:pPr>
            <w:r w:rsidRPr="00A1490B">
              <w:rPr>
                <w:rFonts w:ascii="Times New Roman" w:eastAsia="MS Mincho" w:hAnsi="Times New Roman" w:cs="Times New Roman"/>
                <w:sz w:val="24"/>
                <w:szCs w:val="24"/>
              </w:rPr>
              <w:t>de precizat pe an</w:t>
            </w:r>
          </w:p>
        </w:tc>
      </w:tr>
      <w:tr w:rsidR="00A1490B" w:rsidTr="00A149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Merge/>
            <w:shd w:val="clear" w:color="auto" w:fill="1F4E79" w:themeFill="accent1" w:themeFillShade="80"/>
            <w:vAlign w:val="center"/>
          </w:tcPr>
          <w:p w:rsidR="001E2080" w:rsidRPr="00A1490B" w:rsidRDefault="001E2080" w:rsidP="00FE1897">
            <w:pPr>
              <w:spacing w:after="160" w:line="256" w:lineRule="auto"/>
              <w:ind w:right="-93"/>
              <w:jc w:val="center"/>
              <w:rPr>
                <w:rFonts w:ascii="Times New Roman" w:eastAsia="MS Mincho" w:hAnsi="Times New Roman" w:cs="Times New Roman"/>
                <w:color w:val="FFFFFF" w:themeColor="background1"/>
              </w:rPr>
            </w:pPr>
          </w:p>
        </w:tc>
        <w:tc>
          <w:tcPr>
            <w:tcW w:w="993" w:type="dxa"/>
            <w:vMerge/>
            <w:shd w:val="clear" w:color="auto" w:fill="1F4E79" w:themeFill="accent1" w:themeFillShade="80"/>
            <w:vAlign w:val="center"/>
          </w:tcPr>
          <w:p w:rsidR="001E2080" w:rsidRPr="00A1490B" w:rsidRDefault="001E2080" w:rsidP="00FE1897">
            <w:pPr>
              <w:spacing w:after="160" w:line="256" w:lineRule="auto"/>
              <w:ind w:right="-93"/>
              <w:jc w:val="cente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b/>
                <w:color w:val="FFFFFF" w:themeColor="background1"/>
              </w:rPr>
            </w:pPr>
          </w:p>
        </w:tc>
        <w:tc>
          <w:tcPr>
            <w:tcW w:w="992" w:type="dxa"/>
            <w:vMerge/>
            <w:shd w:val="clear" w:color="auto" w:fill="1F4E79" w:themeFill="accent1" w:themeFillShade="80"/>
            <w:vAlign w:val="center"/>
          </w:tcPr>
          <w:p w:rsidR="001E2080" w:rsidRPr="00A1490B" w:rsidRDefault="001E2080" w:rsidP="00FE1897">
            <w:pPr>
              <w:spacing w:after="160" w:line="256" w:lineRule="auto"/>
              <w:ind w:right="-93"/>
              <w:jc w:val="cente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b/>
                <w:color w:val="FFFFFF" w:themeColor="background1"/>
              </w:rPr>
            </w:pPr>
          </w:p>
        </w:tc>
        <w:tc>
          <w:tcPr>
            <w:tcW w:w="992" w:type="dxa"/>
            <w:shd w:val="clear" w:color="auto" w:fill="1F4E79" w:themeFill="accent1" w:themeFillShade="80"/>
            <w:vAlign w:val="center"/>
          </w:tcPr>
          <w:p w:rsidR="001E2080" w:rsidRPr="00A1490B" w:rsidRDefault="00764D6E" w:rsidP="00FE1897">
            <w:pPr>
              <w:ind w:left="-113" w:right="29"/>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24"/>
                <w:szCs w:val="24"/>
                <w:lang w:eastAsia="ru-RU"/>
              </w:rPr>
            </w:pPr>
            <w:r>
              <w:rPr>
                <w:rFonts w:ascii="Times New Roman" w:eastAsia="Times New Roman" w:hAnsi="Times New Roman" w:cs="Times New Roman"/>
                <w:b/>
                <w:color w:val="FFFFFF" w:themeColor="background1"/>
                <w:sz w:val="24"/>
                <w:szCs w:val="24"/>
                <w:lang w:eastAsia="ru-RU"/>
              </w:rPr>
              <w:t>d</w:t>
            </w:r>
            <w:r w:rsidR="001E2080" w:rsidRPr="00A1490B">
              <w:rPr>
                <w:rFonts w:ascii="Times New Roman" w:eastAsia="Times New Roman" w:hAnsi="Times New Roman" w:cs="Times New Roman"/>
                <w:b/>
                <w:color w:val="FFFFFF" w:themeColor="background1"/>
                <w:sz w:val="24"/>
                <w:szCs w:val="24"/>
                <w:lang w:eastAsia="ru-RU"/>
              </w:rPr>
              <w:t>evieri (+/-)</w:t>
            </w:r>
          </w:p>
        </w:tc>
        <w:tc>
          <w:tcPr>
            <w:tcW w:w="992" w:type="dxa"/>
            <w:shd w:val="clear" w:color="auto" w:fill="1F4E79" w:themeFill="accent1" w:themeFillShade="80"/>
            <w:vAlign w:val="center"/>
          </w:tcPr>
          <w:p w:rsidR="001E2080" w:rsidRPr="00A1490B" w:rsidRDefault="004A6A6E" w:rsidP="00FE1897">
            <w:pPr>
              <w:ind w:left="-113" w:right="29"/>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24"/>
                <w:szCs w:val="24"/>
                <w:lang w:eastAsia="ru-RU"/>
              </w:rPr>
            </w:pPr>
            <w:r>
              <w:rPr>
                <w:rFonts w:ascii="Times New Roman" w:eastAsia="Times New Roman" w:hAnsi="Times New Roman" w:cs="Times New Roman"/>
                <w:b/>
                <w:color w:val="FFFFFF" w:themeColor="background1"/>
                <w:sz w:val="24"/>
                <w:szCs w:val="24"/>
                <w:lang w:eastAsia="ru-RU"/>
              </w:rPr>
              <w:t>%</w:t>
            </w:r>
          </w:p>
        </w:tc>
        <w:tc>
          <w:tcPr>
            <w:tcW w:w="992" w:type="dxa"/>
            <w:vMerge/>
            <w:shd w:val="clear" w:color="auto" w:fill="1F4E79" w:themeFill="accent1" w:themeFillShade="80"/>
            <w:vAlign w:val="center"/>
          </w:tcPr>
          <w:p w:rsidR="001E2080" w:rsidRPr="00A1490B" w:rsidRDefault="001E2080" w:rsidP="00FE1897">
            <w:pPr>
              <w:spacing w:after="160" w:line="256" w:lineRule="auto"/>
              <w:ind w:right="-93"/>
              <w:jc w:val="cente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b/>
                <w:color w:val="FFFFFF" w:themeColor="background1"/>
                <w:sz w:val="24"/>
                <w:szCs w:val="24"/>
              </w:rPr>
            </w:pPr>
          </w:p>
        </w:tc>
        <w:tc>
          <w:tcPr>
            <w:tcW w:w="992" w:type="dxa"/>
            <w:shd w:val="clear" w:color="auto" w:fill="1F4E79" w:themeFill="accent1" w:themeFillShade="80"/>
            <w:vAlign w:val="center"/>
          </w:tcPr>
          <w:p w:rsidR="001E2080" w:rsidRPr="00A1490B" w:rsidRDefault="00764D6E" w:rsidP="00FE1897">
            <w:pPr>
              <w:ind w:left="-113" w:right="29"/>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24"/>
                <w:szCs w:val="24"/>
                <w:lang w:eastAsia="ru-RU"/>
              </w:rPr>
            </w:pPr>
            <w:r>
              <w:rPr>
                <w:rFonts w:ascii="Times New Roman" w:eastAsia="Times New Roman" w:hAnsi="Times New Roman" w:cs="Times New Roman"/>
                <w:b/>
                <w:color w:val="FFFFFF" w:themeColor="background1"/>
                <w:sz w:val="24"/>
                <w:szCs w:val="24"/>
                <w:lang w:eastAsia="ru-RU"/>
              </w:rPr>
              <w:t>d</w:t>
            </w:r>
            <w:r w:rsidR="001E2080" w:rsidRPr="00A1490B">
              <w:rPr>
                <w:rFonts w:ascii="Times New Roman" w:eastAsia="Times New Roman" w:hAnsi="Times New Roman" w:cs="Times New Roman"/>
                <w:b/>
                <w:color w:val="FFFFFF" w:themeColor="background1"/>
                <w:sz w:val="24"/>
                <w:szCs w:val="24"/>
                <w:lang w:eastAsia="ru-RU"/>
              </w:rPr>
              <w:t>evieri (+/-)</w:t>
            </w:r>
          </w:p>
        </w:tc>
        <w:tc>
          <w:tcPr>
            <w:tcW w:w="1134" w:type="dxa"/>
            <w:shd w:val="clear" w:color="auto" w:fill="1F4E79" w:themeFill="accent1" w:themeFillShade="80"/>
            <w:vAlign w:val="center"/>
          </w:tcPr>
          <w:p w:rsidR="001E2080" w:rsidRPr="00A1490B" w:rsidRDefault="004A6A6E" w:rsidP="00FE1897">
            <w:pPr>
              <w:ind w:left="-113" w:right="29"/>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24"/>
                <w:szCs w:val="24"/>
                <w:lang w:eastAsia="ru-RU"/>
              </w:rPr>
            </w:pPr>
            <w:r>
              <w:rPr>
                <w:rFonts w:ascii="Times New Roman" w:eastAsia="Times New Roman" w:hAnsi="Times New Roman" w:cs="Times New Roman"/>
                <w:b/>
                <w:color w:val="FFFFFF" w:themeColor="background1"/>
                <w:sz w:val="24"/>
                <w:szCs w:val="24"/>
                <w:lang w:eastAsia="ru-RU"/>
              </w:rPr>
              <w:t>%</w:t>
            </w:r>
          </w:p>
        </w:tc>
      </w:tr>
      <w:tr w:rsidR="001E2080" w:rsidTr="00A1490B">
        <w:tc>
          <w:tcPr>
            <w:cnfStyle w:val="001000000000" w:firstRow="0" w:lastRow="0" w:firstColumn="1" w:lastColumn="0" w:oddVBand="0" w:evenVBand="0" w:oddHBand="0" w:evenHBand="0" w:firstRowFirstColumn="0" w:firstRowLastColumn="0" w:lastRowFirstColumn="0" w:lastRowLastColumn="0"/>
            <w:tcW w:w="2547" w:type="dxa"/>
          </w:tcPr>
          <w:p w:rsidR="001E2080" w:rsidRPr="00B57BEB" w:rsidRDefault="001E2080" w:rsidP="00BA4FED">
            <w:pPr>
              <w:spacing w:line="257" w:lineRule="auto"/>
              <w:ind w:right="-91"/>
              <w:jc w:val="center"/>
              <w:rPr>
                <w:rFonts w:ascii="Times New Roman" w:eastAsia="MS Mincho" w:hAnsi="Times New Roman" w:cs="Times New Roman"/>
                <w:i/>
                <w:sz w:val="20"/>
                <w:szCs w:val="20"/>
              </w:rPr>
            </w:pPr>
            <w:r w:rsidRPr="005329C4">
              <w:rPr>
                <w:rFonts w:ascii="Times New Roman" w:eastAsia="MS Mincho" w:hAnsi="Times New Roman" w:cs="Times New Roman"/>
                <w:i/>
                <w:sz w:val="20"/>
                <w:szCs w:val="20"/>
              </w:rPr>
              <w:t>1</w:t>
            </w:r>
          </w:p>
        </w:tc>
        <w:tc>
          <w:tcPr>
            <w:tcW w:w="993" w:type="dxa"/>
          </w:tcPr>
          <w:p w:rsidR="001E2080" w:rsidRPr="001E2080" w:rsidRDefault="001E2080" w:rsidP="00FE1897">
            <w:pPr>
              <w:spacing w:line="256" w:lineRule="auto"/>
              <w:ind w:right="-93"/>
              <w:jc w:val="center"/>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b/>
                <w:i/>
                <w:sz w:val="20"/>
                <w:szCs w:val="20"/>
              </w:rPr>
            </w:pPr>
            <w:r w:rsidRPr="001E2080">
              <w:rPr>
                <w:rFonts w:ascii="Times New Roman" w:eastAsia="MS Mincho" w:hAnsi="Times New Roman" w:cs="Times New Roman"/>
                <w:b/>
                <w:i/>
                <w:sz w:val="20"/>
                <w:szCs w:val="20"/>
              </w:rPr>
              <w:t>2</w:t>
            </w:r>
          </w:p>
        </w:tc>
        <w:tc>
          <w:tcPr>
            <w:tcW w:w="992" w:type="dxa"/>
          </w:tcPr>
          <w:p w:rsidR="001E2080" w:rsidRPr="001E2080" w:rsidRDefault="001E2080" w:rsidP="00FE1897">
            <w:pPr>
              <w:spacing w:line="256" w:lineRule="auto"/>
              <w:ind w:right="-93"/>
              <w:jc w:val="center"/>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b/>
                <w:i/>
                <w:sz w:val="20"/>
                <w:szCs w:val="20"/>
              </w:rPr>
            </w:pPr>
            <w:r w:rsidRPr="001E2080">
              <w:rPr>
                <w:rFonts w:ascii="Times New Roman" w:eastAsia="MS Mincho" w:hAnsi="Times New Roman" w:cs="Times New Roman"/>
                <w:b/>
                <w:i/>
                <w:sz w:val="20"/>
                <w:szCs w:val="20"/>
              </w:rPr>
              <w:t>3</w:t>
            </w:r>
          </w:p>
        </w:tc>
        <w:tc>
          <w:tcPr>
            <w:tcW w:w="992" w:type="dxa"/>
          </w:tcPr>
          <w:p w:rsidR="001E2080" w:rsidRPr="001E2080" w:rsidRDefault="001E2080" w:rsidP="00FE1897">
            <w:pPr>
              <w:spacing w:line="256" w:lineRule="auto"/>
              <w:ind w:right="-93"/>
              <w:jc w:val="center"/>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b/>
                <w:i/>
                <w:sz w:val="20"/>
                <w:szCs w:val="20"/>
              </w:rPr>
            </w:pPr>
            <w:r w:rsidRPr="001E2080">
              <w:rPr>
                <w:rFonts w:ascii="Times New Roman" w:eastAsia="MS Mincho" w:hAnsi="Times New Roman" w:cs="Times New Roman"/>
                <w:b/>
                <w:i/>
                <w:sz w:val="20"/>
                <w:szCs w:val="20"/>
              </w:rPr>
              <w:t>4=3-2</w:t>
            </w:r>
          </w:p>
        </w:tc>
        <w:tc>
          <w:tcPr>
            <w:tcW w:w="992" w:type="dxa"/>
          </w:tcPr>
          <w:p w:rsidR="001E2080" w:rsidRPr="001E2080" w:rsidRDefault="001E2080" w:rsidP="00FE1897">
            <w:pPr>
              <w:spacing w:line="256" w:lineRule="auto"/>
              <w:ind w:left="-102" w:right="-93"/>
              <w:jc w:val="center"/>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b/>
                <w:i/>
                <w:sz w:val="20"/>
                <w:szCs w:val="20"/>
              </w:rPr>
            </w:pPr>
            <w:r w:rsidRPr="001E2080">
              <w:rPr>
                <w:rFonts w:ascii="Times New Roman" w:eastAsia="MS Mincho" w:hAnsi="Times New Roman" w:cs="Times New Roman"/>
                <w:b/>
                <w:i/>
                <w:sz w:val="20"/>
                <w:szCs w:val="20"/>
              </w:rPr>
              <w:t>4=3/2*100</w:t>
            </w:r>
          </w:p>
        </w:tc>
        <w:tc>
          <w:tcPr>
            <w:tcW w:w="992" w:type="dxa"/>
          </w:tcPr>
          <w:p w:rsidR="001E2080" w:rsidRPr="001E2080" w:rsidRDefault="001E2080" w:rsidP="00FE1897">
            <w:pPr>
              <w:spacing w:line="256" w:lineRule="auto"/>
              <w:ind w:left="-115" w:right="-93"/>
              <w:jc w:val="center"/>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b/>
                <w:i/>
                <w:sz w:val="20"/>
                <w:szCs w:val="20"/>
              </w:rPr>
            </w:pPr>
            <w:r w:rsidRPr="001E2080">
              <w:rPr>
                <w:rFonts w:ascii="Times New Roman" w:eastAsia="MS Mincho" w:hAnsi="Times New Roman" w:cs="Times New Roman"/>
                <w:b/>
                <w:i/>
                <w:sz w:val="20"/>
                <w:szCs w:val="20"/>
              </w:rPr>
              <w:t>5</w:t>
            </w:r>
          </w:p>
        </w:tc>
        <w:tc>
          <w:tcPr>
            <w:tcW w:w="992" w:type="dxa"/>
          </w:tcPr>
          <w:p w:rsidR="001E2080" w:rsidRPr="001E2080" w:rsidRDefault="001E2080" w:rsidP="00FE1897">
            <w:pPr>
              <w:spacing w:line="256" w:lineRule="auto"/>
              <w:ind w:right="-93"/>
              <w:jc w:val="center"/>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b/>
                <w:i/>
                <w:sz w:val="20"/>
                <w:szCs w:val="20"/>
              </w:rPr>
            </w:pPr>
            <w:r w:rsidRPr="001E2080">
              <w:rPr>
                <w:rFonts w:ascii="Times New Roman" w:eastAsia="MS Mincho" w:hAnsi="Times New Roman" w:cs="Times New Roman"/>
                <w:b/>
                <w:i/>
                <w:sz w:val="20"/>
                <w:szCs w:val="20"/>
              </w:rPr>
              <w:t>6=5-3</w:t>
            </w:r>
          </w:p>
        </w:tc>
        <w:tc>
          <w:tcPr>
            <w:tcW w:w="1134" w:type="dxa"/>
          </w:tcPr>
          <w:p w:rsidR="001E2080" w:rsidRPr="001E2080" w:rsidRDefault="001E2080" w:rsidP="00FE1897">
            <w:pPr>
              <w:spacing w:line="256" w:lineRule="auto"/>
              <w:ind w:right="-93"/>
              <w:jc w:val="center"/>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b/>
                <w:i/>
                <w:sz w:val="20"/>
                <w:szCs w:val="20"/>
              </w:rPr>
            </w:pPr>
            <w:r w:rsidRPr="001E2080">
              <w:rPr>
                <w:rFonts w:ascii="Times New Roman" w:eastAsia="MS Mincho" w:hAnsi="Times New Roman" w:cs="Times New Roman"/>
                <w:b/>
                <w:i/>
                <w:sz w:val="20"/>
                <w:szCs w:val="20"/>
              </w:rPr>
              <w:t>7=5/3*100</w:t>
            </w:r>
          </w:p>
        </w:tc>
      </w:tr>
      <w:tr w:rsidR="001E2080" w:rsidTr="00A149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1E2080" w:rsidRPr="00A1490B" w:rsidRDefault="001E2080" w:rsidP="00BA4FED">
            <w:pPr>
              <w:spacing w:after="40" w:line="276" w:lineRule="auto"/>
              <w:ind w:right="-93"/>
              <w:jc w:val="both"/>
              <w:rPr>
                <w:rFonts w:ascii="Times New Roman" w:eastAsia="MS Mincho" w:hAnsi="Times New Roman" w:cs="Times New Roman"/>
              </w:rPr>
            </w:pPr>
            <w:r w:rsidRPr="00A1490B">
              <w:rPr>
                <w:rFonts w:ascii="Times New Roman" w:eastAsia="MS Mincho" w:hAnsi="Times New Roman" w:cs="Times New Roman"/>
              </w:rPr>
              <w:t xml:space="preserve">Transferuri </w:t>
            </w:r>
          </w:p>
          <w:p w:rsidR="001E2080" w:rsidRPr="001E2080" w:rsidRDefault="001E2080" w:rsidP="00BA4FED">
            <w:pPr>
              <w:spacing w:after="40" w:line="276" w:lineRule="auto"/>
              <w:ind w:right="-93"/>
              <w:jc w:val="both"/>
              <w:rPr>
                <w:rFonts w:ascii="Times New Roman" w:eastAsia="MS Mincho" w:hAnsi="Times New Roman" w:cs="Times New Roman"/>
                <w:b w:val="0"/>
              </w:rPr>
            </w:pPr>
            <w:r w:rsidRPr="00A1490B">
              <w:rPr>
                <w:rFonts w:ascii="Times New Roman" w:eastAsia="MS Mincho" w:hAnsi="Times New Roman" w:cs="Times New Roman"/>
                <w:i/>
              </w:rPr>
              <w:t>Total general</w:t>
            </w:r>
            <w:r w:rsidRPr="001E2080">
              <w:rPr>
                <w:rFonts w:ascii="Times New Roman" w:eastAsia="MS Mincho" w:hAnsi="Times New Roman" w:cs="Times New Roman"/>
                <w:b w:val="0"/>
              </w:rPr>
              <w:t xml:space="preserve">, </w:t>
            </w:r>
            <w:r w:rsidRPr="00A1490B">
              <w:rPr>
                <w:rFonts w:ascii="Times New Roman" w:eastAsia="MS Mincho" w:hAnsi="Times New Roman" w:cs="Times New Roman"/>
                <w:b w:val="0"/>
                <w:i/>
              </w:rPr>
              <w:t>inclusiv:</w:t>
            </w:r>
          </w:p>
        </w:tc>
        <w:tc>
          <w:tcPr>
            <w:tcW w:w="993" w:type="dxa"/>
          </w:tcPr>
          <w:p w:rsidR="001E2080" w:rsidRPr="001E2080" w:rsidRDefault="001E2080" w:rsidP="00FE1897">
            <w:pPr>
              <w:spacing w:after="160" w:line="256" w:lineRule="auto"/>
              <w:ind w:right="-93"/>
              <w:jc w:val="cente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b/>
              </w:rPr>
            </w:pPr>
            <w:r w:rsidRPr="001E2080">
              <w:rPr>
                <w:rFonts w:ascii="Times New Roman" w:eastAsia="MS Mincho" w:hAnsi="Times New Roman" w:cs="Times New Roman"/>
                <w:b/>
              </w:rPr>
              <w:t>8228,4</w:t>
            </w:r>
          </w:p>
        </w:tc>
        <w:tc>
          <w:tcPr>
            <w:tcW w:w="992" w:type="dxa"/>
          </w:tcPr>
          <w:p w:rsidR="001E2080" w:rsidRPr="001E2080" w:rsidRDefault="005D675E" w:rsidP="00FE1897">
            <w:pPr>
              <w:spacing w:after="160" w:line="256" w:lineRule="auto"/>
              <w:ind w:right="-93"/>
              <w:jc w:val="cente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b/>
              </w:rPr>
            </w:pPr>
            <w:r>
              <w:rPr>
                <w:rFonts w:ascii="Times New Roman" w:eastAsia="MS Mincho" w:hAnsi="Times New Roman" w:cs="Times New Roman"/>
                <w:b/>
              </w:rPr>
              <w:t>9217,7</w:t>
            </w:r>
          </w:p>
        </w:tc>
        <w:tc>
          <w:tcPr>
            <w:tcW w:w="992" w:type="dxa"/>
          </w:tcPr>
          <w:p w:rsidR="001E2080" w:rsidRPr="001E2080" w:rsidRDefault="004A6A6E" w:rsidP="00FE1897">
            <w:pPr>
              <w:spacing w:after="160" w:line="256" w:lineRule="auto"/>
              <w:ind w:right="-93"/>
              <w:jc w:val="cente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b/>
              </w:rPr>
            </w:pPr>
            <w:r>
              <w:rPr>
                <w:rFonts w:ascii="Times New Roman" w:eastAsia="MS Mincho" w:hAnsi="Times New Roman" w:cs="Times New Roman"/>
                <w:b/>
              </w:rPr>
              <w:t>+</w:t>
            </w:r>
            <w:r w:rsidR="001E2080" w:rsidRPr="001E2080">
              <w:rPr>
                <w:rFonts w:ascii="Times New Roman" w:eastAsia="MS Mincho" w:hAnsi="Times New Roman" w:cs="Times New Roman"/>
                <w:b/>
              </w:rPr>
              <w:t>9</w:t>
            </w:r>
            <w:r w:rsidR="005D675E">
              <w:rPr>
                <w:rFonts w:ascii="Times New Roman" w:eastAsia="MS Mincho" w:hAnsi="Times New Roman" w:cs="Times New Roman"/>
                <w:b/>
              </w:rPr>
              <w:t>89,3</w:t>
            </w:r>
          </w:p>
        </w:tc>
        <w:tc>
          <w:tcPr>
            <w:tcW w:w="992" w:type="dxa"/>
          </w:tcPr>
          <w:p w:rsidR="001E2080" w:rsidRPr="00EA3F66" w:rsidRDefault="001E2080" w:rsidP="00FE1897">
            <w:pPr>
              <w:spacing w:after="160" w:line="256" w:lineRule="auto"/>
              <w:ind w:right="-93"/>
              <w:jc w:val="cente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b/>
                <w:i/>
              </w:rPr>
            </w:pPr>
            <w:r w:rsidRPr="00EA3F66">
              <w:rPr>
                <w:rFonts w:ascii="Times New Roman" w:eastAsia="MS Mincho" w:hAnsi="Times New Roman" w:cs="Times New Roman"/>
                <w:b/>
                <w:i/>
              </w:rPr>
              <w:t>1</w:t>
            </w:r>
            <w:r w:rsidR="007A3F0B" w:rsidRPr="00EA3F66">
              <w:rPr>
                <w:rFonts w:ascii="Times New Roman" w:eastAsia="MS Mincho" w:hAnsi="Times New Roman" w:cs="Times New Roman"/>
                <w:b/>
                <w:i/>
              </w:rPr>
              <w:t>1</w:t>
            </w:r>
            <w:r w:rsidRPr="00EA3F66">
              <w:rPr>
                <w:rFonts w:ascii="Times New Roman" w:eastAsia="MS Mincho" w:hAnsi="Times New Roman" w:cs="Times New Roman"/>
                <w:b/>
                <w:i/>
              </w:rPr>
              <w:t>2</w:t>
            </w:r>
            <w:r w:rsidR="007A3F0B" w:rsidRPr="00EA3F66">
              <w:rPr>
                <w:rFonts w:ascii="Times New Roman" w:eastAsia="MS Mincho" w:hAnsi="Times New Roman" w:cs="Times New Roman"/>
                <w:b/>
                <w:i/>
              </w:rPr>
              <w:t>,0</w:t>
            </w:r>
          </w:p>
        </w:tc>
        <w:tc>
          <w:tcPr>
            <w:tcW w:w="992" w:type="dxa"/>
          </w:tcPr>
          <w:p w:rsidR="001E2080" w:rsidRPr="001E2080" w:rsidRDefault="005D675E" w:rsidP="00FE1897">
            <w:pPr>
              <w:spacing w:after="160" w:line="256" w:lineRule="auto"/>
              <w:ind w:right="-93"/>
              <w:jc w:val="cente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b/>
              </w:rPr>
            </w:pPr>
            <w:r>
              <w:rPr>
                <w:rFonts w:ascii="Times New Roman" w:eastAsia="MS Mincho" w:hAnsi="Times New Roman" w:cs="Times New Roman"/>
                <w:b/>
              </w:rPr>
              <w:t>9</w:t>
            </w:r>
            <w:r w:rsidR="001E2080" w:rsidRPr="001E2080">
              <w:rPr>
                <w:rFonts w:ascii="Times New Roman" w:eastAsia="MS Mincho" w:hAnsi="Times New Roman" w:cs="Times New Roman"/>
                <w:b/>
              </w:rPr>
              <w:t>128</w:t>
            </w:r>
            <w:r>
              <w:rPr>
                <w:rFonts w:ascii="Times New Roman" w:eastAsia="MS Mincho" w:hAnsi="Times New Roman" w:cs="Times New Roman"/>
                <w:b/>
              </w:rPr>
              <w:t>,1</w:t>
            </w:r>
          </w:p>
        </w:tc>
        <w:tc>
          <w:tcPr>
            <w:tcW w:w="992" w:type="dxa"/>
          </w:tcPr>
          <w:p w:rsidR="001E2080" w:rsidRPr="001E2080" w:rsidRDefault="00E53355" w:rsidP="00FE1897">
            <w:pPr>
              <w:spacing w:after="160" w:line="256" w:lineRule="auto"/>
              <w:ind w:right="-93"/>
              <w:jc w:val="cente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b/>
              </w:rPr>
            </w:pPr>
            <w:r>
              <w:rPr>
                <w:rFonts w:ascii="Times New Roman" w:eastAsia="MS Mincho" w:hAnsi="Times New Roman" w:cs="Times New Roman"/>
                <w:b/>
              </w:rPr>
              <w:t>-89,6</w:t>
            </w:r>
          </w:p>
        </w:tc>
        <w:tc>
          <w:tcPr>
            <w:tcW w:w="1134" w:type="dxa"/>
          </w:tcPr>
          <w:p w:rsidR="001E2080" w:rsidRPr="00EA3F66" w:rsidRDefault="001E2080" w:rsidP="00FE1897">
            <w:pPr>
              <w:spacing w:after="160" w:line="256" w:lineRule="auto"/>
              <w:ind w:right="-93"/>
              <w:jc w:val="cente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b/>
                <w:i/>
              </w:rPr>
            </w:pPr>
            <w:r w:rsidRPr="00EA3F66">
              <w:rPr>
                <w:rFonts w:ascii="Times New Roman" w:eastAsia="MS Mincho" w:hAnsi="Times New Roman" w:cs="Times New Roman"/>
                <w:b/>
                <w:i/>
              </w:rPr>
              <w:t>99</w:t>
            </w:r>
            <w:r w:rsidR="007A3F0B" w:rsidRPr="00EA3F66">
              <w:rPr>
                <w:rFonts w:ascii="Times New Roman" w:eastAsia="MS Mincho" w:hAnsi="Times New Roman" w:cs="Times New Roman"/>
                <w:b/>
                <w:i/>
              </w:rPr>
              <w:t>,0</w:t>
            </w:r>
          </w:p>
        </w:tc>
      </w:tr>
      <w:tr w:rsidR="001E2080" w:rsidTr="00A1490B">
        <w:tc>
          <w:tcPr>
            <w:cnfStyle w:val="001000000000" w:firstRow="0" w:lastRow="0" w:firstColumn="1" w:lastColumn="0" w:oddVBand="0" w:evenVBand="0" w:oddHBand="0" w:evenHBand="0" w:firstRowFirstColumn="0" w:firstRowLastColumn="0" w:lastRowFirstColumn="0" w:lastRowLastColumn="0"/>
            <w:tcW w:w="2547" w:type="dxa"/>
          </w:tcPr>
          <w:p w:rsidR="001E2080" w:rsidRPr="00A1490B" w:rsidRDefault="001E2080" w:rsidP="00BA4FED">
            <w:pPr>
              <w:spacing w:after="40" w:line="276" w:lineRule="auto"/>
              <w:ind w:right="-91"/>
              <w:jc w:val="both"/>
              <w:rPr>
                <w:rFonts w:ascii="Times New Roman" w:eastAsia="MS Mincho" w:hAnsi="Times New Roman" w:cs="Times New Roman"/>
                <w:b w:val="0"/>
              </w:rPr>
            </w:pPr>
            <w:r w:rsidRPr="00A1490B">
              <w:rPr>
                <w:rFonts w:ascii="Times New Roman" w:eastAsia="MS Mincho" w:hAnsi="Times New Roman" w:cs="Times New Roman"/>
                <w:b w:val="0"/>
              </w:rPr>
              <w:t>cu destinație generală</w:t>
            </w:r>
          </w:p>
        </w:tc>
        <w:tc>
          <w:tcPr>
            <w:tcW w:w="993" w:type="dxa"/>
          </w:tcPr>
          <w:p w:rsidR="001E2080" w:rsidRPr="005717F0" w:rsidRDefault="001E2080" w:rsidP="00FE1897">
            <w:pPr>
              <w:spacing w:line="257" w:lineRule="auto"/>
              <w:ind w:right="-91"/>
              <w:jc w:val="center"/>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rPr>
            </w:pPr>
            <w:r>
              <w:rPr>
                <w:rFonts w:ascii="Times New Roman" w:eastAsia="MS Mincho" w:hAnsi="Times New Roman" w:cs="Times New Roman"/>
              </w:rPr>
              <w:t>1211,1</w:t>
            </w:r>
          </w:p>
        </w:tc>
        <w:tc>
          <w:tcPr>
            <w:tcW w:w="992" w:type="dxa"/>
          </w:tcPr>
          <w:p w:rsidR="001E2080" w:rsidRPr="005717F0" w:rsidRDefault="00C60879" w:rsidP="00FE1897">
            <w:pPr>
              <w:spacing w:line="257" w:lineRule="auto"/>
              <w:ind w:right="-91"/>
              <w:jc w:val="center"/>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rPr>
            </w:pPr>
            <w:r>
              <w:rPr>
                <w:rFonts w:ascii="Times New Roman" w:eastAsia="MS Mincho" w:hAnsi="Times New Roman" w:cs="Times New Roman"/>
              </w:rPr>
              <w:t>1</w:t>
            </w:r>
            <w:r w:rsidR="001E2080">
              <w:rPr>
                <w:rFonts w:ascii="Times New Roman" w:eastAsia="MS Mincho" w:hAnsi="Times New Roman" w:cs="Times New Roman"/>
              </w:rPr>
              <w:t>211</w:t>
            </w:r>
            <w:r>
              <w:rPr>
                <w:rFonts w:ascii="Times New Roman" w:eastAsia="MS Mincho" w:hAnsi="Times New Roman" w:cs="Times New Roman"/>
              </w:rPr>
              <w:t>,</w:t>
            </w:r>
            <w:r w:rsidR="001E2080">
              <w:rPr>
                <w:rFonts w:ascii="Times New Roman" w:eastAsia="MS Mincho" w:hAnsi="Times New Roman" w:cs="Times New Roman"/>
              </w:rPr>
              <w:t>1</w:t>
            </w:r>
          </w:p>
        </w:tc>
        <w:tc>
          <w:tcPr>
            <w:tcW w:w="992" w:type="dxa"/>
          </w:tcPr>
          <w:p w:rsidR="001E2080" w:rsidRDefault="007A3F0B" w:rsidP="00FE1897">
            <w:pPr>
              <w:spacing w:line="257" w:lineRule="auto"/>
              <w:ind w:right="-91"/>
              <w:jc w:val="center"/>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rPr>
            </w:pPr>
            <w:r>
              <w:rPr>
                <w:rFonts w:ascii="Times New Roman" w:eastAsia="MS Mincho" w:hAnsi="Times New Roman" w:cs="Times New Roman"/>
              </w:rPr>
              <w:t>-</w:t>
            </w:r>
          </w:p>
        </w:tc>
        <w:tc>
          <w:tcPr>
            <w:tcW w:w="992" w:type="dxa"/>
          </w:tcPr>
          <w:p w:rsidR="001E2080" w:rsidRPr="00EA3F66" w:rsidRDefault="007A3F0B" w:rsidP="00FE1897">
            <w:pPr>
              <w:spacing w:line="257" w:lineRule="auto"/>
              <w:ind w:right="-91"/>
              <w:jc w:val="center"/>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i/>
              </w:rPr>
            </w:pPr>
            <w:r w:rsidRPr="00EA3F66">
              <w:rPr>
                <w:rFonts w:ascii="Times New Roman" w:eastAsia="MS Mincho" w:hAnsi="Times New Roman" w:cs="Times New Roman"/>
                <w:i/>
              </w:rPr>
              <w:t>100,0</w:t>
            </w:r>
          </w:p>
        </w:tc>
        <w:tc>
          <w:tcPr>
            <w:tcW w:w="992" w:type="dxa"/>
          </w:tcPr>
          <w:p w:rsidR="001E2080" w:rsidRPr="005717F0" w:rsidRDefault="00C60879" w:rsidP="00FE1897">
            <w:pPr>
              <w:spacing w:line="257" w:lineRule="auto"/>
              <w:ind w:right="-91"/>
              <w:jc w:val="center"/>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rPr>
            </w:pPr>
            <w:r>
              <w:rPr>
                <w:rFonts w:ascii="Times New Roman" w:eastAsia="MS Mincho" w:hAnsi="Times New Roman" w:cs="Times New Roman"/>
              </w:rPr>
              <w:t>1</w:t>
            </w:r>
            <w:r w:rsidR="001E2080">
              <w:rPr>
                <w:rFonts w:ascii="Times New Roman" w:eastAsia="MS Mincho" w:hAnsi="Times New Roman" w:cs="Times New Roman"/>
              </w:rPr>
              <w:t>211</w:t>
            </w:r>
            <w:r>
              <w:rPr>
                <w:rFonts w:ascii="Times New Roman" w:eastAsia="MS Mincho" w:hAnsi="Times New Roman" w:cs="Times New Roman"/>
              </w:rPr>
              <w:t>,1</w:t>
            </w:r>
          </w:p>
        </w:tc>
        <w:tc>
          <w:tcPr>
            <w:tcW w:w="992" w:type="dxa"/>
          </w:tcPr>
          <w:p w:rsidR="001E2080" w:rsidRPr="005717F0" w:rsidRDefault="001E2080" w:rsidP="00FE1897">
            <w:pPr>
              <w:spacing w:line="257" w:lineRule="auto"/>
              <w:ind w:right="-91"/>
              <w:jc w:val="center"/>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rPr>
            </w:pPr>
            <w:r>
              <w:rPr>
                <w:rFonts w:ascii="Times New Roman" w:eastAsia="MS Mincho" w:hAnsi="Times New Roman" w:cs="Times New Roman"/>
              </w:rPr>
              <w:t>-</w:t>
            </w:r>
          </w:p>
        </w:tc>
        <w:tc>
          <w:tcPr>
            <w:tcW w:w="1134" w:type="dxa"/>
          </w:tcPr>
          <w:p w:rsidR="001E2080" w:rsidRPr="00EA3F66" w:rsidRDefault="001E2080" w:rsidP="00FE1897">
            <w:pPr>
              <w:spacing w:line="257" w:lineRule="auto"/>
              <w:ind w:right="-91"/>
              <w:jc w:val="center"/>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i/>
              </w:rPr>
            </w:pPr>
            <w:r w:rsidRPr="00EA3F66">
              <w:rPr>
                <w:rFonts w:ascii="Times New Roman" w:eastAsia="MS Mincho" w:hAnsi="Times New Roman" w:cs="Times New Roman"/>
                <w:i/>
              </w:rPr>
              <w:t>100</w:t>
            </w:r>
            <w:r w:rsidR="00C60879" w:rsidRPr="00EA3F66">
              <w:rPr>
                <w:rFonts w:ascii="Times New Roman" w:eastAsia="MS Mincho" w:hAnsi="Times New Roman" w:cs="Times New Roman"/>
                <w:i/>
              </w:rPr>
              <w:t>,0</w:t>
            </w:r>
          </w:p>
        </w:tc>
      </w:tr>
      <w:tr w:rsidR="001E2080" w:rsidTr="00A149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1E2080" w:rsidRPr="00A1490B" w:rsidRDefault="001E2080" w:rsidP="00BA4FED">
            <w:pPr>
              <w:spacing w:after="40" w:line="276" w:lineRule="auto"/>
              <w:ind w:right="-91"/>
              <w:jc w:val="both"/>
              <w:rPr>
                <w:rFonts w:ascii="Times New Roman" w:eastAsia="MS Mincho" w:hAnsi="Times New Roman" w:cs="Times New Roman"/>
                <w:b w:val="0"/>
              </w:rPr>
            </w:pPr>
            <w:r w:rsidRPr="00A1490B">
              <w:rPr>
                <w:rFonts w:ascii="Times New Roman" w:eastAsia="MS Mincho" w:hAnsi="Times New Roman" w:cs="Times New Roman"/>
                <w:b w:val="0"/>
              </w:rPr>
              <w:t>cu destinație specială</w:t>
            </w:r>
            <w:r w:rsidR="00325CA7">
              <w:rPr>
                <w:rFonts w:ascii="Times New Roman" w:eastAsia="MS Mincho" w:hAnsi="Times New Roman" w:cs="Times New Roman"/>
                <w:b w:val="0"/>
              </w:rPr>
              <w:t>*</w:t>
            </w:r>
          </w:p>
        </w:tc>
        <w:tc>
          <w:tcPr>
            <w:tcW w:w="993" w:type="dxa"/>
          </w:tcPr>
          <w:p w:rsidR="001E2080" w:rsidRPr="005717F0" w:rsidRDefault="001E2080" w:rsidP="00FE1897">
            <w:pPr>
              <w:spacing w:line="257" w:lineRule="auto"/>
              <w:ind w:right="-91"/>
              <w:jc w:val="cente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rPr>
            </w:pPr>
            <w:r w:rsidRPr="005717F0">
              <w:rPr>
                <w:rFonts w:ascii="Times New Roman" w:eastAsia="MS Mincho" w:hAnsi="Times New Roman" w:cs="Times New Roman"/>
              </w:rPr>
              <w:t>6</w:t>
            </w:r>
            <w:r>
              <w:rPr>
                <w:rFonts w:ascii="Times New Roman" w:eastAsia="MS Mincho" w:hAnsi="Times New Roman" w:cs="Times New Roman"/>
              </w:rPr>
              <w:t>918,9</w:t>
            </w:r>
          </w:p>
        </w:tc>
        <w:tc>
          <w:tcPr>
            <w:tcW w:w="992" w:type="dxa"/>
          </w:tcPr>
          <w:p w:rsidR="001E2080" w:rsidRPr="005717F0" w:rsidRDefault="00C60879" w:rsidP="00FE1897">
            <w:pPr>
              <w:spacing w:line="257" w:lineRule="auto"/>
              <w:ind w:right="-91"/>
              <w:jc w:val="cente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rPr>
            </w:pPr>
            <w:r>
              <w:rPr>
                <w:rFonts w:ascii="Times New Roman" w:eastAsia="MS Mincho" w:hAnsi="Times New Roman" w:cs="Times New Roman"/>
              </w:rPr>
              <w:t>7</w:t>
            </w:r>
            <w:r w:rsidR="001E2080">
              <w:rPr>
                <w:rFonts w:ascii="Times New Roman" w:eastAsia="MS Mincho" w:hAnsi="Times New Roman" w:cs="Times New Roman"/>
              </w:rPr>
              <w:t>907</w:t>
            </w:r>
            <w:r>
              <w:rPr>
                <w:rFonts w:ascii="Times New Roman" w:eastAsia="MS Mincho" w:hAnsi="Times New Roman" w:cs="Times New Roman"/>
              </w:rPr>
              <w:t>,</w:t>
            </w:r>
            <w:r w:rsidR="001E2080">
              <w:rPr>
                <w:rFonts w:ascii="Times New Roman" w:eastAsia="MS Mincho" w:hAnsi="Times New Roman" w:cs="Times New Roman"/>
              </w:rPr>
              <w:t>8</w:t>
            </w:r>
          </w:p>
        </w:tc>
        <w:tc>
          <w:tcPr>
            <w:tcW w:w="992" w:type="dxa"/>
          </w:tcPr>
          <w:p w:rsidR="001E2080" w:rsidRDefault="004A6A6E" w:rsidP="00FE1897">
            <w:pPr>
              <w:spacing w:line="257" w:lineRule="auto"/>
              <w:ind w:right="-91"/>
              <w:jc w:val="cente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rPr>
            </w:pPr>
            <w:r>
              <w:rPr>
                <w:rFonts w:ascii="Times New Roman" w:eastAsia="MS Mincho" w:hAnsi="Times New Roman" w:cs="Times New Roman"/>
              </w:rPr>
              <w:t>+</w:t>
            </w:r>
            <w:r w:rsidR="00C60879">
              <w:rPr>
                <w:rFonts w:ascii="Times New Roman" w:eastAsia="MS Mincho" w:hAnsi="Times New Roman" w:cs="Times New Roman"/>
              </w:rPr>
              <w:t>988,9</w:t>
            </w:r>
          </w:p>
        </w:tc>
        <w:tc>
          <w:tcPr>
            <w:tcW w:w="992" w:type="dxa"/>
          </w:tcPr>
          <w:p w:rsidR="001E2080" w:rsidRPr="00EA3F66" w:rsidRDefault="001E2080" w:rsidP="00FE1897">
            <w:pPr>
              <w:spacing w:line="257" w:lineRule="auto"/>
              <w:ind w:right="-91"/>
              <w:jc w:val="cente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i/>
              </w:rPr>
            </w:pPr>
            <w:r w:rsidRPr="00EA3F66">
              <w:rPr>
                <w:rFonts w:ascii="Times New Roman" w:eastAsia="MS Mincho" w:hAnsi="Times New Roman" w:cs="Times New Roman"/>
                <w:i/>
              </w:rPr>
              <w:t>1</w:t>
            </w:r>
            <w:r w:rsidR="00EA3F66" w:rsidRPr="00EA3F66">
              <w:rPr>
                <w:rFonts w:ascii="Times New Roman" w:eastAsia="MS Mincho" w:hAnsi="Times New Roman" w:cs="Times New Roman"/>
                <w:i/>
              </w:rPr>
              <w:t>1</w:t>
            </w:r>
            <w:r w:rsidRPr="00EA3F66">
              <w:rPr>
                <w:rFonts w:ascii="Times New Roman" w:eastAsia="MS Mincho" w:hAnsi="Times New Roman" w:cs="Times New Roman"/>
                <w:i/>
              </w:rPr>
              <w:t>4,3</w:t>
            </w:r>
          </w:p>
        </w:tc>
        <w:tc>
          <w:tcPr>
            <w:tcW w:w="992" w:type="dxa"/>
          </w:tcPr>
          <w:p w:rsidR="001E2080" w:rsidRPr="005717F0" w:rsidRDefault="00C60879" w:rsidP="00FE1897">
            <w:pPr>
              <w:spacing w:line="257" w:lineRule="auto"/>
              <w:ind w:right="-91"/>
              <w:jc w:val="cente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rPr>
            </w:pPr>
            <w:r>
              <w:rPr>
                <w:rFonts w:ascii="Times New Roman" w:eastAsia="MS Mincho" w:hAnsi="Times New Roman" w:cs="Times New Roman"/>
              </w:rPr>
              <w:t>7</w:t>
            </w:r>
            <w:r w:rsidR="001E2080">
              <w:rPr>
                <w:rFonts w:ascii="Times New Roman" w:eastAsia="MS Mincho" w:hAnsi="Times New Roman" w:cs="Times New Roman"/>
              </w:rPr>
              <w:t>818</w:t>
            </w:r>
            <w:r>
              <w:rPr>
                <w:rFonts w:ascii="Times New Roman" w:eastAsia="MS Mincho" w:hAnsi="Times New Roman" w:cs="Times New Roman"/>
              </w:rPr>
              <w:t>,</w:t>
            </w:r>
            <w:r w:rsidR="001E2080">
              <w:rPr>
                <w:rFonts w:ascii="Times New Roman" w:eastAsia="MS Mincho" w:hAnsi="Times New Roman" w:cs="Times New Roman"/>
              </w:rPr>
              <w:t>2</w:t>
            </w:r>
          </w:p>
        </w:tc>
        <w:tc>
          <w:tcPr>
            <w:tcW w:w="992" w:type="dxa"/>
          </w:tcPr>
          <w:p w:rsidR="001E2080" w:rsidRPr="005717F0" w:rsidRDefault="001E2080" w:rsidP="00FE1897">
            <w:pPr>
              <w:spacing w:line="257" w:lineRule="auto"/>
              <w:ind w:right="-91"/>
              <w:jc w:val="cente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rPr>
            </w:pPr>
            <w:r>
              <w:rPr>
                <w:rFonts w:ascii="Times New Roman" w:eastAsia="MS Mincho" w:hAnsi="Times New Roman" w:cs="Times New Roman"/>
              </w:rPr>
              <w:t>-</w:t>
            </w:r>
            <w:r w:rsidR="00C60879">
              <w:rPr>
                <w:rFonts w:ascii="Times New Roman" w:eastAsia="MS Mincho" w:hAnsi="Times New Roman" w:cs="Times New Roman"/>
              </w:rPr>
              <w:t>89</w:t>
            </w:r>
            <w:r>
              <w:rPr>
                <w:rFonts w:ascii="Times New Roman" w:eastAsia="MS Mincho" w:hAnsi="Times New Roman" w:cs="Times New Roman"/>
              </w:rPr>
              <w:t>,</w:t>
            </w:r>
            <w:r w:rsidR="00C60879">
              <w:rPr>
                <w:rFonts w:ascii="Times New Roman" w:eastAsia="MS Mincho" w:hAnsi="Times New Roman" w:cs="Times New Roman"/>
              </w:rPr>
              <w:t>6</w:t>
            </w:r>
          </w:p>
        </w:tc>
        <w:tc>
          <w:tcPr>
            <w:tcW w:w="1134" w:type="dxa"/>
          </w:tcPr>
          <w:p w:rsidR="001E2080" w:rsidRPr="00EA3F66" w:rsidRDefault="001E2080" w:rsidP="00FE1897">
            <w:pPr>
              <w:spacing w:line="257" w:lineRule="auto"/>
              <w:ind w:right="-91"/>
              <w:jc w:val="cente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i/>
              </w:rPr>
            </w:pPr>
            <w:r w:rsidRPr="00EA3F66">
              <w:rPr>
                <w:rFonts w:ascii="Times New Roman" w:eastAsia="MS Mincho" w:hAnsi="Times New Roman" w:cs="Times New Roman"/>
                <w:i/>
              </w:rPr>
              <w:t>98,8</w:t>
            </w:r>
          </w:p>
        </w:tc>
      </w:tr>
      <w:tr w:rsidR="001E2080" w:rsidTr="00A1490B">
        <w:trPr>
          <w:trHeight w:val="276"/>
        </w:trPr>
        <w:tc>
          <w:tcPr>
            <w:cnfStyle w:val="001000000000" w:firstRow="0" w:lastRow="0" w:firstColumn="1" w:lastColumn="0" w:oddVBand="0" w:evenVBand="0" w:oddHBand="0" w:evenHBand="0" w:firstRowFirstColumn="0" w:firstRowLastColumn="0" w:lastRowFirstColumn="0" w:lastRowLastColumn="0"/>
            <w:tcW w:w="2547" w:type="dxa"/>
          </w:tcPr>
          <w:p w:rsidR="001E2080" w:rsidRPr="00A1490B" w:rsidRDefault="001E2080" w:rsidP="00BA4FED">
            <w:pPr>
              <w:spacing w:after="40" w:line="276" w:lineRule="auto"/>
              <w:ind w:right="-91"/>
              <w:jc w:val="both"/>
              <w:rPr>
                <w:rFonts w:ascii="Times New Roman" w:eastAsia="MS Mincho" w:hAnsi="Times New Roman" w:cs="Times New Roman"/>
                <w:b w:val="0"/>
              </w:rPr>
            </w:pPr>
            <w:r w:rsidRPr="00A1490B">
              <w:rPr>
                <w:rFonts w:ascii="Times New Roman" w:eastAsia="MS Mincho" w:hAnsi="Times New Roman" w:cs="Times New Roman"/>
                <w:b w:val="0"/>
              </w:rPr>
              <w:t>din fondul de compensare</w:t>
            </w:r>
          </w:p>
        </w:tc>
        <w:tc>
          <w:tcPr>
            <w:tcW w:w="993" w:type="dxa"/>
          </w:tcPr>
          <w:p w:rsidR="001E2080" w:rsidRPr="005717F0" w:rsidRDefault="001E2080" w:rsidP="00FE1897">
            <w:pPr>
              <w:spacing w:line="257" w:lineRule="auto"/>
              <w:ind w:right="-91"/>
              <w:jc w:val="center"/>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rPr>
            </w:pPr>
            <w:r>
              <w:rPr>
                <w:rFonts w:ascii="Times New Roman" w:eastAsia="MS Mincho" w:hAnsi="Times New Roman" w:cs="Times New Roman"/>
              </w:rPr>
              <w:t>84,3</w:t>
            </w:r>
          </w:p>
        </w:tc>
        <w:tc>
          <w:tcPr>
            <w:tcW w:w="992" w:type="dxa"/>
          </w:tcPr>
          <w:p w:rsidR="001E2080" w:rsidRPr="005717F0" w:rsidRDefault="00C60879" w:rsidP="00FE1897">
            <w:pPr>
              <w:spacing w:line="257" w:lineRule="auto"/>
              <w:ind w:right="-91"/>
              <w:jc w:val="center"/>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rPr>
            </w:pPr>
            <w:r>
              <w:rPr>
                <w:rFonts w:ascii="Times New Roman" w:eastAsia="MS Mincho" w:hAnsi="Times New Roman" w:cs="Times New Roman"/>
              </w:rPr>
              <w:t>84,</w:t>
            </w:r>
            <w:r w:rsidR="001E2080">
              <w:rPr>
                <w:rFonts w:ascii="Times New Roman" w:eastAsia="MS Mincho" w:hAnsi="Times New Roman" w:cs="Times New Roman"/>
              </w:rPr>
              <w:t>3</w:t>
            </w:r>
          </w:p>
        </w:tc>
        <w:tc>
          <w:tcPr>
            <w:tcW w:w="992" w:type="dxa"/>
          </w:tcPr>
          <w:p w:rsidR="001E2080" w:rsidRDefault="001E2080" w:rsidP="00FE1897">
            <w:pPr>
              <w:spacing w:line="257" w:lineRule="auto"/>
              <w:ind w:right="-91"/>
              <w:jc w:val="center"/>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rPr>
            </w:pPr>
            <w:r>
              <w:rPr>
                <w:rFonts w:ascii="Times New Roman" w:eastAsia="MS Mincho" w:hAnsi="Times New Roman" w:cs="Times New Roman"/>
              </w:rPr>
              <w:t>-</w:t>
            </w:r>
          </w:p>
        </w:tc>
        <w:tc>
          <w:tcPr>
            <w:tcW w:w="992" w:type="dxa"/>
          </w:tcPr>
          <w:p w:rsidR="001E2080" w:rsidRPr="00EA3F66" w:rsidRDefault="00EA3F66" w:rsidP="00FE1897">
            <w:pPr>
              <w:spacing w:line="257" w:lineRule="auto"/>
              <w:ind w:right="-91"/>
              <w:jc w:val="center"/>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i/>
              </w:rPr>
            </w:pPr>
            <w:r w:rsidRPr="00EA3F66">
              <w:rPr>
                <w:rFonts w:ascii="Times New Roman" w:eastAsia="MS Mincho" w:hAnsi="Times New Roman" w:cs="Times New Roman"/>
                <w:i/>
              </w:rPr>
              <w:t>100,0</w:t>
            </w:r>
          </w:p>
        </w:tc>
        <w:tc>
          <w:tcPr>
            <w:tcW w:w="992" w:type="dxa"/>
          </w:tcPr>
          <w:p w:rsidR="001E2080" w:rsidRPr="005717F0" w:rsidRDefault="00C60879" w:rsidP="00FE1897">
            <w:pPr>
              <w:spacing w:line="257" w:lineRule="auto"/>
              <w:ind w:right="-91"/>
              <w:jc w:val="center"/>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rPr>
            </w:pPr>
            <w:r>
              <w:rPr>
                <w:rFonts w:ascii="Times New Roman" w:eastAsia="MS Mincho" w:hAnsi="Times New Roman" w:cs="Times New Roman"/>
              </w:rPr>
              <w:t>84,</w:t>
            </w:r>
            <w:r w:rsidR="001E2080">
              <w:rPr>
                <w:rFonts w:ascii="Times New Roman" w:eastAsia="MS Mincho" w:hAnsi="Times New Roman" w:cs="Times New Roman"/>
              </w:rPr>
              <w:t>3</w:t>
            </w:r>
          </w:p>
        </w:tc>
        <w:tc>
          <w:tcPr>
            <w:tcW w:w="992" w:type="dxa"/>
          </w:tcPr>
          <w:p w:rsidR="001E2080" w:rsidRPr="005717F0" w:rsidRDefault="001E2080" w:rsidP="00FE1897">
            <w:pPr>
              <w:spacing w:line="257" w:lineRule="auto"/>
              <w:ind w:right="-91"/>
              <w:jc w:val="center"/>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rPr>
            </w:pPr>
            <w:r>
              <w:rPr>
                <w:rFonts w:ascii="Times New Roman" w:eastAsia="MS Mincho" w:hAnsi="Times New Roman" w:cs="Times New Roman"/>
              </w:rPr>
              <w:t>-</w:t>
            </w:r>
          </w:p>
        </w:tc>
        <w:tc>
          <w:tcPr>
            <w:tcW w:w="1134" w:type="dxa"/>
          </w:tcPr>
          <w:p w:rsidR="001E2080" w:rsidRPr="00EA3F66" w:rsidRDefault="001E2080" w:rsidP="00FE1897">
            <w:pPr>
              <w:spacing w:line="257" w:lineRule="auto"/>
              <w:ind w:right="-91"/>
              <w:jc w:val="center"/>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i/>
              </w:rPr>
            </w:pPr>
            <w:r w:rsidRPr="00EA3F66">
              <w:rPr>
                <w:rFonts w:ascii="Times New Roman" w:eastAsia="MS Mincho" w:hAnsi="Times New Roman" w:cs="Times New Roman"/>
                <w:i/>
              </w:rPr>
              <w:t>100</w:t>
            </w:r>
            <w:r w:rsidR="00C60879" w:rsidRPr="00EA3F66">
              <w:rPr>
                <w:rFonts w:ascii="Times New Roman" w:eastAsia="MS Mincho" w:hAnsi="Times New Roman" w:cs="Times New Roman"/>
                <w:i/>
              </w:rPr>
              <w:t>,0</w:t>
            </w:r>
          </w:p>
        </w:tc>
      </w:tr>
      <w:tr w:rsidR="001E2080" w:rsidTr="00A149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1E2080" w:rsidRPr="00A1490B" w:rsidRDefault="001E2080" w:rsidP="00BA4FED">
            <w:pPr>
              <w:ind w:right="-91"/>
              <w:jc w:val="both"/>
              <w:rPr>
                <w:rFonts w:ascii="Times New Roman" w:eastAsia="MS Mincho" w:hAnsi="Times New Roman" w:cs="Times New Roman"/>
                <w:b w:val="0"/>
              </w:rPr>
            </w:pPr>
            <w:r w:rsidRPr="00A1490B">
              <w:rPr>
                <w:rFonts w:ascii="Times New Roman" w:eastAsia="MS Mincho" w:hAnsi="Times New Roman" w:cs="Times New Roman"/>
                <w:b w:val="0"/>
              </w:rPr>
              <w:lastRenderedPageBreak/>
              <w:t xml:space="preserve">alte transferuri curente </w:t>
            </w:r>
          </w:p>
          <w:p w:rsidR="001E2080" w:rsidRPr="00A1490B" w:rsidRDefault="001E2080" w:rsidP="00BA4FED">
            <w:pPr>
              <w:ind w:right="-91"/>
              <w:jc w:val="both"/>
              <w:rPr>
                <w:rFonts w:ascii="Times New Roman" w:eastAsia="MS Mincho" w:hAnsi="Times New Roman" w:cs="Times New Roman"/>
                <w:b w:val="0"/>
              </w:rPr>
            </w:pPr>
            <w:r w:rsidRPr="00A1490B">
              <w:rPr>
                <w:rFonts w:ascii="Times New Roman" w:eastAsia="MS Mincho" w:hAnsi="Times New Roman" w:cs="Times New Roman"/>
                <w:b w:val="0"/>
              </w:rPr>
              <w:t>cu destinație generală</w:t>
            </w:r>
          </w:p>
        </w:tc>
        <w:tc>
          <w:tcPr>
            <w:tcW w:w="993" w:type="dxa"/>
          </w:tcPr>
          <w:p w:rsidR="001E2080" w:rsidRPr="005717F0" w:rsidRDefault="005123A4" w:rsidP="00FE1897">
            <w:pPr>
              <w:spacing w:line="257" w:lineRule="auto"/>
              <w:ind w:right="-91"/>
              <w:jc w:val="cente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rPr>
            </w:pPr>
            <w:r>
              <w:rPr>
                <w:rFonts w:ascii="Times New Roman" w:eastAsia="MS Mincho" w:hAnsi="Times New Roman" w:cs="Times New Roman"/>
              </w:rPr>
              <w:t>14,1</w:t>
            </w:r>
          </w:p>
        </w:tc>
        <w:tc>
          <w:tcPr>
            <w:tcW w:w="992" w:type="dxa"/>
          </w:tcPr>
          <w:p w:rsidR="001E2080" w:rsidRPr="005717F0" w:rsidRDefault="00C60879" w:rsidP="00FE1897">
            <w:pPr>
              <w:spacing w:line="257" w:lineRule="auto"/>
              <w:ind w:right="-91"/>
              <w:jc w:val="cente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rPr>
            </w:pPr>
            <w:r>
              <w:rPr>
                <w:rFonts w:ascii="Times New Roman" w:eastAsia="MS Mincho" w:hAnsi="Times New Roman" w:cs="Times New Roman"/>
              </w:rPr>
              <w:t>14,</w:t>
            </w:r>
            <w:r w:rsidR="001E2080">
              <w:rPr>
                <w:rFonts w:ascii="Times New Roman" w:eastAsia="MS Mincho" w:hAnsi="Times New Roman" w:cs="Times New Roman"/>
              </w:rPr>
              <w:t>5</w:t>
            </w:r>
          </w:p>
        </w:tc>
        <w:tc>
          <w:tcPr>
            <w:tcW w:w="992" w:type="dxa"/>
          </w:tcPr>
          <w:p w:rsidR="001E2080" w:rsidRDefault="004A6A6E" w:rsidP="00FE1897">
            <w:pPr>
              <w:spacing w:line="257" w:lineRule="auto"/>
              <w:ind w:right="-91"/>
              <w:jc w:val="cente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rPr>
            </w:pPr>
            <w:r>
              <w:rPr>
                <w:rFonts w:ascii="Times New Roman" w:eastAsia="MS Mincho" w:hAnsi="Times New Roman" w:cs="Times New Roman"/>
              </w:rPr>
              <w:t>+</w:t>
            </w:r>
            <w:r w:rsidR="00C60879">
              <w:rPr>
                <w:rFonts w:ascii="Times New Roman" w:eastAsia="MS Mincho" w:hAnsi="Times New Roman" w:cs="Times New Roman"/>
              </w:rPr>
              <w:t>0,</w:t>
            </w:r>
            <w:r w:rsidR="005123A4">
              <w:rPr>
                <w:rFonts w:ascii="Times New Roman" w:eastAsia="MS Mincho" w:hAnsi="Times New Roman" w:cs="Times New Roman"/>
              </w:rPr>
              <w:t>4</w:t>
            </w:r>
          </w:p>
        </w:tc>
        <w:tc>
          <w:tcPr>
            <w:tcW w:w="992" w:type="dxa"/>
          </w:tcPr>
          <w:p w:rsidR="001E2080" w:rsidRPr="00EA3F66" w:rsidRDefault="00AD6168" w:rsidP="00FE1897">
            <w:pPr>
              <w:spacing w:line="257" w:lineRule="auto"/>
              <w:ind w:right="-91"/>
              <w:jc w:val="cente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i/>
              </w:rPr>
            </w:pPr>
            <w:r>
              <w:rPr>
                <w:rFonts w:ascii="Times New Roman" w:eastAsia="MS Mincho" w:hAnsi="Times New Roman" w:cs="Times New Roman"/>
                <w:i/>
              </w:rPr>
              <w:t>10</w:t>
            </w:r>
            <w:r w:rsidR="001E2080" w:rsidRPr="00EA3F66">
              <w:rPr>
                <w:rFonts w:ascii="Times New Roman" w:eastAsia="MS Mincho" w:hAnsi="Times New Roman" w:cs="Times New Roman"/>
                <w:i/>
              </w:rPr>
              <w:t>2,8</w:t>
            </w:r>
          </w:p>
        </w:tc>
        <w:tc>
          <w:tcPr>
            <w:tcW w:w="992" w:type="dxa"/>
          </w:tcPr>
          <w:p w:rsidR="001E2080" w:rsidRPr="005717F0" w:rsidRDefault="00C60879" w:rsidP="00FE1897">
            <w:pPr>
              <w:spacing w:line="257" w:lineRule="auto"/>
              <w:ind w:right="-91"/>
              <w:jc w:val="cente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rPr>
            </w:pPr>
            <w:r>
              <w:rPr>
                <w:rFonts w:ascii="Times New Roman" w:eastAsia="MS Mincho" w:hAnsi="Times New Roman" w:cs="Times New Roman"/>
              </w:rPr>
              <w:t>14,</w:t>
            </w:r>
            <w:r w:rsidR="001E2080">
              <w:rPr>
                <w:rFonts w:ascii="Times New Roman" w:eastAsia="MS Mincho" w:hAnsi="Times New Roman" w:cs="Times New Roman"/>
              </w:rPr>
              <w:t>5</w:t>
            </w:r>
          </w:p>
        </w:tc>
        <w:tc>
          <w:tcPr>
            <w:tcW w:w="992" w:type="dxa"/>
          </w:tcPr>
          <w:p w:rsidR="001E2080" w:rsidRPr="005717F0" w:rsidRDefault="001E2080" w:rsidP="00FE1897">
            <w:pPr>
              <w:spacing w:line="257" w:lineRule="auto"/>
              <w:ind w:right="-91"/>
              <w:jc w:val="cente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rPr>
            </w:pPr>
            <w:r>
              <w:rPr>
                <w:rFonts w:ascii="Times New Roman" w:eastAsia="MS Mincho" w:hAnsi="Times New Roman" w:cs="Times New Roman"/>
              </w:rPr>
              <w:t>-</w:t>
            </w:r>
          </w:p>
        </w:tc>
        <w:tc>
          <w:tcPr>
            <w:tcW w:w="1134" w:type="dxa"/>
          </w:tcPr>
          <w:p w:rsidR="001E2080" w:rsidRPr="00EA3F66" w:rsidRDefault="001E2080" w:rsidP="00FE1897">
            <w:pPr>
              <w:spacing w:line="257" w:lineRule="auto"/>
              <w:ind w:right="-91"/>
              <w:jc w:val="cente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i/>
              </w:rPr>
            </w:pPr>
            <w:r w:rsidRPr="00EA3F66">
              <w:rPr>
                <w:rFonts w:ascii="Times New Roman" w:eastAsia="MS Mincho" w:hAnsi="Times New Roman" w:cs="Times New Roman"/>
                <w:i/>
              </w:rPr>
              <w:t>100</w:t>
            </w:r>
            <w:r w:rsidR="00C60879" w:rsidRPr="00EA3F66">
              <w:rPr>
                <w:rFonts w:ascii="Times New Roman" w:eastAsia="MS Mincho" w:hAnsi="Times New Roman" w:cs="Times New Roman"/>
                <w:i/>
              </w:rPr>
              <w:t>,0</w:t>
            </w:r>
          </w:p>
        </w:tc>
      </w:tr>
    </w:tbl>
    <w:p w:rsidR="00325CA7" w:rsidRPr="00325CA7" w:rsidRDefault="00325CA7" w:rsidP="005B02A8">
      <w:pPr>
        <w:spacing w:after="0" w:line="257" w:lineRule="auto"/>
        <w:jc w:val="both"/>
        <w:rPr>
          <w:rFonts w:ascii="Times New Roman" w:eastAsia="MS Mincho" w:hAnsi="Times New Roman" w:cs="Times New Roman"/>
          <w:sz w:val="20"/>
          <w:szCs w:val="20"/>
          <w:lang w:eastAsia="ja-JP"/>
        </w:rPr>
      </w:pPr>
      <w:r>
        <w:rPr>
          <w:rFonts w:ascii="Times New Roman" w:eastAsia="MS Mincho" w:hAnsi="Times New Roman" w:cs="Times New Roman"/>
          <w:b/>
          <w:sz w:val="20"/>
          <w:szCs w:val="20"/>
          <w:lang w:eastAsia="ja-JP"/>
        </w:rPr>
        <w:t xml:space="preserve">*Notă: </w:t>
      </w:r>
      <w:r w:rsidRPr="00325CA7">
        <w:rPr>
          <w:rFonts w:ascii="Times New Roman" w:eastAsia="MS Mincho" w:hAnsi="Times New Roman" w:cs="Times New Roman"/>
          <w:i/>
          <w:sz w:val="20"/>
          <w:szCs w:val="20"/>
          <w:lang w:eastAsia="ja-JP"/>
        </w:rPr>
        <w:t>Sinteza executării transferurilor cu destinație specială se prezintă în Tabelul nr.</w:t>
      </w:r>
      <w:r w:rsidR="00024D8E">
        <w:rPr>
          <w:rFonts w:ascii="Times New Roman" w:eastAsia="MS Mincho" w:hAnsi="Times New Roman" w:cs="Times New Roman"/>
          <w:i/>
          <w:sz w:val="20"/>
          <w:szCs w:val="20"/>
          <w:lang w:eastAsia="ja-JP"/>
        </w:rPr>
        <w:t>4</w:t>
      </w:r>
      <w:r w:rsidRPr="00325CA7">
        <w:rPr>
          <w:rFonts w:ascii="Times New Roman" w:eastAsia="MS Mincho" w:hAnsi="Times New Roman" w:cs="Times New Roman"/>
          <w:i/>
          <w:sz w:val="20"/>
          <w:szCs w:val="20"/>
          <w:lang w:eastAsia="ja-JP"/>
        </w:rPr>
        <w:t xml:space="preserve"> din Anexa nr.3 la prezentul Raport</w:t>
      </w:r>
      <w:r w:rsidR="00764D6E">
        <w:rPr>
          <w:rFonts w:ascii="Times New Roman" w:eastAsia="MS Mincho" w:hAnsi="Times New Roman" w:cs="Times New Roman"/>
          <w:i/>
          <w:sz w:val="20"/>
          <w:szCs w:val="20"/>
          <w:lang w:eastAsia="ja-JP"/>
        </w:rPr>
        <w:t xml:space="preserve"> de audit.</w:t>
      </w:r>
    </w:p>
    <w:p w:rsidR="0076727A" w:rsidRPr="008A28C2" w:rsidRDefault="0076727A" w:rsidP="005B02A8">
      <w:pPr>
        <w:spacing w:line="256" w:lineRule="auto"/>
        <w:jc w:val="both"/>
        <w:rPr>
          <w:rFonts w:ascii="Times New Roman" w:eastAsia="MS Mincho" w:hAnsi="Times New Roman" w:cs="Times New Roman"/>
          <w:lang w:eastAsia="ja-JP"/>
        </w:rPr>
      </w:pPr>
      <w:r w:rsidRPr="00D40DB8">
        <w:rPr>
          <w:rFonts w:ascii="Times New Roman" w:eastAsia="MS Mincho" w:hAnsi="Times New Roman" w:cs="Times New Roman"/>
          <w:b/>
          <w:i/>
          <w:sz w:val="20"/>
          <w:szCs w:val="20"/>
          <w:lang w:eastAsia="ja-JP"/>
        </w:rPr>
        <w:t>Surs</w:t>
      </w:r>
      <w:r w:rsidR="00764D6E">
        <w:rPr>
          <w:rFonts w:ascii="Times New Roman" w:eastAsia="MS Mincho" w:hAnsi="Times New Roman" w:cs="Times New Roman"/>
          <w:b/>
          <w:i/>
          <w:sz w:val="20"/>
          <w:szCs w:val="20"/>
          <w:lang w:eastAsia="ja-JP"/>
        </w:rPr>
        <w:t>ă</w:t>
      </w:r>
      <w:r w:rsidRPr="00D40DB8">
        <w:rPr>
          <w:rFonts w:ascii="Times New Roman" w:eastAsia="MS Mincho" w:hAnsi="Times New Roman" w:cs="Times New Roman"/>
          <w:b/>
          <w:i/>
          <w:sz w:val="20"/>
          <w:szCs w:val="20"/>
          <w:lang w:eastAsia="ja-JP"/>
        </w:rPr>
        <w:t>:</w:t>
      </w:r>
      <w:r>
        <w:rPr>
          <w:rFonts w:ascii="Times New Roman" w:eastAsia="MS Mincho" w:hAnsi="Times New Roman" w:cs="Times New Roman"/>
          <w:b/>
          <w:sz w:val="20"/>
          <w:szCs w:val="20"/>
          <w:lang w:eastAsia="ja-JP"/>
        </w:rPr>
        <w:t xml:space="preserve"> </w:t>
      </w:r>
      <w:r w:rsidRPr="00CC6760">
        <w:rPr>
          <w:rFonts w:ascii="Times New Roman" w:eastAsia="MS Mincho" w:hAnsi="Times New Roman" w:cs="Times New Roman"/>
          <w:i/>
          <w:sz w:val="20"/>
          <w:szCs w:val="20"/>
          <w:lang w:eastAsia="ja-JP"/>
        </w:rPr>
        <w:t xml:space="preserve">Informații generalizate de echipa de audit în baza datelor </w:t>
      </w:r>
      <w:r>
        <w:rPr>
          <w:rFonts w:ascii="Times New Roman" w:eastAsia="MS Mincho" w:hAnsi="Times New Roman" w:cs="Times New Roman"/>
          <w:i/>
          <w:sz w:val="20"/>
          <w:szCs w:val="20"/>
          <w:lang w:eastAsia="ja-JP"/>
        </w:rPr>
        <w:t>din Raportul privind executarea bugetului de stat pe anul 2017, F</w:t>
      </w:r>
      <w:r w:rsidRPr="00B57BEB">
        <w:rPr>
          <w:rFonts w:ascii="Times New Roman" w:eastAsia="MS Mincho" w:hAnsi="Times New Roman" w:cs="Times New Roman"/>
          <w:i/>
          <w:sz w:val="20"/>
          <w:szCs w:val="20"/>
          <w:lang w:eastAsia="ja-JP"/>
        </w:rPr>
        <w:t>ormularul</w:t>
      </w:r>
      <w:r>
        <w:rPr>
          <w:rFonts w:ascii="Times New Roman" w:eastAsia="MS Mincho" w:hAnsi="Times New Roman" w:cs="Times New Roman"/>
          <w:i/>
          <w:sz w:val="20"/>
          <w:szCs w:val="20"/>
          <w:lang w:eastAsia="ja-JP"/>
        </w:rPr>
        <w:t xml:space="preserve"> nr.5</w:t>
      </w:r>
      <w:r w:rsidR="00764D6E">
        <w:rPr>
          <w:rFonts w:ascii="Times New Roman" w:eastAsia="MS Mincho" w:hAnsi="Times New Roman" w:cs="Times New Roman"/>
          <w:i/>
          <w:sz w:val="20"/>
          <w:szCs w:val="20"/>
          <w:lang w:eastAsia="ja-JP"/>
        </w:rPr>
        <w:t>.</w:t>
      </w:r>
    </w:p>
    <w:p w:rsidR="0081465D" w:rsidRDefault="0081465D" w:rsidP="004425C9">
      <w:pPr>
        <w:spacing w:after="0" w:line="276" w:lineRule="auto"/>
        <w:ind w:right="9" w:firstLine="720"/>
        <w:jc w:val="both"/>
        <w:rPr>
          <w:rFonts w:ascii="Times New Roman" w:hAnsi="Times New Roman" w:cs="Times New Roman"/>
          <w:sz w:val="28"/>
          <w:szCs w:val="28"/>
        </w:rPr>
      </w:pPr>
      <w:r>
        <w:rPr>
          <w:rFonts w:ascii="Times New Roman" w:hAnsi="Times New Roman" w:cs="Times New Roman"/>
          <w:sz w:val="28"/>
          <w:szCs w:val="28"/>
        </w:rPr>
        <w:t>Verificările auditului și contrapunerea datelor din Raportul</w:t>
      </w:r>
      <w:r w:rsidR="0076727A" w:rsidRPr="00A16293">
        <w:rPr>
          <w:rFonts w:ascii="Times New Roman" w:hAnsi="Times New Roman" w:cs="Times New Roman"/>
          <w:sz w:val="28"/>
          <w:szCs w:val="28"/>
        </w:rPr>
        <w:t xml:space="preserve"> privind transferurile de la bugetul de stat către bugetele locale </w:t>
      </w:r>
      <w:r w:rsidR="0076727A">
        <w:rPr>
          <w:rFonts w:ascii="Times New Roman" w:hAnsi="Times New Roman" w:cs="Times New Roman"/>
          <w:sz w:val="28"/>
          <w:szCs w:val="28"/>
        </w:rPr>
        <w:t>pe anul 2017</w:t>
      </w:r>
      <w:r w:rsidR="0076727A">
        <w:rPr>
          <w:rStyle w:val="a9"/>
          <w:rFonts w:ascii="Times New Roman" w:hAnsi="Times New Roman" w:cs="Times New Roman"/>
          <w:sz w:val="28"/>
          <w:szCs w:val="28"/>
        </w:rPr>
        <w:footnoteReference w:id="30"/>
      </w:r>
      <w:r w:rsidR="0076727A">
        <w:rPr>
          <w:rFonts w:ascii="Times New Roman" w:hAnsi="Times New Roman" w:cs="Times New Roman"/>
          <w:sz w:val="28"/>
          <w:szCs w:val="28"/>
        </w:rPr>
        <w:t xml:space="preserve"> </w:t>
      </w:r>
      <w:r>
        <w:rPr>
          <w:rFonts w:ascii="Times New Roman" w:hAnsi="Times New Roman" w:cs="Times New Roman"/>
          <w:sz w:val="28"/>
          <w:szCs w:val="28"/>
        </w:rPr>
        <w:t>cu datele</w:t>
      </w:r>
      <w:r w:rsidR="0076727A">
        <w:rPr>
          <w:rFonts w:ascii="Times New Roman" w:hAnsi="Times New Roman" w:cs="Times New Roman"/>
          <w:sz w:val="28"/>
          <w:szCs w:val="28"/>
        </w:rPr>
        <w:t xml:space="preserve"> </w:t>
      </w:r>
      <w:r w:rsidR="0076727A" w:rsidRPr="009E1E40">
        <w:rPr>
          <w:rFonts w:ascii="Times New Roman" w:hAnsi="Times New Roman" w:cs="Times New Roman"/>
          <w:sz w:val="28"/>
          <w:szCs w:val="28"/>
        </w:rPr>
        <w:t>Informației privind executarea bugetelor locale pe venituri la situația din 31.12.2017</w:t>
      </w:r>
      <w:r w:rsidR="0076727A">
        <w:rPr>
          <w:rFonts w:ascii="Times New Roman" w:hAnsi="Times New Roman" w:cs="Times New Roman"/>
          <w:sz w:val="28"/>
          <w:szCs w:val="28"/>
        </w:rPr>
        <w:t xml:space="preserve">, </w:t>
      </w:r>
      <w:r>
        <w:rPr>
          <w:rFonts w:ascii="Times New Roman" w:hAnsi="Times New Roman" w:cs="Times New Roman"/>
          <w:sz w:val="28"/>
          <w:szCs w:val="28"/>
        </w:rPr>
        <w:t>care</w:t>
      </w:r>
      <w:r w:rsidR="00764D6E">
        <w:rPr>
          <w:rFonts w:ascii="Times New Roman" w:hAnsi="Times New Roman" w:cs="Times New Roman"/>
          <w:sz w:val="28"/>
          <w:szCs w:val="28"/>
        </w:rPr>
        <w:t xml:space="preserve"> </w:t>
      </w:r>
      <w:r>
        <w:rPr>
          <w:rFonts w:ascii="Times New Roman" w:hAnsi="Times New Roman" w:cs="Times New Roman"/>
          <w:sz w:val="28"/>
          <w:szCs w:val="28"/>
        </w:rPr>
        <w:t xml:space="preserve">prezintă </w:t>
      </w:r>
      <w:r w:rsidR="0076727A">
        <w:rPr>
          <w:rFonts w:ascii="Times New Roman" w:hAnsi="Times New Roman" w:cs="Times New Roman"/>
          <w:sz w:val="28"/>
          <w:szCs w:val="28"/>
        </w:rPr>
        <w:t>date agregate din sistemul de evidență al Ministerului Finanțelor, a</w:t>
      </w:r>
      <w:r w:rsidR="00764D6E">
        <w:rPr>
          <w:rFonts w:ascii="Times New Roman" w:hAnsi="Times New Roman" w:cs="Times New Roman"/>
          <w:sz w:val="28"/>
          <w:szCs w:val="28"/>
        </w:rPr>
        <w:t>u</w:t>
      </w:r>
      <w:r w:rsidR="0076727A" w:rsidRPr="00A16293">
        <w:rPr>
          <w:rFonts w:ascii="Times New Roman" w:hAnsi="Times New Roman" w:cs="Times New Roman"/>
          <w:sz w:val="28"/>
          <w:szCs w:val="28"/>
        </w:rPr>
        <w:t xml:space="preserve"> </w:t>
      </w:r>
      <w:r w:rsidR="0076727A">
        <w:rPr>
          <w:rFonts w:ascii="Times New Roman" w:hAnsi="Times New Roman" w:cs="Times New Roman"/>
          <w:sz w:val="28"/>
          <w:szCs w:val="28"/>
        </w:rPr>
        <w:t>identificat</w:t>
      </w:r>
      <w:r w:rsidR="0076727A" w:rsidRPr="00A16293">
        <w:rPr>
          <w:rFonts w:ascii="Times New Roman" w:hAnsi="Times New Roman" w:cs="Times New Roman"/>
          <w:sz w:val="28"/>
          <w:szCs w:val="28"/>
        </w:rPr>
        <w:t xml:space="preserve"> că din bugetul de stat au fost </w:t>
      </w:r>
      <w:r w:rsidR="009E1E40">
        <w:rPr>
          <w:rFonts w:ascii="Times New Roman" w:hAnsi="Times New Roman" w:cs="Times New Roman"/>
          <w:sz w:val="28"/>
          <w:szCs w:val="28"/>
        </w:rPr>
        <w:t>alocate</w:t>
      </w:r>
      <w:r w:rsidR="0076727A" w:rsidRPr="00A16293">
        <w:rPr>
          <w:rFonts w:ascii="Times New Roman" w:hAnsi="Times New Roman" w:cs="Times New Roman"/>
          <w:sz w:val="28"/>
          <w:szCs w:val="28"/>
        </w:rPr>
        <w:t xml:space="preserve"> transferuri cu destinație specială în valoare de 424,4 m</w:t>
      </w:r>
      <w:r w:rsidR="00C41486">
        <w:rPr>
          <w:rFonts w:ascii="Times New Roman" w:hAnsi="Times New Roman" w:cs="Times New Roman"/>
          <w:sz w:val="28"/>
          <w:szCs w:val="28"/>
        </w:rPr>
        <w:t xml:space="preserve">il.lei, care nu sunt parte componentă a Anexei nr.5 din Legea bugetului de stat pentru anul </w:t>
      </w:r>
      <w:r w:rsidR="002B20CB">
        <w:rPr>
          <w:rFonts w:ascii="Times New Roman" w:hAnsi="Times New Roman" w:cs="Times New Roman"/>
          <w:sz w:val="28"/>
          <w:szCs w:val="28"/>
        </w:rPr>
        <w:t>2017</w:t>
      </w:r>
      <w:r w:rsidR="002B20CB">
        <w:rPr>
          <w:rStyle w:val="a9"/>
          <w:rFonts w:ascii="Times New Roman" w:hAnsi="Times New Roman" w:cs="Times New Roman"/>
          <w:sz w:val="28"/>
          <w:szCs w:val="28"/>
        </w:rPr>
        <w:footnoteReference w:id="31"/>
      </w:r>
      <w:r w:rsidR="002B20CB">
        <w:rPr>
          <w:rFonts w:ascii="Times New Roman" w:hAnsi="Times New Roman" w:cs="Times New Roman"/>
          <w:sz w:val="28"/>
          <w:szCs w:val="28"/>
        </w:rPr>
        <w:t>.</w:t>
      </w:r>
      <w:r w:rsidR="00764D6E">
        <w:rPr>
          <w:rFonts w:ascii="Times New Roman" w:hAnsi="Times New Roman" w:cs="Times New Roman"/>
          <w:sz w:val="28"/>
          <w:szCs w:val="28"/>
        </w:rPr>
        <w:t xml:space="preserve"> </w:t>
      </w:r>
      <w:r w:rsidR="0076727A">
        <w:rPr>
          <w:rFonts w:ascii="Times New Roman" w:hAnsi="Times New Roman" w:cs="Times New Roman"/>
          <w:sz w:val="28"/>
          <w:szCs w:val="28"/>
        </w:rPr>
        <w:t xml:space="preserve">La solicitarea </w:t>
      </w:r>
      <w:r w:rsidR="0076727A" w:rsidRPr="001D721C">
        <w:rPr>
          <w:rFonts w:ascii="Times New Roman" w:hAnsi="Times New Roman" w:cs="Times New Roman"/>
          <w:sz w:val="28"/>
          <w:szCs w:val="28"/>
        </w:rPr>
        <w:t>echipei de audit</w:t>
      </w:r>
      <w:r>
        <w:rPr>
          <w:rFonts w:ascii="Times New Roman" w:hAnsi="Times New Roman" w:cs="Times New Roman"/>
          <w:sz w:val="28"/>
          <w:szCs w:val="28"/>
        </w:rPr>
        <w:t>,</w:t>
      </w:r>
      <w:r w:rsidR="0076727A">
        <w:rPr>
          <w:rFonts w:ascii="Times New Roman" w:hAnsi="Times New Roman" w:cs="Times New Roman"/>
          <w:sz w:val="28"/>
          <w:szCs w:val="28"/>
        </w:rPr>
        <w:t xml:space="preserve"> Ministerul Finanțelor a prezentat o notă informativă prin care se atestă că </w:t>
      </w:r>
      <w:r>
        <w:rPr>
          <w:rFonts w:ascii="Times New Roman" w:hAnsi="Times New Roman" w:cs="Times New Roman"/>
          <w:sz w:val="28"/>
          <w:szCs w:val="28"/>
        </w:rPr>
        <w:t xml:space="preserve">din </w:t>
      </w:r>
      <w:r w:rsidR="0076727A">
        <w:rPr>
          <w:rFonts w:ascii="Times New Roman" w:hAnsi="Times New Roman" w:cs="Times New Roman"/>
          <w:sz w:val="28"/>
          <w:szCs w:val="28"/>
        </w:rPr>
        <w:t>aceste</w:t>
      </w:r>
      <w:r>
        <w:rPr>
          <w:rFonts w:ascii="Times New Roman" w:hAnsi="Times New Roman" w:cs="Times New Roman"/>
          <w:sz w:val="28"/>
          <w:szCs w:val="28"/>
        </w:rPr>
        <w:t xml:space="preserve">a, </w:t>
      </w:r>
      <w:r w:rsidRPr="00E42170">
        <w:rPr>
          <w:rFonts w:ascii="Times New Roman" w:hAnsi="Times New Roman" w:cs="Times New Roman"/>
          <w:sz w:val="28"/>
          <w:szCs w:val="28"/>
        </w:rPr>
        <w:t>312,9</w:t>
      </w:r>
      <w:r>
        <w:rPr>
          <w:rFonts w:ascii="Times New Roman" w:hAnsi="Times New Roman" w:cs="Times New Roman"/>
          <w:sz w:val="28"/>
          <w:szCs w:val="28"/>
        </w:rPr>
        <w:t xml:space="preserve"> mil.lei</w:t>
      </w:r>
      <w:r w:rsidR="0076727A">
        <w:rPr>
          <w:rFonts w:ascii="Times New Roman" w:hAnsi="Times New Roman" w:cs="Times New Roman"/>
          <w:sz w:val="28"/>
          <w:szCs w:val="28"/>
        </w:rPr>
        <w:t xml:space="preserve"> au fost executate</w:t>
      </w:r>
      <w:r>
        <w:rPr>
          <w:rFonts w:ascii="Times New Roman" w:hAnsi="Times New Roman" w:cs="Times New Roman"/>
          <w:sz w:val="28"/>
          <w:szCs w:val="28"/>
        </w:rPr>
        <w:t>/transferate</w:t>
      </w:r>
      <w:r w:rsidR="00664C58">
        <w:rPr>
          <w:rFonts w:ascii="Times New Roman" w:hAnsi="Times New Roman" w:cs="Times New Roman"/>
          <w:sz w:val="28"/>
          <w:szCs w:val="28"/>
        </w:rPr>
        <w:t xml:space="preserve"> </w:t>
      </w:r>
      <w:r w:rsidR="0076727A" w:rsidRPr="00A16293">
        <w:rPr>
          <w:rFonts w:ascii="Times New Roman" w:hAnsi="Times New Roman" w:cs="Times New Roman"/>
          <w:sz w:val="28"/>
          <w:szCs w:val="28"/>
        </w:rPr>
        <w:t>din</w:t>
      </w:r>
      <w:r>
        <w:rPr>
          <w:rFonts w:ascii="Times New Roman" w:hAnsi="Times New Roman" w:cs="Times New Roman"/>
          <w:sz w:val="28"/>
          <w:szCs w:val="28"/>
        </w:rPr>
        <w:t xml:space="preserve"> următoarele fonduri:</w:t>
      </w:r>
    </w:p>
    <w:p w:rsidR="0081465D" w:rsidRPr="0081465D" w:rsidRDefault="0076727A" w:rsidP="003F12B5">
      <w:pPr>
        <w:pStyle w:val="a5"/>
        <w:numPr>
          <w:ilvl w:val="0"/>
          <w:numId w:val="8"/>
        </w:numPr>
        <w:spacing w:after="0" w:line="276" w:lineRule="auto"/>
        <w:ind w:right="9"/>
        <w:jc w:val="both"/>
        <w:rPr>
          <w:rFonts w:ascii="Times New Roman" w:hAnsi="Times New Roman" w:cs="Times New Roman"/>
          <w:sz w:val="28"/>
          <w:szCs w:val="28"/>
        </w:rPr>
      </w:pPr>
      <w:r w:rsidRPr="0081465D">
        <w:rPr>
          <w:rFonts w:ascii="Times New Roman" w:hAnsi="Times New Roman" w:cs="Times New Roman"/>
          <w:sz w:val="28"/>
          <w:szCs w:val="28"/>
        </w:rPr>
        <w:t>Fondul</w:t>
      </w:r>
      <w:r w:rsidR="0081465D">
        <w:rPr>
          <w:rFonts w:ascii="Times New Roman" w:hAnsi="Times New Roman" w:cs="Times New Roman"/>
          <w:sz w:val="28"/>
          <w:szCs w:val="28"/>
        </w:rPr>
        <w:t xml:space="preserve"> Ecologic Național din Moldova –</w:t>
      </w:r>
      <w:r w:rsidRPr="0081465D">
        <w:rPr>
          <w:rFonts w:ascii="Times New Roman" w:hAnsi="Times New Roman" w:cs="Times New Roman"/>
          <w:sz w:val="28"/>
          <w:szCs w:val="28"/>
        </w:rPr>
        <w:t>191,8 mil.lei</w:t>
      </w:r>
      <w:r w:rsidR="00AD5D6B">
        <w:rPr>
          <w:rFonts w:ascii="Times New Roman" w:hAnsi="Times New Roman" w:cs="Times New Roman"/>
          <w:sz w:val="28"/>
          <w:szCs w:val="28"/>
        </w:rPr>
        <w:t>;</w:t>
      </w:r>
    </w:p>
    <w:p w:rsidR="0081465D" w:rsidRDefault="0076727A" w:rsidP="003F12B5">
      <w:pPr>
        <w:pStyle w:val="a5"/>
        <w:numPr>
          <w:ilvl w:val="0"/>
          <w:numId w:val="8"/>
        </w:numPr>
        <w:spacing w:after="0" w:line="276" w:lineRule="auto"/>
        <w:ind w:right="9"/>
        <w:jc w:val="both"/>
        <w:rPr>
          <w:rFonts w:ascii="Times New Roman" w:hAnsi="Times New Roman" w:cs="Times New Roman"/>
          <w:sz w:val="28"/>
          <w:szCs w:val="28"/>
        </w:rPr>
      </w:pPr>
      <w:r w:rsidRPr="0081465D">
        <w:rPr>
          <w:rFonts w:ascii="Times New Roman" w:hAnsi="Times New Roman" w:cs="Times New Roman"/>
          <w:sz w:val="28"/>
          <w:szCs w:val="28"/>
        </w:rPr>
        <w:t>Fondul de Investiții Sociale din Moldova</w:t>
      </w:r>
      <w:r w:rsidR="0081465D">
        <w:rPr>
          <w:rFonts w:ascii="Times New Roman" w:hAnsi="Times New Roman" w:cs="Times New Roman"/>
          <w:sz w:val="28"/>
          <w:szCs w:val="28"/>
        </w:rPr>
        <w:t xml:space="preserve"> – </w:t>
      </w:r>
      <w:r w:rsidRPr="0081465D">
        <w:rPr>
          <w:rFonts w:ascii="Times New Roman" w:hAnsi="Times New Roman" w:cs="Times New Roman"/>
          <w:sz w:val="28"/>
          <w:szCs w:val="28"/>
        </w:rPr>
        <w:t>29,2 mil.lei</w:t>
      </w:r>
      <w:r w:rsidR="00AD5D6B">
        <w:rPr>
          <w:rFonts w:ascii="Times New Roman" w:hAnsi="Times New Roman" w:cs="Times New Roman"/>
          <w:sz w:val="28"/>
          <w:szCs w:val="28"/>
        </w:rPr>
        <w:t>;</w:t>
      </w:r>
      <w:r w:rsidRPr="0081465D">
        <w:rPr>
          <w:rFonts w:ascii="Times New Roman" w:hAnsi="Times New Roman" w:cs="Times New Roman"/>
          <w:sz w:val="28"/>
          <w:szCs w:val="28"/>
        </w:rPr>
        <w:t xml:space="preserve"> </w:t>
      </w:r>
    </w:p>
    <w:p w:rsidR="0081465D" w:rsidRDefault="0076727A" w:rsidP="003F12B5">
      <w:pPr>
        <w:pStyle w:val="a5"/>
        <w:numPr>
          <w:ilvl w:val="0"/>
          <w:numId w:val="8"/>
        </w:numPr>
        <w:spacing w:after="0" w:line="276" w:lineRule="auto"/>
        <w:ind w:right="9"/>
        <w:jc w:val="both"/>
        <w:rPr>
          <w:rFonts w:ascii="Times New Roman" w:hAnsi="Times New Roman" w:cs="Times New Roman"/>
          <w:sz w:val="28"/>
          <w:szCs w:val="28"/>
        </w:rPr>
      </w:pPr>
      <w:r w:rsidRPr="0081465D">
        <w:rPr>
          <w:rFonts w:ascii="Times New Roman" w:hAnsi="Times New Roman" w:cs="Times New Roman"/>
          <w:sz w:val="28"/>
          <w:szCs w:val="28"/>
        </w:rPr>
        <w:t>Fondul Republican de Susținere S</w:t>
      </w:r>
      <w:r w:rsidR="0081465D">
        <w:rPr>
          <w:rFonts w:ascii="Times New Roman" w:hAnsi="Times New Roman" w:cs="Times New Roman"/>
          <w:sz w:val="28"/>
          <w:szCs w:val="28"/>
        </w:rPr>
        <w:t xml:space="preserve">ocială a </w:t>
      </w:r>
      <w:r w:rsidR="00AD5D6B">
        <w:rPr>
          <w:rFonts w:ascii="Times New Roman" w:hAnsi="Times New Roman" w:cs="Times New Roman"/>
          <w:sz w:val="28"/>
          <w:szCs w:val="28"/>
        </w:rPr>
        <w:t>P</w:t>
      </w:r>
      <w:r w:rsidR="0081465D">
        <w:rPr>
          <w:rFonts w:ascii="Times New Roman" w:hAnsi="Times New Roman" w:cs="Times New Roman"/>
          <w:sz w:val="28"/>
          <w:szCs w:val="28"/>
        </w:rPr>
        <w:t xml:space="preserve">opulației – </w:t>
      </w:r>
      <w:r w:rsidRPr="0081465D">
        <w:rPr>
          <w:rFonts w:ascii="Times New Roman" w:hAnsi="Times New Roman" w:cs="Times New Roman"/>
          <w:sz w:val="28"/>
          <w:szCs w:val="28"/>
        </w:rPr>
        <w:t>82,5 mil.lei</w:t>
      </w:r>
      <w:r w:rsidR="00AD5D6B">
        <w:rPr>
          <w:rFonts w:ascii="Times New Roman" w:hAnsi="Times New Roman" w:cs="Times New Roman"/>
          <w:sz w:val="28"/>
          <w:szCs w:val="28"/>
        </w:rPr>
        <w:t>;</w:t>
      </w:r>
    </w:p>
    <w:p w:rsidR="0081465D" w:rsidRDefault="0076727A" w:rsidP="003F12B5">
      <w:pPr>
        <w:pStyle w:val="a5"/>
        <w:numPr>
          <w:ilvl w:val="0"/>
          <w:numId w:val="8"/>
        </w:numPr>
        <w:spacing w:after="0" w:line="276" w:lineRule="auto"/>
        <w:ind w:right="9"/>
        <w:jc w:val="both"/>
        <w:rPr>
          <w:rFonts w:ascii="Times New Roman" w:hAnsi="Times New Roman" w:cs="Times New Roman"/>
          <w:sz w:val="28"/>
          <w:szCs w:val="28"/>
        </w:rPr>
      </w:pPr>
      <w:r w:rsidRPr="0081465D">
        <w:rPr>
          <w:rFonts w:ascii="Times New Roman" w:hAnsi="Times New Roman" w:cs="Times New Roman"/>
          <w:sz w:val="28"/>
          <w:szCs w:val="28"/>
        </w:rPr>
        <w:t>Fond</w:t>
      </w:r>
      <w:r w:rsidR="0081465D">
        <w:rPr>
          <w:rFonts w:ascii="Times New Roman" w:hAnsi="Times New Roman" w:cs="Times New Roman"/>
          <w:sz w:val="28"/>
          <w:szCs w:val="28"/>
        </w:rPr>
        <w:t xml:space="preserve">ul de intervenție al Guvernului – </w:t>
      </w:r>
      <w:r w:rsidRPr="0081465D">
        <w:rPr>
          <w:rFonts w:ascii="Times New Roman" w:hAnsi="Times New Roman" w:cs="Times New Roman"/>
          <w:sz w:val="28"/>
          <w:szCs w:val="28"/>
        </w:rPr>
        <w:t xml:space="preserve">9,4 mil.lei. </w:t>
      </w:r>
    </w:p>
    <w:p w:rsidR="009E1E40" w:rsidRDefault="009E1E40" w:rsidP="004425C9">
      <w:pPr>
        <w:spacing w:after="0" w:line="276" w:lineRule="auto"/>
        <w:ind w:right="9" w:firstLine="709"/>
        <w:jc w:val="both"/>
        <w:rPr>
          <w:rFonts w:ascii="Times New Roman" w:hAnsi="Times New Roman" w:cs="Times New Roman"/>
          <w:sz w:val="28"/>
          <w:szCs w:val="28"/>
        </w:rPr>
      </w:pPr>
      <w:r>
        <w:rPr>
          <w:rFonts w:ascii="Times New Roman" w:hAnsi="Times New Roman" w:cs="Times New Roman"/>
          <w:sz w:val="28"/>
          <w:szCs w:val="28"/>
        </w:rPr>
        <w:t>În opinia echipei de audit, în vederea asigurării principiului de transparență în relațiile dintre bugetul de stat și bugetele locale, se consideră oportun aplicarea procedurilor privind modificarea anexei corespunzătoare la Legea bugetară anuală.</w:t>
      </w:r>
    </w:p>
    <w:p w:rsidR="002161D1" w:rsidRDefault="0076727A" w:rsidP="004425C9">
      <w:pPr>
        <w:spacing w:after="0" w:line="276" w:lineRule="auto"/>
        <w:ind w:right="9" w:firstLine="709"/>
        <w:jc w:val="both"/>
        <w:rPr>
          <w:rFonts w:ascii="Times New Roman" w:hAnsi="Times New Roman" w:cs="Times New Roman"/>
          <w:sz w:val="28"/>
          <w:szCs w:val="28"/>
        </w:rPr>
      </w:pPr>
      <w:r w:rsidRPr="0081465D">
        <w:rPr>
          <w:rFonts w:ascii="Times New Roman" w:hAnsi="Times New Roman" w:cs="Times New Roman"/>
          <w:sz w:val="28"/>
          <w:szCs w:val="28"/>
        </w:rPr>
        <w:t xml:space="preserve">Concomitent, </w:t>
      </w:r>
      <w:r w:rsidR="002161D1">
        <w:rPr>
          <w:rFonts w:ascii="Times New Roman" w:hAnsi="Times New Roman" w:cs="Times New Roman"/>
          <w:sz w:val="28"/>
          <w:szCs w:val="28"/>
        </w:rPr>
        <w:t xml:space="preserve">au fost alocate BUAT transferuri în sumă de </w:t>
      </w:r>
      <w:r w:rsidR="002161D1" w:rsidRPr="00E42170">
        <w:rPr>
          <w:rFonts w:ascii="Times New Roman" w:hAnsi="Times New Roman" w:cs="Times New Roman"/>
          <w:sz w:val="28"/>
          <w:szCs w:val="28"/>
        </w:rPr>
        <w:t>111,5</w:t>
      </w:r>
      <w:r w:rsidR="002161D1">
        <w:rPr>
          <w:rFonts w:ascii="Times New Roman" w:hAnsi="Times New Roman" w:cs="Times New Roman"/>
          <w:sz w:val="28"/>
          <w:szCs w:val="28"/>
        </w:rPr>
        <w:t xml:space="preserve"> mil.lei</w:t>
      </w:r>
      <w:r w:rsidR="00AD5D6B">
        <w:rPr>
          <w:rFonts w:ascii="Times New Roman" w:hAnsi="Times New Roman" w:cs="Times New Roman"/>
          <w:sz w:val="28"/>
          <w:szCs w:val="28"/>
        </w:rPr>
        <w:t>,</w:t>
      </w:r>
      <w:r w:rsidR="002161D1" w:rsidRPr="0081465D">
        <w:rPr>
          <w:rFonts w:ascii="Times New Roman" w:hAnsi="Times New Roman" w:cs="Times New Roman"/>
          <w:sz w:val="28"/>
          <w:szCs w:val="28"/>
        </w:rPr>
        <w:t xml:space="preserve"> </w:t>
      </w:r>
      <w:r w:rsidR="00AD5D6B">
        <w:rPr>
          <w:rFonts w:ascii="Times New Roman" w:hAnsi="Times New Roman" w:cs="Times New Roman"/>
          <w:sz w:val="28"/>
          <w:szCs w:val="28"/>
        </w:rPr>
        <w:t>pentru</w:t>
      </w:r>
      <w:r w:rsidRPr="0081465D">
        <w:rPr>
          <w:rFonts w:ascii="Times New Roman" w:hAnsi="Times New Roman" w:cs="Times New Roman"/>
          <w:sz w:val="28"/>
          <w:szCs w:val="28"/>
        </w:rPr>
        <w:t xml:space="preserve"> realizarea prevederilor</w:t>
      </w:r>
      <w:r w:rsidR="002161D1">
        <w:rPr>
          <w:rFonts w:ascii="Times New Roman" w:hAnsi="Times New Roman" w:cs="Times New Roman"/>
          <w:sz w:val="28"/>
          <w:szCs w:val="28"/>
        </w:rPr>
        <w:t>:</w:t>
      </w:r>
    </w:p>
    <w:p w:rsidR="002161D1" w:rsidRDefault="0076727A" w:rsidP="003F12B5">
      <w:pPr>
        <w:pStyle w:val="a5"/>
        <w:numPr>
          <w:ilvl w:val="0"/>
          <w:numId w:val="9"/>
        </w:numPr>
        <w:tabs>
          <w:tab w:val="left" w:pos="993"/>
        </w:tabs>
        <w:spacing w:after="0" w:line="276" w:lineRule="auto"/>
        <w:ind w:left="0" w:right="9" w:firstLine="709"/>
        <w:jc w:val="both"/>
        <w:rPr>
          <w:rFonts w:ascii="Times New Roman" w:hAnsi="Times New Roman" w:cs="Times New Roman"/>
          <w:sz w:val="28"/>
          <w:szCs w:val="28"/>
        </w:rPr>
      </w:pPr>
      <w:r w:rsidRPr="002161D1">
        <w:rPr>
          <w:rFonts w:ascii="Times New Roman" w:hAnsi="Times New Roman" w:cs="Times New Roman"/>
          <w:sz w:val="28"/>
          <w:szCs w:val="28"/>
        </w:rPr>
        <w:t>Legii nr.1225-XII din 08.12.1992 privind reabilitarea vic</w:t>
      </w:r>
      <w:r w:rsidR="002161D1">
        <w:rPr>
          <w:rFonts w:ascii="Times New Roman" w:hAnsi="Times New Roman" w:cs="Times New Roman"/>
          <w:sz w:val="28"/>
          <w:szCs w:val="28"/>
        </w:rPr>
        <w:t>timelor represiunilor politice – 12,7 mil.lei;</w:t>
      </w:r>
    </w:p>
    <w:p w:rsidR="002161D1" w:rsidRDefault="0076727A" w:rsidP="003F12B5">
      <w:pPr>
        <w:pStyle w:val="a5"/>
        <w:numPr>
          <w:ilvl w:val="0"/>
          <w:numId w:val="9"/>
        </w:numPr>
        <w:tabs>
          <w:tab w:val="left" w:pos="993"/>
        </w:tabs>
        <w:spacing w:after="0" w:line="276" w:lineRule="auto"/>
        <w:ind w:left="0" w:right="9" w:firstLine="709"/>
        <w:jc w:val="both"/>
        <w:rPr>
          <w:rFonts w:ascii="Times New Roman" w:hAnsi="Times New Roman" w:cs="Times New Roman"/>
          <w:sz w:val="28"/>
          <w:szCs w:val="28"/>
        </w:rPr>
      </w:pPr>
      <w:r w:rsidRPr="002161D1">
        <w:rPr>
          <w:rFonts w:ascii="Times New Roman" w:hAnsi="Times New Roman" w:cs="Times New Roman"/>
          <w:sz w:val="28"/>
          <w:szCs w:val="28"/>
        </w:rPr>
        <w:t>Legii nr.154-XVI din 05.07.2007 privind acordarea compensației unice pentru conectarea la conducta de gaze naturale a unor categorii de populație din mediul rural – 0,</w:t>
      </w:r>
      <w:r w:rsidR="00E42170">
        <w:rPr>
          <w:rFonts w:ascii="Times New Roman" w:hAnsi="Times New Roman" w:cs="Times New Roman"/>
          <w:sz w:val="28"/>
          <w:szCs w:val="28"/>
        </w:rPr>
        <w:t>0</w:t>
      </w:r>
      <w:r w:rsidRPr="002161D1">
        <w:rPr>
          <w:rFonts w:ascii="Times New Roman" w:hAnsi="Times New Roman" w:cs="Times New Roman"/>
          <w:sz w:val="28"/>
          <w:szCs w:val="28"/>
        </w:rPr>
        <w:t>3 mil.</w:t>
      </w:r>
      <w:r w:rsidR="002161D1">
        <w:rPr>
          <w:rFonts w:ascii="Times New Roman" w:hAnsi="Times New Roman" w:cs="Times New Roman"/>
          <w:sz w:val="28"/>
          <w:szCs w:val="28"/>
        </w:rPr>
        <w:t>lei;</w:t>
      </w:r>
    </w:p>
    <w:p w:rsidR="002161D1" w:rsidRDefault="0076727A" w:rsidP="003F12B5">
      <w:pPr>
        <w:pStyle w:val="a5"/>
        <w:numPr>
          <w:ilvl w:val="0"/>
          <w:numId w:val="9"/>
        </w:numPr>
        <w:tabs>
          <w:tab w:val="left" w:pos="993"/>
        </w:tabs>
        <w:spacing w:after="0" w:line="276" w:lineRule="auto"/>
        <w:ind w:left="0" w:right="9" w:firstLine="709"/>
        <w:jc w:val="both"/>
        <w:rPr>
          <w:rFonts w:ascii="Times New Roman" w:hAnsi="Times New Roman" w:cs="Times New Roman"/>
          <w:sz w:val="28"/>
          <w:szCs w:val="28"/>
        </w:rPr>
      </w:pPr>
      <w:r w:rsidRPr="002161D1">
        <w:rPr>
          <w:rFonts w:ascii="Times New Roman" w:hAnsi="Times New Roman" w:cs="Times New Roman"/>
          <w:sz w:val="28"/>
          <w:szCs w:val="28"/>
        </w:rPr>
        <w:t>H</w:t>
      </w:r>
      <w:r w:rsidR="00FD0E90">
        <w:rPr>
          <w:rFonts w:ascii="Times New Roman" w:hAnsi="Times New Roman" w:cs="Times New Roman"/>
          <w:sz w:val="28"/>
          <w:szCs w:val="28"/>
        </w:rPr>
        <w:t xml:space="preserve">otărârea </w:t>
      </w:r>
      <w:r w:rsidRPr="002161D1">
        <w:rPr>
          <w:rFonts w:ascii="Times New Roman" w:hAnsi="Times New Roman" w:cs="Times New Roman"/>
          <w:sz w:val="28"/>
          <w:szCs w:val="28"/>
        </w:rPr>
        <w:t>G</w:t>
      </w:r>
      <w:r w:rsidR="00FD0E90">
        <w:rPr>
          <w:rFonts w:ascii="Times New Roman" w:hAnsi="Times New Roman" w:cs="Times New Roman"/>
          <w:sz w:val="28"/>
          <w:szCs w:val="28"/>
        </w:rPr>
        <w:t>uvernului</w:t>
      </w:r>
      <w:r w:rsidRPr="002161D1">
        <w:rPr>
          <w:rFonts w:ascii="Times New Roman" w:hAnsi="Times New Roman" w:cs="Times New Roman"/>
          <w:sz w:val="28"/>
          <w:szCs w:val="28"/>
        </w:rPr>
        <w:t xml:space="preserve"> nr.584 din 24.07.2017 </w:t>
      </w:r>
      <w:r w:rsidR="00980C12">
        <w:rPr>
          <w:rFonts w:ascii="Times New Roman" w:hAnsi="Times New Roman" w:cs="Times New Roman"/>
          <w:sz w:val="28"/>
          <w:szCs w:val="28"/>
        </w:rPr>
        <w:t>„C</w:t>
      </w:r>
      <w:r w:rsidRPr="002161D1">
        <w:rPr>
          <w:rFonts w:ascii="Times New Roman" w:hAnsi="Times New Roman" w:cs="Times New Roman"/>
          <w:sz w:val="28"/>
          <w:szCs w:val="28"/>
        </w:rPr>
        <w:t>u privire la aprobarea Programului activităților de reintegrare a țării pe anul 2017</w:t>
      </w:r>
      <w:r w:rsidR="00980C12">
        <w:rPr>
          <w:rFonts w:ascii="Times New Roman" w:hAnsi="Times New Roman" w:cs="Times New Roman"/>
          <w:sz w:val="28"/>
          <w:szCs w:val="28"/>
        </w:rPr>
        <w:t>”</w:t>
      </w:r>
      <w:r w:rsidRPr="002161D1">
        <w:rPr>
          <w:rFonts w:ascii="Times New Roman" w:hAnsi="Times New Roman" w:cs="Times New Roman"/>
          <w:sz w:val="28"/>
          <w:szCs w:val="28"/>
        </w:rPr>
        <w:t xml:space="preserve"> – 11,8 mil.lei</w:t>
      </w:r>
      <w:r w:rsidR="002161D1">
        <w:rPr>
          <w:rFonts w:ascii="Times New Roman" w:hAnsi="Times New Roman" w:cs="Times New Roman"/>
          <w:sz w:val="28"/>
          <w:szCs w:val="28"/>
        </w:rPr>
        <w:t>;</w:t>
      </w:r>
    </w:p>
    <w:p w:rsidR="002161D1" w:rsidRDefault="00FD0E90" w:rsidP="003F12B5">
      <w:pPr>
        <w:pStyle w:val="a5"/>
        <w:numPr>
          <w:ilvl w:val="0"/>
          <w:numId w:val="9"/>
        </w:numPr>
        <w:tabs>
          <w:tab w:val="left" w:pos="993"/>
        </w:tabs>
        <w:spacing w:after="0" w:line="276" w:lineRule="auto"/>
        <w:ind w:left="0" w:right="9" w:firstLine="709"/>
        <w:jc w:val="both"/>
        <w:rPr>
          <w:rFonts w:ascii="Times New Roman" w:hAnsi="Times New Roman" w:cs="Times New Roman"/>
          <w:sz w:val="28"/>
          <w:szCs w:val="28"/>
        </w:rPr>
      </w:pPr>
      <w:r w:rsidRPr="002161D1">
        <w:rPr>
          <w:rFonts w:ascii="Times New Roman" w:hAnsi="Times New Roman" w:cs="Times New Roman"/>
          <w:sz w:val="28"/>
          <w:szCs w:val="28"/>
        </w:rPr>
        <w:t>H</w:t>
      </w:r>
      <w:r>
        <w:rPr>
          <w:rFonts w:ascii="Times New Roman" w:hAnsi="Times New Roman" w:cs="Times New Roman"/>
          <w:sz w:val="28"/>
          <w:szCs w:val="28"/>
        </w:rPr>
        <w:t xml:space="preserve">otărârea </w:t>
      </w:r>
      <w:r w:rsidRPr="002161D1">
        <w:rPr>
          <w:rFonts w:ascii="Times New Roman" w:hAnsi="Times New Roman" w:cs="Times New Roman"/>
          <w:sz w:val="28"/>
          <w:szCs w:val="28"/>
        </w:rPr>
        <w:t>G</w:t>
      </w:r>
      <w:r>
        <w:rPr>
          <w:rFonts w:ascii="Times New Roman" w:hAnsi="Times New Roman" w:cs="Times New Roman"/>
          <w:sz w:val="28"/>
          <w:szCs w:val="28"/>
        </w:rPr>
        <w:t>uvernului</w:t>
      </w:r>
      <w:r w:rsidRPr="002161D1">
        <w:rPr>
          <w:rFonts w:ascii="Times New Roman" w:hAnsi="Times New Roman" w:cs="Times New Roman"/>
          <w:sz w:val="28"/>
          <w:szCs w:val="28"/>
        </w:rPr>
        <w:t xml:space="preserve"> </w:t>
      </w:r>
      <w:r w:rsidR="0076727A" w:rsidRPr="002161D1">
        <w:rPr>
          <w:rFonts w:ascii="Times New Roman" w:hAnsi="Times New Roman" w:cs="Times New Roman"/>
          <w:sz w:val="28"/>
          <w:szCs w:val="28"/>
        </w:rPr>
        <w:t xml:space="preserve">nr.836 din 13.09.2010 </w:t>
      </w:r>
      <w:r w:rsidR="00AD5D6B">
        <w:rPr>
          <w:rFonts w:ascii="Times New Roman" w:hAnsi="Times New Roman" w:cs="Times New Roman"/>
          <w:sz w:val="28"/>
          <w:szCs w:val="28"/>
        </w:rPr>
        <w:t>„C</w:t>
      </w:r>
      <w:r w:rsidR="0076727A" w:rsidRPr="002161D1">
        <w:rPr>
          <w:rFonts w:ascii="Times New Roman" w:hAnsi="Times New Roman" w:cs="Times New Roman"/>
          <w:sz w:val="28"/>
          <w:szCs w:val="28"/>
        </w:rPr>
        <w:t>u privire la acordarea indemnizațiilor unice pentru construcția sau procurarea spațiului locativ sau restaurarea caselor vechi unor categorii de cetățeni</w:t>
      </w:r>
      <w:r w:rsidR="00AD5D6B">
        <w:rPr>
          <w:rFonts w:ascii="Times New Roman" w:hAnsi="Times New Roman" w:cs="Times New Roman"/>
          <w:sz w:val="28"/>
          <w:szCs w:val="28"/>
        </w:rPr>
        <w:t>”</w:t>
      </w:r>
      <w:r w:rsidR="0076727A" w:rsidRPr="002161D1">
        <w:rPr>
          <w:rFonts w:ascii="Times New Roman" w:hAnsi="Times New Roman" w:cs="Times New Roman"/>
          <w:sz w:val="28"/>
          <w:szCs w:val="28"/>
        </w:rPr>
        <w:t xml:space="preserve"> – </w:t>
      </w:r>
      <w:r w:rsidR="002161D1">
        <w:rPr>
          <w:rFonts w:ascii="Times New Roman" w:hAnsi="Times New Roman" w:cs="Times New Roman"/>
          <w:sz w:val="28"/>
          <w:szCs w:val="28"/>
        </w:rPr>
        <w:t>7,7 mil.lei;</w:t>
      </w:r>
    </w:p>
    <w:p w:rsidR="0076727A" w:rsidRPr="002161D1" w:rsidRDefault="00912AD6" w:rsidP="003F12B5">
      <w:pPr>
        <w:pStyle w:val="a5"/>
        <w:numPr>
          <w:ilvl w:val="0"/>
          <w:numId w:val="9"/>
        </w:numPr>
        <w:tabs>
          <w:tab w:val="left" w:pos="993"/>
        </w:tabs>
        <w:spacing w:after="0" w:line="276" w:lineRule="auto"/>
        <w:ind w:left="0" w:right="9" w:firstLine="709"/>
        <w:jc w:val="both"/>
        <w:rPr>
          <w:rFonts w:ascii="Times New Roman" w:hAnsi="Times New Roman" w:cs="Times New Roman"/>
          <w:sz w:val="28"/>
          <w:szCs w:val="28"/>
        </w:rPr>
      </w:pPr>
      <w:r w:rsidRPr="002161D1">
        <w:rPr>
          <w:rFonts w:ascii="Times New Roman" w:hAnsi="Times New Roman" w:cs="Times New Roman"/>
          <w:sz w:val="28"/>
          <w:szCs w:val="28"/>
        </w:rPr>
        <w:lastRenderedPageBreak/>
        <w:t>H</w:t>
      </w:r>
      <w:r>
        <w:rPr>
          <w:rFonts w:ascii="Times New Roman" w:hAnsi="Times New Roman" w:cs="Times New Roman"/>
          <w:sz w:val="28"/>
          <w:szCs w:val="28"/>
        </w:rPr>
        <w:t xml:space="preserve">otărârea </w:t>
      </w:r>
      <w:r w:rsidRPr="002161D1">
        <w:rPr>
          <w:rFonts w:ascii="Times New Roman" w:hAnsi="Times New Roman" w:cs="Times New Roman"/>
          <w:sz w:val="28"/>
          <w:szCs w:val="28"/>
        </w:rPr>
        <w:t>G</w:t>
      </w:r>
      <w:r>
        <w:rPr>
          <w:rFonts w:ascii="Times New Roman" w:hAnsi="Times New Roman" w:cs="Times New Roman"/>
          <w:sz w:val="28"/>
          <w:szCs w:val="28"/>
        </w:rPr>
        <w:t>uvernului</w:t>
      </w:r>
      <w:r w:rsidR="0076727A" w:rsidRPr="002161D1">
        <w:rPr>
          <w:rFonts w:ascii="Times New Roman" w:hAnsi="Times New Roman" w:cs="Times New Roman"/>
          <w:sz w:val="28"/>
          <w:szCs w:val="28"/>
        </w:rPr>
        <w:t xml:space="preserve"> nr.183 din 22.03.2017 </w:t>
      </w:r>
      <w:r w:rsidR="00AD5D6B">
        <w:rPr>
          <w:rFonts w:ascii="Times New Roman" w:hAnsi="Times New Roman" w:cs="Times New Roman"/>
          <w:sz w:val="28"/>
          <w:szCs w:val="28"/>
        </w:rPr>
        <w:t>„P</w:t>
      </w:r>
      <w:r w:rsidR="0076727A" w:rsidRPr="002161D1">
        <w:rPr>
          <w:rFonts w:ascii="Times New Roman" w:hAnsi="Times New Roman" w:cs="Times New Roman"/>
          <w:sz w:val="28"/>
          <w:szCs w:val="28"/>
        </w:rPr>
        <w:t>rivind finanțarea lucrărilor de renovare a instituțiilor de învățământ primar, gimnazial și liceal din subordinea autorităților administrației publice locale în anul 2017</w:t>
      </w:r>
      <w:r w:rsidR="00AD5D6B">
        <w:rPr>
          <w:rFonts w:ascii="Times New Roman" w:hAnsi="Times New Roman" w:cs="Times New Roman"/>
          <w:sz w:val="28"/>
          <w:szCs w:val="28"/>
        </w:rPr>
        <w:t>”</w:t>
      </w:r>
      <w:r w:rsidR="0076727A" w:rsidRPr="002161D1">
        <w:rPr>
          <w:rFonts w:ascii="Times New Roman" w:hAnsi="Times New Roman" w:cs="Times New Roman"/>
          <w:sz w:val="28"/>
          <w:szCs w:val="28"/>
        </w:rPr>
        <w:t xml:space="preserve"> – </w:t>
      </w:r>
      <w:r w:rsidR="002161D1">
        <w:rPr>
          <w:rFonts w:ascii="Times New Roman" w:hAnsi="Times New Roman" w:cs="Times New Roman"/>
          <w:sz w:val="28"/>
          <w:szCs w:val="28"/>
        </w:rPr>
        <w:t>79,3 mil.lei.</w:t>
      </w:r>
    </w:p>
    <w:p w:rsidR="00126249" w:rsidRPr="00126249" w:rsidRDefault="00126249" w:rsidP="00BA4FED">
      <w:pPr>
        <w:spacing w:after="0" w:line="276" w:lineRule="auto"/>
        <w:ind w:right="11"/>
      </w:pPr>
    </w:p>
    <w:p w:rsidR="001E4F1C" w:rsidRPr="00457F49" w:rsidRDefault="00EF7596" w:rsidP="004425C9">
      <w:pPr>
        <w:pStyle w:val="a5"/>
        <w:numPr>
          <w:ilvl w:val="1"/>
          <w:numId w:val="1"/>
        </w:numPr>
        <w:spacing w:after="0" w:line="276" w:lineRule="auto"/>
        <w:ind w:left="0" w:firstLine="709"/>
        <w:jc w:val="both"/>
        <w:outlineLvl w:val="1"/>
        <w:rPr>
          <w:rFonts w:ascii="Times New Roman" w:hAnsi="Times New Roman" w:cs="Times New Roman"/>
          <w:b/>
          <w:i/>
          <w:sz w:val="28"/>
          <w:szCs w:val="28"/>
        </w:rPr>
      </w:pPr>
      <w:bookmarkStart w:id="16" w:name="_Toc515518989"/>
      <w:r w:rsidRPr="00B45AF1">
        <w:rPr>
          <w:rFonts w:ascii="Times New Roman" w:hAnsi="Times New Roman" w:cs="Times New Roman"/>
          <w:b/>
          <w:i/>
          <w:sz w:val="28"/>
          <w:szCs w:val="28"/>
        </w:rPr>
        <w:t>Aspectele</w:t>
      </w:r>
      <w:r w:rsidR="001E4F1C">
        <w:rPr>
          <w:rFonts w:ascii="Times New Roman" w:hAnsi="Times New Roman" w:cs="Times New Roman"/>
          <w:b/>
          <w:i/>
          <w:sz w:val="28"/>
          <w:szCs w:val="28"/>
        </w:rPr>
        <w:t xml:space="preserve"> de conformitate</w:t>
      </w:r>
      <w:bookmarkEnd w:id="16"/>
      <w:r w:rsidRPr="00AD2CCA">
        <w:rPr>
          <w:rFonts w:ascii="Times New Roman" w:hAnsi="Times New Roman" w:cs="Times New Roman"/>
          <w:b/>
          <w:i/>
          <w:sz w:val="28"/>
          <w:szCs w:val="28"/>
        </w:rPr>
        <w:t xml:space="preserve"> </w:t>
      </w:r>
    </w:p>
    <w:p w:rsidR="002608BC" w:rsidRPr="00B160B4" w:rsidRDefault="002204B9" w:rsidP="003F12B5">
      <w:pPr>
        <w:pStyle w:val="a5"/>
        <w:numPr>
          <w:ilvl w:val="2"/>
          <w:numId w:val="3"/>
        </w:numPr>
        <w:spacing w:after="0" w:line="276" w:lineRule="auto"/>
        <w:ind w:left="0" w:firstLine="709"/>
        <w:jc w:val="both"/>
        <w:outlineLvl w:val="2"/>
        <w:rPr>
          <w:rFonts w:ascii="Times New Roman" w:hAnsi="Times New Roman" w:cs="Times New Roman"/>
          <w:b/>
          <w:i/>
          <w:sz w:val="28"/>
          <w:szCs w:val="28"/>
        </w:rPr>
      </w:pPr>
      <w:r w:rsidRPr="001E4F1C">
        <w:rPr>
          <w:rFonts w:ascii="Times New Roman" w:hAnsi="Times New Roman"/>
          <w:b/>
          <w:i/>
          <w:sz w:val="28"/>
          <w:szCs w:val="28"/>
        </w:rPr>
        <w:t xml:space="preserve"> </w:t>
      </w:r>
      <w:bookmarkStart w:id="17" w:name="_Toc515518990"/>
      <w:r w:rsidR="00FB001B">
        <w:rPr>
          <w:rFonts w:ascii="Times New Roman" w:hAnsi="Times New Roman"/>
          <w:b/>
          <w:i/>
          <w:sz w:val="28"/>
          <w:szCs w:val="28"/>
        </w:rPr>
        <w:t>Ne</w:t>
      </w:r>
      <w:r w:rsidR="001E4F1C" w:rsidRPr="001E4F1C">
        <w:rPr>
          <w:rFonts w:ascii="Times New Roman" w:hAnsi="Times New Roman"/>
          <w:b/>
          <w:i/>
          <w:sz w:val="28"/>
          <w:szCs w:val="28"/>
        </w:rPr>
        <w:t>respecta</w:t>
      </w:r>
      <w:r w:rsidR="00FB001B">
        <w:rPr>
          <w:rFonts w:ascii="Times New Roman" w:hAnsi="Times New Roman"/>
          <w:b/>
          <w:i/>
          <w:sz w:val="28"/>
          <w:szCs w:val="28"/>
        </w:rPr>
        <w:t>rea</w:t>
      </w:r>
      <w:r w:rsidR="001E4F1C" w:rsidRPr="001E4F1C">
        <w:rPr>
          <w:rFonts w:ascii="Times New Roman" w:hAnsi="Times New Roman"/>
          <w:b/>
          <w:i/>
          <w:sz w:val="28"/>
          <w:szCs w:val="28"/>
        </w:rPr>
        <w:t xml:space="preserve"> calendarul</w:t>
      </w:r>
      <w:r w:rsidR="00FB001B">
        <w:rPr>
          <w:rFonts w:ascii="Times New Roman" w:hAnsi="Times New Roman"/>
          <w:b/>
          <w:i/>
          <w:sz w:val="28"/>
          <w:szCs w:val="28"/>
        </w:rPr>
        <w:t>ui</w:t>
      </w:r>
      <w:r w:rsidR="001E4F1C" w:rsidRPr="001E4F1C">
        <w:rPr>
          <w:rFonts w:ascii="Times New Roman" w:hAnsi="Times New Roman"/>
          <w:b/>
          <w:i/>
          <w:sz w:val="28"/>
          <w:szCs w:val="28"/>
        </w:rPr>
        <w:t xml:space="preserve"> bugetar pentru elaborarea, aprobarea și raportarea </w:t>
      </w:r>
      <w:r w:rsidR="00AD5D6B">
        <w:rPr>
          <w:rFonts w:ascii="Times New Roman" w:hAnsi="Times New Roman"/>
          <w:b/>
          <w:i/>
          <w:sz w:val="28"/>
          <w:szCs w:val="28"/>
        </w:rPr>
        <w:t>bugetului de stat</w:t>
      </w:r>
      <w:r w:rsidR="001E4F1C" w:rsidRPr="001E4F1C">
        <w:rPr>
          <w:rFonts w:ascii="Times New Roman" w:hAnsi="Times New Roman"/>
          <w:b/>
          <w:i/>
          <w:sz w:val="28"/>
          <w:szCs w:val="28"/>
        </w:rPr>
        <w:t xml:space="preserve"> pentru anul 2017</w:t>
      </w:r>
      <w:bookmarkEnd w:id="17"/>
    </w:p>
    <w:p w:rsidR="00ED79FF" w:rsidRDefault="00B160B4" w:rsidP="004425C9">
      <w:pPr>
        <w:shd w:val="clear" w:color="auto" w:fill="FFFFFF" w:themeFill="background1"/>
        <w:tabs>
          <w:tab w:val="left" w:pos="284"/>
        </w:tabs>
        <w:spacing w:after="120" w:line="276" w:lineRule="auto"/>
        <w:ind w:firstLine="709"/>
        <w:contextualSpacing/>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Conform </w:t>
      </w:r>
      <w:r w:rsidR="00ED79FF">
        <w:rPr>
          <w:rFonts w:ascii="Times New Roman" w:eastAsiaTheme="minorEastAsia" w:hAnsi="Times New Roman" w:cs="Times New Roman"/>
          <w:sz w:val="28"/>
          <w:szCs w:val="28"/>
        </w:rPr>
        <w:t>cadrului legal</w:t>
      </w:r>
      <w:r w:rsidR="00ED79FF">
        <w:rPr>
          <w:rStyle w:val="a9"/>
          <w:rFonts w:ascii="Times New Roman" w:eastAsiaTheme="minorEastAsia" w:hAnsi="Times New Roman" w:cs="Times New Roman"/>
          <w:sz w:val="28"/>
          <w:szCs w:val="28"/>
        </w:rPr>
        <w:footnoteReference w:id="32"/>
      </w:r>
      <w:r w:rsidR="00ED79FF">
        <w:rPr>
          <w:rFonts w:ascii="Times New Roman" w:eastAsiaTheme="minorEastAsia" w:hAnsi="Times New Roman" w:cs="Times New Roman"/>
          <w:sz w:val="28"/>
          <w:szCs w:val="28"/>
        </w:rPr>
        <w:t xml:space="preserve">, </w:t>
      </w:r>
      <w:r w:rsidR="00ED79FF" w:rsidRPr="00FB001B">
        <w:rPr>
          <w:rFonts w:ascii="Times New Roman" w:eastAsiaTheme="minorEastAsia" w:hAnsi="Times New Roman" w:cs="Times New Roman"/>
          <w:i/>
          <w:sz w:val="28"/>
          <w:szCs w:val="28"/>
        </w:rPr>
        <w:t>calendarul bugetar</w:t>
      </w:r>
      <w:r w:rsidR="00ED79FF">
        <w:rPr>
          <w:rFonts w:ascii="Times New Roman" w:eastAsiaTheme="minorEastAsia" w:hAnsi="Times New Roman" w:cs="Times New Roman"/>
          <w:i/>
          <w:sz w:val="28"/>
          <w:szCs w:val="28"/>
        </w:rPr>
        <w:t xml:space="preserve"> </w:t>
      </w:r>
      <w:r w:rsidR="00ED79FF" w:rsidRPr="00515CB3">
        <w:rPr>
          <w:rFonts w:ascii="Times New Roman" w:eastAsiaTheme="minorEastAsia" w:hAnsi="Times New Roman" w:cs="Times New Roman"/>
          <w:i/>
          <w:sz w:val="28"/>
          <w:szCs w:val="28"/>
        </w:rPr>
        <w:t>reprezintă un plan de activități aferente procesului bugetar, în care sunt stabilite termenele de realizare a acestora și autoritățile responsabile</w:t>
      </w:r>
      <w:r w:rsidR="00ED79FF">
        <w:rPr>
          <w:rFonts w:ascii="Times New Roman" w:eastAsiaTheme="minorEastAsia" w:hAnsi="Times New Roman" w:cs="Times New Roman"/>
          <w:sz w:val="28"/>
          <w:szCs w:val="28"/>
        </w:rPr>
        <w:t xml:space="preserve">. Principalele activități și termene-limită ale calendarului bugetar sunt prevăzute în art.47 al Legii </w:t>
      </w:r>
      <w:r w:rsidR="00ED79FF" w:rsidRPr="008D4913">
        <w:rPr>
          <w:rFonts w:ascii="Times New Roman" w:eastAsiaTheme="minorEastAsia" w:hAnsi="Times New Roman" w:cs="Times New Roman"/>
          <w:sz w:val="28"/>
          <w:szCs w:val="28"/>
        </w:rPr>
        <w:t>finanțelor publice și responsabilității bugetar-fiscale nr.181 din 25.07.2014</w:t>
      </w:r>
      <w:r w:rsidR="00ED79FF">
        <w:rPr>
          <w:rFonts w:ascii="Times New Roman" w:eastAsiaTheme="minorEastAsia" w:hAnsi="Times New Roman" w:cs="Times New Roman"/>
          <w:sz w:val="28"/>
          <w:szCs w:val="28"/>
        </w:rPr>
        <w:t xml:space="preserve">. </w:t>
      </w:r>
    </w:p>
    <w:p w:rsidR="00ED79FF" w:rsidRDefault="00AD5D6B" w:rsidP="004425C9">
      <w:pPr>
        <w:shd w:val="clear" w:color="auto" w:fill="FFFFFF" w:themeFill="background1"/>
        <w:tabs>
          <w:tab w:val="left" w:pos="284"/>
        </w:tabs>
        <w:spacing w:after="0" w:line="276"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Pe</w:t>
      </w:r>
      <w:r w:rsidR="00FB001B">
        <w:rPr>
          <w:rFonts w:ascii="Times New Roman" w:eastAsiaTheme="minorEastAsia" w:hAnsi="Times New Roman" w:cs="Times New Roman"/>
          <w:sz w:val="28"/>
          <w:szCs w:val="28"/>
        </w:rPr>
        <w:t>ntru executarea prevederilor legale prin</w:t>
      </w:r>
      <w:r w:rsidR="00ED79FF">
        <w:rPr>
          <w:rFonts w:ascii="Times New Roman" w:eastAsiaTheme="minorEastAsia" w:hAnsi="Times New Roman" w:cs="Times New Roman"/>
          <w:sz w:val="28"/>
          <w:szCs w:val="28"/>
        </w:rPr>
        <w:t xml:space="preserve"> Ordinul MF nr.209 din 24.12.2015, a fost aprobat </w:t>
      </w:r>
      <w:r w:rsidR="00ED79FF">
        <w:rPr>
          <w:rFonts w:ascii="Times New Roman" w:eastAsiaTheme="minorEastAsia" w:hAnsi="Times New Roman" w:cs="Times New Roman"/>
          <w:i/>
          <w:sz w:val="28"/>
          <w:szCs w:val="28"/>
        </w:rPr>
        <w:t>Setul</w:t>
      </w:r>
      <w:r w:rsidR="00ED79FF" w:rsidRPr="00084090">
        <w:rPr>
          <w:rFonts w:ascii="Times New Roman" w:eastAsiaTheme="minorEastAsia" w:hAnsi="Times New Roman" w:cs="Times New Roman"/>
          <w:i/>
          <w:sz w:val="28"/>
          <w:szCs w:val="28"/>
        </w:rPr>
        <w:t xml:space="preserve"> metodologic privind elaborarea, aprobarea și modificarea bugetului</w:t>
      </w:r>
      <w:r w:rsidR="00ED79FF">
        <w:rPr>
          <w:rFonts w:ascii="Times New Roman" w:eastAsiaTheme="minorEastAsia" w:hAnsi="Times New Roman" w:cs="Times New Roman"/>
          <w:sz w:val="28"/>
          <w:szCs w:val="28"/>
        </w:rPr>
        <w:t xml:space="preserve">, în care sunt stabilite etapele principale și responsabilitățile pentru elaborarea și adoptarea legii anuale a bugetului de stat, acțiunile și termenele de realizare a acestora. </w:t>
      </w:r>
      <w:r w:rsidR="00FB001B">
        <w:rPr>
          <w:rFonts w:ascii="Times New Roman" w:eastAsiaTheme="minorEastAsia" w:hAnsi="Times New Roman" w:cs="Times New Roman"/>
          <w:sz w:val="28"/>
          <w:szCs w:val="28"/>
        </w:rPr>
        <w:t xml:space="preserve">Verificările efectuate de audit </w:t>
      </w:r>
      <w:r w:rsidR="00ED79FF">
        <w:rPr>
          <w:rFonts w:ascii="Times New Roman" w:eastAsiaTheme="minorEastAsia" w:hAnsi="Times New Roman" w:cs="Times New Roman"/>
          <w:sz w:val="28"/>
          <w:szCs w:val="28"/>
        </w:rPr>
        <w:t>a</w:t>
      </w:r>
      <w:r w:rsidR="00FB001B">
        <w:rPr>
          <w:rFonts w:ascii="Times New Roman" w:eastAsiaTheme="minorEastAsia" w:hAnsi="Times New Roman" w:cs="Times New Roman"/>
          <w:sz w:val="28"/>
          <w:szCs w:val="28"/>
        </w:rPr>
        <w:t>u</w:t>
      </w:r>
      <w:r w:rsidR="00ED79FF">
        <w:rPr>
          <w:rFonts w:ascii="Times New Roman" w:eastAsiaTheme="minorEastAsia" w:hAnsi="Times New Roman" w:cs="Times New Roman"/>
          <w:sz w:val="28"/>
          <w:szCs w:val="28"/>
        </w:rPr>
        <w:t xml:space="preserve"> constatat: </w:t>
      </w:r>
    </w:p>
    <w:p w:rsidR="00ED79FF" w:rsidRDefault="00AD5D6B" w:rsidP="003F12B5">
      <w:pPr>
        <w:pStyle w:val="a5"/>
        <w:numPr>
          <w:ilvl w:val="0"/>
          <w:numId w:val="4"/>
        </w:numPr>
        <w:shd w:val="clear" w:color="auto" w:fill="FFFFFF" w:themeFill="background1"/>
        <w:tabs>
          <w:tab w:val="left" w:pos="284"/>
          <w:tab w:val="left" w:pos="993"/>
        </w:tabs>
        <w:spacing w:after="120" w:line="276" w:lineRule="auto"/>
        <w:ind w:left="0" w:firstLine="709"/>
        <w:jc w:val="both"/>
        <w:rPr>
          <w:rFonts w:ascii="Times New Roman" w:hAnsi="Times New Roman" w:cs="Times New Roman"/>
          <w:sz w:val="28"/>
          <w:szCs w:val="28"/>
        </w:rPr>
      </w:pPr>
      <w:r>
        <w:rPr>
          <w:rFonts w:ascii="Times New Roman" w:hAnsi="Times New Roman" w:cs="Times New Roman"/>
          <w:i/>
          <w:sz w:val="28"/>
          <w:szCs w:val="28"/>
        </w:rPr>
        <w:t>n</w:t>
      </w:r>
      <w:r w:rsidR="00ED79FF">
        <w:rPr>
          <w:rFonts w:ascii="Times New Roman" w:hAnsi="Times New Roman" w:cs="Times New Roman"/>
          <w:i/>
          <w:sz w:val="28"/>
          <w:szCs w:val="28"/>
        </w:rPr>
        <w:t>erespectarea termenelor</w:t>
      </w:r>
      <w:r w:rsidR="00ED79FF" w:rsidRPr="00515CB3">
        <w:rPr>
          <w:rFonts w:ascii="Times New Roman" w:hAnsi="Times New Roman" w:cs="Times New Roman"/>
          <w:i/>
          <w:sz w:val="28"/>
          <w:szCs w:val="28"/>
        </w:rPr>
        <w:t xml:space="preserve"> prevăzute</w:t>
      </w:r>
      <w:r w:rsidR="00ED79FF">
        <w:rPr>
          <w:rFonts w:ascii="Times New Roman" w:hAnsi="Times New Roman" w:cs="Times New Roman"/>
          <w:i/>
          <w:sz w:val="28"/>
          <w:szCs w:val="28"/>
        </w:rPr>
        <w:t xml:space="preserve"> de cadrul legal la </w:t>
      </w:r>
      <w:r w:rsidR="00ED79FF" w:rsidRPr="00D53B6B">
        <w:rPr>
          <w:rFonts w:ascii="Times New Roman" w:hAnsi="Times New Roman" w:cs="Times New Roman"/>
          <w:i/>
          <w:sz w:val="28"/>
          <w:szCs w:val="28"/>
        </w:rPr>
        <w:t xml:space="preserve">etapa de elaborare a proiectului </w:t>
      </w:r>
      <w:r w:rsidR="00F35AAE">
        <w:rPr>
          <w:rFonts w:ascii="Times New Roman" w:hAnsi="Times New Roman" w:cs="Times New Roman"/>
          <w:i/>
          <w:sz w:val="28"/>
          <w:szCs w:val="28"/>
        </w:rPr>
        <w:t>bugetului de stat</w:t>
      </w:r>
      <w:r w:rsidR="00ED79FF" w:rsidRPr="00D53B6B">
        <w:rPr>
          <w:rFonts w:ascii="Times New Roman" w:hAnsi="Times New Roman" w:cs="Times New Roman"/>
          <w:i/>
          <w:sz w:val="28"/>
          <w:szCs w:val="28"/>
        </w:rPr>
        <w:t xml:space="preserve"> și, respectiv, la etapa de adoptare a Legii bugetului de stat</w:t>
      </w:r>
      <w:r w:rsidR="00ED79FF">
        <w:rPr>
          <w:rFonts w:ascii="Times New Roman" w:hAnsi="Times New Roman" w:cs="Times New Roman"/>
          <w:sz w:val="28"/>
          <w:szCs w:val="28"/>
        </w:rPr>
        <w:t xml:space="preserve"> </w:t>
      </w:r>
      <w:r w:rsidR="00ED79FF">
        <w:rPr>
          <w:rFonts w:ascii="Times New Roman" w:hAnsi="Times New Roman" w:cs="Times New Roman"/>
          <w:i/>
          <w:sz w:val="28"/>
          <w:szCs w:val="28"/>
        </w:rPr>
        <w:t>pentru anul 2017.</w:t>
      </w:r>
      <w:r w:rsidR="00ED79FF">
        <w:rPr>
          <w:rFonts w:ascii="Times New Roman" w:hAnsi="Times New Roman" w:cs="Times New Roman"/>
          <w:sz w:val="28"/>
          <w:szCs w:val="28"/>
        </w:rPr>
        <w:t xml:space="preserve"> </w:t>
      </w:r>
      <w:r w:rsidR="00ED79FF" w:rsidRPr="001330D6">
        <w:rPr>
          <w:rFonts w:ascii="Times New Roman" w:hAnsi="Times New Roman" w:cs="Times New Roman"/>
          <w:sz w:val="28"/>
          <w:szCs w:val="28"/>
        </w:rPr>
        <w:t xml:space="preserve">Astfel, MF a remis pentru examinare și aprobare Guvernului proiectul Legii bugetului de stat pentru anul 2017 </w:t>
      </w:r>
      <w:r w:rsidR="00ED79FF">
        <w:rPr>
          <w:rFonts w:ascii="Times New Roman" w:hAnsi="Times New Roman" w:cs="Times New Roman"/>
          <w:sz w:val="28"/>
          <w:szCs w:val="28"/>
        </w:rPr>
        <w:t xml:space="preserve">cu o întârziere </w:t>
      </w:r>
      <w:r w:rsidR="00ED79FF" w:rsidRPr="00E82821">
        <w:rPr>
          <w:rFonts w:ascii="Times New Roman" w:hAnsi="Times New Roman" w:cs="Times New Roman"/>
          <w:sz w:val="28"/>
          <w:szCs w:val="28"/>
        </w:rPr>
        <w:t xml:space="preserve">de </w:t>
      </w:r>
      <w:r w:rsidR="00ED79FF">
        <w:rPr>
          <w:rFonts w:ascii="Times New Roman" w:hAnsi="Times New Roman" w:cs="Times New Roman"/>
          <w:sz w:val="28"/>
          <w:szCs w:val="28"/>
        </w:rPr>
        <w:t xml:space="preserve">78 </w:t>
      </w:r>
      <w:r w:rsidR="00F35AAE">
        <w:rPr>
          <w:rFonts w:ascii="Times New Roman" w:hAnsi="Times New Roman" w:cs="Times New Roman"/>
          <w:sz w:val="28"/>
          <w:szCs w:val="28"/>
        </w:rPr>
        <w:t xml:space="preserve">de </w:t>
      </w:r>
      <w:r w:rsidR="00ED79FF">
        <w:rPr>
          <w:rFonts w:ascii="Times New Roman" w:hAnsi="Times New Roman" w:cs="Times New Roman"/>
          <w:sz w:val="28"/>
          <w:szCs w:val="28"/>
        </w:rPr>
        <w:t xml:space="preserve">zile (la data de </w:t>
      </w:r>
      <w:r w:rsidR="00ED79FF" w:rsidRPr="001330D6">
        <w:rPr>
          <w:rFonts w:ascii="Times New Roman" w:hAnsi="Times New Roman" w:cs="Times New Roman"/>
          <w:sz w:val="28"/>
          <w:szCs w:val="28"/>
        </w:rPr>
        <w:t>02.12.2016</w:t>
      </w:r>
      <w:r w:rsidR="00ED79FF">
        <w:rPr>
          <w:rFonts w:ascii="Times New Roman" w:hAnsi="Times New Roman" w:cs="Times New Roman"/>
          <w:sz w:val="28"/>
          <w:szCs w:val="28"/>
        </w:rPr>
        <w:t>),</w:t>
      </w:r>
      <w:r w:rsidR="00ED79FF" w:rsidRPr="001330D6">
        <w:rPr>
          <w:rFonts w:ascii="Times New Roman" w:hAnsi="Times New Roman" w:cs="Times New Roman"/>
          <w:sz w:val="28"/>
          <w:szCs w:val="28"/>
        </w:rPr>
        <w:t xml:space="preserve"> </w:t>
      </w:r>
      <w:r w:rsidR="00ED79FF">
        <w:rPr>
          <w:rFonts w:ascii="Times New Roman" w:hAnsi="Times New Roman" w:cs="Times New Roman"/>
          <w:sz w:val="28"/>
          <w:szCs w:val="28"/>
        </w:rPr>
        <w:t xml:space="preserve">respectiv, </w:t>
      </w:r>
      <w:r w:rsidR="00ED79FF" w:rsidRPr="001330D6">
        <w:rPr>
          <w:rFonts w:ascii="Times New Roman" w:hAnsi="Times New Roman" w:cs="Times New Roman"/>
          <w:sz w:val="28"/>
          <w:szCs w:val="28"/>
        </w:rPr>
        <w:t>acesta fiind aprobat</w:t>
      </w:r>
      <w:r w:rsidR="00ED79FF">
        <w:rPr>
          <w:rStyle w:val="a9"/>
          <w:rFonts w:ascii="Times New Roman" w:hAnsi="Times New Roman" w:cs="Times New Roman"/>
          <w:sz w:val="28"/>
          <w:szCs w:val="28"/>
        </w:rPr>
        <w:footnoteReference w:id="33"/>
      </w:r>
      <w:r w:rsidR="00ED79FF">
        <w:rPr>
          <w:rFonts w:ascii="Times New Roman" w:hAnsi="Times New Roman" w:cs="Times New Roman"/>
          <w:sz w:val="28"/>
          <w:szCs w:val="28"/>
        </w:rPr>
        <w:t xml:space="preserve"> cu o întârziere de 51 </w:t>
      </w:r>
      <w:r w:rsidR="00F35AAE">
        <w:rPr>
          <w:rFonts w:ascii="Times New Roman" w:hAnsi="Times New Roman" w:cs="Times New Roman"/>
          <w:sz w:val="28"/>
          <w:szCs w:val="28"/>
        </w:rPr>
        <w:t xml:space="preserve">de </w:t>
      </w:r>
      <w:r w:rsidR="00ED79FF">
        <w:rPr>
          <w:rFonts w:ascii="Times New Roman" w:hAnsi="Times New Roman" w:cs="Times New Roman"/>
          <w:sz w:val="28"/>
          <w:szCs w:val="28"/>
        </w:rPr>
        <w:t xml:space="preserve">zile. </w:t>
      </w:r>
      <w:r w:rsidR="00ED79FF" w:rsidRPr="001330D6">
        <w:rPr>
          <w:rFonts w:ascii="Times New Roman" w:hAnsi="Times New Roman" w:cs="Times New Roman"/>
          <w:sz w:val="28"/>
          <w:szCs w:val="28"/>
        </w:rPr>
        <w:t>Drept urmare, Parlamentul a adoptat Legea bugetului de stat pentru anul 2017 la data de 16.12.2016</w:t>
      </w:r>
      <w:r w:rsidR="00ED79FF" w:rsidRPr="001330D6">
        <w:rPr>
          <w:rStyle w:val="a9"/>
          <w:rFonts w:ascii="Times New Roman" w:hAnsi="Times New Roman" w:cs="Times New Roman"/>
          <w:sz w:val="28"/>
          <w:szCs w:val="28"/>
        </w:rPr>
        <w:footnoteReference w:id="34"/>
      </w:r>
      <w:r w:rsidR="00ED79FF">
        <w:rPr>
          <w:rFonts w:ascii="Times New Roman" w:hAnsi="Times New Roman" w:cs="Times New Roman"/>
          <w:sz w:val="28"/>
          <w:szCs w:val="28"/>
        </w:rPr>
        <w:t xml:space="preserve">, însă </w:t>
      </w:r>
      <w:r w:rsidR="00ED79FF" w:rsidRPr="001330D6">
        <w:rPr>
          <w:rFonts w:ascii="Times New Roman" w:hAnsi="Times New Roman" w:cs="Times New Roman"/>
          <w:sz w:val="28"/>
          <w:szCs w:val="28"/>
        </w:rPr>
        <w:t>cadrul legal</w:t>
      </w:r>
      <w:r w:rsidR="00ED79FF" w:rsidRPr="001330D6">
        <w:rPr>
          <w:rStyle w:val="a9"/>
          <w:rFonts w:ascii="Times New Roman" w:hAnsi="Times New Roman" w:cs="Times New Roman"/>
          <w:sz w:val="28"/>
          <w:szCs w:val="28"/>
        </w:rPr>
        <w:footnoteReference w:id="35"/>
      </w:r>
      <w:r w:rsidR="00ED79FF" w:rsidRPr="001330D6">
        <w:rPr>
          <w:rFonts w:ascii="Times New Roman" w:hAnsi="Times New Roman" w:cs="Times New Roman"/>
          <w:sz w:val="28"/>
          <w:szCs w:val="28"/>
        </w:rPr>
        <w:t xml:space="preserve"> prevede că termenul-limită de adoptare a Legii bugetare pe anul următor este de până la 1 decembrie</w:t>
      </w:r>
      <w:r w:rsidR="00F35AAE">
        <w:rPr>
          <w:rFonts w:ascii="Times New Roman" w:hAnsi="Times New Roman" w:cs="Times New Roman"/>
          <w:sz w:val="28"/>
          <w:szCs w:val="28"/>
        </w:rPr>
        <w:t>;</w:t>
      </w:r>
      <w:r w:rsidR="00ED79FF" w:rsidRPr="001330D6">
        <w:rPr>
          <w:rFonts w:ascii="Times New Roman" w:hAnsi="Times New Roman" w:cs="Times New Roman"/>
          <w:sz w:val="28"/>
          <w:szCs w:val="28"/>
        </w:rPr>
        <w:t xml:space="preserve"> </w:t>
      </w:r>
    </w:p>
    <w:p w:rsidR="00ED79FF" w:rsidRPr="007074D1" w:rsidRDefault="00F35AAE" w:rsidP="003F12B5">
      <w:pPr>
        <w:pStyle w:val="a5"/>
        <w:numPr>
          <w:ilvl w:val="0"/>
          <w:numId w:val="4"/>
        </w:numPr>
        <w:shd w:val="clear" w:color="auto" w:fill="FFFFFF" w:themeFill="background1"/>
        <w:tabs>
          <w:tab w:val="left" w:pos="284"/>
          <w:tab w:val="left" w:pos="993"/>
        </w:tabs>
        <w:spacing w:after="0" w:line="276" w:lineRule="auto"/>
        <w:ind w:left="0" w:firstLine="709"/>
        <w:jc w:val="both"/>
        <w:rPr>
          <w:rFonts w:ascii="Times New Roman" w:hAnsi="Times New Roman" w:cs="Times New Roman"/>
          <w:b/>
          <w:sz w:val="28"/>
          <w:szCs w:val="28"/>
        </w:rPr>
      </w:pPr>
      <w:r>
        <w:rPr>
          <w:rFonts w:ascii="Times New Roman" w:hAnsi="Times New Roman" w:cs="Times New Roman"/>
          <w:i/>
          <w:sz w:val="28"/>
          <w:szCs w:val="28"/>
        </w:rPr>
        <w:t>n</w:t>
      </w:r>
      <w:r w:rsidR="00ED79FF" w:rsidRPr="00AE73B4">
        <w:rPr>
          <w:rFonts w:ascii="Times New Roman" w:hAnsi="Times New Roman" w:cs="Times New Roman"/>
          <w:i/>
          <w:sz w:val="28"/>
          <w:szCs w:val="28"/>
        </w:rPr>
        <w:t>erespectarea termen</w:t>
      </w:r>
      <w:r>
        <w:rPr>
          <w:rFonts w:ascii="Times New Roman" w:hAnsi="Times New Roman" w:cs="Times New Roman"/>
          <w:i/>
          <w:sz w:val="28"/>
          <w:szCs w:val="28"/>
        </w:rPr>
        <w:t>e</w:t>
      </w:r>
      <w:r w:rsidR="00ED79FF" w:rsidRPr="00AE73B4">
        <w:rPr>
          <w:rFonts w:ascii="Times New Roman" w:hAnsi="Times New Roman" w:cs="Times New Roman"/>
          <w:i/>
          <w:sz w:val="28"/>
          <w:szCs w:val="28"/>
        </w:rPr>
        <w:t xml:space="preserve">lor de prezentare </w:t>
      </w:r>
      <w:r w:rsidR="00ED79FF">
        <w:rPr>
          <w:rFonts w:ascii="Times New Roman" w:hAnsi="Times New Roman" w:cs="Times New Roman"/>
          <w:i/>
          <w:sz w:val="28"/>
          <w:szCs w:val="28"/>
        </w:rPr>
        <w:t xml:space="preserve">a </w:t>
      </w:r>
      <w:r w:rsidR="00ED79FF" w:rsidRPr="00AE73B4">
        <w:rPr>
          <w:rFonts w:ascii="Times New Roman" w:hAnsi="Times New Roman" w:cs="Times New Roman"/>
          <w:i/>
          <w:sz w:val="28"/>
          <w:szCs w:val="28"/>
        </w:rPr>
        <w:t xml:space="preserve">rapoartelor financiare de către </w:t>
      </w:r>
      <w:r w:rsidR="00B32E08">
        <w:rPr>
          <w:rFonts w:ascii="Times New Roman" w:hAnsi="Times New Roman" w:cs="Times New Roman"/>
          <w:i/>
          <w:sz w:val="28"/>
          <w:szCs w:val="28"/>
        </w:rPr>
        <w:t>autoritățile/instituțiile bugetare</w:t>
      </w:r>
      <w:r w:rsidR="00ED79FF" w:rsidRPr="00AE73B4">
        <w:rPr>
          <w:rFonts w:ascii="Times New Roman" w:hAnsi="Times New Roman" w:cs="Times New Roman"/>
          <w:i/>
          <w:sz w:val="28"/>
          <w:szCs w:val="28"/>
        </w:rPr>
        <w:t>.</w:t>
      </w:r>
      <w:r w:rsidR="00ED79FF" w:rsidRPr="00AE73B4">
        <w:rPr>
          <w:rFonts w:ascii="Times New Roman" w:hAnsi="Times New Roman" w:cs="Times New Roman"/>
          <w:sz w:val="28"/>
          <w:szCs w:val="28"/>
        </w:rPr>
        <w:t xml:space="preserve"> Astfel</w:t>
      </w:r>
      <w:r w:rsidR="00ED79FF">
        <w:rPr>
          <w:rFonts w:ascii="Times New Roman" w:hAnsi="Times New Roman" w:cs="Times New Roman"/>
          <w:sz w:val="28"/>
          <w:szCs w:val="28"/>
        </w:rPr>
        <w:t>,</w:t>
      </w:r>
      <w:r w:rsidR="00ED79FF" w:rsidRPr="00AE73B4">
        <w:rPr>
          <w:rFonts w:ascii="Times New Roman" w:hAnsi="Times New Roman" w:cs="Times New Roman"/>
          <w:sz w:val="28"/>
          <w:szCs w:val="28"/>
        </w:rPr>
        <w:t xml:space="preserve"> </w:t>
      </w:r>
      <w:r w:rsidR="00ED79FF">
        <w:rPr>
          <w:rFonts w:ascii="Times New Roman" w:hAnsi="Times New Roman" w:cs="Times New Roman"/>
          <w:sz w:val="28"/>
          <w:szCs w:val="28"/>
        </w:rPr>
        <w:t xml:space="preserve">din 45 </w:t>
      </w:r>
      <w:r>
        <w:rPr>
          <w:rFonts w:ascii="Times New Roman" w:hAnsi="Times New Roman" w:cs="Times New Roman"/>
          <w:sz w:val="28"/>
          <w:szCs w:val="28"/>
        </w:rPr>
        <w:t>APC</w:t>
      </w:r>
      <w:r w:rsidR="00ED79FF">
        <w:rPr>
          <w:rFonts w:ascii="Times New Roman" w:hAnsi="Times New Roman" w:cs="Times New Roman"/>
          <w:sz w:val="28"/>
          <w:szCs w:val="28"/>
        </w:rPr>
        <w:t xml:space="preserve">, </w:t>
      </w:r>
      <w:r w:rsidR="001438EF">
        <w:rPr>
          <w:rFonts w:ascii="Times New Roman" w:hAnsi="Times New Roman" w:cs="Times New Roman"/>
          <w:sz w:val="28"/>
          <w:szCs w:val="28"/>
        </w:rPr>
        <w:t xml:space="preserve">doar </w:t>
      </w:r>
      <w:r w:rsidR="00ED79FF">
        <w:rPr>
          <w:rFonts w:ascii="Times New Roman" w:hAnsi="Times New Roman" w:cs="Times New Roman"/>
          <w:sz w:val="28"/>
          <w:szCs w:val="28"/>
        </w:rPr>
        <w:t xml:space="preserve">33 </w:t>
      </w:r>
      <w:r>
        <w:rPr>
          <w:rFonts w:ascii="Times New Roman" w:hAnsi="Times New Roman" w:cs="Times New Roman"/>
          <w:sz w:val="28"/>
          <w:szCs w:val="28"/>
        </w:rPr>
        <w:t xml:space="preserve">de </w:t>
      </w:r>
      <w:r w:rsidR="00ED79FF">
        <w:rPr>
          <w:rFonts w:ascii="Times New Roman" w:hAnsi="Times New Roman" w:cs="Times New Roman"/>
          <w:sz w:val="28"/>
          <w:szCs w:val="28"/>
        </w:rPr>
        <w:t>autorități (73%) au prezentat rapoartele financiare în termenul prevăzut</w:t>
      </w:r>
      <w:r w:rsidR="00ED79FF">
        <w:rPr>
          <w:rStyle w:val="a9"/>
          <w:rFonts w:ascii="Times New Roman" w:hAnsi="Times New Roman" w:cs="Times New Roman"/>
          <w:sz w:val="28"/>
          <w:szCs w:val="28"/>
        </w:rPr>
        <w:footnoteReference w:id="36"/>
      </w:r>
      <w:r w:rsidR="00ED79FF">
        <w:rPr>
          <w:rFonts w:ascii="Times New Roman" w:hAnsi="Times New Roman" w:cs="Times New Roman"/>
          <w:sz w:val="28"/>
          <w:szCs w:val="28"/>
        </w:rPr>
        <w:t xml:space="preserve">, </w:t>
      </w:r>
      <w:r w:rsidR="00ED79FF" w:rsidRPr="00FA6D69">
        <w:rPr>
          <w:rFonts w:ascii="Times New Roman" w:hAnsi="Times New Roman" w:cs="Times New Roman"/>
          <w:i/>
          <w:sz w:val="28"/>
          <w:szCs w:val="28"/>
        </w:rPr>
        <w:t xml:space="preserve">situația fiind prezentată în </w:t>
      </w:r>
      <w:r w:rsidR="00ED79FF">
        <w:rPr>
          <w:rFonts w:ascii="Times New Roman" w:hAnsi="Times New Roman" w:cs="Times New Roman"/>
          <w:i/>
          <w:sz w:val="28"/>
          <w:szCs w:val="28"/>
        </w:rPr>
        <w:t>Tabelul nr.</w:t>
      </w:r>
      <w:r w:rsidR="00476255">
        <w:rPr>
          <w:rFonts w:ascii="Times New Roman" w:hAnsi="Times New Roman" w:cs="Times New Roman"/>
          <w:i/>
          <w:sz w:val="28"/>
          <w:szCs w:val="28"/>
        </w:rPr>
        <w:t>8</w:t>
      </w:r>
      <w:r w:rsidR="003E62EC">
        <w:rPr>
          <w:rFonts w:ascii="Times New Roman" w:hAnsi="Times New Roman" w:cs="Times New Roman"/>
          <w:i/>
          <w:sz w:val="28"/>
          <w:szCs w:val="28"/>
        </w:rPr>
        <w:t>.</w:t>
      </w:r>
      <w:r w:rsidR="00ED79FF" w:rsidRPr="00D229CC">
        <w:rPr>
          <w:rFonts w:ascii="Times New Roman" w:hAnsi="Times New Roman" w:cs="Times New Roman"/>
          <w:i/>
          <w:sz w:val="28"/>
          <w:szCs w:val="28"/>
        </w:rPr>
        <w:t xml:space="preserve"> </w:t>
      </w:r>
    </w:p>
    <w:p w:rsidR="007074D1" w:rsidRDefault="007074D1" w:rsidP="007074D1">
      <w:pPr>
        <w:shd w:val="clear" w:color="auto" w:fill="FFFFFF" w:themeFill="background1"/>
        <w:tabs>
          <w:tab w:val="left" w:pos="284"/>
          <w:tab w:val="left" w:pos="993"/>
        </w:tabs>
        <w:spacing w:after="0" w:line="276" w:lineRule="auto"/>
        <w:jc w:val="both"/>
        <w:rPr>
          <w:rFonts w:ascii="Times New Roman" w:hAnsi="Times New Roman" w:cs="Times New Roman"/>
          <w:b/>
          <w:sz w:val="28"/>
          <w:szCs w:val="28"/>
        </w:rPr>
      </w:pPr>
    </w:p>
    <w:p w:rsidR="007074D1" w:rsidRDefault="007074D1" w:rsidP="007074D1">
      <w:pPr>
        <w:shd w:val="clear" w:color="auto" w:fill="FFFFFF" w:themeFill="background1"/>
        <w:tabs>
          <w:tab w:val="left" w:pos="284"/>
          <w:tab w:val="left" w:pos="993"/>
        </w:tabs>
        <w:spacing w:after="0" w:line="276" w:lineRule="auto"/>
        <w:jc w:val="both"/>
        <w:rPr>
          <w:rFonts w:ascii="Times New Roman" w:hAnsi="Times New Roman" w:cs="Times New Roman"/>
          <w:b/>
          <w:sz w:val="28"/>
          <w:szCs w:val="28"/>
        </w:rPr>
      </w:pPr>
    </w:p>
    <w:p w:rsidR="007074D1" w:rsidRPr="007074D1" w:rsidRDefault="007074D1" w:rsidP="007074D1">
      <w:pPr>
        <w:shd w:val="clear" w:color="auto" w:fill="FFFFFF" w:themeFill="background1"/>
        <w:tabs>
          <w:tab w:val="left" w:pos="284"/>
          <w:tab w:val="left" w:pos="993"/>
        </w:tabs>
        <w:spacing w:after="0" w:line="276" w:lineRule="auto"/>
        <w:jc w:val="both"/>
        <w:rPr>
          <w:rFonts w:ascii="Times New Roman" w:hAnsi="Times New Roman" w:cs="Times New Roman"/>
          <w:b/>
          <w:sz w:val="28"/>
          <w:szCs w:val="28"/>
        </w:rPr>
      </w:pPr>
    </w:p>
    <w:p w:rsidR="00ED79FF" w:rsidRDefault="00ED79FF" w:rsidP="004425C9">
      <w:pPr>
        <w:shd w:val="clear" w:color="auto" w:fill="FFFFFF" w:themeFill="background1"/>
        <w:tabs>
          <w:tab w:val="left" w:pos="284"/>
        </w:tabs>
        <w:spacing w:after="120" w:line="276" w:lineRule="auto"/>
        <w:ind w:firstLine="709"/>
        <w:contextualSpacing/>
        <w:jc w:val="right"/>
        <w:rPr>
          <w:rFonts w:ascii="Times New Roman" w:hAnsi="Times New Roman" w:cs="Times New Roman"/>
          <w:i/>
          <w:sz w:val="28"/>
          <w:szCs w:val="28"/>
        </w:rPr>
      </w:pPr>
      <w:r w:rsidRPr="003E62EC">
        <w:rPr>
          <w:rFonts w:ascii="Times New Roman" w:hAnsi="Times New Roman" w:cs="Times New Roman"/>
          <w:i/>
          <w:sz w:val="28"/>
          <w:szCs w:val="28"/>
        </w:rPr>
        <w:lastRenderedPageBreak/>
        <w:t>Tabelul nr.</w:t>
      </w:r>
      <w:r w:rsidR="00476255">
        <w:rPr>
          <w:rFonts w:ascii="Times New Roman" w:hAnsi="Times New Roman" w:cs="Times New Roman"/>
          <w:i/>
          <w:sz w:val="28"/>
          <w:szCs w:val="28"/>
        </w:rPr>
        <w:t>8</w:t>
      </w:r>
    </w:p>
    <w:p w:rsidR="00ED79FF" w:rsidRPr="00726094" w:rsidRDefault="001438EF" w:rsidP="004425C9">
      <w:pPr>
        <w:shd w:val="clear" w:color="auto" w:fill="FFFFFF" w:themeFill="background1"/>
        <w:tabs>
          <w:tab w:val="left" w:pos="284"/>
        </w:tabs>
        <w:spacing w:after="120" w:line="276" w:lineRule="auto"/>
        <w:jc w:val="both"/>
        <w:rPr>
          <w:rFonts w:ascii="Times New Roman" w:hAnsi="Times New Roman" w:cs="Times New Roman"/>
          <w:b/>
          <w:sz w:val="28"/>
          <w:szCs w:val="28"/>
        </w:rPr>
      </w:pPr>
      <w:r>
        <w:rPr>
          <w:rFonts w:ascii="Times New Roman" w:hAnsi="Times New Roman" w:cs="Times New Roman"/>
          <w:b/>
          <w:sz w:val="24"/>
          <w:szCs w:val="28"/>
        </w:rPr>
        <w:t>Informația</w:t>
      </w:r>
      <w:r w:rsidR="00ED79FF" w:rsidRPr="00726094">
        <w:rPr>
          <w:rFonts w:ascii="Times New Roman" w:hAnsi="Times New Roman" w:cs="Times New Roman"/>
          <w:b/>
          <w:sz w:val="24"/>
          <w:szCs w:val="28"/>
        </w:rPr>
        <w:t xml:space="preserve"> privind respectarea termenelor de prezentare a rapoartelor financiare de către APC</w:t>
      </w:r>
    </w:p>
    <w:tbl>
      <w:tblPr>
        <w:tblStyle w:val="GridTable4-Accent51"/>
        <w:tblW w:w="9721" w:type="dxa"/>
        <w:tblLook w:val="04A0" w:firstRow="1" w:lastRow="0" w:firstColumn="1" w:lastColumn="0" w:noHBand="0" w:noVBand="1"/>
      </w:tblPr>
      <w:tblGrid>
        <w:gridCol w:w="713"/>
        <w:gridCol w:w="652"/>
        <w:gridCol w:w="1607"/>
        <w:gridCol w:w="1839"/>
        <w:gridCol w:w="1280"/>
        <w:gridCol w:w="1701"/>
        <w:gridCol w:w="1929"/>
      </w:tblGrid>
      <w:tr w:rsidR="00586655" w:rsidRPr="00423880" w:rsidTr="004B1A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3" w:type="dxa"/>
            <w:tcBorders>
              <w:right w:val="single" w:sz="4" w:space="0" w:color="2E74B5" w:themeColor="accent1" w:themeShade="BF"/>
            </w:tcBorders>
            <w:shd w:val="clear" w:color="auto" w:fill="1F4E79" w:themeFill="accent1" w:themeFillShade="80"/>
          </w:tcPr>
          <w:p w:rsidR="00586655" w:rsidRPr="00423880" w:rsidRDefault="00586655" w:rsidP="00F8656A">
            <w:pPr>
              <w:tabs>
                <w:tab w:val="left" w:pos="284"/>
              </w:tabs>
              <w:spacing w:after="120" w:line="276" w:lineRule="auto"/>
              <w:contextualSpacing/>
              <w:jc w:val="center"/>
              <w:rPr>
                <w:rFonts w:ascii="Times New Roman" w:hAnsi="Times New Roman" w:cs="Times New Roman"/>
                <w:sz w:val="24"/>
                <w:szCs w:val="28"/>
              </w:rPr>
            </w:pPr>
          </w:p>
        </w:tc>
        <w:tc>
          <w:tcPr>
            <w:tcW w:w="652" w:type="dxa"/>
            <w:tcBorders>
              <w:left w:val="single" w:sz="4" w:space="0" w:color="2E74B5" w:themeColor="accent1" w:themeShade="BF"/>
              <w:right w:val="single" w:sz="4" w:space="0" w:color="2E74B5" w:themeColor="accent1" w:themeShade="BF"/>
            </w:tcBorders>
            <w:shd w:val="clear" w:color="auto" w:fill="1F4E79" w:themeFill="accent1" w:themeFillShade="80"/>
          </w:tcPr>
          <w:p w:rsidR="00586655" w:rsidRPr="00423880" w:rsidRDefault="00586655" w:rsidP="00F8656A">
            <w:pPr>
              <w:tabs>
                <w:tab w:val="left" w:pos="284"/>
              </w:tabs>
              <w:spacing w:after="120" w:line="276" w:lineRule="auto"/>
              <w:ind w:left="-111" w:right="-101"/>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8"/>
              </w:rPr>
            </w:pPr>
            <w:r>
              <w:rPr>
                <w:rFonts w:ascii="Times New Roman" w:hAnsi="Times New Roman" w:cs="Times New Roman"/>
                <w:sz w:val="24"/>
                <w:szCs w:val="28"/>
              </w:rPr>
              <w:t>Total APC</w:t>
            </w:r>
          </w:p>
        </w:tc>
        <w:tc>
          <w:tcPr>
            <w:tcW w:w="1607" w:type="dxa"/>
            <w:tcBorders>
              <w:left w:val="single" w:sz="4" w:space="0" w:color="2E74B5" w:themeColor="accent1" w:themeShade="BF"/>
              <w:right w:val="single" w:sz="4" w:space="0" w:color="2E74B5" w:themeColor="accent1" w:themeShade="BF"/>
            </w:tcBorders>
            <w:shd w:val="clear" w:color="auto" w:fill="1F4E79" w:themeFill="accent1" w:themeFillShade="80"/>
          </w:tcPr>
          <w:p w:rsidR="00586655" w:rsidRPr="00423880" w:rsidRDefault="00586655" w:rsidP="00F8656A">
            <w:pPr>
              <w:tabs>
                <w:tab w:val="left" w:pos="284"/>
              </w:tabs>
              <w:spacing w:after="120" w:line="276" w:lineRule="auto"/>
              <w:ind w:left="-111" w:right="-101"/>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8"/>
              </w:rPr>
            </w:pPr>
            <w:r w:rsidRPr="00423880">
              <w:rPr>
                <w:rFonts w:ascii="Times New Roman" w:hAnsi="Times New Roman" w:cs="Times New Roman"/>
                <w:sz w:val="24"/>
                <w:szCs w:val="28"/>
              </w:rPr>
              <w:t xml:space="preserve">Respectarea termenului </w:t>
            </w:r>
            <w:r>
              <w:rPr>
                <w:rFonts w:ascii="Times New Roman" w:hAnsi="Times New Roman" w:cs="Times New Roman"/>
                <w:sz w:val="24"/>
                <w:szCs w:val="28"/>
              </w:rPr>
              <w:t>inițial aproba</w:t>
            </w:r>
            <w:r w:rsidRPr="00423880">
              <w:rPr>
                <w:rFonts w:ascii="Times New Roman" w:hAnsi="Times New Roman" w:cs="Times New Roman"/>
                <w:sz w:val="24"/>
                <w:szCs w:val="28"/>
              </w:rPr>
              <w:t>t</w:t>
            </w:r>
          </w:p>
        </w:tc>
        <w:tc>
          <w:tcPr>
            <w:tcW w:w="1839" w:type="dxa"/>
            <w:tcBorders>
              <w:left w:val="single" w:sz="4" w:space="0" w:color="2E74B5" w:themeColor="accent1" w:themeShade="BF"/>
              <w:right w:val="single" w:sz="4" w:space="0" w:color="2E74B5" w:themeColor="accent1" w:themeShade="BF"/>
            </w:tcBorders>
            <w:shd w:val="clear" w:color="auto" w:fill="1F4E79" w:themeFill="accent1" w:themeFillShade="80"/>
          </w:tcPr>
          <w:p w:rsidR="00586655" w:rsidRPr="00423880" w:rsidRDefault="00586655" w:rsidP="00F8656A">
            <w:pPr>
              <w:tabs>
                <w:tab w:val="left" w:pos="284"/>
              </w:tabs>
              <w:spacing w:after="120" w:line="276" w:lineRule="auto"/>
              <w:ind w:left="-107" w:right="-105"/>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8"/>
              </w:rPr>
            </w:pPr>
            <w:r w:rsidRPr="00423880">
              <w:rPr>
                <w:rFonts w:ascii="Times New Roman" w:hAnsi="Times New Roman" w:cs="Times New Roman"/>
                <w:sz w:val="24"/>
                <w:szCs w:val="28"/>
              </w:rPr>
              <w:t xml:space="preserve">Nerespectarea termenului </w:t>
            </w:r>
            <w:r>
              <w:rPr>
                <w:rFonts w:ascii="Times New Roman" w:hAnsi="Times New Roman" w:cs="Times New Roman"/>
                <w:sz w:val="24"/>
                <w:szCs w:val="28"/>
              </w:rPr>
              <w:t>inițial aprobat</w:t>
            </w:r>
          </w:p>
        </w:tc>
        <w:tc>
          <w:tcPr>
            <w:tcW w:w="1280" w:type="dxa"/>
            <w:tcBorders>
              <w:left w:val="single" w:sz="4" w:space="0" w:color="2E74B5" w:themeColor="accent1" w:themeShade="BF"/>
              <w:right w:val="single" w:sz="4" w:space="0" w:color="2E74B5" w:themeColor="accent1" w:themeShade="BF"/>
            </w:tcBorders>
            <w:shd w:val="clear" w:color="auto" w:fill="1F4E79" w:themeFill="accent1" w:themeFillShade="80"/>
          </w:tcPr>
          <w:p w:rsidR="00586655" w:rsidRPr="00423880" w:rsidRDefault="00586655" w:rsidP="00F8656A">
            <w:pPr>
              <w:tabs>
                <w:tab w:val="left" w:pos="284"/>
              </w:tabs>
              <w:spacing w:after="120" w:line="276" w:lineRule="auto"/>
              <w:ind w:left="-102" w:right="-150"/>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8"/>
              </w:rPr>
            </w:pPr>
            <w:r>
              <w:rPr>
                <w:rFonts w:ascii="Times New Roman" w:hAnsi="Times New Roman" w:cs="Times New Roman"/>
                <w:sz w:val="24"/>
                <w:szCs w:val="28"/>
              </w:rPr>
              <w:t xml:space="preserve">Termenul prelungit, </w:t>
            </w:r>
            <w:r w:rsidRPr="00D5563D">
              <w:rPr>
                <w:rFonts w:ascii="Times New Roman" w:hAnsi="Times New Roman" w:cs="Times New Roman"/>
                <w:b w:val="0"/>
                <w:i/>
                <w:sz w:val="24"/>
                <w:szCs w:val="28"/>
              </w:rPr>
              <w:t>dintre care:</w:t>
            </w:r>
          </w:p>
        </w:tc>
        <w:tc>
          <w:tcPr>
            <w:tcW w:w="1701" w:type="dxa"/>
            <w:tcBorders>
              <w:left w:val="single" w:sz="4" w:space="0" w:color="2E74B5" w:themeColor="accent1" w:themeShade="BF"/>
              <w:right w:val="single" w:sz="4" w:space="0" w:color="2E74B5" w:themeColor="accent1" w:themeShade="BF"/>
            </w:tcBorders>
            <w:shd w:val="clear" w:color="auto" w:fill="1F4E79" w:themeFill="accent1" w:themeFillShade="80"/>
          </w:tcPr>
          <w:p w:rsidR="00586655" w:rsidRPr="00423880" w:rsidRDefault="00586655" w:rsidP="00F8656A">
            <w:pPr>
              <w:tabs>
                <w:tab w:val="left" w:pos="284"/>
              </w:tabs>
              <w:spacing w:after="120" w:line="276" w:lineRule="auto"/>
              <w:ind w:left="-102" w:right="-150"/>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8"/>
              </w:rPr>
            </w:pPr>
            <w:r w:rsidRPr="00423880">
              <w:rPr>
                <w:rFonts w:ascii="Times New Roman" w:hAnsi="Times New Roman" w:cs="Times New Roman"/>
                <w:sz w:val="24"/>
                <w:szCs w:val="28"/>
              </w:rPr>
              <w:t>Respectarea termenului prelungit</w:t>
            </w:r>
          </w:p>
        </w:tc>
        <w:tc>
          <w:tcPr>
            <w:tcW w:w="1929" w:type="dxa"/>
            <w:tcBorders>
              <w:left w:val="single" w:sz="4" w:space="0" w:color="2E74B5" w:themeColor="accent1" w:themeShade="BF"/>
            </w:tcBorders>
            <w:shd w:val="clear" w:color="auto" w:fill="1F4E79" w:themeFill="accent1" w:themeFillShade="80"/>
          </w:tcPr>
          <w:p w:rsidR="00586655" w:rsidRPr="00423880" w:rsidRDefault="00586655" w:rsidP="00F8656A">
            <w:pPr>
              <w:tabs>
                <w:tab w:val="left" w:pos="284"/>
              </w:tabs>
              <w:spacing w:after="120" w:line="276" w:lineRule="auto"/>
              <w:ind w:left="-106" w:right="-113"/>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8"/>
              </w:rPr>
            </w:pPr>
            <w:r w:rsidRPr="00423880">
              <w:rPr>
                <w:rFonts w:ascii="Times New Roman" w:hAnsi="Times New Roman" w:cs="Times New Roman"/>
                <w:sz w:val="24"/>
                <w:szCs w:val="28"/>
              </w:rPr>
              <w:t>Nerespectarea termenului prelungit</w:t>
            </w:r>
          </w:p>
        </w:tc>
      </w:tr>
      <w:tr w:rsidR="00586655" w:rsidRPr="00423880" w:rsidTr="005866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3" w:type="dxa"/>
          </w:tcPr>
          <w:p w:rsidR="00586655" w:rsidRPr="00423880" w:rsidRDefault="00586655" w:rsidP="00F8656A">
            <w:pPr>
              <w:tabs>
                <w:tab w:val="left" w:pos="284"/>
              </w:tabs>
              <w:spacing w:after="120" w:line="276" w:lineRule="auto"/>
              <w:contextualSpacing/>
              <w:jc w:val="center"/>
              <w:rPr>
                <w:rFonts w:ascii="Times New Roman" w:hAnsi="Times New Roman" w:cs="Times New Roman"/>
                <w:sz w:val="24"/>
                <w:szCs w:val="28"/>
              </w:rPr>
            </w:pPr>
            <w:r>
              <w:rPr>
                <w:rFonts w:ascii="Times New Roman" w:hAnsi="Times New Roman" w:cs="Times New Roman"/>
                <w:sz w:val="24"/>
                <w:szCs w:val="28"/>
              </w:rPr>
              <w:t>Nr. APC</w:t>
            </w:r>
          </w:p>
        </w:tc>
        <w:tc>
          <w:tcPr>
            <w:tcW w:w="652" w:type="dxa"/>
            <w:vAlign w:val="center"/>
          </w:tcPr>
          <w:p w:rsidR="00586655" w:rsidRPr="00726094" w:rsidRDefault="00586655" w:rsidP="00F8656A">
            <w:pPr>
              <w:tabs>
                <w:tab w:val="left" w:pos="284"/>
              </w:tabs>
              <w:spacing w:after="12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szCs w:val="28"/>
              </w:rPr>
            </w:pPr>
            <w:r>
              <w:rPr>
                <w:rFonts w:ascii="Times New Roman" w:hAnsi="Times New Roman" w:cs="Times New Roman"/>
                <w:b/>
                <w:i/>
                <w:sz w:val="24"/>
                <w:szCs w:val="28"/>
              </w:rPr>
              <w:t>45</w:t>
            </w:r>
          </w:p>
        </w:tc>
        <w:tc>
          <w:tcPr>
            <w:tcW w:w="1607" w:type="dxa"/>
            <w:vAlign w:val="center"/>
          </w:tcPr>
          <w:p w:rsidR="00586655" w:rsidRPr="00726094" w:rsidRDefault="00586655" w:rsidP="00F8656A">
            <w:pPr>
              <w:tabs>
                <w:tab w:val="left" w:pos="284"/>
              </w:tabs>
              <w:spacing w:after="12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szCs w:val="28"/>
              </w:rPr>
            </w:pPr>
            <w:r w:rsidRPr="00726094">
              <w:rPr>
                <w:rFonts w:ascii="Times New Roman" w:hAnsi="Times New Roman" w:cs="Times New Roman"/>
                <w:b/>
                <w:i/>
                <w:sz w:val="24"/>
                <w:szCs w:val="28"/>
              </w:rPr>
              <w:t>33</w:t>
            </w:r>
          </w:p>
        </w:tc>
        <w:tc>
          <w:tcPr>
            <w:tcW w:w="1839" w:type="dxa"/>
            <w:vAlign w:val="center"/>
          </w:tcPr>
          <w:p w:rsidR="00586655" w:rsidRPr="00726094" w:rsidRDefault="00586655" w:rsidP="00F8656A">
            <w:pPr>
              <w:tabs>
                <w:tab w:val="left" w:pos="284"/>
              </w:tabs>
              <w:spacing w:after="12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szCs w:val="28"/>
              </w:rPr>
            </w:pPr>
            <w:r w:rsidRPr="00726094">
              <w:rPr>
                <w:rFonts w:ascii="Times New Roman" w:hAnsi="Times New Roman" w:cs="Times New Roman"/>
                <w:b/>
                <w:i/>
                <w:sz w:val="24"/>
                <w:szCs w:val="28"/>
              </w:rPr>
              <w:t>2</w:t>
            </w:r>
          </w:p>
        </w:tc>
        <w:tc>
          <w:tcPr>
            <w:tcW w:w="1280" w:type="dxa"/>
            <w:vAlign w:val="center"/>
          </w:tcPr>
          <w:p w:rsidR="00586655" w:rsidRPr="00E50BD5" w:rsidRDefault="00586655" w:rsidP="00F8656A">
            <w:pPr>
              <w:tabs>
                <w:tab w:val="left" w:pos="284"/>
              </w:tabs>
              <w:spacing w:after="12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szCs w:val="28"/>
              </w:rPr>
            </w:pPr>
            <w:r w:rsidRPr="00E50BD5">
              <w:rPr>
                <w:rFonts w:ascii="Times New Roman" w:hAnsi="Times New Roman" w:cs="Times New Roman"/>
                <w:b/>
                <w:i/>
                <w:sz w:val="24"/>
                <w:szCs w:val="28"/>
              </w:rPr>
              <w:t>10</w:t>
            </w:r>
          </w:p>
        </w:tc>
        <w:tc>
          <w:tcPr>
            <w:tcW w:w="1701" w:type="dxa"/>
            <w:vAlign w:val="center"/>
          </w:tcPr>
          <w:p w:rsidR="00586655" w:rsidRPr="00726094" w:rsidRDefault="00586655" w:rsidP="00F8656A">
            <w:pPr>
              <w:tabs>
                <w:tab w:val="left" w:pos="284"/>
              </w:tabs>
              <w:spacing w:after="12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szCs w:val="28"/>
              </w:rPr>
            </w:pPr>
            <w:r w:rsidRPr="00726094">
              <w:rPr>
                <w:rFonts w:ascii="Times New Roman" w:hAnsi="Times New Roman" w:cs="Times New Roman"/>
                <w:b/>
                <w:i/>
                <w:sz w:val="24"/>
                <w:szCs w:val="28"/>
              </w:rPr>
              <w:t>4</w:t>
            </w:r>
          </w:p>
        </w:tc>
        <w:tc>
          <w:tcPr>
            <w:tcW w:w="1929" w:type="dxa"/>
            <w:vAlign w:val="center"/>
          </w:tcPr>
          <w:p w:rsidR="00586655" w:rsidRPr="00726094" w:rsidRDefault="00586655" w:rsidP="00F8656A">
            <w:pPr>
              <w:tabs>
                <w:tab w:val="left" w:pos="284"/>
              </w:tabs>
              <w:spacing w:after="12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szCs w:val="28"/>
              </w:rPr>
            </w:pPr>
            <w:r w:rsidRPr="00726094">
              <w:rPr>
                <w:rFonts w:ascii="Times New Roman" w:hAnsi="Times New Roman" w:cs="Times New Roman"/>
                <w:b/>
                <w:i/>
                <w:sz w:val="24"/>
                <w:szCs w:val="28"/>
              </w:rPr>
              <w:t>6</w:t>
            </w:r>
          </w:p>
        </w:tc>
      </w:tr>
    </w:tbl>
    <w:p w:rsidR="00ED79FF" w:rsidRPr="00196688" w:rsidRDefault="00ED79FF" w:rsidP="00ED79FF">
      <w:pPr>
        <w:shd w:val="clear" w:color="auto" w:fill="FFFFFF" w:themeFill="background1"/>
        <w:tabs>
          <w:tab w:val="left" w:pos="284"/>
        </w:tabs>
        <w:spacing w:after="120" w:line="276" w:lineRule="auto"/>
        <w:jc w:val="both"/>
        <w:rPr>
          <w:rFonts w:ascii="Times New Roman" w:hAnsi="Times New Roman" w:cs="Times New Roman"/>
          <w:i/>
          <w:sz w:val="20"/>
          <w:szCs w:val="28"/>
        </w:rPr>
      </w:pPr>
      <w:r w:rsidRPr="00196688">
        <w:rPr>
          <w:rFonts w:ascii="Times New Roman" w:hAnsi="Times New Roman" w:cs="Times New Roman"/>
          <w:b/>
          <w:i/>
          <w:sz w:val="20"/>
          <w:szCs w:val="28"/>
        </w:rPr>
        <w:t>Surs</w:t>
      </w:r>
      <w:r w:rsidR="00793995" w:rsidRPr="00196688">
        <w:rPr>
          <w:rFonts w:ascii="Times New Roman" w:hAnsi="Times New Roman" w:cs="Times New Roman"/>
          <w:b/>
          <w:i/>
          <w:sz w:val="20"/>
          <w:szCs w:val="28"/>
        </w:rPr>
        <w:t>ă</w:t>
      </w:r>
      <w:r w:rsidRPr="00196688">
        <w:rPr>
          <w:rFonts w:ascii="Times New Roman" w:hAnsi="Times New Roman" w:cs="Times New Roman"/>
          <w:b/>
          <w:i/>
          <w:sz w:val="20"/>
          <w:szCs w:val="28"/>
        </w:rPr>
        <w:t>:</w:t>
      </w:r>
      <w:r w:rsidRPr="00196688">
        <w:rPr>
          <w:rFonts w:ascii="Times New Roman" w:hAnsi="Times New Roman" w:cs="Times New Roman"/>
          <w:i/>
          <w:sz w:val="20"/>
          <w:szCs w:val="28"/>
        </w:rPr>
        <w:t xml:space="preserve"> Informație generalizată de echipa de audit conform datelor prezentate de M</w:t>
      </w:r>
      <w:r w:rsidR="00793995" w:rsidRPr="00196688">
        <w:rPr>
          <w:rFonts w:ascii="Times New Roman" w:hAnsi="Times New Roman" w:cs="Times New Roman"/>
          <w:i/>
          <w:sz w:val="20"/>
          <w:szCs w:val="28"/>
        </w:rPr>
        <w:t xml:space="preserve">inisterul </w:t>
      </w:r>
      <w:r w:rsidRPr="00196688">
        <w:rPr>
          <w:rFonts w:ascii="Times New Roman" w:hAnsi="Times New Roman" w:cs="Times New Roman"/>
          <w:i/>
          <w:sz w:val="20"/>
          <w:szCs w:val="28"/>
        </w:rPr>
        <w:t>F</w:t>
      </w:r>
      <w:r w:rsidR="00793995" w:rsidRPr="00196688">
        <w:rPr>
          <w:rFonts w:ascii="Times New Roman" w:hAnsi="Times New Roman" w:cs="Times New Roman"/>
          <w:i/>
          <w:sz w:val="20"/>
          <w:szCs w:val="28"/>
        </w:rPr>
        <w:t>inanțelor</w:t>
      </w:r>
      <w:r w:rsidRPr="00196688">
        <w:rPr>
          <w:rFonts w:ascii="Times New Roman" w:hAnsi="Times New Roman" w:cs="Times New Roman"/>
          <w:i/>
          <w:sz w:val="20"/>
          <w:szCs w:val="28"/>
        </w:rPr>
        <w:t>.</w:t>
      </w:r>
    </w:p>
    <w:p w:rsidR="00ED79FF" w:rsidRDefault="001438EF" w:rsidP="003E62EC">
      <w:pPr>
        <w:shd w:val="clear" w:color="auto" w:fill="FFFFFF" w:themeFill="background1"/>
        <w:tabs>
          <w:tab w:val="left" w:pos="284"/>
          <w:tab w:val="left" w:pos="993"/>
        </w:tabs>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Analiza datelor</w:t>
      </w:r>
      <w:r w:rsidR="00ED79FF">
        <w:rPr>
          <w:rFonts w:ascii="Times New Roman" w:hAnsi="Times New Roman" w:cs="Times New Roman"/>
          <w:sz w:val="28"/>
          <w:szCs w:val="28"/>
        </w:rPr>
        <w:t xml:space="preserve"> din tabel atestă că 6 APC nu s-au încadrat cu prezentarea rapoartelor financiare pentru anul 2017 nici în termenul </w:t>
      </w:r>
      <w:r w:rsidR="00ED79FF" w:rsidRPr="007074D1">
        <w:rPr>
          <w:rFonts w:ascii="Times New Roman" w:hAnsi="Times New Roman" w:cs="Times New Roman"/>
          <w:sz w:val="28"/>
          <w:szCs w:val="28"/>
        </w:rPr>
        <w:t>prelungit</w:t>
      </w:r>
      <w:r w:rsidR="00ED79FF">
        <w:rPr>
          <w:rFonts w:ascii="Times New Roman" w:hAnsi="Times New Roman" w:cs="Times New Roman"/>
          <w:sz w:val="28"/>
          <w:szCs w:val="28"/>
        </w:rPr>
        <w:t xml:space="preserve">. Astfel, ultimele rapoarte au fost prezentate la data de </w:t>
      </w:r>
      <w:r w:rsidR="00B32E08">
        <w:rPr>
          <w:rFonts w:ascii="Times New Roman" w:hAnsi="Times New Roman" w:cs="Times New Roman"/>
          <w:sz w:val="28"/>
          <w:szCs w:val="28"/>
        </w:rPr>
        <w:t>27</w:t>
      </w:r>
      <w:r w:rsidR="00ED79FF">
        <w:rPr>
          <w:rFonts w:ascii="Times New Roman" w:hAnsi="Times New Roman" w:cs="Times New Roman"/>
          <w:sz w:val="28"/>
          <w:szCs w:val="28"/>
        </w:rPr>
        <w:t xml:space="preserve">.04.2018 de către </w:t>
      </w:r>
      <w:r w:rsidR="00ED79FF" w:rsidRPr="00E50BD5">
        <w:rPr>
          <w:rFonts w:ascii="Times New Roman" w:hAnsi="Times New Roman" w:cs="Times New Roman"/>
          <w:sz w:val="28"/>
          <w:szCs w:val="28"/>
        </w:rPr>
        <w:t>MSMPS</w:t>
      </w:r>
      <w:r w:rsidR="00FB001B">
        <w:rPr>
          <w:rFonts w:ascii="Times New Roman" w:hAnsi="Times New Roman" w:cs="Times New Roman"/>
          <w:sz w:val="28"/>
          <w:szCs w:val="28"/>
        </w:rPr>
        <w:t>.</w:t>
      </w:r>
      <w:r w:rsidR="00ED79FF" w:rsidRPr="00E50BD5">
        <w:rPr>
          <w:rFonts w:ascii="Times New Roman" w:hAnsi="Times New Roman" w:cs="Times New Roman"/>
          <w:sz w:val="28"/>
          <w:szCs w:val="28"/>
        </w:rPr>
        <w:t xml:space="preserve"> </w:t>
      </w:r>
      <w:r w:rsidR="00043FBB">
        <w:rPr>
          <w:rFonts w:ascii="Times New Roman" w:hAnsi="Times New Roman" w:cs="Times New Roman"/>
          <w:sz w:val="28"/>
          <w:szCs w:val="28"/>
        </w:rPr>
        <w:t>Deși</w:t>
      </w:r>
      <w:r>
        <w:rPr>
          <w:rFonts w:ascii="Times New Roman" w:hAnsi="Times New Roman" w:cs="Times New Roman"/>
          <w:sz w:val="28"/>
          <w:szCs w:val="28"/>
        </w:rPr>
        <w:t>,</w:t>
      </w:r>
      <w:r w:rsidR="00FB001B">
        <w:rPr>
          <w:rFonts w:ascii="Times New Roman" w:hAnsi="Times New Roman" w:cs="Times New Roman"/>
          <w:sz w:val="28"/>
          <w:szCs w:val="28"/>
        </w:rPr>
        <w:t xml:space="preserve"> </w:t>
      </w:r>
      <w:r w:rsidR="00ED79FF" w:rsidRPr="00E50BD5">
        <w:rPr>
          <w:rFonts w:ascii="Times New Roman" w:hAnsi="Times New Roman" w:cs="Times New Roman"/>
          <w:sz w:val="28"/>
          <w:szCs w:val="28"/>
        </w:rPr>
        <w:t>MECC</w:t>
      </w:r>
      <w:r w:rsidR="00FB001B">
        <w:rPr>
          <w:rFonts w:ascii="Times New Roman" w:hAnsi="Times New Roman" w:cs="Times New Roman"/>
          <w:sz w:val="28"/>
          <w:szCs w:val="28"/>
        </w:rPr>
        <w:t xml:space="preserve"> a prezentat rapoartele la data de 17.04.2018, acest</w:t>
      </w:r>
      <w:r w:rsidR="00F81571">
        <w:rPr>
          <w:rFonts w:ascii="Times New Roman" w:hAnsi="Times New Roman" w:cs="Times New Roman"/>
          <w:sz w:val="28"/>
          <w:szCs w:val="28"/>
        </w:rPr>
        <w:t>e</w:t>
      </w:r>
      <w:r w:rsidR="00FB001B">
        <w:rPr>
          <w:rFonts w:ascii="Times New Roman" w:hAnsi="Times New Roman" w:cs="Times New Roman"/>
          <w:sz w:val="28"/>
          <w:szCs w:val="28"/>
        </w:rPr>
        <w:t xml:space="preserve">a </w:t>
      </w:r>
      <w:r w:rsidR="004E5348">
        <w:rPr>
          <w:rFonts w:ascii="Times New Roman" w:hAnsi="Times New Roman" w:cs="Times New Roman"/>
          <w:sz w:val="28"/>
          <w:szCs w:val="28"/>
        </w:rPr>
        <w:t>i-</w:t>
      </w:r>
      <w:r w:rsidR="00FB001B">
        <w:rPr>
          <w:rFonts w:ascii="Times New Roman" w:hAnsi="Times New Roman" w:cs="Times New Roman"/>
          <w:sz w:val="28"/>
          <w:szCs w:val="28"/>
        </w:rPr>
        <w:t>a</w:t>
      </w:r>
      <w:r w:rsidR="00F81571">
        <w:rPr>
          <w:rFonts w:ascii="Times New Roman" w:hAnsi="Times New Roman" w:cs="Times New Roman"/>
          <w:sz w:val="28"/>
          <w:szCs w:val="28"/>
        </w:rPr>
        <w:t>u</w:t>
      </w:r>
      <w:r w:rsidR="00FB001B">
        <w:rPr>
          <w:rFonts w:ascii="Times New Roman" w:hAnsi="Times New Roman" w:cs="Times New Roman"/>
          <w:sz w:val="28"/>
          <w:szCs w:val="28"/>
        </w:rPr>
        <w:t xml:space="preserve"> fost restituit</w:t>
      </w:r>
      <w:r w:rsidR="00F81571">
        <w:rPr>
          <w:rFonts w:ascii="Times New Roman" w:hAnsi="Times New Roman" w:cs="Times New Roman"/>
          <w:sz w:val="28"/>
          <w:szCs w:val="28"/>
        </w:rPr>
        <w:t>e</w:t>
      </w:r>
      <w:r w:rsidR="00FB001B">
        <w:rPr>
          <w:rFonts w:ascii="Times New Roman" w:hAnsi="Times New Roman" w:cs="Times New Roman"/>
          <w:sz w:val="28"/>
          <w:szCs w:val="28"/>
        </w:rPr>
        <w:t xml:space="preserve"> de către MF din cauza multiplelor greșeli.</w:t>
      </w:r>
    </w:p>
    <w:p w:rsidR="00ED79FF" w:rsidRDefault="00ED79FF" w:rsidP="003E62EC">
      <w:pPr>
        <w:shd w:val="clear" w:color="auto" w:fill="FFFFFF" w:themeFill="background1"/>
        <w:tabs>
          <w:tab w:val="left" w:pos="284"/>
          <w:tab w:val="left" w:pos="993"/>
        </w:tabs>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Potrivit motivației MF, prelungirea termenului de prezentare a rapoartelor financiare pentru anul 2017, precum și nerespectarea termen</w:t>
      </w:r>
      <w:r w:rsidR="004E5348">
        <w:rPr>
          <w:rFonts w:ascii="Times New Roman" w:hAnsi="Times New Roman" w:cs="Times New Roman"/>
          <w:sz w:val="28"/>
          <w:szCs w:val="28"/>
        </w:rPr>
        <w:t>e</w:t>
      </w:r>
      <w:r>
        <w:rPr>
          <w:rFonts w:ascii="Times New Roman" w:hAnsi="Times New Roman" w:cs="Times New Roman"/>
          <w:sz w:val="28"/>
          <w:szCs w:val="28"/>
        </w:rPr>
        <w:t>lor stipula</w:t>
      </w:r>
      <w:r w:rsidR="004E5348">
        <w:rPr>
          <w:rFonts w:ascii="Times New Roman" w:hAnsi="Times New Roman" w:cs="Times New Roman"/>
          <w:sz w:val="28"/>
          <w:szCs w:val="28"/>
        </w:rPr>
        <w:t>te</w:t>
      </w:r>
      <w:r>
        <w:rPr>
          <w:rFonts w:ascii="Times New Roman" w:hAnsi="Times New Roman" w:cs="Times New Roman"/>
          <w:sz w:val="28"/>
          <w:szCs w:val="28"/>
        </w:rPr>
        <w:t xml:space="preserve"> de către unele APC au fost cauzate </w:t>
      </w:r>
      <w:r w:rsidRPr="00E50BD5">
        <w:rPr>
          <w:rFonts w:ascii="Times New Roman" w:hAnsi="Times New Roman" w:cs="Times New Roman"/>
          <w:sz w:val="28"/>
          <w:szCs w:val="28"/>
        </w:rPr>
        <w:t>de restructurarea administrației publice centrale de specialitate</w:t>
      </w:r>
      <w:r w:rsidRPr="001330D6">
        <w:rPr>
          <w:rStyle w:val="a9"/>
          <w:rFonts w:ascii="Times New Roman" w:hAnsi="Times New Roman" w:cs="Times New Roman"/>
          <w:sz w:val="28"/>
          <w:szCs w:val="28"/>
        </w:rPr>
        <w:footnoteReference w:id="37"/>
      </w:r>
      <w:r w:rsidR="00476255">
        <w:rPr>
          <w:rFonts w:ascii="Times New Roman" w:hAnsi="Times New Roman" w:cs="Times New Roman"/>
          <w:sz w:val="28"/>
          <w:szCs w:val="28"/>
        </w:rPr>
        <w:t>, concedierea persoanelor</w:t>
      </w:r>
      <w:r w:rsidR="004E5348">
        <w:rPr>
          <w:rFonts w:ascii="Times New Roman" w:hAnsi="Times New Roman" w:cs="Times New Roman"/>
          <w:sz w:val="28"/>
          <w:szCs w:val="28"/>
        </w:rPr>
        <w:t>-</w:t>
      </w:r>
      <w:r w:rsidR="00476255">
        <w:rPr>
          <w:rFonts w:ascii="Times New Roman" w:hAnsi="Times New Roman" w:cs="Times New Roman"/>
          <w:sz w:val="28"/>
          <w:szCs w:val="28"/>
        </w:rPr>
        <w:t>cheie din serviciul contabil și angajarea persoane</w:t>
      </w:r>
      <w:r w:rsidR="004E5348">
        <w:rPr>
          <w:rFonts w:ascii="Times New Roman" w:hAnsi="Times New Roman" w:cs="Times New Roman"/>
          <w:sz w:val="28"/>
          <w:szCs w:val="28"/>
        </w:rPr>
        <w:t>lor</w:t>
      </w:r>
      <w:r w:rsidR="00476255">
        <w:rPr>
          <w:rFonts w:ascii="Times New Roman" w:hAnsi="Times New Roman" w:cs="Times New Roman"/>
          <w:sz w:val="28"/>
          <w:szCs w:val="28"/>
        </w:rPr>
        <w:t xml:space="preserve"> noi în APC reorganizate. În așa mod, nu a fost asigurată continuitatea bunei activități a serviciului financiar-contabil al instituțiilor reorganizate.</w:t>
      </w:r>
      <w:r w:rsidRPr="00E50BD5">
        <w:rPr>
          <w:rFonts w:ascii="Times New Roman" w:hAnsi="Times New Roman" w:cs="Times New Roman"/>
          <w:sz w:val="28"/>
          <w:szCs w:val="28"/>
        </w:rPr>
        <w:t xml:space="preserve"> </w:t>
      </w:r>
    </w:p>
    <w:p w:rsidR="00ED79FF" w:rsidRDefault="00ED79FF" w:rsidP="003E62EC">
      <w:pPr>
        <w:shd w:val="clear" w:color="auto" w:fill="FFFFFF" w:themeFill="background1"/>
        <w:tabs>
          <w:tab w:val="left" w:pos="284"/>
          <w:tab w:val="left" w:pos="993"/>
        </w:tabs>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De asemenea, conform cadrului legal</w:t>
      </w:r>
      <w:r>
        <w:rPr>
          <w:rStyle w:val="a9"/>
          <w:rFonts w:ascii="Times New Roman" w:hAnsi="Times New Roman" w:cs="Times New Roman"/>
          <w:sz w:val="28"/>
          <w:szCs w:val="28"/>
        </w:rPr>
        <w:footnoteReference w:id="38"/>
      </w:r>
      <w:r>
        <w:rPr>
          <w:rFonts w:ascii="Times New Roman" w:hAnsi="Times New Roman" w:cs="Times New Roman"/>
          <w:sz w:val="28"/>
          <w:szCs w:val="28"/>
        </w:rPr>
        <w:t>, MF urma să prezinte spre auditare Curții de Conturi</w:t>
      </w:r>
      <w:r w:rsidR="00334D15">
        <w:rPr>
          <w:rFonts w:ascii="Times New Roman" w:hAnsi="Times New Roman" w:cs="Times New Roman"/>
          <w:sz w:val="28"/>
          <w:szCs w:val="28"/>
        </w:rPr>
        <w:t xml:space="preserve"> </w:t>
      </w:r>
      <w:r w:rsidR="001438EF">
        <w:rPr>
          <w:rFonts w:ascii="Times New Roman" w:hAnsi="Times New Roman" w:cs="Times New Roman"/>
          <w:sz w:val="28"/>
          <w:szCs w:val="28"/>
        </w:rPr>
        <w:t>R</w:t>
      </w:r>
      <w:r>
        <w:rPr>
          <w:rFonts w:ascii="Times New Roman" w:hAnsi="Times New Roman" w:cs="Times New Roman"/>
          <w:sz w:val="28"/>
          <w:szCs w:val="28"/>
        </w:rPr>
        <w:t>aportul anual privind executarea bugetului de stat până la data de 15 aprilie 2018. În realitate</w:t>
      </w:r>
      <w:r w:rsidR="001438EF">
        <w:rPr>
          <w:rFonts w:ascii="Times New Roman" w:hAnsi="Times New Roman" w:cs="Times New Roman"/>
          <w:sz w:val="28"/>
          <w:szCs w:val="28"/>
        </w:rPr>
        <w:t>,</w:t>
      </w:r>
      <w:r>
        <w:rPr>
          <w:rFonts w:ascii="Times New Roman" w:hAnsi="Times New Roman" w:cs="Times New Roman"/>
          <w:sz w:val="28"/>
          <w:szCs w:val="28"/>
        </w:rPr>
        <w:t xml:space="preserve"> acesta a fost prezentat </w:t>
      </w:r>
      <w:r w:rsidR="001438EF">
        <w:rPr>
          <w:rFonts w:ascii="Times New Roman" w:hAnsi="Times New Roman" w:cs="Times New Roman"/>
          <w:sz w:val="28"/>
          <w:szCs w:val="28"/>
        </w:rPr>
        <w:t>echipei de audit</w:t>
      </w:r>
      <w:r>
        <w:rPr>
          <w:rFonts w:ascii="Times New Roman" w:hAnsi="Times New Roman" w:cs="Times New Roman"/>
          <w:sz w:val="28"/>
          <w:szCs w:val="28"/>
        </w:rPr>
        <w:t xml:space="preserve"> la 17.04</w:t>
      </w:r>
      <w:r w:rsidR="00656CA0">
        <w:rPr>
          <w:rFonts w:ascii="Times New Roman" w:hAnsi="Times New Roman" w:cs="Times New Roman"/>
          <w:sz w:val="28"/>
          <w:szCs w:val="28"/>
        </w:rPr>
        <w:t>.</w:t>
      </w:r>
      <w:r>
        <w:rPr>
          <w:rFonts w:ascii="Times New Roman" w:hAnsi="Times New Roman" w:cs="Times New Roman"/>
          <w:sz w:val="28"/>
          <w:szCs w:val="28"/>
        </w:rPr>
        <w:t>2018</w:t>
      </w:r>
      <w:r>
        <w:rPr>
          <w:rStyle w:val="a9"/>
          <w:rFonts w:ascii="Times New Roman" w:hAnsi="Times New Roman" w:cs="Times New Roman"/>
          <w:sz w:val="28"/>
          <w:szCs w:val="28"/>
        </w:rPr>
        <w:footnoteReference w:id="39"/>
      </w:r>
      <w:r>
        <w:rPr>
          <w:rFonts w:ascii="Times New Roman" w:hAnsi="Times New Roman" w:cs="Times New Roman"/>
          <w:sz w:val="28"/>
          <w:szCs w:val="28"/>
        </w:rPr>
        <w:t xml:space="preserve">. </w:t>
      </w:r>
    </w:p>
    <w:p w:rsidR="00ED79FF" w:rsidRDefault="00ED79FF" w:rsidP="003E62EC">
      <w:pPr>
        <w:shd w:val="clear" w:color="auto" w:fill="FFFFFF" w:themeFill="background1"/>
        <w:tabs>
          <w:tab w:val="left" w:pos="284"/>
        </w:tabs>
        <w:spacing w:after="120"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Totodată</w:t>
      </w:r>
      <w:r w:rsidR="001438EF">
        <w:rPr>
          <w:rFonts w:ascii="Times New Roman" w:hAnsi="Times New Roman" w:cs="Times New Roman"/>
          <w:sz w:val="28"/>
          <w:szCs w:val="28"/>
        </w:rPr>
        <w:t>,</w:t>
      </w:r>
      <w:r>
        <w:rPr>
          <w:rFonts w:ascii="Times New Roman" w:hAnsi="Times New Roman" w:cs="Times New Roman"/>
          <w:sz w:val="28"/>
          <w:szCs w:val="28"/>
        </w:rPr>
        <w:t xml:space="preserve"> conform Calendarului activităților pentru întocmirea Raportului anual privind executarea bugetului de stat</w:t>
      </w:r>
      <w:r>
        <w:rPr>
          <w:rStyle w:val="a9"/>
          <w:rFonts w:ascii="Times New Roman" w:hAnsi="Times New Roman" w:cs="Times New Roman"/>
          <w:sz w:val="28"/>
          <w:szCs w:val="28"/>
        </w:rPr>
        <w:footnoteReference w:id="40"/>
      </w:r>
      <w:r>
        <w:rPr>
          <w:rFonts w:ascii="Times New Roman" w:hAnsi="Times New Roman" w:cs="Times New Roman"/>
          <w:sz w:val="28"/>
          <w:szCs w:val="28"/>
        </w:rPr>
        <w:t xml:space="preserve">, MF urma să prezinte Guvernului Raportul anual privind executarea bugetului de </w:t>
      </w:r>
      <w:r w:rsidR="00334D15">
        <w:rPr>
          <w:rFonts w:ascii="Times New Roman" w:hAnsi="Times New Roman" w:cs="Times New Roman"/>
          <w:sz w:val="28"/>
          <w:szCs w:val="28"/>
        </w:rPr>
        <w:t xml:space="preserve">stat până la  30.04.2018. </w:t>
      </w:r>
      <w:r w:rsidR="00D73793">
        <w:rPr>
          <w:rFonts w:ascii="Times New Roman" w:hAnsi="Times New Roman" w:cs="Times New Roman"/>
          <w:sz w:val="28"/>
          <w:szCs w:val="28"/>
        </w:rPr>
        <w:t>Auditul relevă că Raportul a fost prezentat Guvernului la data de 22.05.2018 prin Scrisoarea Ministerului Finanțelor nr.12/4-3-72/488.</w:t>
      </w:r>
      <w:r w:rsidR="004E0CD6">
        <w:rPr>
          <w:rFonts w:ascii="Times New Roman" w:hAnsi="Times New Roman" w:cs="Times New Roman"/>
          <w:sz w:val="28"/>
          <w:szCs w:val="28"/>
        </w:rPr>
        <w:t xml:space="preserve"> </w:t>
      </w:r>
    </w:p>
    <w:p w:rsidR="00D40DB8" w:rsidRDefault="00D40DB8" w:rsidP="007074D1">
      <w:pPr>
        <w:shd w:val="clear" w:color="auto" w:fill="FFFFFF" w:themeFill="background1"/>
        <w:tabs>
          <w:tab w:val="left" w:pos="284"/>
        </w:tabs>
        <w:spacing w:after="0" w:line="276" w:lineRule="auto"/>
        <w:ind w:firstLine="709"/>
        <w:contextualSpacing/>
        <w:jc w:val="both"/>
        <w:rPr>
          <w:rFonts w:ascii="Times New Roman" w:hAnsi="Times New Roman" w:cs="Times New Roman"/>
          <w:sz w:val="28"/>
          <w:szCs w:val="28"/>
        </w:rPr>
      </w:pPr>
    </w:p>
    <w:p w:rsidR="001E4F1C" w:rsidRPr="00B160B4" w:rsidRDefault="00FB001B" w:rsidP="003F12B5">
      <w:pPr>
        <w:pStyle w:val="a5"/>
        <w:numPr>
          <w:ilvl w:val="2"/>
          <w:numId w:val="3"/>
        </w:numPr>
        <w:spacing w:after="0" w:line="276" w:lineRule="auto"/>
        <w:ind w:left="0" w:firstLine="709"/>
        <w:jc w:val="both"/>
        <w:outlineLvl w:val="2"/>
        <w:rPr>
          <w:rFonts w:ascii="Times New Roman" w:hAnsi="Times New Roman" w:cs="Times New Roman"/>
          <w:b/>
          <w:i/>
          <w:sz w:val="28"/>
          <w:szCs w:val="28"/>
        </w:rPr>
      </w:pPr>
      <w:bookmarkStart w:id="18" w:name="_Toc515518991"/>
      <w:r>
        <w:rPr>
          <w:rFonts w:ascii="Times New Roman" w:hAnsi="Times New Roman"/>
          <w:b/>
          <w:i/>
          <w:color w:val="000000" w:themeColor="text1"/>
          <w:sz w:val="28"/>
          <w:szCs w:val="28"/>
        </w:rPr>
        <w:t>Modificările</w:t>
      </w:r>
      <w:r w:rsidR="001E4F1C" w:rsidRPr="001E4F1C">
        <w:rPr>
          <w:rFonts w:ascii="Times New Roman" w:hAnsi="Times New Roman"/>
          <w:b/>
          <w:i/>
          <w:color w:val="000000" w:themeColor="text1"/>
          <w:sz w:val="28"/>
          <w:szCs w:val="28"/>
        </w:rPr>
        <w:t xml:space="preserve"> operate pe parcursul anului 2017 la indicatorii bugetar-fiscali aprobați inițial </w:t>
      </w:r>
      <w:r w:rsidR="00272690">
        <w:rPr>
          <w:rFonts w:ascii="Times New Roman" w:hAnsi="Times New Roman"/>
          <w:b/>
          <w:i/>
          <w:color w:val="000000" w:themeColor="text1"/>
          <w:sz w:val="28"/>
          <w:szCs w:val="28"/>
        </w:rPr>
        <w:t xml:space="preserve">au </w:t>
      </w:r>
      <w:r w:rsidR="00F012C8">
        <w:rPr>
          <w:rFonts w:ascii="Times New Roman" w:hAnsi="Times New Roman"/>
          <w:b/>
          <w:i/>
          <w:color w:val="000000" w:themeColor="text1"/>
          <w:sz w:val="28"/>
          <w:szCs w:val="28"/>
        </w:rPr>
        <w:t xml:space="preserve">fost generate de </w:t>
      </w:r>
      <w:r w:rsidR="001438EF">
        <w:rPr>
          <w:rFonts w:ascii="Times New Roman" w:hAnsi="Times New Roman"/>
          <w:b/>
          <w:i/>
          <w:color w:val="000000" w:themeColor="text1"/>
          <w:sz w:val="28"/>
          <w:szCs w:val="28"/>
        </w:rPr>
        <w:t xml:space="preserve">gradul de </w:t>
      </w:r>
      <w:r w:rsidR="001E4F1C" w:rsidRPr="001E4F1C">
        <w:rPr>
          <w:rFonts w:ascii="Times New Roman" w:hAnsi="Times New Roman"/>
          <w:b/>
          <w:i/>
          <w:color w:val="000000" w:themeColor="text1"/>
          <w:sz w:val="28"/>
          <w:szCs w:val="28"/>
        </w:rPr>
        <w:t>realizare a veniturilo</w:t>
      </w:r>
      <w:r w:rsidR="003E62EC">
        <w:rPr>
          <w:rFonts w:ascii="Times New Roman" w:hAnsi="Times New Roman"/>
          <w:b/>
          <w:i/>
          <w:color w:val="000000" w:themeColor="text1"/>
          <w:sz w:val="28"/>
          <w:szCs w:val="28"/>
        </w:rPr>
        <w:t>r bugetului de</w:t>
      </w:r>
      <w:r w:rsidR="001438EF">
        <w:rPr>
          <w:rFonts w:ascii="Times New Roman" w:hAnsi="Times New Roman"/>
          <w:b/>
          <w:i/>
          <w:color w:val="000000" w:themeColor="text1"/>
          <w:sz w:val="28"/>
          <w:szCs w:val="28"/>
        </w:rPr>
        <w:t xml:space="preserve"> stat</w:t>
      </w:r>
      <w:r w:rsidR="001E4F1C" w:rsidRPr="0089751C">
        <w:rPr>
          <w:rFonts w:ascii="Times New Roman" w:hAnsi="Times New Roman"/>
          <w:b/>
          <w:i/>
          <w:color w:val="000000" w:themeColor="text1"/>
          <w:sz w:val="28"/>
          <w:szCs w:val="28"/>
        </w:rPr>
        <w:t>.</w:t>
      </w:r>
      <w:bookmarkEnd w:id="18"/>
    </w:p>
    <w:p w:rsidR="00350ED2" w:rsidRDefault="00350ED2" w:rsidP="003E62EC">
      <w:pPr>
        <w:pStyle w:val="a5"/>
        <w:spacing w:before="240" w:after="0" w:line="276" w:lineRule="auto"/>
        <w:ind w:left="0" w:right="-93" w:firstLine="720"/>
        <w:jc w:val="both"/>
        <w:rPr>
          <w:rFonts w:ascii="Times New Roman" w:hAnsi="Times New Roman"/>
          <w:sz w:val="28"/>
          <w:szCs w:val="28"/>
        </w:rPr>
      </w:pPr>
      <w:r>
        <w:rPr>
          <w:rFonts w:ascii="Times New Roman" w:hAnsi="Times New Roman"/>
          <w:sz w:val="28"/>
          <w:szCs w:val="28"/>
        </w:rPr>
        <w:t xml:space="preserve">Pentru anul 2017, în bugetul de stat inițial au fost aprobate venituri în sumă de 32839,2 mil.lei. Prin operarea modificărilor din 17.03.2017 și din 10.11.2017 la Legea </w:t>
      </w:r>
      <w:r>
        <w:rPr>
          <w:rFonts w:ascii="Times New Roman" w:hAnsi="Times New Roman"/>
          <w:sz w:val="28"/>
          <w:szCs w:val="28"/>
        </w:rPr>
        <w:lastRenderedPageBreak/>
        <w:t>buget</w:t>
      </w:r>
      <w:r w:rsidR="00272690">
        <w:rPr>
          <w:rFonts w:ascii="Times New Roman" w:hAnsi="Times New Roman"/>
          <w:sz w:val="28"/>
          <w:szCs w:val="28"/>
        </w:rPr>
        <w:t>ară</w:t>
      </w:r>
      <w:r>
        <w:rPr>
          <w:rFonts w:ascii="Times New Roman" w:hAnsi="Times New Roman"/>
          <w:sz w:val="28"/>
          <w:szCs w:val="28"/>
        </w:rPr>
        <w:t xml:space="preserve"> </w:t>
      </w:r>
      <w:r w:rsidR="00272690">
        <w:rPr>
          <w:rFonts w:ascii="Times New Roman" w:hAnsi="Times New Roman"/>
          <w:sz w:val="28"/>
          <w:szCs w:val="28"/>
        </w:rPr>
        <w:t>anuală</w:t>
      </w:r>
      <w:r>
        <w:rPr>
          <w:rFonts w:ascii="Times New Roman" w:hAnsi="Times New Roman"/>
          <w:sz w:val="28"/>
          <w:szCs w:val="28"/>
        </w:rPr>
        <w:t>, a fost majorat totalul veniturilor bugetului de stat cu 385,</w:t>
      </w:r>
      <w:r w:rsidR="00272690">
        <w:rPr>
          <w:rFonts w:ascii="Times New Roman" w:hAnsi="Times New Roman"/>
          <w:sz w:val="28"/>
          <w:szCs w:val="28"/>
        </w:rPr>
        <w:t>9</w:t>
      </w:r>
      <w:r>
        <w:rPr>
          <w:rFonts w:ascii="Times New Roman" w:hAnsi="Times New Roman"/>
          <w:sz w:val="28"/>
          <w:szCs w:val="28"/>
        </w:rPr>
        <w:t xml:space="preserve"> mi</w:t>
      </w:r>
      <w:r w:rsidR="00272690">
        <w:rPr>
          <w:rFonts w:ascii="Times New Roman" w:hAnsi="Times New Roman"/>
          <w:sz w:val="28"/>
          <w:szCs w:val="28"/>
        </w:rPr>
        <w:t>l.</w:t>
      </w:r>
      <w:r>
        <w:rPr>
          <w:rFonts w:ascii="Times New Roman" w:hAnsi="Times New Roman"/>
          <w:sz w:val="28"/>
          <w:szCs w:val="28"/>
        </w:rPr>
        <w:t>lei și, respectiv, cu 541</w:t>
      </w:r>
      <w:r w:rsidR="00272690">
        <w:rPr>
          <w:rFonts w:ascii="Times New Roman" w:hAnsi="Times New Roman"/>
          <w:sz w:val="28"/>
          <w:szCs w:val="28"/>
        </w:rPr>
        <w:t>,</w:t>
      </w:r>
      <w:r w:rsidR="00281E4D">
        <w:rPr>
          <w:rFonts w:ascii="Times New Roman" w:hAnsi="Times New Roman"/>
          <w:sz w:val="28"/>
          <w:szCs w:val="28"/>
        </w:rPr>
        <w:t xml:space="preserve">6 </w:t>
      </w:r>
      <w:r>
        <w:rPr>
          <w:rFonts w:ascii="Times New Roman" w:hAnsi="Times New Roman"/>
          <w:sz w:val="28"/>
          <w:szCs w:val="28"/>
        </w:rPr>
        <w:t>mi</w:t>
      </w:r>
      <w:r w:rsidR="00272690">
        <w:rPr>
          <w:rFonts w:ascii="Times New Roman" w:hAnsi="Times New Roman"/>
          <w:sz w:val="28"/>
          <w:szCs w:val="28"/>
        </w:rPr>
        <w:t>l.</w:t>
      </w:r>
      <w:r>
        <w:rPr>
          <w:rFonts w:ascii="Times New Roman" w:hAnsi="Times New Roman"/>
          <w:sz w:val="28"/>
          <w:szCs w:val="28"/>
        </w:rPr>
        <w:t>lei.</w:t>
      </w:r>
    </w:p>
    <w:p w:rsidR="00350ED2" w:rsidRPr="00F81571" w:rsidRDefault="00350ED2" w:rsidP="003E62EC">
      <w:pPr>
        <w:spacing w:after="0" w:line="276" w:lineRule="auto"/>
        <w:ind w:right="-93" w:firstLine="720"/>
        <w:jc w:val="both"/>
        <w:rPr>
          <w:rFonts w:ascii="Times New Roman" w:hAnsi="Times New Roman" w:cs="Times New Roman"/>
          <w:sz w:val="28"/>
          <w:szCs w:val="28"/>
        </w:rPr>
      </w:pPr>
      <w:r>
        <w:rPr>
          <w:rFonts w:ascii="Times New Roman" w:hAnsi="Times New Roman"/>
          <w:sz w:val="28"/>
          <w:szCs w:val="28"/>
        </w:rPr>
        <w:t xml:space="preserve">Verificările auditului au constatat că </w:t>
      </w:r>
      <w:r w:rsidRPr="00976D61">
        <w:rPr>
          <w:rFonts w:ascii="Times New Roman" w:hAnsi="Times New Roman"/>
          <w:sz w:val="28"/>
          <w:szCs w:val="28"/>
        </w:rPr>
        <w:t xml:space="preserve">MF, fiind autorizat prin </w:t>
      </w:r>
      <w:r>
        <w:rPr>
          <w:rFonts w:ascii="Times New Roman" w:hAnsi="Times New Roman"/>
          <w:sz w:val="28"/>
          <w:szCs w:val="28"/>
        </w:rPr>
        <w:t>cadrul legal</w:t>
      </w:r>
      <w:r>
        <w:rPr>
          <w:rStyle w:val="a9"/>
          <w:rFonts w:ascii="Times New Roman" w:hAnsi="Times New Roman"/>
          <w:sz w:val="28"/>
          <w:szCs w:val="28"/>
        </w:rPr>
        <w:footnoteReference w:id="41"/>
      </w:r>
      <w:r>
        <w:rPr>
          <w:rFonts w:ascii="Times New Roman" w:hAnsi="Times New Roman"/>
          <w:sz w:val="28"/>
          <w:szCs w:val="28"/>
        </w:rPr>
        <w:t xml:space="preserve">, </w:t>
      </w:r>
      <w:r w:rsidRPr="00976D61">
        <w:rPr>
          <w:rFonts w:ascii="Times New Roman" w:hAnsi="Times New Roman"/>
          <w:sz w:val="28"/>
          <w:szCs w:val="28"/>
        </w:rPr>
        <w:t>a modificat</w:t>
      </w:r>
      <w:r>
        <w:rPr>
          <w:rFonts w:ascii="Times New Roman" w:hAnsi="Times New Roman"/>
          <w:sz w:val="28"/>
          <w:szCs w:val="28"/>
        </w:rPr>
        <w:t>/majorat</w:t>
      </w:r>
      <w:r w:rsidRPr="00976D61">
        <w:rPr>
          <w:rFonts w:ascii="Times New Roman" w:hAnsi="Times New Roman"/>
          <w:sz w:val="28"/>
          <w:szCs w:val="28"/>
        </w:rPr>
        <w:t xml:space="preserve"> </w:t>
      </w:r>
      <w:r>
        <w:rPr>
          <w:rFonts w:ascii="Times New Roman" w:hAnsi="Times New Roman"/>
          <w:sz w:val="28"/>
          <w:szCs w:val="28"/>
        </w:rPr>
        <w:t>veniturile bugetului de stat cu 11604,2 mii lei, dintre care granturi</w:t>
      </w:r>
      <w:r w:rsidR="00655732">
        <w:rPr>
          <w:rFonts w:ascii="Times New Roman" w:hAnsi="Times New Roman"/>
          <w:sz w:val="28"/>
          <w:szCs w:val="28"/>
        </w:rPr>
        <w:t>le</w:t>
      </w:r>
      <w:r>
        <w:rPr>
          <w:rFonts w:ascii="Times New Roman" w:hAnsi="Times New Roman"/>
          <w:sz w:val="28"/>
          <w:szCs w:val="28"/>
        </w:rPr>
        <w:t xml:space="preserve"> pentru proiecte investiționale </w:t>
      </w:r>
      <w:r w:rsidR="00655732">
        <w:rPr>
          <w:rFonts w:ascii="Times New Roman" w:hAnsi="Times New Roman"/>
          <w:sz w:val="28"/>
          <w:szCs w:val="28"/>
        </w:rPr>
        <w:t xml:space="preserve">– </w:t>
      </w:r>
      <w:r>
        <w:rPr>
          <w:rFonts w:ascii="Times New Roman" w:hAnsi="Times New Roman"/>
          <w:sz w:val="28"/>
          <w:szCs w:val="28"/>
        </w:rPr>
        <w:t>cu 9772,5 mii lei</w:t>
      </w:r>
      <w:r w:rsidR="00655732">
        <w:rPr>
          <w:rFonts w:ascii="Times New Roman" w:hAnsi="Times New Roman"/>
          <w:sz w:val="28"/>
          <w:szCs w:val="28"/>
        </w:rPr>
        <w:t>,</w:t>
      </w:r>
      <w:r>
        <w:rPr>
          <w:rFonts w:ascii="Times New Roman" w:hAnsi="Times New Roman"/>
          <w:sz w:val="28"/>
          <w:szCs w:val="28"/>
        </w:rPr>
        <w:t xml:space="preserve"> și donații</w:t>
      </w:r>
      <w:r w:rsidR="00655732">
        <w:rPr>
          <w:rFonts w:ascii="Times New Roman" w:hAnsi="Times New Roman"/>
          <w:sz w:val="28"/>
          <w:szCs w:val="28"/>
        </w:rPr>
        <w:t>le</w:t>
      </w:r>
      <w:r>
        <w:rPr>
          <w:rFonts w:ascii="Times New Roman" w:hAnsi="Times New Roman"/>
          <w:sz w:val="28"/>
          <w:szCs w:val="28"/>
        </w:rPr>
        <w:t xml:space="preserve"> pentru instituțiile bugetare </w:t>
      </w:r>
      <w:r w:rsidR="00655732">
        <w:rPr>
          <w:rFonts w:ascii="Times New Roman" w:hAnsi="Times New Roman"/>
          <w:sz w:val="28"/>
          <w:szCs w:val="28"/>
        </w:rPr>
        <w:t>–</w:t>
      </w:r>
      <w:r w:rsidR="00281E4D">
        <w:rPr>
          <w:rFonts w:ascii="Times New Roman" w:hAnsi="Times New Roman"/>
          <w:sz w:val="28"/>
          <w:szCs w:val="28"/>
        </w:rPr>
        <w:t xml:space="preserve"> </w:t>
      </w:r>
      <w:r>
        <w:rPr>
          <w:rFonts w:ascii="Times New Roman" w:hAnsi="Times New Roman"/>
          <w:sz w:val="28"/>
          <w:szCs w:val="28"/>
        </w:rPr>
        <w:t>cu</w:t>
      </w:r>
      <w:r w:rsidRPr="00976D61">
        <w:rPr>
          <w:rFonts w:ascii="Times New Roman" w:hAnsi="Times New Roman"/>
          <w:sz w:val="28"/>
          <w:szCs w:val="28"/>
        </w:rPr>
        <w:t xml:space="preserve"> </w:t>
      </w:r>
      <w:r w:rsidRPr="00F81571">
        <w:rPr>
          <w:rFonts w:ascii="Times New Roman" w:hAnsi="Times New Roman"/>
          <w:sz w:val="28"/>
          <w:szCs w:val="28"/>
        </w:rPr>
        <w:t>1831,7 mii lei.</w:t>
      </w:r>
    </w:p>
    <w:p w:rsidR="00350ED2" w:rsidRPr="00F1572B" w:rsidRDefault="00350ED2" w:rsidP="003E62EC">
      <w:pPr>
        <w:spacing w:after="0" w:line="276" w:lineRule="auto"/>
        <w:ind w:right="-91" w:firstLine="720"/>
        <w:jc w:val="both"/>
        <w:rPr>
          <w:rFonts w:ascii="Times New Roman" w:hAnsi="Times New Roman" w:cs="Times New Roman"/>
          <w:sz w:val="28"/>
          <w:szCs w:val="28"/>
        </w:rPr>
      </w:pPr>
      <w:r w:rsidRPr="002502E7">
        <w:rPr>
          <w:rFonts w:ascii="Times New Roman" w:hAnsi="Times New Roman" w:cs="Times New Roman"/>
          <w:sz w:val="28"/>
          <w:szCs w:val="28"/>
        </w:rPr>
        <w:t>Deși</w:t>
      </w:r>
      <w:r w:rsidRPr="00794999">
        <w:rPr>
          <w:rFonts w:ascii="Times New Roman" w:hAnsi="Times New Roman" w:cs="Times New Roman"/>
          <w:sz w:val="28"/>
          <w:szCs w:val="28"/>
        </w:rPr>
        <w:t>, potrivit cadrului legal</w:t>
      </w:r>
      <w:r w:rsidRPr="00794999">
        <w:rPr>
          <w:rStyle w:val="a9"/>
          <w:rFonts w:ascii="Times New Roman" w:hAnsi="Times New Roman" w:cs="Times New Roman"/>
          <w:sz w:val="28"/>
          <w:szCs w:val="28"/>
        </w:rPr>
        <w:footnoteReference w:id="42"/>
      </w:r>
      <w:r>
        <w:rPr>
          <w:rFonts w:ascii="Times New Roman" w:hAnsi="Times New Roman" w:cs="Times New Roman"/>
          <w:sz w:val="28"/>
          <w:szCs w:val="28"/>
        </w:rPr>
        <w:t>,</w:t>
      </w:r>
      <w:r w:rsidRPr="00794999">
        <w:rPr>
          <w:rFonts w:ascii="Times New Roman" w:hAnsi="Times New Roman" w:cs="Times New Roman"/>
          <w:sz w:val="28"/>
          <w:szCs w:val="28"/>
        </w:rPr>
        <w:t xml:space="preserve"> </w:t>
      </w:r>
      <w:r w:rsidR="00F91C49">
        <w:rPr>
          <w:rFonts w:ascii="Times New Roman" w:hAnsi="Times New Roman" w:cs="Times New Roman"/>
          <w:i/>
          <w:sz w:val="28"/>
          <w:szCs w:val="28"/>
        </w:rPr>
        <w:t>„</w:t>
      </w:r>
      <w:r w:rsidR="00F012C8">
        <w:rPr>
          <w:rFonts w:ascii="Times New Roman" w:hAnsi="Times New Roman" w:cs="Times New Roman"/>
          <w:i/>
          <w:sz w:val="28"/>
          <w:szCs w:val="28"/>
        </w:rPr>
        <w:t>pe parcursul</w:t>
      </w:r>
      <w:r w:rsidRPr="006C4560">
        <w:rPr>
          <w:rFonts w:ascii="Times New Roman" w:hAnsi="Times New Roman" w:cs="Times New Roman"/>
          <w:i/>
          <w:sz w:val="28"/>
          <w:szCs w:val="28"/>
        </w:rPr>
        <w:t xml:space="preserve"> unui an bugetar pot fi efectuate, de regulă, </w:t>
      </w:r>
      <w:r w:rsidRPr="00F91C49">
        <w:rPr>
          <w:rFonts w:ascii="Times New Roman" w:hAnsi="Times New Roman" w:cs="Times New Roman"/>
          <w:i/>
          <w:sz w:val="28"/>
          <w:szCs w:val="28"/>
        </w:rPr>
        <w:t>cel mult două modificări</w:t>
      </w:r>
      <w:r w:rsidRPr="006C4560">
        <w:rPr>
          <w:rFonts w:ascii="Times New Roman" w:hAnsi="Times New Roman" w:cs="Times New Roman"/>
          <w:i/>
          <w:sz w:val="28"/>
          <w:szCs w:val="28"/>
        </w:rPr>
        <w:t xml:space="preserve"> ale bugetelor componente ale bugetului public național, care se adoptă nu mai degrabă de </w:t>
      </w:r>
      <w:r w:rsidRPr="00F91C49">
        <w:rPr>
          <w:rFonts w:ascii="Times New Roman" w:hAnsi="Times New Roman" w:cs="Times New Roman"/>
          <w:i/>
          <w:sz w:val="28"/>
          <w:szCs w:val="28"/>
        </w:rPr>
        <w:t>1 iulie</w:t>
      </w:r>
      <w:r w:rsidRPr="006C4560">
        <w:rPr>
          <w:rFonts w:ascii="Times New Roman" w:hAnsi="Times New Roman" w:cs="Times New Roman"/>
          <w:i/>
          <w:sz w:val="28"/>
          <w:szCs w:val="28"/>
        </w:rPr>
        <w:t xml:space="preserve"> și nu mai târziu de </w:t>
      </w:r>
      <w:r w:rsidRPr="00F91C49">
        <w:rPr>
          <w:rFonts w:ascii="Times New Roman" w:hAnsi="Times New Roman" w:cs="Times New Roman"/>
          <w:i/>
          <w:sz w:val="28"/>
          <w:szCs w:val="28"/>
        </w:rPr>
        <w:t>15 noiembrie</w:t>
      </w:r>
      <w:r w:rsidRPr="006C4560">
        <w:rPr>
          <w:rFonts w:ascii="Times New Roman" w:hAnsi="Times New Roman" w:cs="Times New Roman"/>
          <w:i/>
          <w:sz w:val="28"/>
          <w:szCs w:val="28"/>
        </w:rPr>
        <w:t>, cu excepția cazurilor prevăzute la art.69 alin</w:t>
      </w:r>
      <w:r w:rsidR="00F81571">
        <w:rPr>
          <w:rFonts w:ascii="Times New Roman" w:hAnsi="Times New Roman" w:cs="Times New Roman"/>
          <w:i/>
          <w:sz w:val="28"/>
          <w:szCs w:val="28"/>
        </w:rPr>
        <w:t>.</w:t>
      </w:r>
      <w:r w:rsidRPr="006C4560">
        <w:rPr>
          <w:rFonts w:ascii="Times New Roman" w:hAnsi="Times New Roman" w:cs="Times New Roman"/>
          <w:i/>
          <w:sz w:val="28"/>
          <w:szCs w:val="28"/>
        </w:rPr>
        <w:t xml:space="preserve"> (4)</w:t>
      </w:r>
      <w:r w:rsidR="00F91C49">
        <w:rPr>
          <w:rFonts w:ascii="Times New Roman" w:hAnsi="Times New Roman" w:cs="Times New Roman"/>
          <w:i/>
          <w:sz w:val="28"/>
          <w:szCs w:val="28"/>
        </w:rPr>
        <w:t>”</w:t>
      </w:r>
      <w:r>
        <w:rPr>
          <w:rFonts w:ascii="Times New Roman" w:hAnsi="Times New Roman" w:cs="Times New Roman"/>
          <w:sz w:val="28"/>
          <w:szCs w:val="28"/>
        </w:rPr>
        <w:t xml:space="preserve">, verificările auditului au constatat că pe parcursul anului au fost </w:t>
      </w:r>
      <w:r w:rsidRPr="00F91C49">
        <w:rPr>
          <w:rFonts w:ascii="Times New Roman" w:hAnsi="Times New Roman" w:cs="Times New Roman"/>
          <w:sz w:val="28"/>
          <w:szCs w:val="28"/>
        </w:rPr>
        <w:t xml:space="preserve">operate </w:t>
      </w:r>
      <w:r w:rsidR="00F91C49" w:rsidRPr="00F91C49">
        <w:rPr>
          <w:rFonts w:ascii="Times New Roman" w:hAnsi="Times New Roman" w:cs="Times New Roman"/>
          <w:sz w:val="28"/>
          <w:szCs w:val="28"/>
        </w:rPr>
        <w:t>4</w:t>
      </w:r>
      <w:r w:rsidRPr="00F91C49">
        <w:rPr>
          <w:rFonts w:ascii="Times New Roman" w:hAnsi="Times New Roman" w:cs="Times New Roman"/>
          <w:sz w:val="28"/>
          <w:szCs w:val="28"/>
        </w:rPr>
        <w:t xml:space="preserve"> modificări</w:t>
      </w:r>
      <w:r>
        <w:rPr>
          <w:rFonts w:ascii="Times New Roman" w:hAnsi="Times New Roman" w:cs="Times New Roman"/>
          <w:sz w:val="28"/>
          <w:szCs w:val="28"/>
        </w:rPr>
        <w:t xml:space="preserve"> la Legea bugetului de stat pentru anul 2017. Astfel, prima modificare a fost efectuată pe data de 17.03.2017, adică înainte de termenul stabilit – 1 iulie, și ultima modificare, a </w:t>
      </w:r>
      <w:r w:rsidR="00F91C49">
        <w:rPr>
          <w:rFonts w:ascii="Times New Roman" w:hAnsi="Times New Roman" w:cs="Times New Roman"/>
          <w:sz w:val="28"/>
          <w:szCs w:val="28"/>
        </w:rPr>
        <w:t>patr</w:t>
      </w:r>
      <w:r>
        <w:rPr>
          <w:rFonts w:ascii="Times New Roman" w:hAnsi="Times New Roman" w:cs="Times New Roman"/>
          <w:sz w:val="28"/>
          <w:szCs w:val="28"/>
        </w:rPr>
        <w:t xml:space="preserve">a, a fost efectuată </w:t>
      </w:r>
      <w:r w:rsidR="00F91C49">
        <w:rPr>
          <w:rFonts w:ascii="Times New Roman" w:hAnsi="Times New Roman" w:cs="Times New Roman"/>
          <w:sz w:val="28"/>
          <w:szCs w:val="28"/>
        </w:rPr>
        <w:t xml:space="preserve">la data de 10.11.2017, </w:t>
      </w:r>
      <w:r>
        <w:rPr>
          <w:rFonts w:ascii="Times New Roman" w:hAnsi="Times New Roman" w:cs="Times New Roman"/>
          <w:sz w:val="28"/>
          <w:szCs w:val="28"/>
        </w:rPr>
        <w:t>înc</w:t>
      </w:r>
      <w:r w:rsidR="00F91C49">
        <w:rPr>
          <w:rFonts w:ascii="Times New Roman" w:hAnsi="Times New Roman" w:cs="Times New Roman"/>
          <w:sz w:val="28"/>
          <w:szCs w:val="28"/>
        </w:rPr>
        <w:t>adr</w:t>
      </w:r>
      <w:r>
        <w:rPr>
          <w:rFonts w:ascii="Times New Roman" w:hAnsi="Times New Roman" w:cs="Times New Roman"/>
          <w:sz w:val="28"/>
          <w:szCs w:val="28"/>
        </w:rPr>
        <w:t xml:space="preserve">ându-se </w:t>
      </w:r>
      <w:r w:rsidR="00F91C49">
        <w:rPr>
          <w:rFonts w:ascii="Times New Roman" w:hAnsi="Times New Roman" w:cs="Times New Roman"/>
          <w:sz w:val="28"/>
          <w:szCs w:val="28"/>
        </w:rPr>
        <w:t xml:space="preserve">în termenul </w:t>
      </w:r>
      <w:r>
        <w:rPr>
          <w:rFonts w:ascii="Times New Roman" w:hAnsi="Times New Roman" w:cs="Times New Roman"/>
          <w:sz w:val="28"/>
          <w:szCs w:val="28"/>
        </w:rPr>
        <w:t>limită de 15 noiembrie.</w:t>
      </w:r>
    </w:p>
    <w:p w:rsidR="00EC6E3B" w:rsidRPr="00476255" w:rsidRDefault="00EC6E3B" w:rsidP="00476255">
      <w:pPr>
        <w:pStyle w:val="a5"/>
        <w:spacing w:after="0" w:line="276" w:lineRule="auto"/>
        <w:ind w:left="0" w:right="51" w:firstLine="720"/>
        <w:contextualSpacing w:val="0"/>
        <w:jc w:val="both"/>
        <w:rPr>
          <w:rFonts w:ascii="Times New Roman" w:hAnsi="Times New Roman"/>
          <w:sz w:val="28"/>
          <w:szCs w:val="28"/>
        </w:rPr>
      </w:pPr>
      <w:r w:rsidRPr="005F2274">
        <w:rPr>
          <w:rFonts w:ascii="Times New Roman" w:hAnsi="Times New Roman"/>
          <w:sz w:val="28"/>
          <w:szCs w:val="28"/>
        </w:rPr>
        <w:t>Analiza informației cu privire</w:t>
      </w:r>
      <w:r>
        <w:rPr>
          <w:rFonts w:ascii="Times New Roman" w:hAnsi="Times New Roman"/>
          <w:sz w:val="28"/>
          <w:szCs w:val="28"/>
        </w:rPr>
        <w:t xml:space="preserve"> la principalii indicatori de venituri ai bugetului de stat executați în anul 2017 se prezintă în </w:t>
      </w:r>
      <w:r w:rsidRPr="00272690">
        <w:rPr>
          <w:rFonts w:ascii="Times New Roman" w:hAnsi="Times New Roman"/>
          <w:i/>
          <w:sz w:val="28"/>
          <w:szCs w:val="28"/>
        </w:rPr>
        <w:t>Tabelul nr.</w:t>
      </w:r>
      <w:r w:rsidR="00024D8E">
        <w:rPr>
          <w:rFonts w:ascii="Times New Roman" w:hAnsi="Times New Roman"/>
          <w:i/>
          <w:sz w:val="28"/>
          <w:szCs w:val="28"/>
        </w:rPr>
        <w:t>5</w:t>
      </w:r>
      <w:r w:rsidR="00476255">
        <w:rPr>
          <w:rFonts w:ascii="Times New Roman" w:hAnsi="Times New Roman"/>
          <w:i/>
          <w:sz w:val="28"/>
          <w:szCs w:val="28"/>
        </w:rPr>
        <w:t xml:space="preserve"> din Anexa nr.3 la prezentul Raport</w:t>
      </w:r>
      <w:r w:rsidR="00655732">
        <w:rPr>
          <w:rFonts w:ascii="Times New Roman" w:hAnsi="Times New Roman"/>
          <w:i/>
          <w:sz w:val="28"/>
          <w:szCs w:val="28"/>
        </w:rPr>
        <w:t xml:space="preserve"> de audit</w:t>
      </w:r>
      <w:r w:rsidRPr="00272690">
        <w:rPr>
          <w:rFonts w:ascii="Times New Roman" w:hAnsi="Times New Roman"/>
          <w:i/>
          <w:sz w:val="28"/>
          <w:szCs w:val="28"/>
        </w:rPr>
        <w:t>.</w:t>
      </w:r>
      <w:r w:rsidR="00764D6E">
        <w:rPr>
          <w:rFonts w:ascii="Times New Roman" w:hAnsi="Times New Roman"/>
          <w:sz w:val="28"/>
          <w:szCs w:val="28"/>
        </w:rPr>
        <w:t xml:space="preserve"> </w:t>
      </w:r>
    </w:p>
    <w:p w:rsidR="00F32CAF" w:rsidRDefault="00F32CAF" w:rsidP="003E62EC">
      <w:pPr>
        <w:spacing w:after="0" w:line="276" w:lineRule="auto"/>
        <w:ind w:right="49" w:firstLine="720"/>
        <w:jc w:val="both"/>
        <w:rPr>
          <w:rFonts w:ascii="Times New Roman" w:hAnsi="Times New Roman"/>
          <w:sz w:val="28"/>
          <w:szCs w:val="28"/>
        </w:rPr>
      </w:pPr>
      <w:r>
        <w:rPr>
          <w:rFonts w:ascii="Times New Roman" w:hAnsi="Times New Roman"/>
          <w:sz w:val="28"/>
          <w:szCs w:val="28"/>
        </w:rPr>
        <w:t>A</w:t>
      </w:r>
      <w:r w:rsidR="005F2274">
        <w:rPr>
          <w:rFonts w:ascii="Times New Roman" w:hAnsi="Times New Roman"/>
          <w:sz w:val="28"/>
          <w:szCs w:val="28"/>
        </w:rPr>
        <w:t>stfel</w:t>
      </w:r>
      <w:r w:rsidR="00655732">
        <w:rPr>
          <w:rFonts w:ascii="Times New Roman" w:hAnsi="Times New Roman"/>
          <w:sz w:val="28"/>
          <w:szCs w:val="28"/>
        </w:rPr>
        <w:t>,</w:t>
      </w:r>
      <w:r w:rsidR="005F2274">
        <w:rPr>
          <w:rFonts w:ascii="Times New Roman" w:hAnsi="Times New Roman"/>
          <w:sz w:val="28"/>
          <w:szCs w:val="28"/>
        </w:rPr>
        <w:t xml:space="preserve"> a</w:t>
      </w:r>
      <w:r>
        <w:rPr>
          <w:rFonts w:ascii="Times New Roman" w:hAnsi="Times New Roman"/>
          <w:sz w:val="28"/>
          <w:szCs w:val="28"/>
        </w:rPr>
        <w:t xml:space="preserve">naliza </w:t>
      </w:r>
      <w:r w:rsidR="005F2274">
        <w:rPr>
          <w:rFonts w:ascii="Times New Roman" w:hAnsi="Times New Roman"/>
          <w:sz w:val="28"/>
          <w:szCs w:val="28"/>
        </w:rPr>
        <w:t xml:space="preserve">efectuată </w:t>
      </w:r>
      <w:r>
        <w:rPr>
          <w:rFonts w:ascii="Times New Roman" w:hAnsi="Times New Roman"/>
          <w:sz w:val="28"/>
          <w:szCs w:val="28"/>
        </w:rPr>
        <w:t xml:space="preserve">denotă că, similar anilor precedenți, la 5 poziții de venituri încasările au fost </w:t>
      </w:r>
      <w:r w:rsidRPr="00F91C49">
        <w:rPr>
          <w:rFonts w:ascii="Times New Roman" w:hAnsi="Times New Roman"/>
          <w:sz w:val="28"/>
          <w:szCs w:val="28"/>
        </w:rPr>
        <w:t>peste nivelul prevăzut</w:t>
      </w:r>
      <w:r>
        <w:rPr>
          <w:rFonts w:ascii="Times New Roman" w:hAnsi="Times New Roman"/>
          <w:i/>
          <w:sz w:val="28"/>
          <w:szCs w:val="28"/>
        </w:rPr>
        <w:t>,</w:t>
      </w:r>
      <w:r>
        <w:rPr>
          <w:rFonts w:ascii="Times New Roman" w:hAnsi="Times New Roman"/>
          <w:sz w:val="28"/>
          <w:szCs w:val="28"/>
        </w:rPr>
        <w:t xml:space="preserve"> în total cu circa 541,4 mil.lei mai mult (cu 305,3 mil.lei – la accize; cu 112,3 mil.lei – la taxa asupra comerțului exterior și operațiunile externe; cu 60,6 mil.lei – la TVA; cu 37,0 mil.lei – la amenzi și sancțiuni; cu 26,2 mil.lei – la taxe și plăți pentru utilizarea mărfurilor și pentru practicarea unor genuri de activitate etc.). Totodată</w:t>
      </w:r>
      <w:r w:rsidR="005436B8">
        <w:rPr>
          <w:rFonts w:ascii="Times New Roman" w:hAnsi="Times New Roman"/>
          <w:sz w:val="28"/>
          <w:szCs w:val="28"/>
        </w:rPr>
        <w:t>,</w:t>
      </w:r>
      <w:r>
        <w:rPr>
          <w:rFonts w:ascii="Times New Roman" w:hAnsi="Times New Roman"/>
          <w:sz w:val="28"/>
          <w:szCs w:val="28"/>
        </w:rPr>
        <w:t xml:space="preserve"> la 6 poziții de venituri</w:t>
      </w:r>
      <w:r w:rsidR="002E1129">
        <w:rPr>
          <w:rFonts w:ascii="Times New Roman" w:hAnsi="Times New Roman"/>
          <w:sz w:val="28"/>
          <w:szCs w:val="28"/>
        </w:rPr>
        <w:t>,</w:t>
      </w:r>
      <w:r>
        <w:rPr>
          <w:rFonts w:ascii="Times New Roman" w:hAnsi="Times New Roman"/>
          <w:sz w:val="28"/>
          <w:szCs w:val="28"/>
        </w:rPr>
        <w:t xml:space="preserve"> încasările au fost</w:t>
      </w:r>
      <w:r w:rsidRPr="00844C95">
        <w:rPr>
          <w:rFonts w:ascii="Times New Roman" w:hAnsi="Times New Roman"/>
          <w:i/>
          <w:sz w:val="28"/>
          <w:szCs w:val="28"/>
        </w:rPr>
        <w:t xml:space="preserve"> </w:t>
      </w:r>
      <w:r w:rsidRPr="00F91C49">
        <w:rPr>
          <w:rFonts w:ascii="Times New Roman" w:hAnsi="Times New Roman"/>
          <w:sz w:val="28"/>
          <w:szCs w:val="28"/>
        </w:rPr>
        <w:t>sub nivelul prevăzut</w:t>
      </w:r>
      <w:r>
        <w:rPr>
          <w:rFonts w:ascii="Times New Roman" w:hAnsi="Times New Roman"/>
          <w:i/>
          <w:sz w:val="28"/>
          <w:szCs w:val="28"/>
        </w:rPr>
        <w:t>,</w:t>
      </w:r>
      <w:r>
        <w:rPr>
          <w:rFonts w:ascii="Times New Roman" w:hAnsi="Times New Roman"/>
          <w:sz w:val="28"/>
          <w:szCs w:val="28"/>
        </w:rPr>
        <w:t xml:space="preserve"> în total cu circa 371,8 mil.lei mai puțin (cu 188,9 mil.lei – la granturi primite; cu 80,7 mil.lei – la impozitul pe venit; cu 43,8 mil.lei – la venituri din vânzarea mărfurilor și serviciilor; cu 33,3 mil.lei – la alte venituri; cu 11,7 mil.lei – la impozite pe proprietate; cu 13,4 mil.lei – la taxa pentru folosirea drumurilor etc</w:t>
      </w:r>
      <w:r w:rsidR="00655732">
        <w:rPr>
          <w:rFonts w:ascii="Times New Roman" w:hAnsi="Times New Roman"/>
          <w:sz w:val="28"/>
          <w:szCs w:val="28"/>
        </w:rPr>
        <w:t>.</w:t>
      </w:r>
      <w:r>
        <w:rPr>
          <w:rFonts w:ascii="Times New Roman" w:hAnsi="Times New Roman"/>
          <w:sz w:val="28"/>
          <w:szCs w:val="28"/>
        </w:rPr>
        <w:t>).</w:t>
      </w:r>
      <w:r w:rsidR="00764D6E">
        <w:rPr>
          <w:rFonts w:ascii="Times New Roman" w:hAnsi="Times New Roman"/>
          <w:sz w:val="28"/>
          <w:szCs w:val="28"/>
        </w:rPr>
        <w:t xml:space="preserve"> </w:t>
      </w:r>
      <w:r>
        <w:rPr>
          <w:rFonts w:ascii="Times New Roman" w:hAnsi="Times New Roman"/>
          <w:sz w:val="28"/>
          <w:szCs w:val="28"/>
        </w:rPr>
        <w:t xml:space="preserve"> </w:t>
      </w:r>
    </w:p>
    <w:p w:rsidR="00F32CAF" w:rsidRDefault="00F32CAF" w:rsidP="003E62EC">
      <w:pPr>
        <w:spacing w:after="0" w:line="276" w:lineRule="auto"/>
        <w:ind w:right="49" w:firstLine="720"/>
        <w:jc w:val="both"/>
        <w:rPr>
          <w:rFonts w:ascii="Times New Roman" w:hAnsi="Times New Roman"/>
          <w:sz w:val="28"/>
          <w:szCs w:val="28"/>
        </w:rPr>
      </w:pPr>
      <w:r>
        <w:rPr>
          <w:rFonts w:ascii="Times New Roman" w:hAnsi="Times New Roman"/>
          <w:sz w:val="28"/>
          <w:szCs w:val="28"/>
        </w:rPr>
        <w:t xml:space="preserve">De asemenea, analiza auditului denotă că în structura veniturilor se atestă </w:t>
      </w:r>
      <w:r w:rsidRPr="00F91C49">
        <w:rPr>
          <w:rFonts w:ascii="Times New Roman" w:hAnsi="Times New Roman"/>
          <w:sz w:val="28"/>
          <w:szCs w:val="28"/>
        </w:rPr>
        <w:t>abateri semnificative ale estimărilor inițiale</w:t>
      </w:r>
      <w:r>
        <w:rPr>
          <w:rFonts w:ascii="Times New Roman" w:hAnsi="Times New Roman"/>
          <w:sz w:val="28"/>
          <w:szCs w:val="28"/>
        </w:rPr>
        <w:t xml:space="preserve"> față de cele realizate în ambele sensuri, respectiv, subestimări sau supraestimări care au influențat într-o măsură oarecare și nivelul executării veniturilor raportate. Astfel, </w:t>
      </w:r>
      <w:r w:rsidRPr="00F91C49">
        <w:rPr>
          <w:rFonts w:ascii="Times New Roman" w:hAnsi="Times New Roman"/>
          <w:i/>
          <w:sz w:val="28"/>
          <w:szCs w:val="28"/>
        </w:rPr>
        <w:t>supraestimări semnificative ale veniturilor</w:t>
      </w:r>
      <w:r w:rsidRPr="00F542E5">
        <w:rPr>
          <w:rFonts w:ascii="Times New Roman" w:hAnsi="Times New Roman"/>
          <w:b/>
          <w:i/>
          <w:sz w:val="28"/>
          <w:szCs w:val="28"/>
        </w:rPr>
        <w:t xml:space="preserve"> </w:t>
      </w:r>
      <w:r w:rsidRPr="007A2722">
        <w:rPr>
          <w:rFonts w:ascii="Times New Roman" w:hAnsi="Times New Roman"/>
          <w:sz w:val="28"/>
          <w:szCs w:val="28"/>
        </w:rPr>
        <w:t xml:space="preserve">bugetului de stat </w:t>
      </w:r>
      <w:r>
        <w:rPr>
          <w:rFonts w:ascii="Times New Roman" w:hAnsi="Times New Roman"/>
          <w:sz w:val="28"/>
          <w:szCs w:val="28"/>
        </w:rPr>
        <w:t xml:space="preserve">au fost constatate la: </w:t>
      </w:r>
    </w:p>
    <w:p w:rsidR="00F32CAF" w:rsidRPr="000E6FB3" w:rsidRDefault="000E6FB3" w:rsidP="003F12B5">
      <w:pPr>
        <w:pStyle w:val="a5"/>
        <w:numPr>
          <w:ilvl w:val="0"/>
          <w:numId w:val="5"/>
        </w:numPr>
        <w:tabs>
          <w:tab w:val="left" w:pos="851"/>
        </w:tabs>
        <w:spacing w:after="0" w:line="276" w:lineRule="auto"/>
        <w:ind w:left="0" w:right="49" w:firstLine="709"/>
        <w:jc w:val="both"/>
        <w:rPr>
          <w:rFonts w:ascii="Times New Roman" w:hAnsi="Times New Roman"/>
          <w:sz w:val="28"/>
          <w:szCs w:val="28"/>
        </w:rPr>
      </w:pPr>
      <w:r w:rsidRPr="00F91C49">
        <w:rPr>
          <w:rFonts w:ascii="Times New Roman" w:hAnsi="Times New Roman"/>
          <w:sz w:val="28"/>
          <w:szCs w:val="28"/>
        </w:rPr>
        <w:t>g</w:t>
      </w:r>
      <w:r w:rsidR="00F32CAF" w:rsidRPr="00F91C49">
        <w:rPr>
          <w:rFonts w:ascii="Times New Roman" w:hAnsi="Times New Roman"/>
          <w:sz w:val="28"/>
          <w:szCs w:val="28"/>
        </w:rPr>
        <w:t>ranturi primite</w:t>
      </w:r>
      <w:r w:rsidR="00F32CAF" w:rsidRPr="000E6FB3">
        <w:rPr>
          <w:rFonts w:ascii="Times New Roman" w:hAnsi="Times New Roman"/>
          <w:i/>
          <w:sz w:val="28"/>
          <w:szCs w:val="28"/>
        </w:rPr>
        <w:t xml:space="preserve"> – </w:t>
      </w:r>
      <w:r w:rsidR="00F32CAF" w:rsidRPr="000E6FB3">
        <w:rPr>
          <w:rFonts w:ascii="Times New Roman" w:hAnsi="Times New Roman"/>
          <w:sz w:val="28"/>
          <w:szCs w:val="28"/>
        </w:rPr>
        <w:t>cu 1843,8 mil.lei (dintre care</w:t>
      </w:r>
      <w:r w:rsidRPr="000E6FB3">
        <w:rPr>
          <w:rFonts w:ascii="Times New Roman" w:hAnsi="Times New Roman"/>
          <w:sz w:val="28"/>
          <w:szCs w:val="28"/>
        </w:rPr>
        <w:t>,</w:t>
      </w:r>
      <w:r w:rsidR="00F32CAF" w:rsidRPr="000E6FB3">
        <w:rPr>
          <w:rFonts w:ascii="Times New Roman" w:hAnsi="Times New Roman"/>
          <w:sz w:val="28"/>
          <w:szCs w:val="28"/>
        </w:rPr>
        <w:t xml:space="preserve"> pentru susținerea bugetului </w:t>
      </w:r>
      <w:r w:rsidRPr="004A6919">
        <w:rPr>
          <w:rFonts w:ascii="Times New Roman" w:hAnsi="Times New Roman"/>
          <w:sz w:val="28"/>
          <w:szCs w:val="28"/>
        </w:rPr>
        <w:t>–</w:t>
      </w:r>
      <w:r w:rsidRPr="00A01EC4">
        <w:rPr>
          <w:rFonts w:ascii="Times New Roman" w:hAnsi="Times New Roman"/>
          <w:sz w:val="28"/>
          <w:szCs w:val="28"/>
        </w:rPr>
        <w:t xml:space="preserve"> </w:t>
      </w:r>
      <w:r w:rsidR="00F32CAF" w:rsidRPr="007D3BFC">
        <w:rPr>
          <w:rFonts w:ascii="Times New Roman" w:hAnsi="Times New Roman"/>
          <w:sz w:val="28"/>
          <w:szCs w:val="28"/>
        </w:rPr>
        <w:t>1589,3 mil.lei</w:t>
      </w:r>
      <w:r w:rsidRPr="001043A7">
        <w:rPr>
          <w:rFonts w:ascii="Times New Roman" w:hAnsi="Times New Roman"/>
          <w:sz w:val="28"/>
          <w:szCs w:val="28"/>
        </w:rPr>
        <w:t>,</w:t>
      </w:r>
      <w:r w:rsidR="00F32CAF" w:rsidRPr="000E6FB3">
        <w:rPr>
          <w:rFonts w:ascii="Times New Roman" w:hAnsi="Times New Roman"/>
          <w:sz w:val="28"/>
          <w:szCs w:val="28"/>
        </w:rPr>
        <w:t xml:space="preserve"> și pentru proiecte de finanțare din surse externe </w:t>
      </w:r>
      <w:r w:rsidRPr="000E6FB3">
        <w:rPr>
          <w:rFonts w:ascii="Times New Roman" w:hAnsi="Times New Roman"/>
          <w:sz w:val="28"/>
          <w:szCs w:val="28"/>
        </w:rPr>
        <w:t>–</w:t>
      </w:r>
      <w:r w:rsidR="00F32CAF" w:rsidRPr="000E6FB3">
        <w:rPr>
          <w:rFonts w:ascii="Times New Roman" w:hAnsi="Times New Roman"/>
          <w:sz w:val="28"/>
          <w:szCs w:val="28"/>
        </w:rPr>
        <w:t xml:space="preserve"> 293,7 mil.lei, cauzate </w:t>
      </w:r>
      <w:r w:rsidR="00F32CAF" w:rsidRPr="000E6FB3">
        <w:rPr>
          <w:rFonts w:ascii="Times New Roman" w:hAnsi="Times New Roman"/>
          <w:sz w:val="28"/>
          <w:szCs w:val="28"/>
        </w:rPr>
        <w:lastRenderedPageBreak/>
        <w:t>de prognoze prea optimiste în cazul veniturilor bugetare din sumele care urmau a fi primite din partea UE și al</w:t>
      </w:r>
      <w:r>
        <w:rPr>
          <w:rFonts w:ascii="Times New Roman" w:hAnsi="Times New Roman"/>
          <w:sz w:val="28"/>
          <w:szCs w:val="28"/>
        </w:rPr>
        <w:t>tor</w:t>
      </w:r>
      <w:r w:rsidR="00F32CAF" w:rsidRPr="000E6FB3">
        <w:rPr>
          <w:rFonts w:ascii="Times New Roman" w:hAnsi="Times New Roman"/>
          <w:sz w:val="28"/>
          <w:szCs w:val="28"/>
        </w:rPr>
        <w:t xml:space="preserve"> donatori externi);</w:t>
      </w:r>
    </w:p>
    <w:p w:rsidR="00F32CAF" w:rsidRPr="0018768D" w:rsidRDefault="000E6FB3" w:rsidP="003F12B5">
      <w:pPr>
        <w:pStyle w:val="a5"/>
        <w:numPr>
          <w:ilvl w:val="0"/>
          <w:numId w:val="5"/>
        </w:numPr>
        <w:tabs>
          <w:tab w:val="left" w:pos="851"/>
        </w:tabs>
        <w:spacing w:after="0" w:line="276" w:lineRule="auto"/>
        <w:ind w:left="0" w:right="49" w:firstLine="709"/>
        <w:jc w:val="both"/>
        <w:rPr>
          <w:rFonts w:ascii="Times New Roman" w:hAnsi="Times New Roman"/>
          <w:sz w:val="28"/>
          <w:szCs w:val="28"/>
        </w:rPr>
      </w:pPr>
      <w:r w:rsidRPr="00F91C49">
        <w:rPr>
          <w:rFonts w:ascii="Times New Roman" w:hAnsi="Times New Roman"/>
          <w:sz w:val="28"/>
          <w:szCs w:val="28"/>
        </w:rPr>
        <w:t>a</w:t>
      </w:r>
      <w:r w:rsidR="00F32CAF" w:rsidRPr="00F91C49">
        <w:rPr>
          <w:rFonts w:ascii="Times New Roman" w:hAnsi="Times New Roman"/>
          <w:sz w:val="28"/>
          <w:szCs w:val="28"/>
        </w:rPr>
        <w:t>ccize la berea produsă pe teritoriul Republicii Moldova</w:t>
      </w:r>
      <w:r w:rsidR="00F32CAF" w:rsidRPr="0018768D">
        <w:rPr>
          <w:rFonts w:ascii="Times New Roman" w:hAnsi="Times New Roman"/>
          <w:i/>
          <w:sz w:val="28"/>
          <w:szCs w:val="28"/>
        </w:rPr>
        <w:t xml:space="preserve"> – </w:t>
      </w:r>
      <w:r w:rsidR="00F32CAF" w:rsidRPr="0018768D">
        <w:rPr>
          <w:rFonts w:ascii="Times New Roman" w:hAnsi="Times New Roman"/>
          <w:sz w:val="28"/>
          <w:szCs w:val="28"/>
        </w:rPr>
        <w:t>cu 6,5 mil.lei;</w:t>
      </w:r>
    </w:p>
    <w:p w:rsidR="00F32CAF" w:rsidRDefault="000E6FB3" w:rsidP="003F12B5">
      <w:pPr>
        <w:pStyle w:val="a5"/>
        <w:numPr>
          <w:ilvl w:val="0"/>
          <w:numId w:val="5"/>
        </w:numPr>
        <w:tabs>
          <w:tab w:val="left" w:pos="270"/>
          <w:tab w:val="left" w:pos="851"/>
          <w:tab w:val="left" w:pos="900"/>
        </w:tabs>
        <w:spacing w:before="240" w:after="0" w:line="276" w:lineRule="auto"/>
        <w:ind w:left="0" w:right="49" w:firstLine="709"/>
        <w:jc w:val="both"/>
        <w:rPr>
          <w:rFonts w:ascii="Times New Roman" w:hAnsi="Times New Roman"/>
          <w:sz w:val="28"/>
          <w:szCs w:val="28"/>
        </w:rPr>
      </w:pPr>
      <w:r w:rsidRPr="00F91C49">
        <w:rPr>
          <w:rFonts w:ascii="Times New Roman" w:hAnsi="Times New Roman"/>
          <w:sz w:val="28"/>
          <w:szCs w:val="28"/>
        </w:rPr>
        <w:t>t</w:t>
      </w:r>
      <w:r w:rsidR="00F32CAF" w:rsidRPr="00F91C49">
        <w:rPr>
          <w:rFonts w:ascii="Times New Roman" w:hAnsi="Times New Roman"/>
          <w:sz w:val="28"/>
          <w:szCs w:val="28"/>
        </w:rPr>
        <w:t>axe pentru servicii specifice</w:t>
      </w:r>
      <w:r w:rsidR="00F32CAF">
        <w:rPr>
          <w:rFonts w:ascii="Times New Roman" w:hAnsi="Times New Roman"/>
          <w:i/>
          <w:sz w:val="28"/>
          <w:szCs w:val="28"/>
        </w:rPr>
        <w:t xml:space="preserve"> – </w:t>
      </w:r>
      <w:r w:rsidR="00F32CAF" w:rsidRPr="006908CB">
        <w:rPr>
          <w:rFonts w:ascii="Times New Roman" w:hAnsi="Times New Roman"/>
          <w:sz w:val="28"/>
          <w:szCs w:val="28"/>
        </w:rPr>
        <w:t>cu</w:t>
      </w:r>
      <w:r w:rsidR="00F32CAF">
        <w:rPr>
          <w:rFonts w:ascii="Times New Roman" w:hAnsi="Times New Roman"/>
          <w:sz w:val="28"/>
          <w:szCs w:val="28"/>
        </w:rPr>
        <w:t xml:space="preserve"> 2,3 mil.lei;</w:t>
      </w:r>
    </w:p>
    <w:p w:rsidR="00F32CAF" w:rsidRDefault="000E6FB3" w:rsidP="003F12B5">
      <w:pPr>
        <w:pStyle w:val="a5"/>
        <w:numPr>
          <w:ilvl w:val="0"/>
          <w:numId w:val="5"/>
        </w:numPr>
        <w:tabs>
          <w:tab w:val="left" w:pos="270"/>
          <w:tab w:val="left" w:pos="851"/>
          <w:tab w:val="left" w:pos="900"/>
        </w:tabs>
        <w:spacing w:before="240" w:after="0" w:line="276" w:lineRule="auto"/>
        <w:ind w:left="0" w:right="49" w:firstLine="709"/>
        <w:jc w:val="both"/>
        <w:rPr>
          <w:rFonts w:ascii="Times New Roman" w:hAnsi="Times New Roman"/>
          <w:sz w:val="28"/>
          <w:szCs w:val="28"/>
        </w:rPr>
      </w:pPr>
      <w:r w:rsidRPr="00F91C49">
        <w:rPr>
          <w:rFonts w:ascii="Times New Roman" w:hAnsi="Times New Roman"/>
          <w:sz w:val="28"/>
          <w:szCs w:val="28"/>
        </w:rPr>
        <w:t>t</w:t>
      </w:r>
      <w:r w:rsidR="00F32CAF" w:rsidRPr="00F91C49">
        <w:rPr>
          <w:rFonts w:ascii="Times New Roman" w:hAnsi="Times New Roman"/>
          <w:sz w:val="28"/>
          <w:szCs w:val="28"/>
        </w:rPr>
        <w:t>axe și plăți pentru utilizarea mărfurilor și pentru practicarea unor genuri de activitate</w:t>
      </w:r>
      <w:r w:rsidR="00F32CAF">
        <w:rPr>
          <w:rFonts w:ascii="Times New Roman" w:hAnsi="Times New Roman"/>
          <w:i/>
          <w:sz w:val="28"/>
          <w:szCs w:val="28"/>
        </w:rPr>
        <w:t xml:space="preserve"> – </w:t>
      </w:r>
      <w:r w:rsidR="00F32CAF" w:rsidRPr="00BF4F48">
        <w:rPr>
          <w:rFonts w:ascii="Times New Roman" w:hAnsi="Times New Roman"/>
          <w:sz w:val="28"/>
          <w:szCs w:val="28"/>
        </w:rPr>
        <w:t xml:space="preserve">cu </w:t>
      </w:r>
      <w:r w:rsidR="00F32CAF">
        <w:rPr>
          <w:rFonts w:ascii="Times New Roman" w:hAnsi="Times New Roman"/>
          <w:sz w:val="28"/>
          <w:szCs w:val="28"/>
        </w:rPr>
        <w:t>89,9 mil.lei, în special a celor legate de domeniul jocurilor de noroc;</w:t>
      </w:r>
    </w:p>
    <w:p w:rsidR="00F32CAF" w:rsidRDefault="000E6FB3" w:rsidP="003F12B5">
      <w:pPr>
        <w:pStyle w:val="a5"/>
        <w:numPr>
          <w:ilvl w:val="0"/>
          <w:numId w:val="5"/>
        </w:numPr>
        <w:tabs>
          <w:tab w:val="left" w:pos="270"/>
          <w:tab w:val="left" w:pos="851"/>
          <w:tab w:val="left" w:pos="900"/>
        </w:tabs>
        <w:spacing w:before="240" w:after="0" w:line="276" w:lineRule="auto"/>
        <w:ind w:left="0" w:right="49" w:firstLine="709"/>
        <w:jc w:val="both"/>
        <w:rPr>
          <w:rFonts w:ascii="Times New Roman" w:hAnsi="Times New Roman"/>
          <w:sz w:val="28"/>
          <w:szCs w:val="28"/>
        </w:rPr>
      </w:pPr>
      <w:r w:rsidRPr="00F91C49">
        <w:rPr>
          <w:rFonts w:ascii="Times New Roman" w:hAnsi="Times New Roman"/>
          <w:sz w:val="28"/>
          <w:szCs w:val="28"/>
        </w:rPr>
        <w:t>a</w:t>
      </w:r>
      <w:r w:rsidR="00F32CAF" w:rsidRPr="00F91C49">
        <w:rPr>
          <w:rFonts w:ascii="Times New Roman" w:hAnsi="Times New Roman"/>
          <w:sz w:val="28"/>
          <w:szCs w:val="28"/>
        </w:rPr>
        <w:t>lte venituri și venituri neidentificate</w:t>
      </w:r>
      <w:r w:rsidR="00F32CAF">
        <w:rPr>
          <w:rFonts w:ascii="Times New Roman" w:hAnsi="Times New Roman"/>
          <w:i/>
          <w:sz w:val="28"/>
          <w:szCs w:val="28"/>
        </w:rPr>
        <w:t xml:space="preserve"> – </w:t>
      </w:r>
      <w:r w:rsidR="00F32CAF" w:rsidRPr="00BF4F48">
        <w:rPr>
          <w:rFonts w:ascii="Times New Roman" w:hAnsi="Times New Roman"/>
          <w:sz w:val="28"/>
          <w:szCs w:val="28"/>
        </w:rPr>
        <w:t xml:space="preserve">cu </w:t>
      </w:r>
      <w:r w:rsidR="00F32CAF">
        <w:rPr>
          <w:rFonts w:ascii="Times New Roman" w:hAnsi="Times New Roman"/>
          <w:sz w:val="28"/>
          <w:szCs w:val="28"/>
        </w:rPr>
        <w:t>48,1 mil.lei etc.</w:t>
      </w:r>
    </w:p>
    <w:p w:rsidR="00F32CAF" w:rsidRDefault="00F32CAF" w:rsidP="003E62EC">
      <w:pPr>
        <w:spacing w:after="0" w:line="276" w:lineRule="auto"/>
        <w:ind w:right="49" w:firstLine="720"/>
        <w:jc w:val="both"/>
        <w:rPr>
          <w:rFonts w:ascii="Times New Roman" w:hAnsi="Times New Roman"/>
          <w:sz w:val="28"/>
          <w:szCs w:val="28"/>
        </w:rPr>
      </w:pPr>
      <w:r w:rsidRPr="00F542E5">
        <w:rPr>
          <w:rFonts w:ascii="Times New Roman" w:hAnsi="Times New Roman"/>
          <w:sz w:val="28"/>
          <w:szCs w:val="28"/>
        </w:rPr>
        <w:t>Concomitent</w:t>
      </w:r>
      <w:r>
        <w:rPr>
          <w:rFonts w:ascii="Times New Roman" w:hAnsi="Times New Roman"/>
          <w:sz w:val="28"/>
          <w:szCs w:val="28"/>
        </w:rPr>
        <w:t>,</w:t>
      </w:r>
      <w:r w:rsidRPr="00F542E5">
        <w:rPr>
          <w:rFonts w:ascii="Times New Roman" w:hAnsi="Times New Roman"/>
          <w:sz w:val="28"/>
          <w:szCs w:val="28"/>
        </w:rPr>
        <w:t xml:space="preserve"> </w:t>
      </w:r>
      <w:r w:rsidRPr="00F91C49">
        <w:rPr>
          <w:rFonts w:ascii="Times New Roman" w:hAnsi="Times New Roman"/>
          <w:i/>
          <w:sz w:val="28"/>
          <w:szCs w:val="28"/>
        </w:rPr>
        <w:t>subestimări semnificative ale veniturilor</w:t>
      </w:r>
      <w:r w:rsidRPr="007A2722">
        <w:rPr>
          <w:rFonts w:ascii="Times New Roman" w:hAnsi="Times New Roman"/>
          <w:i/>
          <w:sz w:val="28"/>
          <w:szCs w:val="28"/>
        </w:rPr>
        <w:t xml:space="preserve"> </w:t>
      </w:r>
      <w:r w:rsidRPr="007A2722">
        <w:rPr>
          <w:rFonts w:ascii="Times New Roman" w:hAnsi="Times New Roman"/>
          <w:sz w:val="28"/>
          <w:szCs w:val="28"/>
        </w:rPr>
        <w:t xml:space="preserve">bugetului de stat </w:t>
      </w:r>
      <w:r>
        <w:rPr>
          <w:rFonts w:ascii="Times New Roman" w:hAnsi="Times New Roman"/>
          <w:sz w:val="28"/>
          <w:szCs w:val="28"/>
        </w:rPr>
        <w:t xml:space="preserve">la etapa inițială de elaborare a bugetului </w:t>
      </w:r>
      <w:r w:rsidR="000E6FB3">
        <w:rPr>
          <w:rFonts w:ascii="Times New Roman" w:hAnsi="Times New Roman"/>
          <w:sz w:val="28"/>
          <w:szCs w:val="28"/>
        </w:rPr>
        <w:t>respectiv</w:t>
      </w:r>
      <w:r>
        <w:rPr>
          <w:rFonts w:ascii="Times New Roman" w:hAnsi="Times New Roman"/>
          <w:sz w:val="28"/>
          <w:szCs w:val="28"/>
        </w:rPr>
        <w:t xml:space="preserve"> au fost constatate la următoarele tipuri de venituri: </w:t>
      </w:r>
    </w:p>
    <w:p w:rsidR="00F32CAF" w:rsidRPr="000E6FB3" w:rsidRDefault="000E6FB3" w:rsidP="003F12B5">
      <w:pPr>
        <w:pStyle w:val="a5"/>
        <w:numPr>
          <w:ilvl w:val="0"/>
          <w:numId w:val="5"/>
        </w:numPr>
        <w:tabs>
          <w:tab w:val="left" w:pos="900"/>
        </w:tabs>
        <w:spacing w:after="0" w:line="276" w:lineRule="auto"/>
        <w:ind w:left="0" w:right="49" w:firstLine="709"/>
        <w:jc w:val="both"/>
        <w:rPr>
          <w:rFonts w:ascii="Times New Roman" w:hAnsi="Times New Roman"/>
          <w:sz w:val="28"/>
          <w:szCs w:val="28"/>
        </w:rPr>
      </w:pPr>
      <w:r w:rsidRPr="00F91C49">
        <w:rPr>
          <w:rFonts w:ascii="Times New Roman" w:hAnsi="Times New Roman"/>
          <w:sz w:val="28"/>
          <w:szCs w:val="28"/>
        </w:rPr>
        <w:t>i</w:t>
      </w:r>
      <w:r w:rsidR="00F32CAF" w:rsidRPr="00F91C49">
        <w:rPr>
          <w:rFonts w:ascii="Times New Roman" w:hAnsi="Times New Roman"/>
          <w:sz w:val="28"/>
          <w:szCs w:val="28"/>
        </w:rPr>
        <w:t>mpozit</w:t>
      </w:r>
      <w:r w:rsidRPr="00F91C49">
        <w:rPr>
          <w:rFonts w:ascii="Times New Roman" w:hAnsi="Times New Roman"/>
          <w:sz w:val="28"/>
          <w:szCs w:val="28"/>
        </w:rPr>
        <w:t>ul</w:t>
      </w:r>
      <w:r w:rsidR="00F32CAF" w:rsidRPr="00F91C49">
        <w:rPr>
          <w:rFonts w:ascii="Times New Roman" w:hAnsi="Times New Roman"/>
          <w:sz w:val="28"/>
          <w:szCs w:val="28"/>
        </w:rPr>
        <w:t xml:space="preserve"> pe venit</w:t>
      </w:r>
      <w:r w:rsidR="00F32CAF" w:rsidRPr="000E6FB3">
        <w:rPr>
          <w:rFonts w:ascii="Times New Roman" w:hAnsi="Times New Roman"/>
          <w:i/>
          <w:sz w:val="28"/>
          <w:szCs w:val="28"/>
        </w:rPr>
        <w:t xml:space="preserve"> – </w:t>
      </w:r>
      <w:r w:rsidR="00F32CAF" w:rsidRPr="000E6FB3">
        <w:rPr>
          <w:rFonts w:ascii="Times New Roman" w:hAnsi="Times New Roman"/>
          <w:sz w:val="28"/>
          <w:szCs w:val="28"/>
        </w:rPr>
        <w:t>cu 559,2 mil.lei (dintre care</w:t>
      </w:r>
      <w:r w:rsidRPr="000E6FB3">
        <w:rPr>
          <w:rFonts w:ascii="Times New Roman" w:hAnsi="Times New Roman"/>
          <w:sz w:val="28"/>
          <w:szCs w:val="28"/>
        </w:rPr>
        <w:t>,</w:t>
      </w:r>
      <w:r w:rsidR="00F32CAF" w:rsidRPr="000E6FB3">
        <w:rPr>
          <w:rFonts w:ascii="Times New Roman" w:hAnsi="Times New Roman"/>
          <w:sz w:val="28"/>
          <w:szCs w:val="28"/>
        </w:rPr>
        <w:t xml:space="preserve"> 143,8 mil.lei </w:t>
      </w:r>
      <w:r w:rsidRPr="000E6FB3">
        <w:rPr>
          <w:rFonts w:ascii="Times New Roman" w:hAnsi="Times New Roman"/>
          <w:sz w:val="28"/>
          <w:szCs w:val="28"/>
        </w:rPr>
        <w:t xml:space="preserve">– </w:t>
      </w:r>
      <w:r w:rsidR="00F32CAF" w:rsidRPr="000E6FB3">
        <w:rPr>
          <w:rFonts w:ascii="Times New Roman" w:hAnsi="Times New Roman"/>
          <w:sz w:val="28"/>
          <w:szCs w:val="28"/>
        </w:rPr>
        <w:t>impozitul pe venitul persoanelor fizice</w:t>
      </w:r>
      <w:r w:rsidRPr="005C009C">
        <w:rPr>
          <w:rFonts w:ascii="Times New Roman" w:hAnsi="Times New Roman"/>
          <w:sz w:val="28"/>
          <w:szCs w:val="28"/>
        </w:rPr>
        <w:t>,</w:t>
      </w:r>
      <w:r w:rsidR="00F32CAF" w:rsidRPr="001043A7">
        <w:rPr>
          <w:rFonts w:ascii="Times New Roman" w:hAnsi="Times New Roman"/>
          <w:sz w:val="28"/>
          <w:szCs w:val="28"/>
        </w:rPr>
        <w:t xml:space="preserve"> și 415,4 </w:t>
      </w:r>
      <w:r w:rsidR="00F32CAF" w:rsidRPr="000E6FB3">
        <w:rPr>
          <w:rFonts w:ascii="Times New Roman" w:hAnsi="Times New Roman"/>
          <w:sz w:val="28"/>
          <w:szCs w:val="28"/>
        </w:rPr>
        <w:t xml:space="preserve">mil.lei </w:t>
      </w:r>
      <w:r w:rsidRPr="000E6FB3">
        <w:rPr>
          <w:rFonts w:ascii="Times New Roman" w:hAnsi="Times New Roman"/>
          <w:sz w:val="28"/>
          <w:szCs w:val="28"/>
        </w:rPr>
        <w:t>–</w:t>
      </w:r>
      <w:r>
        <w:rPr>
          <w:rFonts w:ascii="Times New Roman" w:hAnsi="Times New Roman"/>
          <w:sz w:val="28"/>
          <w:szCs w:val="28"/>
        </w:rPr>
        <w:t xml:space="preserve"> </w:t>
      </w:r>
      <w:r w:rsidR="00F32CAF" w:rsidRPr="000E6FB3">
        <w:rPr>
          <w:rFonts w:ascii="Times New Roman" w:hAnsi="Times New Roman"/>
          <w:sz w:val="28"/>
          <w:szCs w:val="28"/>
        </w:rPr>
        <w:t xml:space="preserve">impozitul pe venitul persoanelor juridice), cauzate de: </w:t>
      </w:r>
      <w:r w:rsidR="00F32CAF" w:rsidRPr="000E6FB3">
        <w:rPr>
          <w:rFonts w:ascii="Times New Roman" w:hAnsi="Times New Roman"/>
          <w:i/>
          <w:sz w:val="28"/>
          <w:szCs w:val="28"/>
        </w:rPr>
        <w:t>i)</w:t>
      </w:r>
      <w:r w:rsidR="00F32CAF" w:rsidRPr="000E6FB3">
        <w:rPr>
          <w:rFonts w:ascii="Times New Roman" w:hAnsi="Times New Roman"/>
          <w:sz w:val="28"/>
          <w:szCs w:val="28"/>
        </w:rPr>
        <w:t xml:space="preserve"> creșterea salariului mediu lunar pe economie cu 12,3%</w:t>
      </w:r>
      <w:r>
        <w:rPr>
          <w:rFonts w:ascii="Times New Roman" w:hAnsi="Times New Roman"/>
          <w:sz w:val="28"/>
          <w:szCs w:val="28"/>
        </w:rPr>
        <w:t>,</w:t>
      </w:r>
      <w:r w:rsidR="00F32CAF" w:rsidRPr="000E6FB3">
        <w:rPr>
          <w:rFonts w:ascii="Times New Roman" w:hAnsi="Times New Roman"/>
          <w:sz w:val="28"/>
          <w:szCs w:val="28"/>
        </w:rPr>
        <w:t xml:space="preserve"> comparativ cu 7,6% luate în calcul la elaborarea indicatorilor bugetari</w:t>
      </w:r>
      <w:r>
        <w:rPr>
          <w:rFonts w:ascii="Times New Roman" w:hAnsi="Times New Roman"/>
          <w:sz w:val="28"/>
          <w:szCs w:val="28"/>
        </w:rPr>
        <w:t>,</w:t>
      </w:r>
      <w:r w:rsidR="00F32CAF" w:rsidRPr="000E6FB3">
        <w:rPr>
          <w:rFonts w:ascii="Times New Roman" w:hAnsi="Times New Roman"/>
          <w:sz w:val="28"/>
          <w:szCs w:val="28"/>
        </w:rPr>
        <w:t xml:space="preserve"> și </w:t>
      </w:r>
      <w:r w:rsidR="00F32CAF" w:rsidRPr="000E6FB3">
        <w:rPr>
          <w:rFonts w:ascii="Times New Roman" w:hAnsi="Times New Roman"/>
          <w:i/>
          <w:sz w:val="28"/>
          <w:szCs w:val="28"/>
        </w:rPr>
        <w:t>ii)</w:t>
      </w:r>
      <w:r w:rsidR="00F32CAF" w:rsidRPr="000E6FB3">
        <w:rPr>
          <w:rFonts w:ascii="Times New Roman" w:hAnsi="Times New Roman"/>
          <w:sz w:val="28"/>
          <w:szCs w:val="28"/>
        </w:rPr>
        <w:t xml:space="preserve"> majorarea bazei de calcul a impozitului pe venit a</w:t>
      </w:r>
      <w:r>
        <w:rPr>
          <w:rFonts w:ascii="Times New Roman" w:hAnsi="Times New Roman"/>
          <w:sz w:val="28"/>
          <w:szCs w:val="28"/>
        </w:rPr>
        <w:t>l</w:t>
      </w:r>
      <w:r w:rsidR="00F32CAF" w:rsidRPr="000E6FB3">
        <w:rPr>
          <w:rFonts w:ascii="Times New Roman" w:hAnsi="Times New Roman"/>
          <w:sz w:val="28"/>
          <w:szCs w:val="28"/>
        </w:rPr>
        <w:t xml:space="preserve"> persoanelor juridice;</w:t>
      </w:r>
    </w:p>
    <w:p w:rsidR="00F32CAF" w:rsidRPr="000E6FB3" w:rsidRDefault="000E6FB3" w:rsidP="003F12B5">
      <w:pPr>
        <w:pStyle w:val="a5"/>
        <w:numPr>
          <w:ilvl w:val="0"/>
          <w:numId w:val="5"/>
        </w:numPr>
        <w:tabs>
          <w:tab w:val="left" w:pos="900"/>
        </w:tabs>
        <w:spacing w:before="240" w:after="0" w:line="276" w:lineRule="auto"/>
        <w:ind w:left="0" w:right="49" w:firstLine="720"/>
        <w:jc w:val="both"/>
        <w:rPr>
          <w:rFonts w:ascii="Times New Roman" w:hAnsi="Times New Roman"/>
          <w:sz w:val="28"/>
          <w:szCs w:val="28"/>
        </w:rPr>
      </w:pPr>
      <w:r w:rsidRPr="00F91C49">
        <w:rPr>
          <w:rFonts w:ascii="Times New Roman" w:hAnsi="Times New Roman"/>
          <w:sz w:val="28"/>
          <w:szCs w:val="28"/>
        </w:rPr>
        <w:t>t</w:t>
      </w:r>
      <w:r w:rsidR="00F32CAF" w:rsidRPr="00F91C49">
        <w:rPr>
          <w:rFonts w:ascii="Times New Roman" w:hAnsi="Times New Roman"/>
          <w:sz w:val="28"/>
          <w:szCs w:val="28"/>
        </w:rPr>
        <w:t>axa pe valoarea adăugată</w:t>
      </w:r>
      <w:r w:rsidR="00F32CAF" w:rsidRPr="000E6FB3">
        <w:rPr>
          <w:rFonts w:ascii="Times New Roman" w:hAnsi="Times New Roman"/>
          <w:sz w:val="28"/>
          <w:szCs w:val="28"/>
        </w:rPr>
        <w:t xml:space="preserve"> – cu 824,4 mil.lei, cauzată de creșterea ritmului importurilor </w:t>
      </w:r>
      <w:r>
        <w:rPr>
          <w:rFonts w:ascii="Times New Roman" w:hAnsi="Times New Roman"/>
          <w:sz w:val="28"/>
          <w:szCs w:val="28"/>
        </w:rPr>
        <w:t xml:space="preserve">cu </w:t>
      </w:r>
      <w:r w:rsidR="00F32CAF" w:rsidRPr="000E6FB3">
        <w:rPr>
          <w:rFonts w:ascii="Times New Roman" w:hAnsi="Times New Roman"/>
          <w:sz w:val="28"/>
          <w:szCs w:val="28"/>
        </w:rPr>
        <w:t xml:space="preserve">18,1% față de cele luate în calcul la proiectul bugetului </w:t>
      </w:r>
      <w:r>
        <w:rPr>
          <w:rFonts w:ascii="Times New Roman" w:hAnsi="Times New Roman"/>
          <w:sz w:val="28"/>
          <w:szCs w:val="28"/>
        </w:rPr>
        <w:t>(</w:t>
      </w:r>
      <w:r w:rsidR="00F32CAF" w:rsidRPr="000E6FB3">
        <w:rPr>
          <w:rFonts w:ascii="Times New Roman" w:hAnsi="Times New Roman"/>
          <w:sz w:val="28"/>
          <w:szCs w:val="28"/>
        </w:rPr>
        <w:t>9,0%</w:t>
      </w:r>
      <w:r>
        <w:rPr>
          <w:rFonts w:ascii="Times New Roman" w:hAnsi="Times New Roman"/>
          <w:sz w:val="28"/>
          <w:szCs w:val="28"/>
        </w:rPr>
        <w:t>)</w:t>
      </w:r>
      <w:r w:rsidR="00F32CAF" w:rsidRPr="000E6FB3">
        <w:rPr>
          <w:rFonts w:ascii="Times New Roman" w:hAnsi="Times New Roman"/>
          <w:sz w:val="28"/>
          <w:szCs w:val="28"/>
        </w:rPr>
        <w:t xml:space="preserve">, precum și </w:t>
      </w:r>
      <w:r>
        <w:rPr>
          <w:rFonts w:ascii="Times New Roman" w:hAnsi="Times New Roman"/>
          <w:sz w:val="28"/>
          <w:szCs w:val="28"/>
        </w:rPr>
        <w:t xml:space="preserve">de </w:t>
      </w:r>
      <w:r w:rsidR="00F32CAF" w:rsidRPr="000E6FB3">
        <w:rPr>
          <w:rFonts w:ascii="Times New Roman" w:hAnsi="Times New Roman"/>
          <w:sz w:val="28"/>
          <w:szCs w:val="28"/>
        </w:rPr>
        <w:t xml:space="preserve">creșterea livrărilor impozabile la cota standard și a numărului plătitorilor </w:t>
      </w:r>
      <w:r>
        <w:rPr>
          <w:rFonts w:ascii="Times New Roman" w:hAnsi="Times New Roman"/>
          <w:sz w:val="28"/>
          <w:szCs w:val="28"/>
        </w:rPr>
        <w:t xml:space="preserve">de </w:t>
      </w:r>
      <w:r w:rsidR="00F32CAF" w:rsidRPr="000E6FB3">
        <w:rPr>
          <w:rFonts w:ascii="Times New Roman" w:hAnsi="Times New Roman"/>
          <w:sz w:val="28"/>
          <w:szCs w:val="28"/>
        </w:rPr>
        <w:t>TVA cu circa 8%;</w:t>
      </w:r>
    </w:p>
    <w:p w:rsidR="00F32CAF" w:rsidRPr="0018768D" w:rsidRDefault="000E6FB3" w:rsidP="003F12B5">
      <w:pPr>
        <w:pStyle w:val="a5"/>
        <w:numPr>
          <w:ilvl w:val="0"/>
          <w:numId w:val="5"/>
        </w:numPr>
        <w:tabs>
          <w:tab w:val="left" w:pos="900"/>
        </w:tabs>
        <w:spacing w:before="240" w:after="0" w:line="276" w:lineRule="auto"/>
        <w:ind w:left="0" w:right="49" w:firstLine="720"/>
        <w:jc w:val="both"/>
        <w:rPr>
          <w:rFonts w:ascii="Times New Roman" w:hAnsi="Times New Roman"/>
          <w:sz w:val="28"/>
          <w:szCs w:val="28"/>
        </w:rPr>
      </w:pPr>
      <w:r w:rsidRPr="00F91C49">
        <w:rPr>
          <w:rFonts w:ascii="Times New Roman" w:hAnsi="Times New Roman"/>
          <w:sz w:val="28"/>
          <w:szCs w:val="28"/>
        </w:rPr>
        <w:t>a</w:t>
      </w:r>
      <w:r w:rsidR="00F32CAF" w:rsidRPr="00F91C49">
        <w:rPr>
          <w:rFonts w:ascii="Times New Roman" w:hAnsi="Times New Roman"/>
          <w:sz w:val="28"/>
          <w:szCs w:val="28"/>
        </w:rPr>
        <w:t>ccize</w:t>
      </w:r>
      <w:r w:rsidR="00F32CAF">
        <w:rPr>
          <w:rFonts w:ascii="Times New Roman" w:hAnsi="Times New Roman"/>
          <w:i/>
          <w:sz w:val="28"/>
          <w:szCs w:val="28"/>
        </w:rPr>
        <w:t xml:space="preserve"> – </w:t>
      </w:r>
      <w:r w:rsidR="00F32CAF" w:rsidRPr="0018768D">
        <w:rPr>
          <w:rFonts w:ascii="Times New Roman" w:hAnsi="Times New Roman"/>
          <w:sz w:val="28"/>
          <w:szCs w:val="28"/>
        </w:rPr>
        <w:t>cu 872,8 mil.lei, cauzate de creșterea numărului autoturismelor importate cu circa</w:t>
      </w:r>
      <w:r w:rsidR="00281E4D">
        <w:rPr>
          <w:rFonts w:ascii="Times New Roman" w:hAnsi="Times New Roman"/>
          <w:sz w:val="28"/>
          <w:szCs w:val="28"/>
        </w:rPr>
        <w:t xml:space="preserve"> 2,6 ori</w:t>
      </w:r>
      <w:r w:rsidR="000641CB">
        <w:rPr>
          <w:rFonts w:ascii="Times New Roman" w:hAnsi="Times New Roman"/>
          <w:sz w:val="28"/>
          <w:szCs w:val="28"/>
        </w:rPr>
        <w:t>,</w:t>
      </w:r>
      <w:r w:rsidR="00281E4D">
        <w:rPr>
          <w:rFonts w:ascii="Times New Roman" w:hAnsi="Times New Roman"/>
          <w:sz w:val="28"/>
          <w:szCs w:val="28"/>
        </w:rPr>
        <w:t xml:space="preserve"> inclusiv din contul supraîncasărilor de la importul autoturismelor care au fost introduse în țară până la data de 1 noiembrie 2016, care</w:t>
      </w:r>
      <w:r w:rsidR="00E64F5A">
        <w:rPr>
          <w:rFonts w:ascii="Times New Roman" w:hAnsi="Times New Roman"/>
          <w:sz w:val="28"/>
          <w:szCs w:val="28"/>
        </w:rPr>
        <w:t xml:space="preserve"> au fost devamate cu reducerea cotei accizelor de</w:t>
      </w:r>
      <w:r w:rsidR="00F32CAF" w:rsidRPr="0018768D">
        <w:rPr>
          <w:rFonts w:ascii="Times New Roman" w:hAnsi="Times New Roman"/>
          <w:sz w:val="28"/>
          <w:szCs w:val="28"/>
        </w:rPr>
        <w:t xml:space="preserve"> 70,0%</w:t>
      </w:r>
      <w:r w:rsidR="000641CB">
        <w:rPr>
          <w:rFonts w:ascii="Times New Roman" w:hAnsi="Times New Roman"/>
          <w:sz w:val="28"/>
          <w:szCs w:val="28"/>
        </w:rPr>
        <w:t>,</w:t>
      </w:r>
      <w:r w:rsidR="00F32CAF" w:rsidRPr="0018768D">
        <w:rPr>
          <w:rFonts w:ascii="Times New Roman" w:hAnsi="Times New Roman"/>
          <w:sz w:val="28"/>
          <w:szCs w:val="28"/>
        </w:rPr>
        <w:t xml:space="preserve"> precum și de creșterea volumului importurilor la unele produse petroliere;</w:t>
      </w:r>
    </w:p>
    <w:p w:rsidR="00F32CAF" w:rsidRDefault="000E6FB3" w:rsidP="003F12B5">
      <w:pPr>
        <w:pStyle w:val="a5"/>
        <w:numPr>
          <w:ilvl w:val="0"/>
          <w:numId w:val="5"/>
        </w:numPr>
        <w:tabs>
          <w:tab w:val="left" w:pos="900"/>
        </w:tabs>
        <w:spacing w:before="240" w:after="0" w:line="276" w:lineRule="auto"/>
        <w:ind w:left="0" w:right="49" w:firstLine="720"/>
        <w:jc w:val="both"/>
        <w:rPr>
          <w:rFonts w:ascii="Times New Roman" w:hAnsi="Times New Roman"/>
          <w:sz w:val="28"/>
          <w:szCs w:val="28"/>
        </w:rPr>
      </w:pPr>
      <w:r w:rsidRPr="00B44B7C">
        <w:rPr>
          <w:rFonts w:ascii="Times New Roman" w:hAnsi="Times New Roman"/>
          <w:sz w:val="28"/>
          <w:szCs w:val="28"/>
        </w:rPr>
        <w:t>a</w:t>
      </w:r>
      <w:r w:rsidR="00F32CAF" w:rsidRPr="00B44B7C">
        <w:rPr>
          <w:rFonts w:ascii="Times New Roman" w:hAnsi="Times New Roman"/>
          <w:sz w:val="28"/>
          <w:szCs w:val="28"/>
        </w:rPr>
        <w:t>lte taxe pentru mărfuri și servicii</w:t>
      </w:r>
      <w:r w:rsidR="00F32CAF">
        <w:rPr>
          <w:rFonts w:ascii="Times New Roman" w:hAnsi="Times New Roman"/>
          <w:sz w:val="28"/>
          <w:szCs w:val="28"/>
        </w:rPr>
        <w:t xml:space="preserve"> – cu 375,9 mil.lei;</w:t>
      </w:r>
    </w:p>
    <w:p w:rsidR="00F32CAF" w:rsidRDefault="000E6FB3" w:rsidP="003F12B5">
      <w:pPr>
        <w:pStyle w:val="a5"/>
        <w:numPr>
          <w:ilvl w:val="0"/>
          <w:numId w:val="5"/>
        </w:numPr>
        <w:tabs>
          <w:tab w:val="left" w:pos="900"/>
        </w:tabs>
        <w:spacing w:before="240" w:after="0" w:line="276" w:lineRule="auto"/>
        <w:ind w:left="0" w:right="49" w:firstLine="720"/>
        <w:jc w:val="both"/>
        <w:rPr>
          <w:rFonts w:ascii="Times New Roman" w:hAnsi="Times New Roman"/>
          <w:sz w:val="28"/>
          <w:szCs w:val="28"/>
        </w:rPr>
      </w:pPr>
      <w:r w:rsidRPr="00B44B7C">
        <w:rPr>
          <w:rFonts w:ascii="Times New Roman" w:hAnsi="Times New Roman"/>
          <w:sz w:val="28"/>
          <w:szCs w:val="28"/>
        </w:rPr>
        <w:t>t</w:t>
      </w:r>
      <w:r w:rsidR="00F32CAF" w:rsidRPr="00B44B7C">
        <w:rPr>
          <w:rFonts w:ascii="Times New Roman" w:hAnsi="Times New Roman"/>
          <w:sz w:val="28"/>
          <w:szCs w:val="28"/>
        </w:rPr>
        <w:t>axa asupra comerțului exterior și operațiunilor externe</w:t>
      </w:r>
      <w:r w:rsidR="00F32CAF" w:rsidRPr="00F32CAF">
        <w:rPr>
          <w:rFonts w:ascii="Times New Roman" w:hAnsi="Times New Roman"/>
          <w:i/>
          <w:sz w:val="28"/>
          <w:szCs w:val="28"/>
        </w:rPr>
        <w:t xml:space="preserve"> – </w:t>
      </w:r>
      <w:r w:rsidR="00F32CAF" w:rsidRPr="00F32CAF">
        <w:rPr>
          <w:rFonts w:ascii="Times New Roman" w:hAnsi="Times New Roman"/>
          <w:sz w:val="28"/>
          <w:szCs w:val="28"/>
        </w:rPr>
        <w:t>cu 325,6 mil.lei, condiționată de majorarea ritmului de creștere a comerțului exterior față de cel prognozat la estimarea indicatorilor bugetari etc</w:t>
      </w:r>
      <w:r w:rsidR="00EC6E3B" w:rsidRPr="00F32CAF">
        <w:rPr>
          <w:rFonts w:ascii="Times New Roman" w:hAnsi="Times New Roman"/>
          <w:sz w:val="28"/>
          <w:szCs w:val="28"/>
        </w:rPr>
        <w:t>.</w:t>
      </w:r>
    </w:p>
    <w:p w:rsidR="00F32CAF" w:rsidRDefault="00F32CAF" w:rsidP="003E62EC">
      <w:pPr>
        <w:pStyle w:val="a5"/>
        <w:tabs>
          <w:tab w:val="left" w:pos="900"/>
        </w:tabs>
        <w:spacing w:before="240" w:after="0" w:line="276" w:lineRule="auto"/>
        <w:ind w:right="49"/>
        <w:jc w:val="both"/>
        <w:rPr>
          <w:rFonts w:ascii="Times New Roman" w:hAnsi="Times New Roman"/>
          <w:sz w:val="28"/>
          <w:szCs w:val="28"/>
        </w:rPr>
      </w:pPr>
    </w:p>
    <w:p w:rsidR="003E62EC" w:rsidRPr="00386D13" w:rsidRDefault="003E62EC" w:rsidP="003F12B5">
      <w:pPr>
        <w:pStyle w:val="a5"/>
        <w:numPr>
          <w:ilvl w:val="2"/>
          <w:numId w:val="3"/>
        </w:numPr>
        <w:spacing w:after="0" w:line="276" w:lineRule="auto"/>
        <w:ind w:left="0" w:firstLine="709"/>
        <w:jc w:val="both"/>
        <w:outlineLvl w:val="2"/>
        <w:rPr>
          <w:rFonts w:ascii="Times New Roman" w:hAnsi="Times New Roman"/>
          <w:sz w:val="28"/>
          <w:szCs w:val="28"/>
        </w:rPr>
      </w:pPr>
      <w:bookmarkStart w:id="19" w:name="_Toc515518992"/>
      <w:r w:rsidRPr="00386D13">
        <w:rPr>
          <w:rFonts w:ascii="Times New Roman" w:hAnsi="Times New Roman" w:cs="Times New Roman"/>
          <w:b/>
          <w:i/>
          <w:color w:val="000000" w:themeColor="text1"/>
          <w:sz w:val="28"/>
          <w:szCs w:val="28"/>
        </w:rPr>
        <w:t>Nivelul acumulării de către administratori</w:t>
      </w:r>
      <w:r>
        <w:rPr>
          <w:rFonts w:ascii="Times New Roman" w:hAnsi="Times New Roman" w:cs="Times New Roman"/>
          <w:b/>
          <w:i/>
          <w:color w:val="000000" w:themeColor="text1"/>
          <w:sz w:val="28"/>
          <w:szCs w:val="28"/>
        </w:rPr>
        <w:t>i</w:t>
      </w:r>
      <w:r w:rsidRPr="00386D13">
        <w:rPr>
          <w:rFonts w:ascii="Times New Roman" w:hAnsi="Times New Roman" w:cs="Times New Roman"/>
          <w:b/>
          <w:i/>
          <w:color w:val="000000" w:themeColor="text1"/>
          <w:sz w:val="28"/>
          <w:szCs w:val="28"/>
        </w:rPr>
        <w:t xml:space="preserve"> veniturilor stabilite prin Legea </w:t>
      </w:r>
      <w:r w:rsidR="000E6FB3">
        <w:rPr>
          <w:rFonts w:ascii="Times New Roman" w:hAnsi="Times New Roman" w:cs="Times New Roman"/>
          <w:b/>
          <w:i/>
          <w:color w:val="000000" w:themeColor="text1"/>
          <w:sz w:val="28"/>
          <w:szCs w:val="28"/>
        </w:rPr>
        <w:t>bugetului de stat</w:t>
      </w:r>
      <w:r w:rsidR="000E6FB3" w:rsidRPr="00386D13">
        <w:rPr>
          <w:rFonts w:ascii="Times New Roman" w:hAnsi="Times New Roman" w:cs="Times New Roman"/>
          <w:b/>
          <w:i/>
          <w:color w:val="000000" w:themeColor="text1"/>
          <w:sz w:val="28"/>
          <w:szCs w:val="28"/>
        </w:rPr>
        <w:t xml:space="preserve"> </w:t>
      </w:r>
      <w:r w:rsidRPr="00386D13">
        <w:rPr>
          <w:rFonts w:ascii="Times New Roman" w:hAnsi="Times New Roman" w:cs="Times New Roman"/>
          <w:b/>
          <w:i/>
          <w:color w:val="000000" w:themeColor="text1"/>
          <w:sz w:val="28"/>
          <w:szCs w:val="28"/>
        </w:rPr>
        <w:t xml:space="preserve">pentru anul 2017 și consecințele posibile asupra restanțelor </w:t>
      </w:r>
      <w:r>
        <w:rPr>
          <w:rFonts w:ascii="Times New Roman" w:hAnsi="Times New Roman" w:cs="Times New Roman"/>
          <w:b/>
          <w:i/>
          <w:color w:val="000000" w:themeColor="text1"/>
          <w:sz w:val="28"/>
          <w:szCs w:val="28"/>
        </w:rPr>
        <w:t xml:space="preserve">contribuabililor </w:t>
      </w:r>
      <w:r w:rsidRPr="00386D13">
        <w:rPr>
          <w:rFonts w:ascii="Times New Roman" w:hAnsi="Times New Roman" w:cs="Times New Roman"/>
          <w:b/>
          <w:i/>
          <w:color w:val="000000" w:themeColor="text1"/>
          <w:sz w:val="28"/>
          <w:szCs w:val="28"/>
        </w:rPr>
        <w:t xml:space="preserve">față de </w:t>
      </w:r>
      <w:r w:rsidR="000E6FB3">
        <w:rPr>
          <w:rFonts w:ascii="Times New Roman" w:hAnsi="Times New Roman" w:cs="Times New Roman"/>
          <w:b/>
          <w:i/>
          <w:color w:val="000000" w:themeColor="text1"/>
          <w:sz w:val="28"/>
          <w:szCs w:val="28"/>
        </w:rPr>
        <w:t>bugetul de stat</w:t>
      </w:r>
      <w:r w:rsidRPr="00386D13">
        <w:rPr>
          <w:rFonts w:ascii="Times New Roman" w:hAnsi="Times New Roman" w:cs="Times New Roman"/>
          <w:b/>
          <w:i/>
          <w:color w:val="000000" w:themeColor="text1"/>
          <w:sz w:val="28"/>
          <w:szCs w:val="28"/>
        </w:rPr>
        <w:t xml:space="preserve"> </w:t>
      </w:r>
      <w:r>
        <w:rPr>
          <w:rFonts w:ascii="Times New Roman" w:hAnsi="Times New Roman" w:cs="Times New Roman"/>
          <w:b/>
          <w:i/>
          <w:color w:val="000000" w:themeColor="text1"/>
          <w:sz w:val="28"/>
          <w:szCs w:val="28"/>
        </w:rPr>
        <w:t>la plata obligațiilor</w:t>
      </w:r>
      <w:bookmarkEnd w:id="19"/>
    </w:p>
    <w:p w:rsidR="003E62EC" w:rsidRDefault="003E62EC" w:rsidP="003E62EC">
      <w:pPr>
        <w:spacing w:after="0" w:line="276" w:lineRule="auto"/>
        <w:ind w:firstLine="709"/>
        <w:jc w:val="both"/>
        <w:rPr>
          <w:rFonts w:ascii="Times New Roman" w:hAnsi="Times New Roman"/>
          <w:sz w:val="28"/>
          <w:szCs w:val="28"/>
        </w:rPr>
      </w:pPr>
      <w:r w:rsidRPr="00386D13">
        <w:rPr>
          <w:rFonts w:ascii="Times New Roman" w:hAnsi="Times New Roman"/>
          <w:i/>
          <w:sz w:val="28"/>
          <w:szCs w:val="28"/>
        </w:rPr>
        <w:t>Principalii administratori ai veniturilor publice în BPN, potrivit cadrului legal</w:t>
      </w:r>
      <w:r w:rsidRPr="00386D13">
        <w:rPr>
          <w:rStyle w:val="a9"/>
          <w:rFonts w:ascii="Times New Roman" w:hAnsi="Times New Roman"/>
          <w:i/>
          <w:sz w:val="28"/>
          <w:szCs w:val="28"/>
        </w:rPr>
        <w:footnoteReference w:id="43"/>
      </w:r>
      <w:r w:rsidRPr="00386D13">
        <w:rPr>
          <w:rFonts w:ascii="Times New Roman" w:hAnsi="Times New Roman"/>
          <w:i/>
          <w:sz w:val="28"/>
          <w:szCs w:val="28"/>
        </w:rPr>
        <w:t xml:space="preserve">, sunt: SFS (administrează veniturile: BS, BUAT; o parte din veniturile FAOAM și ale BASS); SV (administrează veniturile BS); serviciile de colectare a impozitelor și </w:t>
      </w:r>
      <w:r w:rsidRPr="00386D13">
        <w:rPr>
          <w:rFonts w:ascii="Times New Roman" w:hAnsi="Times New Roman"/>
          <w:i/>
          <w:sz w:val="28"/>
          <w:szCs w:val="28"/>
        </w:rPr>
        <w:lastRenderedPageBreak/>
        <w:t>taxelor locale din cadrul primăriilor, precum și alți administratori de venituri publice. Totodată, instituția statului cu sarcina de gestionare și asigurare a nivelului optim al resurselor BPN este Ministerul Finanțelor</w:t>
      </w:r>
      <w:r>
        <w:rPr>
          <w:rFonts w:ascii="Times New Roman" w:hAnsi="Times New Roman"/>
          <w:i/>
          <w:sz w:val="28"/>
          <w:szCs w:val="28"/>
        </w:rPr>
        <w:t>.</w:t>
      </w:r>
    </w:p>
    <w:p w:rsidR="003E62EC" w:rsidRDefault="003E62EC" w:rsidP="003E62EC">
      <w:pPr>
        <w:spacing w:after="0" w:line="276" w:lineRule="auto"/>
        <w:ind w:firstLine="709"/>
        <w:jc w:val="both"/>
        <w:rPr>
          <w:rFonts w:ascii="Times New Roman" w:hAnsi="Times New Roman"/>
          <w:sz w:val="28"/>
          <w:szCs w:val="28"/>
        </w:rPr>
      </w:pPr>
      <w:r>
        <w:rPr>
          <w:rFonts w:ascii="Times New Roman" w:hAnsi="Times New Roman"/>
          <w:sz w:val="28"/>
          <w:szCs w:val="28"/>
        </w:rPr>
        <w:t>Analiza comparativă a încasărilor executate la bugetul de stat de către principalii administratori de venituri în perioada auditată denotă următoarele.</w:t>
      </w:r>
    </w:p>
    <w:p w:rsidR="003E62EC" w:rsidRPr="006B6EF4" w:rsidRDefault="003E62EC" w:rsidP="003E62EC">
      <w:pPr>
        <w:tabs>
          <w:tab w:val="left" w:pos="851"/>
        </w:tabs>
        <w:spacing w:after="0" w:line="276" w:lineRule="auto"/>
        <w:ind w:firstLine="709"/>
        <w:jc w:val="both"/>
        <w:rPr>
          <w:rFonts w:ascii="Times New Roman" w:hAnsi="Times New Roman"/>
          <w:sz w:val="28"/>
          <w:szCs w:val="28"/>
        </w:rPr>
      </w:pPr>
      <w:r w:rsidRPr="006B6EF4">
        <w:rPr>
          <w:rFonts w:ascii="Times New Roman" w:hAnsi="Times New Roman"/>
          <w:sz w:val="28"/>
          <w:szCs w:val="28"/>
        </w:rPr>
        <w:t xml:space="preserve">Sarcina de colectare a veniturilor în anul 2017 a fost realizată de </w:t>
      </w:r>
      <w:r w:rsidR="00957015">
        <w:rPr>
          <w:rFonts w:ascii="Times New Roman" w:hAnsi="Times New Roman"/>
          <w:sz w:val="28"/>
          <w:szCs w:val="28"/>
        </w:rPr>
        <w:t>SFS</w:t>
      </w:r>
      <w:r w:rsidRPr="006B6EF4">
        <w:rPr>
          <w:rFonts w:ascii="Times New Roman" w:hAnsi="Times New Roman"/>
          <w:sz w:val="28"/>
          <w:szCs w:val="28"/>
        </w:rPr>
        <w:t xml:space="preserve"> la nivel de 101,0% la BS</w:t>
      </w:r>
      <w:r>
        <w:rPr>
          <w:rFonts w:ascii="Times New Roman" w:hAnsi="Times New Roman"/>
          <w:sz w:val="28"/>
          <w:szCs w:val="28"/>
        </w:rPr>
        <w:t>,</w:t>
      </w:r>
      <w:r w:rsidRPr="006B6EF4">
        <w:rPr>
          <w:rFonts w:ascii="Times New Roman" w:hAnsi="Times New Roman"/>
          <w:sz w:val="28"/>
          <w:szCs w:val="28"/>
        </w:rPr>
        <w:t xml:space="preserve"> </w:t>
      </w:r>
      <w:r w:rsidR="000641CB">
        <w:rPr>
          <w:rFonts w:ascii="Times New Roman" w:hAnsi="Times New Roman"/>
          <w:sz w:val="28"/>
          <w:szCs w:val="28"/>
        </w:rPr>
        <w:t>fiind</w:t>
      </w:r>
      <w:r w:rsidRPr="006B6EF4">
        <w:rPr>
          <w:rFonts w:ascii="Times New Roman" w:hAnsi="Times New Roman"/>
          <w:sz w:val="28"/>
          <w:szCs w:val="28"/>
        </w:rPr>
        <w:t xml:space="preserve"> peste nivelul planificat cu 98,3 mil.lei</w:t>
      </w:r>
      <w:r>
        <w:rPr>
          <w:rFonts w:ascii="Times New Roman" w:hAnsi="Times New Roman"/>
          <w:sz w:val="28"/>
          <w:szCs w:val="28"/>
        </w:rPr>
        <w:t>. Totodată,</w:t>
      </w:r>
      <w:r w:rsidRPr="006B6EF4">
        <w:rPr>
          <w:rFonts w:ascii="Times New Roman" w:hAnsi="Times New Roman"/>
          <w:sz w:val="28"/>
          <w:szCs w:val="28"/>
        </w:rPr>
        <w:t xml:space="preserve"> auditul atestă </w:t>
      </w:r>
      <w:r>
        <w:rPr>
          <w:rFonts w:ascii="Times New Roman" w:hAnsi="Times New Roman"/>
          <w:sz w:val="28"/>
          <w:szCs w:val="28"/>
        </w:rPr>
        <w:t xml:space="preserve">că sarcina stabilită la </w:t>
      </w:r>
      <w:r w:rsidRPr="006B6EF4">
        <w:rPr>
          <w:rFonts w:ascii="Times New Roman" w:hAnsi="Times New Roman"/>
          <w:sz w:val="28"/>
          <w:szCs w:val="28"/>
        </w:rPr>
        <w:t xml:space="preserve">18 tipuri de impozite, taxe și plăți </w:t>
      </w:r>
      <w:r w:rsidR="003B4CAE">
        <w:rPr>
          <w:rFonts w:ascii="Times New Roman" w:hAnsi="Times New Roman"/>
          <w:sz w:val="28"/>
          <w:szCs w:val="28"/>
        </w:rPr>
        <w:t>nu a fost ati</w:t>
      </w:r>
      <w:r>
        <w:rPr>
          <w:rFonts w:ascii="Times New Roman" w:hAnsi="Times New Roman"/>
          <w:sz w:val="28"/>
          <w:szCs w:val="28"/>
        </w:rPr>
        <w:t>nsă cu suma</w:t>
      </w:r>
      <w:r w:rsidRPr="006B6EF4">
        <w:rPr>
          <w:rFonts w:ascii="Times New Roman" w:hAnsi="Times New Roman"/>
          <w:sz w:val="28"/>
          <w:szCs w:val="28"/>
        </w:rPr>
        <w:t xml:space="preserve"> de 195,2 mil.lei,</w:t>
      </w:r>
      <w:r>
        <w:rPr>
          <w:rFonts w:ascii="Times New Roman" w:hAnsi="Times New Roman"/>
          <w:sz w:val="28"/>
          <w:szCs w:val="28"/>
        </w:rPr>
        <w:t xml:space="preserve"> din care:</w:t>
      </w:r>
      <w:r w:rsidRPr="006B6EF4">
        <w:rPr>
          <w:rFonts w:ascii="Times New Roman" w:hAnsi="Times New Roman"/>
          <w:sz w:val="28"/>
          <w:szCs w:val="28"/>
        </w:rPr>
        <w:t xml:space="preserve"> </w:t>
      </w:r>
      <w:r w:rsidR="00957015">
        <w:rPr>
          <w:rFonts w:ascii="Times New Roman" w:hAnsi="Times New Roman"/>
          <w:sz w:val="28"/>
          <w:szCs w:val="28"/>
        </w:rPr>
        <w:t>i</w:t>
      </w:r>
      <w:r w:rsidRPr="006B6EF4">
        <w:rPr>
          <w:rFonts w:ascii="Times New Roman" w:hAnsi="Times New Roman"/>
          <w:sz w:val="28"/>
          <w:szCs w:val="28"/>
        </w:rPr>
        <w:t>mpozit</w:t>
      </w:r>
      <w:r>
        <w:rPr>
          <w:rFonts w:ascii="Times New Roman" w:hAnsi="Times New Roman"/>
          <w:sz w:val="28"/>
          <w:szCs w:val="28"/>
        </w:rPr>
        <w:t>ul</w:t>
      </w:r>
      <w:r w:rsidRPr="006B6EF4">
        <w:rPr>
          <w:rFonts w:ascii="Times New Roman" w:hAnsi="Times New Roman"/>
          <w:sz w:val="28"/>
          <w:szCs w:val="28"/>
        </w:rPr>
        <w:t xml:space="preserve"> pe venitul obținut din activitatea de întreprinzător </w:t>
      </w:r>
      <w:r w:rsidR="00957015">
        <w:rPr>
          <w:rFonts w:ascii="Times New Roman" w:hAnsi="Times New Roman"/>
          <w:sz w:val="28"/>
          <w:szCs w:val="28"/>
        </w:rPr>
        <w:t>–</w:t>
      </w:r>
      <w:r>
        <w:rPr>
          <w:rFonts w:ascii="Times New Roman" w:hAnsi="Times New Roman"/>
          <w:sz w:val="28"/>
          <w:szCs w:val="28"/>
        </w:rPr>
        <w:t xml:space="preserve"> </w:t>
      </w:r>
      <w:r w:rsidRPr="006B6EF4">
        <w:rPr>
          <w:rFonts w:ascii="Times New Roman" w:hAnsi="Times New Roman"/>
          <w:sz w:val="28"/>
          <w:szCs w:val="28"/>
        </w:rPr>
        <w:t xml:space="preserve">(-147,3 mil.lei), </w:t>
      </w:r>
      <w:r w:rsidR="00957015">
        <w:rPr>
          <w:rFonts w:ascii="Times New Roman" w:hAnsi="Times New Roman"/>
          <w:sz w:val="28"/>
          <w:szCs w:val="28"/>
        </w:rPr>
        <w:t>t</w:t>
      </w:r>
      <w:r w:rsidRPr="006B6EF4">
        <w:rPr>
          <w:rFonts w:ascii="Times New Roman" w:hAnsi="Times New Roman"/>
          <w:sz w:val="28"/>
          <w:szCs w:val="28"/>
        </w:rPr>
        <w:t>axa pentru folosirea drumurilor de către autovehiculele înmatriculate în RM</w:t>
      </w:r>
      <w:r w:rsidR="00764D6E">
        <w:rPr>
          <w:rFonts w:ascii="Times New Roman" w:hAnsi="Times New Roman"/>
          <w:sz w:val="28"/>
          <w:szCs w:val="28"/>
        </w:rPr>
        <w:t xml:space="preserve"> </w:t>
      </w:r>
      <w:r w:rsidR="00957015">
        <w:rPr>
          <w:rFonts w:ascii="Times New Roman" w:hAnsi="Times New Roman"/>
          <w:sz w:val="28"/>
          <w:szCs w:val="28"/>
        </w:rPr>
        <w:t>–</w:t>
      </w:r>
      <w:r>
        <w:rPr>
          <w:rFonts w:ascii="Times New Roman" w:hAnsi="Times New Roman"/>
          <w:sz w:val="28"/>
          <w:szCs w:val="28"/>
        </w:rPr>
        <w:t xml:space="preserve"> </w:t>
      </w:r>
      <w:r w:rsidRPr="006B6EF4">
        <w:rPr>
          <w:rFonts w:ascii="Times New Roman" w:hAnsi="Times New Roman"/>
          <w:sz w:val="28"/>
          <w:szCs w:val="28"/>
        </w:rPr>
        <w:t xml:space="preserve">(-27,6 mil.lei), </w:t>
      </w:r>
      <w:r w:rsidR="00957015">
        <w:rPr>
          <w:rFonts w:ascii="Times New Roman" w:hAnsi="Times New Roman"/>
          <w:sz w:val="28"/>
          <w:szCs w:val="28"/>
        </w:rPr>
        <w:t>i</w:t>
      </w:r>
      <w:r w:rsidRPr="006B6EF4">
        <w:rPr>
          <w:rFonts w:ascii="Times New Roman" w:hAnsi="Times New Roman"/>
          <w:sz w:val="28"/>
          <w:szCs w:val="28"/>
        </w:rPr>
        <w:t>mpozit</w:t>
      </w:r>
      <w:r w:rsidR="00957015">
        <w:rPr>
          <w:rFonts w:ascii="Times New Roman" w:hAnsi="Times New Roman"/>
          <w:sz w:val="28"/>
          <w:szCs w:val="28"/>
        </w:rPr>
        <w:t>ul</w:t>
      </w:r>
      <w:r w:rsidRPr="006B6EF4">
        <w:rPr>
          <w:rFonts w:ascii="Times New Roman" w:hAnsi="Times New Roman"/>
          <w:sz w:val="28"/>
          <w:szCs w:val="28"/>
        </w:rPr>
        <w:t xml:space="preserve"> pe avere încasat în bugetul de stat </w:t>
      </w:r>
      <w:r w:rsidR="00957015">
        <w:rPr>
          <w:rFonts w:ascii="Times New Roman" w:hAnsi="Times New Roman"/>
          <w:sz w:val="28"/>
          <w:szCs w:val="28"/>
        </w:rPr>
        <w:t>–</w:t>
      </w:r>
      <w:r>
        <w:rPr>
          <w:rFonts w:ascii="Times New Roman" w:hAnsi="Times New Roman"/>
          <w:sz w:val="28"/>
          <w:szCs w:val="28"/>
        </w:rPr>
        <w:t xml:space="preserve"> </w:t>
      </w:r>
      <w:r w:rsidRPr="006B6EF4">
        <w:rPr>
          <w:rFonts w:ascii="Times New Roman" w:hAnsi="Times New Roman"/>
          <w:sz w:val="28"/>
          <w:szCs w:val="28"/>
        </w:rPr>
        <w:t xml:space="preserve">(-11,5 mil.lei), </w:t>
      </w:r>
      <w:r w:rsidR="00957015">
        <w:rPr>
          <w:rFonts w:ascii="Times New Roman" w:hAnsi="Times New Roman"/>
          <w:sz w:val="28"/>
          <w:szCs w:val="28"/>
        </w:rPr>
        <w:t>i</w:t>
      </w:r>
      <w:r w:rsidRPr="006B6EF4">
        <w:rPr>
          <w:rFonts w:ascii="Times New Roman" w:hAnsi="Times New Roman"/>
          <w:sz w:val="28"/>
          <w:szCs w:val="28"/>
        </w:rPr>
        <w:t>mpozit</w:t>
      </w:r>
      <w:r w:rsidR="00957015">
        <w:rPr>
          <w:rFonts w:ascii="Times New Roman" w:hAnsi="Times New Roman"/>
          <w:sz w:val="28"/>
          <w:szCs w:val="28"/>
        </w:rPr>
        <w:t>ul</w:t>
      </w:r>
      <w:r w:rsidRPr="006B6EF4">
        <w:rPr>
          <w:rFonts w:ascii="Times New Roman" w:hAnsi="Times New Roman"/>
          <w:sz w:val="28"/>
          <w:szCs w:val="28"/>
        </w:rPr>
        <w:t xml:space="preserve"> pe venitul din activitatea operațională </w:t>
      </w:r>
      <w:r w:rsidR="00957015">
        <w:rPr>
          <w:rFonts w:ascii="Times New Roman" w:hAnsi="Times New Roman"/>
          <w:sz w:val="28"/>
          <w:szCs w:val="28"/>
        </w:rPr>
        <w:t>–</w:t>
      </w:r>
      <w:r w:rsidR="00957015" w:rsidRPr="006B6EF4">
        <w:rPr>
          <w:rFonts w:ascii="Times New Roman" w:hAnsi="Times New Roman"/>
          <w:sz w:val="28"/>
          <w:szCs w:val="28"/>
        </w:rPr>
        <w:t xml:space="preserve"> </w:t>
      </w:r>
      <w:r w:rsidRPr="006B6EF4">
        <w:rPr>
          <w:rFonts w:ascii="Times New Roman" w:hAnsi="Times New Roman"/>
          <w:sz w:val="28"/>
          <w:szCs w:val="28"/>
        </w:rPr>
        <w:t xml:space="preserve">(-3,7 mil.lei) etc. </w:t>
      </w:r>
    </w:p>
    <w:p w:rsidR="003E62EC" w:rsidRPr="006B6EF4" w:rsidRDefault="003E62EC" w:rsidP="003E62EC">
      <w:pPr>
        <w:tabs>
          <w:tab w:val="left" w:pos="851"/>
        </w:tabs>
        <w:spacing w:after="0" w:line="276" w:lineRule="auto"/>
        <w:ind w:firstLine="709"/>
        <w:jc w:val="both"/>
        <w:rPr>
          <w:rFonts w:ascii="Times New Roman" w:hAnsi="Times New Roman"/>
          <w:sz w:val="28"/>
          <w:szCs w:val="28"/>
        </w:rPr>
      </w:pPr>
      <w:r>
        <w:rPr>
          <w:rFonts w:ascii="Times New Roman" w:hAnsi="Times New Roman"/>
          <w:sz w:val="28"/>
          <w:szCs w:val="28"/>
        </w:rPr>
        <w:t>Sarcina stabilită pentru încasarea</w:t>
      </w:r>
      <w:r w:rsidRPr="006B6EF4">
        <w:rPr>
          <w:rFonts w:ascii="Times New Roman" w:hAnsi="Times New Roman"/>
          <w:sz w:val="28"/>
          <w:szCs w:val="28"/>
        </w:rPr>
        <w:t xml:space="preserve"> venituri</w:t>
      </w:r>
      <w:r>
        <w:rPr>
          <w:rFonts w:ascii="Times New Roman" w:hAnsi="Times New Roman"/>
          <w:sz w:val="28"/>
          <w:szCs w:val="28"/>
        </w:rPr>
        <w:t>lor</w:t>
      </w:r>
      <w:r w:rsidRPr="006B6EF4">
        <w:rPr>
          <w:rFonts w:ascii="Times New Roman" w:hAnsi="Times New Roman"/>
          <w:sz w:val="28"/>
          <w:szCs w:val="28"/>
        </w:rPr>
        <w:t xml:space="preserve"> a fost executată de Serviciul Vamal la nivel de 102,0%. Auditul denotă că, deși în anul 2017 veniturile administrate de </w:t>
      </w:r>
      <w:r w:rsidR="00957015">
        <w:rPr>
          <w:rFonts w:ascii="Times New Roman" w:hAnsi="Times New Roman"/>
          <w:sz w:val="28"/>
          <w:szCs w:val="28"/>
        </w:rPr>
        <w:t>SV</w:t>
      </w:r>
      <w:r w:rsidRPr="006B6EF4">
        <w:rPr>
          <w:rFonts w:ascii="Times New Roman" w:hAnsi="Times New Roman"/>
          <w:sz w:val="28"/>
          <w:szCs w:val="28"/>
        </w:rPr>
        <w:t xml:space="preserve"> au fost încasate în total cu 340,2 mil.lei mai mult față de nivelul stabilit, totodată, pe 3 tipuri de venituri încasările au fost realizate sub nivelul stabilit,</w:t>
      </w:r>
      <w:r>
        <w:rPr>
          <w:rFonts w:ascii="Times New Roman" w:hAnsi="Times New Roman"/>
          <w:sz w:val="28"/>
          <w:szCs w:val="28"/>
        </w:rPr>
        <w:t xml:space="preserve"> cu</w:t>
      </w:r>
      <w:r w:rsidRPr="006B6EF4">
        <w:rPr>
          <w:rFonts w:ascii="Times New Roman" w:hAnsi="Times New Roman"/>
          <w:sz w:val="28"/>
          <w:szCs w:val="28"/>
        </w:rPr>
        <w:t xml:space="preserve"> 47,9 mil.lei (TVA la mărfurile importate </w:t>
      </w:r>
      <w:r w:rsidR="00CA66CA">
        <w:rPr>
          <w:rFonts w:ascii="Times New Roman" w:hAnsi="Times New Roman"/>
          <w:sz w:val="28"/>
          <w:szCs w:val="28"/>
        </w:rPr>
        <w:t xml:space="preserve">– </w:t>
      </w:r>
      <w:r>
        <w:rPr>
          <w:rFonts w:ascii="Times New Roman" w:hAnsi="Times New Roman"/>
          <w:sz w:val="28"/>
          <w:szCs w:val="28"/>
        </w:rPr>
        <w:t xml:space="preserve">cu </w:t>
      </w:r>
      <w:r w:rsidRPr="006B6EF4">
        <w:rPr>
          <w:rFonts w:ascii="Times New Roman" w:hAnsi="Times New Roman"/>
          <w:sz w:val="28"/>
          <w:szCs w:val="28"/>
        </w:rPr>
        <w:t xml:space="preserve">(- 44,7 mil.lei); </w:t>
      </w:r>
      <w:r w:rsidR="00957015">
        <w:rPr>
          <w:rFonts w:ascii="Times New Roman" w:hAnsi="Times New Roman"/>
          <w:sz w:val="28"/>
          <w:szCs w:val="28"/>
        </w:rPr>
        <w:t>a</w:t>
      </w:r>
      <w:r w:rsidRPr="006B6EF4">
        <w:rPr>
          <w:rFonts w:ascii="Times New Roman" w:hAnsi="Times New Roman"/>
          <w:sz w:val="28"/>
          <w:szCs w:val="28"/>
        </w:rPr>
        <w:t>ccize la gazele lichefiate</w:t>
      </w:r>
      <w:r w:rsidR="00764D6E">
        <w:rPr>
          <w:rFonts w:ascii="Times New Roman" w:hAnsi="Times New Roman"/>
          <w:sz w:val="28"/>
          <w:szCs w:val="28"/>
        </w:rPr>
        <w:t xml:space="preserve"> </w:t>
      </w:r>
      <w:r w:rsidR="00CA66CA">
        <w:rPr>
          <w:rFonts w:ascii="Times New Roman" w:hAnsi="Times New Roman"/>
          <w:sz w:val="28"/>
          <w:szCs w:val="28"/>
        </w:rPr>
        <w:t xml:space="preserve">– </w:t>
      </w:r>
      <w:r>
        <w:rPr>
          <w:rFonts w:ascii="Times New Roman" w:hAnsi="Times New Roman"/>
          <w:sz w:val="28"/>
          <w:szCs w:val="28"/>
        </w:rPr>
        <w:t xml:space="preserve">cu </w:t>
      </w:r>
      <w:r w:rsidRPr="006B6EF4">
        <w:rPr>
          <w:rFonts w:ascii="Times New Roman" w:hAnsi="Times New Roman"/>
          <w:sz w:val="28"/>
          <w:szCs w:val="28"/>
        </w:rPr>
        <w:t>(-3,0 mil.lei)</w:t>
      </w:r>
      <w:r w:rsidR="00CA66CA">
        <w:rPr>
          <w:rFonts w:ascii="Times New Roman" w:hAnsi="Times New Roman"/>
          <w:sz w:val="28"/>
          <w:szCs w:val="28"/>
        </w:rPr>
        <w:t>,</w:t>
      </w:r>
      <w:r w:rsidRPr="006B6EF4">
        <w:rPr>
          <w:rFonts w:ascii="Times New Roman" w:hAnsi="Times New Roman"/>
          <w:sz w:val="28"/>
          <w:szCs w:val="28"/>
        </w:rPr>
        <w:t xml:space="preserve"> și </w:t>
      </w:r>
      <w:r w:rsidR="00CA66CA">
        <w:rPr>
          <w:rFonts w:ascii="Times New Roman" w:hAnsi="Times New Roman"/>
          <w:sz w:val="28"/>
          <w:szCs w:val="28"/>
        </w:rPr>
        <w:t>a</w:t>
      </w:r>
      <w:r w:rsidRPr="006B6EF4">
        <w:rPr>
          <w:rFonts w:ascii="Times New Roman" w:hAnsi="Times New Roman"/>
          <w:sz w:val="28"/>
          <w:szCs w:val="28"/>
        </w:rPr>
        <w:t xml:space="preserve">ccize la berea importată </w:t>
      </w:r>
      <w:r w:rsidR="00CA66CA">
        <w:rPr>
          <w:rFonts w:ascii="Times New Roman" w:hAnsi="Times New Roman"/>
          <w:sz w:val="28"/>
          <w:szCs w:val="28"/>
        </w:rPr>
        <w:t xml:space="preserve">– </w:t>
      </w:r>
      <w:r>
        <w:rPr>
          <w:rFonts w:ascii="Times New Roman" w:hAnsi="Times New Roman"/>
          <w:sz w:val="28"/>
          <w:szCs w:val="28"/>
        </w:rPr>
        <w:t xml:space="preserve">cu </w:t>
      </w:r>
      <w:r w:rsidRPr="006B6EF4">
        <w:rPr>
          <w:rFonts w:ascii="Times New Roman" w:hAnsi="Times New Roman"/>
          <w:sz w:val="28"/>
          <w:szCs w:val="28"/>
        </w:rPr>
        <w:t>(-0,2 mil.lei)).</w:t>
      </w:r>
    </w:p>
    <w:p w:rsidR="003E62EC" w:rsidRPr="00FA6D69" w:rsidRDefault="003E62EC" w:rsidP="003E62EC">
      <w:pPr>
        <w:pStyle w:val="ad"/>
        <w:spacing w:line="276" w:lineRule="auto"/>
        <w:ind w:firstLine="709"/>
        <w:rPr>
          <w:i/>
          <w:sz w:val="28"/>
          <w:lang w:val="ro-RO" w:eastAsia="en-US"/>
        </w:rPr>
      </w:pPr>
      <w:r w:rsidRPr="00FA6D69">
        <w:rPr>
          <w:rFonts w:eastAsiaTheme="minorEastAsia"/>
          <w:bCs/>
          <w:iCs/>
          <w:sz w:val="28"/>
          <w:szCs w:val="28"/>
          <w:lang w:val="ro-RO"/>
        </w:rPr>
        <w:t xml:space="preserve">Conform prevederilor Codului </w:t>
      </w:r>
      <w:r w:rsidR="00CA66CA" w:rsidRPr="00FA6D69">
        <w:rPr>
          <w:rFonts w:eastAsiaTheme="minorEastAsia"/>
          <w:bCs/>
          <w:iCs/>
          <w:sz w:val="28"/>
          <w:szCs w:val="28"/>
          <w:lang w:val="ro-RO"/>
        </w:rPr>
        <w:t>f</w:t>
      </w:r>
      <w:r w:rsidRPr="00FA6D69">
        <w:rPr>
          <w:rFonts w:eastAsiaTheme="minorEastAsia"/>
          <w:bCs/>
          <w:iCs/>
          <w:sz w:val="28"/>
          <w:szCs w:val="28"/>
          <w:lang w:val="ro-RO"/>
        </w:rPr>
        <w:t>iscal</w:t>
      </w:r>
      <w:r>
        <w:rPr>
          <w:rStyle w:val="a9"/>
          <w:rFonts w:eastAsiaTheme="minorEastAsia"/>
          <w:bCs/>
          <w:iCs/>
          <w:sz w:val="28"/>
          <w:szCs w:val="28"/>
        </w:rPr>
        <w:footnoteReference w:id="44"/>
      </w:r>
      <w:r w:rsidRPr="00FA6D69">
        <w:rPr>
          <w:rFonts w:eastAsiaTheme="minorEastAsia"/>
          <w:bCs/>
          <w:iCs/>
          <w:sz w:val="28"/>
          <w:szCs w:val="28"/>
          <w:lang w:val="ro-RO"/>
        </w:rPr>
        <w:t xml:space="preserve">, </w:t>
      </w:r>
      <w:r w:rsidRPr="00FA6D69">
        <w:rPr>
          <w:i/>
          <w:iCs/>
          <w:sz w:val="28"/>
          <w:lang w:val="ro-RO" w:eastAsia="en-US"/>
        </w:rPr>
        <w:t xml:space="preserve">restanța </w:t>
      </w:r>
      <w:r w:rsidRPr="00FA6D69">
        <w:rPr>
          <w:i/>
          <w:sz w:val="28"/>
          <w:lang w:val="ro-RO" w:eastAsia="en-US"/>
        </w:rPr>
        <w:t>reprezintă suma pe care contribuabilul era obligat să o plătească la buget ca impozit, taxă sau altă plată, dar pe care nu a plătit-o în termen, precum și suma majorării de întârziere (penalității) și/sau amenzii.</w:t>
      </w:r>
    </w:p>
    <w:p w:rsidR="003E62EC" w:rsidRPr="00FA6D69" w:rsidRDefault="003E62EC" w:rsidP="003E62EC">
      <w:pPr>
        <w:pStyle w:val="ad"/>
        <w:spacing w:line="276" w:lineRule="auto"/>
        <w:ind w:firstLine="709"/>
        <w:rPr>
          <w:sz w:val="28"/>
          <w:lang w:val="ro-RO" w:eastAsia="en-US"/>
        </w:rPr>
      </w:pPr>
      <w:r w:rsidRPr="00FA6D69">
        <w:rPr>
          <w:sz w:val="28"/>
          <w:lang w:val="ro-RO" w:eastAsia="en-US"/>
        </w:rPr>
        <w:t xml:space="preserve">Auditul, analizând datele </w:t>
      </w:r>
      <w:r w:rsidR="0001576D" w:rsidRPr="00FA6D69">
        <w:rPr>
          <w:sz w:val="28"/>
          <w:lang w:val="ro-RO" w:eastAsia="en-US"/>
        </w:rPr>
        <w:t>indicate de către MF în Raportul privind executarea bugetului de stat (descrierea narativă)</w:t>
      </w:r>
      <w:r w:rsidRPr="00FA6D69">
        <w:rPr>
          <w:sz w:val="28"/>
          <w:lang w:val="ro-RO" w:eastAsia="en-US"/>
        </w:rPr>
        <w:t xml:space="preserve">, a constatat creșterea la finele anului 2017 a restanțelor contribuabililor cu 17,0%, sau cu 197,8 mil.lei față de BPN (fără penalități, amenzi și plăți prolongate), care la situația din 31.12.2017 au însumat 1365,5 mil.lei. </w:t>
      </w:r>
    </w:p>
    <w:p w:rsidR="003E62EC" w:rsidRDefault="003E62EC" w:rsidP="003E62EC">
      <w:pPr>
        <w:pStyle w:val="ad"/>
        <w:spacing w:line="276" w:lineRule="auto"/>
        <w:ind w:firstLine="709"/>
        <w:rPr>
          <w:sz w:val="28"/>
          <w:lang w:val="ro-RO" w:eastAsia="en-US"/>
        </w:rPr>
      </w:pPr>
      <w:r w:rsidRPr="00FA6D69">
        <w:rPr>
          <w:sz w:val="28"/>
          <w:lang w:val="ro-RO" w:eastAsia="en-US"/>
        </w:rPr>
        <w:t xml:space="preserve">Totodată, analizând aceleași surse de informații, auditul denotă o tendință de creștere și a restanțelor contribuabililor față de bugetul de stat, dinamica pentru anii 2015-2017 fiind prezentată în </w:t>
      </w:r>
      <w:r w:rsidRPr="00FA6D69">
        <w:rPr>
          <w:i/>
          <w:sz w:val="28"/>
          <w:lang w:val="ro-RO" w:eastAsia="en-US"/>
        </w:rPr>
        <w:t>Diagrama nr.</w:t>
      </w:r>
      <w:r w:rsidR="00824429" w:rsidRPr="00FA6D69">
        <w:rPr>
          <w:i/>
          <w:sz w:val="28"/>
          <w:lang w:val="ro-RO" w:eastAsia="en-US"/>
        </w:rPr>
        <w:t>3</w:t>
      </w:r>
      <w:r w:rsidRPr="00FA6D69">
        <w:rPr>
          <w:sz w:val="28"/>
          <w:lang w:val="ro-RO" w:eastAsia="en-US"/>
        </w:rPr>
        <w:t>.</w:t>
      </w:r>
    </w:p>
    <w:p w:rsidR="00B44B7C" w:rsidRDefault="00B44B7C" w:rsidP="003E62EC">
      <w:pPr>
        <w:pStyle w:val="ad"/>
        <w:spacing w:line="276" w:lineRule="auto"/>
        <w:ind w:firstLine="709"/>
        <w:rPr>
          <w:sz w:val="28"/>
          <w:lang w:val="ro-RO" w:eastAsia="en-US"/>
        </w:rPr>
      </w:pPr>
    </w:p>
    <w:p w:rsidR="00B44B7C" w:rsidRDefault="00B44B7C" w:rsidP="003E62EC">
      <w:pPr>
        <w:pStyle w:val="ad"/>
        <w:spacing w:line="276" w:lineRule="auto"/>
        <w:ind w:firstLine="709"/>
        <w:rPr>
          <w:sz w:val="28"/>
          <w:lang w:val="ro-RO" w:eastAsia="en-US"/>
        </w:rPr>
      </w:pPr>
    </w:p>
    <w:p w:rsidR="00B44B7C" w:rsidRDefault="00B44B7C" w:rsidP="003E62EC">
      <w:pPr>
        <w:pStyle w:val="ad"/>
        <w:spacing w:line="276" w:lineRule="auto"/>
        <w:ind w:firstLine="709"/>
        <w:rPr>
          <w:sz w:val="28"/>
          <w:lang w:val="ro-RO" w:eastAsia="en-US"/>
        </w:rPr>
      </w:pPr>
    </w:p>
    <w:p w:rsidR="00B44B7C" w:rsidRDefault="00B44B7C" w:rsidP="003E62EC">
      <w:pPr>
        <w:pStyle w:val="ad"/>
        <w:spacing w:line="276" w:lineRule="auto"/>
        <w:ind w:firstLine="709"/>
        <w:rPr>
          <w:sz w:val="28"/>
          <w:lang w:val="ro-RO" w:eastAsia="en-US"/>
        </w:rPr>
      </w:pPr>
    </w:p>
    <w:p w:rsidR="00B44B7C" w:rsidRDefault="00B44B7C" w:rsidP="003E62EC">
      <w:pPr>
        <w:pStyle w:val="ad"/>
        <w:spacing w:line="276" w:lineRule="auto"/>
        <w:ind w:firstLine="709"/>
        <w:rPr>
          <w:sz w:val="28"/>
          <w:lang w:val="ro-RO" w:eastAsia="en-US"/>
        </w:rPr>
      </w:pPr>
    </w:p>
    <w:p w:rsidR="00B44B7C" w:rsidRPr="00FA6D69" w:rsidRDefault="00B44B7C" w:rsidP="003E62EC">
      <w:pPr>
        <w:pStyle w:val="ad"/>
        <w:spacing w:line="276" w:lineRule="auto"/>
        <w:ind w:firstLine="709"/>
        <w:rPr>
          <w:sz w:val="28"/>
          <w:lang w:val="ro-RO" w:eastAsia="en-US"/>
        </w:rPr>
      </w:pPr>
    </w:p>
    <w:p w:rsidR="003E62EC" w:rsidRDefault="003E62EC" w:rsidP="003E62EC">
      <w:pPr>
        <w:pStyle w:val="a5"/>
        <w:tabs>
          <w:tab w:val="left" w:pos="8931"/>
        </w:tabs>
        <w:spacing w:after="0" w:line="276" w:lineRule="auto"/>
        <w:ind w:left="0"/>
        <w:jc w:val="right"/>
        <w:rPr>
          <w:rFonts w:ascii="Times New Roman" w:hAnsi="Times New Roman" w:cs="Times New Roman"/>
          <w:i/>
          <w:sz w:val="28"/>
          <w:szCs w:val="28"/>
        </w:rPr>
      </w:pPr>
      <w:r w:rsidRPr="001B4DF7">
        <w:rPr>
          <w:rFonts w:ascii="Times New Roman" w:hAnsi="Times New Roman" w:cs="Times New Roman"/>
          <w:i/>
          <w:sz w:val="28"/>
          <w:szCs w:val="28"/>
          <w:shd w:val="clear" w:color="auto" w:fill="FFFFFF" w:themeFill="background1"/>
        </w:rPr>
        <w:lastRenderedPageBreak/>
        <w:t>Diagrama</w:t>
      </w:r>
      <w:r w:rsidRPr="001B4DF7">
        <w:rPr>
          <w:rFonts w:ascii="Times New Roman" w:hAnsi="Times New Roman" w:cs="Times New Roman"/>
          <w:i/>
          <w:sz w:val="28"/>
          <w:szCs w:val="28"/>
        </w:rPr>
        <w:t xml:space="preserve"> nr.</w:t>
      </w:r>
      <w:r w:rsidR="00824429">
        <w:rPr>
          <w:rFonts w:ascii="Times New Roman" w:hAnsi="Times New Roman" w:cs="Times New Roman"/>
          <w:i/>
          <w:sz w:val="28"/>
          <w:szCs w:val="28"/>
        </w:rPr>
        <w:t>3</w:t>
      </w:r>
    </w:p>
    <w:p w:rsidR="003E62EC" w:rsidRDefault="003E62EC" w:rsidP="00BA4FED">
      <w:pPr>
        <w:pStyle w:val="a5"/>
        <w:tabs>
          <w:tab w:val="left" w:pos="8931"/>
        </w:tabs>
        <w:spacing w:after="0" w:line="276" w:lineRule="auto"/>
        <w:ind w:left="0"/>
        <w:contextualSpacing w:val="0"/>
        <w:jc w:val="center"/>
        <w:rPr>
          <w:rFonts w:ascii="Times New Roman" w:hAnsi="Times New Roman" w:cs="Times New Roman"/>
          <w:b/>
          <w:bCs/>
          <w:sz w:val="24"/>
        </w:rPr>
      </w:pPr>
      <w:r>
        <w:rPr>
          <w:rFonts w:ascii="Times New Roman" w:hAnsi="Times New Roman" w:cs="Times New Roman"/>
          <w:b/>
          <w:bCs/>
          <w:sz w:val="24"/>
        </w:rPr>
        <w:t>Dinamica r</w:t>
      </w:r>
      <w:r w:rsidRPr="00912BFF">
        <w:rPr>
          <w:rFonts w:ascii="Times New Roman" w:hAnsi="Times New Roman" w:cs="Times New Roman"/>
          <w:b/>
          <w:bCs/>
          <w:sz w:val="24"/>
        </w:rPr>
        <w:t>estanțel</w:t>
      </w:r>
      <w:r>
        <w:rPr>
          <w:rFonts w:ascii="Times New Roman" w:hAnsi="Times New Roman" w:cs="Times New Roman"/>
          <w:b/>
          <w:bCs/>
          <w:sz w:val="24"/>
        </w:rPr>
        <w:t>or</w:t>
      </w:r>
      <w:r w:rsidRPr="00912BFF">
        <w:rPr>
          <w:rFonts w:ascii="Times New Roman" w:hAnsi="Times New Roman" w:cs="Times New Roman"/>
          <w:b/>
          <w:bCs/>
          <w:sz w:val="24"/>
        </w:rPr>
        <w:t xml:space="preserve"> față de bugetul de stat administrate de SFS și SV în anii 2015-2017</w:t>
      </w:r>
    </w:p>
    <w:p w:rsidR="000641CB" w:rsidRPr="00FA6D69" w:rsidRDefault="000641CB" w:rsidP="007074D1">
      <w:pPr>
        <w:pStyle w:val="a5"/>
        <w:tabs>
          <w:tab w:val="left" w:pos="8931"/>
        </w:tabs>
        <w:spacing w:after="0" w:line="276" w:lineRule="auto"/>
        <w:ind w:left="0" w:right="425"/>
        <w:contextualSpacing w:val="0"/>
        <w:jc w:val="right"/>
        <w:rPr>
          <w:rFonts w:ascii="Times New Roman" w:hAnsi="Times New Roman" w:cs="Times New Roman"/>
          <w:bCs/>
          <w:sz w:val="28"/>
        </w:rPr>
      </w:pPr>
      <w:r w:rsidRPr="00FA6D69">
        <w:rPr>
          <w:rFonts w:ascii="Times New Roman" w:hAnsi="Times New Roman" w:cs="Times New Roman"/>
          <w:bCs/>
          <w:i/>
          <w:sz w:val="24"/>
        </w:rPr>
        <w:t>(mil.lei</w:t>
      </w:r>
      <w:r w:rsidRPr="00FA6D69">
        <w:rPr>
          <w:rFonts w:ascii="Times New Roman" w:hAnsi="Times New Roman" w:cs="Times New Roman"/>
          <w:bCs/>
          <w:sz w:val="24"/>
        </w:rPr>
        <w:t>)</w:t>
      </w:r>
    </w:p>
    <w:p w:rsidR="003E62EC" w:rsidRPr="007E4DF8" w:rsidRDefault="003E62EC" w:rsidP="003E62EC">
      <w:pPr>
        <w:pStyle w:val="a5"/>
        <w:tabs>
          <w:tab w:val="left" w:pos="8931"/>
        </w:tabs>
        <w:spacing w:after="0" w:line="240" w:lineRule="auto"/>
        <w:ind w:left="0" w:right="49"/>
        <w:jc w:val="center"/>
        <w:rPr>
          <w:rFonts w:ascii="proiecte  investiționale" w:hAnsi="proiecte  investiționale" w:cs="Times New Roman"/>
          <w:sz w:val="27"/>
          <w:szCs w:val="27"/>
        </w:rPr>
      </w:pPr>
      <w:r w:rsidRPr="007E4DF8">
        <w:rPr>
          <w:noProof/>
          <w:lang w:val="ru-RU" w:eastAsia="ru-RU"/>
        </w:rPr>
        <w:drawing>
          <wp:inline distT="0" distB="0" distL="0" distR="0" wp14:anchorId="7BC28D2C" wp14:editId="71AED8AD">
            <wp:extent cx="5619750" cy="2019300"/>
            <wp:effectExtent l="38100" t="38100" r="95250" b="95250"/>
            <wp:docPr id="9" name="Диаграмма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E62EC" w:rsidRPr="008565E9" w:rsidRDefault="003E62EC" w:rsidP="007074D1">
      <w:pPr>
        <w:pStyle w:val="a5"/>
        <w:tabs>
          <w:tab w:val="left" w:pos="142"/>
          <w:tab w:val="left" w:pos="8931"/>
        </w:tabs>
        <w:spacing w:after="120" w:line="240" w:lineRule="auto"/>
        <w:ind w:left="284"/>
        <w:contextualSpacing w:val="0"/>
        <w:jc w:val="both"/>
        <w:rPr>
          <w:rFonts w:ascii="Times New Roman" w:hAnsi="Times New Roman" w:cs="Times New Roman"/>
          <w:i/>
          <w:sz w:val="20"/>
          <w:szCs w:val="20"/>
        </w:rPr>
      </w:pPr>
      <w:r w:rsidRPr="007E4DF8">
        <w:rPr>
          <w:rFonts w:ascii="proiecte  investiționale" w:hAnsi="proiecte  investiționale" w:cs="Times New Roman"/>
          <w:b/>
        </w:rPr>
        <w:t xml:space="preserve"> </w:t>
      </w:r>
      <w:r w:rsidRPr="008565E9">
        <w:rPr>
          <w:rFonts w:ascii="Times New Roman" w:hAnsi="Times New Roman" w:cs="Times New Roman"/>
          <w:b/>
          <w:i/>
          <w:sz w:val="20"/>
          <w:szCs w:val="20"/>
        </w:rPr>
        <w:t>Surs</w:t>
      </w:r>
      <w:r w:rsidR="00CB4EB3">
        <w:rPr>
          <w:rFonts w:ascii="Times New Roman" w:hAnsi="Times New Roman" w:cs="Times New Roman"/>
          <w:b/>
          <w:i/>
          <w:sz w:val="20"/>
          <w:szCs w:val="20"/>
        </w:rPr>
        <w:t>ă</w:t>
      </w:r>
      <w:r w:rsidRPr="008565E9">
        <w:rPr>
          <w:rFonts w:ascii="Times New Roman" w:hAnsi="Times New Roman" w:cs="Times New Roman"/>
          <w:b/>
          <w:i/>
          <w:sz w:val="20"/>
          <w:szCs w:val="20"/>
        </w:rPr>
        <w:t xml:space="preserve">: </w:t>
      </w:r>
      <w:r w:rsidRPr="008B013D">
        <w:rPr>
          <w:rFonts w:ascii="Times New Roman" w:hAnsi="Times New Roman" w:cs="Times New Roman"/>
          <w:i/>
          <w:color w:val="000000"/>
          <w:spacing w:val="-1"/>
          <w:sz w:val="20"/>
          <w:szCs w:val="20"/>
        </w:rPr>
        <w:t>Informații generalizate de echipa de audit potrivit datelor prezentate de</w:t>
      </w:r>
      <w:r w:rsidRPr="008565E9">
        <w:rPr>
          <w:rFonts w:ascii="Times New Roman" w:hAnsi="Times New Roman" w:cs="Times New Roman"/>
          <w:color w:val="000000"/>
          <w:spacing w:val="-1"/>
          <w:sz w:val="20"/>
          <w:szCs w:val="20"/>
        </w:rPr>
        <w:t xml:space="preserve"> </w:t>
      </w:r>
      <w:r w:rsidRPr="008565E9">
        <w:rPr>
          <w:rFonts w:ascii="Times New Roman" w:hAnsi="Times New Roman" w:cs="Times New Roman"/>
          <w:i/>
          <w:sz w:val="20"/>
          <w:szCs w:val="20"/>
        </w:rPr>
        <w:t>SFS și SV pentru anii 2015-2017.</w:t>
      </w:r>
    </w:p>
    <w:p w:rsidR="003E62EC" w:rsidRPr="000C153D" w:rsidRDefault="003E62EC" w:rsidP="003E62EC">
      <w:pPr>
        <w:spacing w:after="0" w:line="276" w:lineRule="auto"/>
        <w:ind w:firstLine="692"/>
        <w:jc w:val="both"/>
        <w:rPr>
          <w:rFonts w:ascii="Times New Roman" w:hAnsi="Times New Roman" w:cs="Times New Roman"/>
          <w:b/>
          <w:i/>
          <w:color w:val="000000"/>
          <w:spacing w:val="-1"/>
          <w:sz w:val="28"/>
          <w:szCs w:val="28"/>
        </w:rPr>
      </w:pPr>
      <w:r>
        <w:rPr>
          <w:rFonts w:ascii="Times New Roman" w:eastAsiaTheme="minorEastAsia" w:hAnsi="Times New Roman" w:cs="Times New Roman"/>
          <w:bCs/>
          <w:iCs/>
          <w:sz w:val="28"/>
          <w:szCs w:val="28"/>
          <w:lang w:eastAsia="ru-RU"/>
        </w:rPr>
        <w:t xml:space="preserve">Analiza datelor </w:t>
      </w:r>
      <w:r w:rsidR="003B4CAE">
        <w:rPr>
          <w:rFonts w:ascii="Times New Roman" w:eastAsiaTheme="minorEastAsia" w:hAnsi="Times New Roman" w:cs="Times New Roman"/>
          <w:bCs/>
          <w:iCs/>
          <w:sz w:val="28"/>
          <w:szCs w:val="28"/>
          <w:lang w:eastAsia="ru-RU"/>
        </w:rPr>
        <w:t xml:space="preserve">din diagramă </w:t>
      </w:r>
      <w:r>
        <w:rPr>
          <w:rFonts w:ascii="Times New Roman" w:eastAsiaTheme="minorEastAsia" w:hAnsi="Times New Roman" w:cs="Times New Roman"/>
          <w:bCs/>
          <w:iCs/>
          <w:sz w:val="28"/>
          <w:szCs w:val="28"/>
          <w:lang w:eastAsia="ru-RU"/>
        </w:rPr>
        <w:t xml:space="preserve">denotă că, la situația din 31.12.2017, </w:t>
      </w:r>
      <w:r>
        <w:rPr>
          <w:rFonts w:ascii="Times New Roman" w:hAnsi="Times New Roman" w:cs="Times New Roman"/>
          <w:sz w:val="28"/>
          <w:szCs w:val="28"/>
        </w:rPr>
        <w:t>r</w:t>
      </w:r>
      <w:r w:rsidRPr="007E4DF8">
        <w:rPr>
          <w:rFonts w:ascii="Times New Roman" w:hAnsi="Times New Roman" w:cs="Times New Roman"/>
          <w:sz w:val="28"/>
          <w:szCs w:val="28"/>
        </w:rPr>
        <w:t xml:space="preserve">estanțele </w:t>
      </w:r>
      <w:r>
        <w:rPr>
          <w:rFonts w:ascii="Times New Roman" w:hAnsi="Times New Roman" w:cs="Times New Roman"/>
          <w:sz w:val="28"/>
          <w:szCs w:val="28"/>
        </w:rPr>
        <w:t>la</w:t>
      </w:r>
      <w:r w:rsidRPr="007E4DF8">
        <w:rPr>
          <w:rFonts w:ascii="Times New Roman" w:hAnsi="Times New Roman" w:cs="Times New Roman"/>
          <w:sz w:val="28"/>
          <w:szCs w:val="28"/>
        </w:rPr>
        <w:t xml:space="preserve"> plat</w:t>
      </w:r>
      <w:r>
        <w:rPr>
          <w:rFonts w:ascii="Times New Roman" w:hAnsi="Times New Roman" w:cs="Times New Roman"/>
          <w:sz w:val="28"/>
          <w:szCs w:val="28"/>
        </w:rPr>
        <w:t>a obligați</w:t>
      </w:r>
      <w:r w:rsidRPr="007E4DF8">
        <w:rPr>
          <w:rFonts w:ascii="Times New Roman" w:hAnsi="Times New Roman" w:cs="Times New Roman"/>
          <w:sz w:val="28"/>
          <w:szCs w:val="28"/>
        </w:rPr>
        <w:t>ilor contribuabililor față</w:t>
      </w:r>
      <w:r>
        <w:rPr>
          <w:rFonts w:ascii="Times New Roman" w:hAnsi="Times New Roman" w:cs="Times New Roman"/>
          <w:sz w:val="28"/>
          <w:szCs w:val="28"/>
        </w:rPr>
        <w:t xml:space="preserve"> de BS au constituit 1852,7 mil.lei, dintre care</w:t>
      </w:r>
      <w:r w:rsidR="00CB4EB3">
        <w:rPr>
          <w:rFonts w:ascii="Times New Roman" w:hAnsi="Times New Roman" w:cs="Times New Roman"/>
          <w:sz w:val="28"/>
          <w:szCs w:val="28"/>
        </w:rPr>
        <w:t>:</w:t>
      </w:r>
      <w:r>
        <w:rPr>
          <w:rFonts w:ascii="Times New Roman" w:hAnsi="Times New Roman" w:cs="Times New Roman"/>
          <w:sz w:val="28"/>
          <w:szCs w:val="28"/>
        </w:rPr>
        <w:t xml:space="preserve"> 955,7 mil.lei </w:t>
      </w:r>
      <w:r w:rsidR="00CB4EB3">
        <w:rPr>
          <w:rFonts w:ascii="Times New Roman" w:hAnsi="Times New Roman" w:cs="Times New Roman"/>
          <w:sz w:val="28"/>
          <w:szCs w:val="28"/>
        </w:rPr>
        <w:t xml:space="preserve">– </w:t>
      </w:r>
      <w:r>
        <w:rPr>
          <w:rFonts w:ascii="Times New Roman" w:hAnsi="Times New Roman" w:cs="Times New Roman"/>
          <w:sz w:val="28"/>
          <w:szCs w:val="28"/>
        </w:rPr>
        <w:t>la plăți</w:t>
      </w:r>
      <w:r w:rsidR="00CB4EB3">
        <w:rPr>
          <w:rFonts w:ascii="Times New Roman" w:hAnsi="Times New Roman" w:cs="Times New Roman"/>
          <w:sz w:val="28"/>
          <w:szCs w:val="28"/>
        </w:rPr>
        <w:t>le</w:t>
      </w:r>
      <w:r>
        <w:rPr>
          <w:rFonts w:ascii="Times New Roman" w:hAnsi="Times New Roman" w:cs="Times New Roman"/>
          <w:sz w:val="28"/>
          <w:szCs w:val="28"/>
        </w:rPr>
        <w:t xml:space="preserve"> de bază</w:t>
      </w:r>
      <w:r w:rsidR="00CB4EB3">
        <w:rPr>
          <w:rFonts w:ascii="Times New Roman" w:hAnsi="Times New Roman" w:cs="Times New Roman"/>
          <w:sz w:val="28"/>
          <w:szCs w:val="28"/>
        </w:rPr>
        <w:t>;</w:t>
      </w:r>
      <w:r>
        <w:rPr>
          <w:rFonts w:ascii="Times New Roman" w:hAnsi="Times New Roman" w:cs="Times New Roman"/>
          <w:sz w:val="28"/>
          <w:szCs w:val="28"/>
        </w:rPr>
        <w:t xml:space="preserve"> 448,0 mil.lei </w:t>
      </w:r>
      <w:r w:rsidR="00CB4EB3">
        <w:rPr>
          <w:rFonts w:ascii="Times New Roman" w:hAnsi="Times New Roman" w:cs="Times New Roman"/>
          <w:sz w:val="28"/>
          <w:szCs w:val="28"/>
        </w:rPr>
        <w:t xml:space="preserve">– </w:t>
      </w:r>
      <w:r>
        <w:rPr>
          <w:rFonts w:ascii="Times New Roman" w:hAnsi="Times New Roman" w:cs="Times New Roman"/>
          <w:sz w:val="28"/>
          <w:szCs w:val="28"/>
        </w:rPr>
        <w:t>la amenzi</w:t>
      </w:r>
      <w:r w:rsidR="00CB4EB3">
        <w:rPr>
          <w:rFonts w:ascii="Times New Roman" w:hAnsi="Times New Roman" w:cs="Times New Roman"/>
          <w:sz w:val="28"/>
          <w:szCs w:val="28"/>
        </w:rPr>
        <w:t>;</w:t>
      </w:r>
      <w:r>
        <w:rPr>
          <w:rFonts w:ascii="Times New Roman" w:hAnsi="Times New Roman" w:cs="Times New Roman"/>
          <w:sz w:val="28"/>
          <w:szCs w:val="28"/>
        </w:rPr>
        <w:t xml:space="preserve"> și 449,0 mil.lei </w:t>
      </w:r>
      <w:r w:rsidR="00CB4EB3">
        <w:rPr>
          <w:rFonts w:ascii="Times New Roman" w:hAnsi="Times New Roman" w:cs="Times New Roman"/>
          <w:sz w:val="28"/>
          <w:szCs w:val="28"/>
        </w:rPr>
        <w:t xml:space="preserve">– </w:t>
      </w:r>
      <w:r>
        <w:rPr>
          <w:rFonts w:ascii="Times New Roman" w:hAnsi="Times New Roman" w:cs="Times New Roman"/>
          <w:sz w:val="28"/>
          <w:szCs w:val="28"/>
        </w:rPr>
        <w:t>la majorări</w:t>
      </w:r>
      <w:r w:rsidR="00CB4EB3">
        <w:rPr>
          <w:rFonts w:ascii="Times New Roman" w:hAnsi="Times New Roman" w:cs="Times New Roman"/>
          <w:sz w:val="28"/>
          <w:szCs w:val="28"/>
        </w:rPr>
        <w:t>le</w:t>
      </w:r>
      <w:r>
        <w:rPr>
          <w:rFonts w:ascii="Times New Roman" w:hAnsi="Times New Roman" w:cs="Times New Roman"/>
          <w:sz w:val="28"/>
          <w:szCs w:val="28"/>
        </w:rPr>
        <w:t xml:space="preserve"> de întârziere. Comparativ cu situația din 31.12.2016, restanțele față de BS s-au majorat cu 412,6 mil.lei</w:t>
      </w:r>
      <w:r w:rsidR="00CB4EB3">
        <w:rPr>
          <w:rFonts w:ascii="Times New Roman" w:hAnsi="Times New Roman" w:cs="Times New Roman"/>
          <w:sz w:val="28"/>
          <w:szCs w:val="28"/>
        </w:rPr>
        <w:t>,</w:t>
      </w:r>
      <w:r>
        <w:rPr>
          <w:rFonts w:ascii="Times New Roman" w:hAnsi="Times New Roman" w:cs="Times New Roman"/>
          <w:sz w:val="28"/>
          <w:szCs w:val="28"/>
        </w:rPr>
        <w:t xml:space="preserve"> sau cu 28,6% și, respectiv, cu 289,8 mil.lei, sau cu 19,0% față de finele anului 2015. </w:t>
      </w:r>
      <w:r w:rsidRPr="00E42170">
        <w:rPr>
          <w:rFonts w:ascii="Times New Roman" w:eastAsiaTheme="minorEastAsia" w:hAnsi="Times New Roman" w:cs="Times New Roman"/>
          <w:bCs/>
          <w:i/>
          <w:iCs/>
          <w:sz w:val="28"/>
          <w:szCs w:val="28"/>
          <w:lang w:eastAsia="ru-RU"/>
        </w:rPr>
        <w:t>Analiza structurală a restanțelor conform clasificației veniturilor este redată în</w:t>
      </w:r>
      <w:r w:rsidRPr="00E745BD">
        <w:rPr>
          <w:rFonts w:ascii="Times New Roman" w:eastAsiaTheme="minorEastAsia" w:hAnsi="Times New Roman" w:cs="Times New Roman"/>
          <w:bCs/>
          <w:iCs/>
          <w:sz w:val="28"/>
          <w:szCs w:val="28"/>
          <w:lang w:eastAsia="ru-RU"/>
        </w:rPr>
        <w:t xml:space="preserve"> </w:t>
      </w:r>
      <w:r w:rsidRPr="00C26BCB">
        <w:rPr>
          <w:rFonts w:ascii="Times New Roman" w:eastAsiaTheme="minorEastAsia" w:hAnsi="Times New Roman" w:cs="Times New Roman"/>
          <w:bCs/>
          <w:i/>
          <w:iCs/>
          <w:sz w:val="28"/>
          <w:szCs w:val="28"/>
          <w:lang w:eastAsia="ru-RU"/>
        </w:rPr>
        <w:t>Tabelul nr.</w:t>
      </w:r>
      <w:r w:rsidR="003B4CAE">
        <w:rPr>
          <w:rFonts w:ascii="Times New Roman" w:eastAsiaTheme="minorEastAsia" w:hAnsi="Times New Roman" w:cs="Times New Roman"/>
          <w:bCs/>
          <w:i/>
          <w:iCs/>
          <w:sz w:val="28"/>
          <w:szCs w:val="28"/>
          <w:lang w:eastAsia="ru-RU"/>
        </w:rPr>
        <w:t>9</w:t>
      </w:r>
      <w:r w:rsidRPr="00C26BCB">
        <w:rPr>
          <w:rFonts w:ascii="Times New Roman" w:eastAsiaTheme="minorEastAsia" w:hAnsi="Times New Roman" w:cs="Times New Roman"/>
          <w:bCs/>
          <w:iCs/>
          <w:sz w:val="28"/>
          <w:szCs w:val="28"/>
          <w:lang w:eastAsia="ru-RU"/>
        </w:rPr>
        <w:t>.</w:t>
      </w:r>
    </w:p>
    <w:p w:rsidR="003E62EC" w:rsidRPr="00C26BCB" w:rsidRDefault="003E62EC" w:rsidP="003E62EC">
      <w:pPr>
        <w:spacing w:after="120" w:line="276" w:lineRule="auto"/>
        <w:ind w:firstLine="692"/>
        <w:jc w:val="right"/>
        <w:rPr>
          <w:rFonts w:ascii="Times New Roman" w:hAnsi="Times New Roman" w:cs="Times New Roman"/>
          <w:i/>
          <w:sz w:val="28"/>
          <w:szCs w:val="28"/>
          <w:highlight w:val="yellow"/>
        </w:rPr>
      </w:pPr>
      <w:r w:rsidRPr="00C26BCB">
        <w:rPr>
          <w:rFonts w:ascii="Times New Roman" w:hAnsi="Times New Roman" w:cs="Times New Roman"/>
          <w:i/>
          <w:color w:val="000000"/>
          <w:spacing w:val="-1"/>
          <w:sz w:val="28"/>
          <w:szCs w:val="28"/>
        </w:rPr>
        <w:t>Tabelul nr.</w:t>
      </w:r>
      <w:r w:rsidR="003B4CAE">
        <w:rPr>
          <w:rFonts w:ascii="Times New Roman" w:hAnsi="Times New Roman" w:cs="Times New Roman"/>
          <w:i/>
          <w:color w:val="000000"/>
          <w:spacing w:val="-1"/>
          <w:sz w:val="28"/>
          <w:szCs w:val="28"/>
        </w:rPr>
        <w:t>9</w:t>
      </w:r>
      <w:r w:rsidRPr="00C26BCB">
        <w:rPr>
          <w:rFonts w:ascii="Times New Roman" w:hAnsi="Times New Roman" w:cs="Times New Roman"/>
          <w:i/>
          <w:color w:val="000000"/>
          <w:spacing w:val="-1"/>
          <w:sz w:val="28"/>
          <w:szCs w:val="28"/>
        </w:rPr>
        <w:t xml:space="preserve"> </w:t>
      </w:r>
    </w:p>
    <w:p w:rsidR="003E62EC" w:rsidRPr="003F56DB" w:rsidRDefault="003E62EC" w:rsidP="003E62EC">
      <w:pPr>
        <w:spacing w:after="0" w:line="276" w:lineRule="auto"/>
        <w:jc w:val="center"/>
        <w:rPr>
          <w:rFonts w:ascii="Times New Roman" w:hAnsi="Times New Roman" w:cs="Times New Roman"/>
          <w:b/>
          <w:color w:val="000000"/>
          <w:spacing w:val="1"/>
          <w:sz w:val="24"/>
          <w:szCs w:val="24"/>
        </w:rPr>
      </w:pPr>
      <w:r w:rsidRPr="003F56DB">
        <w:rPr>
          <w:rFonts w:ascii="Times New Roman" w:hAnsi="Times New Roman" w:cs="Times New Roman"/>
          <w:b/>
          <w:color w:val="000000"/>
          <w:spacing w:val="1"/>
          <w:sz w:val="24"/>
          <w:szCs w:val="24"/>
        </w:rPr>
        <w:t>Structura restanțelor la BS</w:t>
      </w:r>
      <w:r>
        <w:rPr>
          <w:rFonts w:ascii="Times New Roman" w:hAnsi="Times New Roman" w:cs="Times New Roman"/>
          <w:b/>
          <w:color w:val="000000"/>
          <w:spacing w:val="1"/>
          <w:sz w:val="24"/>
          <w:szCs w:val="24"/>
        </w:rPr>
        <w:t>, inclusiv</w:t>
      </w:r>
      <w:r w:rsidRPr="003F56DB">
        <w:rPr>
          <w:rFonts w:ascii="Times New Roman" w:hAnsi="Times New Roman" w:cs="Times New Roman"/>
          <w:b/>
          <w:color w:val="000000"/>
          <w:spacing w:val="1"/>
          <w:sz w:val="24"/>
          <w:szCs w:val="24"/>
        </w:rPr>
        <w:t xml:space="preserve"> </w:t>
      </w:r>
      <w:r>
        <w:rPr>
          <w:rFonts w:ascii="Times New Roman" w:hAnsi="Times New Roman" w:cs="Times New Roman"/>
          <w:b/>
          <w:color w:val="000000"/>
          <w:spacing w:val="1"/>
          <w:sz w:val="24"/>
          <w:szCs w:val="24"/>
        </w:rPr>
        <w:t>în aspectul</w:t>
      </w:r>
      <w:r w:rsidRPr="003F56DB">
        <w:rPr>
          <w:rFonts w:ascii="Times New Roman" w:hAnsi="Times New Roman" w:cs="Times New Roman"/>
          <w:b/>
          <w:color w:val="000000"/>
          <w:spacing w:val="1"/>
          <w:sz w:val="24"/>
          <w:szCs w:val="24"/>
        </w:rPr>
        <w:t xml:space="preserve"> clasificației veniturilor și pe administratori la situația din 31.12.2017</w:t>
      </w:r>
      <w:r>
        <w:rPr>
          <w:rFonts w:ascii="Times New Roman" w:hAnsi="Times New Roman" w:cs="Times New Roman"/>
          <w:b/>
          <w:color w:val="000000"/>
          <w:spacing w:val="1"/>
          <w:sz w:val="24"/>
          <w:szCs w:val="24"/>
        </w:rPr>
        <w:t>,</w:t>
      </w:r>
      <w:r w:rsidRPr="003F56DB">
        <w:rPr>
          <w:rFonts w:ascii="Times New Roman" w:hAnsi="Times New Roman" w:cs="Times New Roman"/>
          <w:b/>
          <w:color w:val="000000"/>
          <w:spacing w:val="1"/>
          <w:sz w:val="24"/>
          <w:szCs w:val="24"/>
        </w:rPr>
        <w:t xml:space="preserve"> comparativ cu situația din 31.12.2016</w:t>
      </w:r>
    </w:p>
    <w:p w:rsidR="003E62EC" w:rsidRPr="00832745" w:rsidRDefault="003E62EC" w:rsidP="003E62EC">
      <w:pPr>
        <w:spacing w:after="0" w:line="276" w:lineRule="auto"/>
        <w:ind w:firstLine="709"/>
        <w:jc w:val="right"/>
        <w:rPr>
          <w:rFonts w:ascii="Times New Roman" w:hAnsi="Times New Roman" w:cs="Times New Roman"/>
          <w:i/>
          <w:color w:val="000000"/>
          <w:spacing w:val="-1"/>
        </w:rPr>
      </w:pPr>
      <w:r w:rsidRPr="00832745">
        <w:rPr>
          <w:rFonts w:ascii="Times New Roman" w:hAnsi="Times New Roman" w:cs="Times New Roman"/>
          <w:i/>
          <w:color w:val="000000"/>
          <w:spacing w:val="-1"/>
        </w:rPr>
        <w:t>(mil.lei)</w:t>
      </w:r>
    </w:p>
    <w:tbl>
      <w:tblPr>
        <w:tblW w:w="96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1526"/>
        <w:gridCol w:w="1296"/>
        <w:gridCol w:w="842"/>
        <w:gridCol w:w="794"/>
        <w:gridCol w:w="1296"/>
        <w:gridCol w:w="756"/>
        <w:gridCol w:w="756"/>
        <w:gridCol w:w="759"/>
        <w:gridCol w:w="1082"/>
      </w:tblGrid>
      <w:tr w:rsidR="003E62EC" w:rsidRPr="00832745" w:rsidTr="003E62EC">
        <w:trPr>
          <w:trHeight w:val="315"/>
        </w:trPr>
        <w:tc>
          <w:tcPr>
            <w:tcW w:w="576" w:type="dxa"/>
            <w:vMerge w:val="restart"/>
            <w:shd w:val="clear" w:color="auto" w:fill="auto"/>
            <w:vAlign w:val="center"/>
            <w:hideMark/>
          </w:tcPr>
          <w:p w:rsidR="003E62EC" w:rsidRPr="00832745" w:rsidRDefault="003E62EC" w:rsidP="003E62EC">
            <w:pPr>
              <w:spacing w:after="0"/>
              <w:jc w:val="center"/>
              <w:rPr>
                <w:rFonts w:ascii="Times New Roman" w:hAnsi="Times New Roman" w:cs="Times New Roman"/>
                <w:b/>
                <w:bCs/>
                <w:color w:val="000000"/>
                <w:sz w:val="24"/>
                <w:szCs w:val="24"/>
              </w:rPr>
            </w:pPr>
            <w:r w:rsidRPr="00832745">
              <w:rPr>
                <w:rFonts w:ascii="Times New Roman" w:hAnsi="Times New Roman" w:cs="Times New Roman"/>
                <w:b/>
                <w:bCs/>
                <w:color w:val="000000"/>
                <w:sz w:val="24"/>
                <w:szCs w:val="24"/>
              </w:rPr>
              <w:t>Nr.</w:t>
            </w:r>
          </w:p>
          <w:p w:rsidR="003E62EC" w:rsidRPr="00832745" w:rsidRDefault="003E62EC" w:rsidP="003E62EC">
            <w:pPr>
              <w:spacing w:after="0"/>
              <w:jc w:val="center"/>
              <w:rPr>
                <w:rFonts w:ascii="Times New Roman" w:hAnsi="Times New Roman" w:cs="Times New Roman"/>
                <w:b/>
                <w:bCs/>
                <w:color w:val="000000"/>
                <w:sz w:val="24"/>
                <w:szCs w:val="24"/>
              </w:rPr>
            </w:pPr>
            <w:r w:rsidRPr="00832745">
              <w:rPr>
                <w:rFonts w:ascii="Times New Roman" w:hAnsi="Times New Roman" w:cs="Times New Roman"/>
                <w:b/>
                <w:bCs/>
                <w:color w:val="000000"/>
                <w:sz w:val="24"/>
                <w:szCs w:val="24"/>
              </w:rPr>
              <w:t>d/o</w:t>
            </w:r>
          </w:p>
        </w:tc>
        <w:tc>
          <w:tcPr>
            <w:tcW w:w="1528" w:type="dxa"/>
            <w:vMerge w:val="restart"/>
            <w:shd w:val="clear" w:color="auto" w:fill="auto"/>
            <w:vAlign w:val="center"/>
            <w:hideMark/>
          </w:tcPr>
          <w:p w:rsidR="003E62EC" w:rsidRPr="00832745" w:rsidRDefault="003E62EC" w:rsidP="003E62EC">
            <w:pPr>
              <w:spacing w:after="0"/>
              <w:jc w:val="center"/>
              <w:rPr>
                <w:rFonts w:ascii="Times New Roman" w:hAnsi="Times New Roman" w:cs="Times New Roman"/>
                <w:b/>
                <w:bCs/>
                <w:color w:val="000000"/>
                <w:sz w:val="24"/>
                <w:szCs w:val="24"/>
              </w:rPr>
            </w:pPr>
            <w:r w:rsidRPr="00832745">
              <w:rPr>
                <w:rFonts w:ascii="Times New Roman" w:hAnsi="Times New Roman" w:cs="Times New Roman"/>
                <w:b/>
                <w:bCs/>
                <w:color w:val="000000"/>
                <w:sz w:val="24"/>
                <w:szCs w:val="24"/>
              </w:rPr>
              <w:t>Indicatori</w:t>
            </w:r>
          </w:p>
        </w:tc>
        <w:tc>
          <w:tcPr>
            <w:tcW w:w="1296" w:type="dxa"/>
            <w:vMerge w:val="restart"/>
            <w:vAlign w:val="center"/>
          </w:tcPr>
          <w:p w:rsidR="003E62EC" w:rsidRPr="00832745" w:rsidRDefault="003E62EC" w:rsidP="003E62EC">
            <w:pPr>
              <w:spacing w:after="0"/>
              <w:jc w:val="center"/>
              <w:rPr>
                <w:rFonts w:ascii="Times New Roman" w:hAnsi="Times New Roman" w:cs="Times New Roman"/>
                <w:b/>
                <w:bCs/>
                <w:color w:val="000000"/>
                <w:sz w:val="24"/>
                <w:szCs w:val="24"/>
              </w:rPr>
            </w:pPr>
            <w:r w:rsidRPr="00832745">
              <w:rPr>
                <w:rFonts w:ascii="Times New Roman" w:hAnsi="Times New Roman" w:cs="Times New Roman"/>
                <w:b/>
                <w:bCs/>
                <w:color w:val="000000"/>
                <w:sz w:val="24"/>
                <w:szCs w:val="24"/>
              </w:rPr>
              <w:t>Total la 31.12.201</w:t>
            </w:r>
            <w:r>
              <w:rPr>
                <w:rFonts w:ascii="Times New Roman" w:hAnsi="Times New Roman" w:cs="Times New Roman"/>
                <w:b/>
                <w:bCs/>
                <w:color w:val="000000"/>
                <w:sz w:val="24"/>
                <w:szCs w:val="24"/>
              </w:rPr>
              <w:t>6</w:t>
            </w:r>
          </w:p>
        </w:tc>
        <w:tc>
          <w:tcPr>
            <w:tcW w:w="1632" w:type="dxa"/>
            <w:gridSpan w:val="2"/>
            <w:vAlign w:val="center"/>
          </w:tcPr>
          <w:p w:rsidR="003E62EC" w:rsidRPr="00832745" w:rsidRDefault="003E62EC" w:rsidP="003E62EC">
            <w:pPr>
              <w:spacing w:after="0"/>
              <w:jc w:val="center"/>
              <w:rPr>
                <w:rFonts w:ascii="Times New Roman" w:hAnsi="Times New Roman" w:cs="Times New Roman"/>
                <w:b/>
                <w:bCs/>
                <w:color w:val="000000"/>
                <w:sz w:val="24"/>
                <w:szCs w:val="24"/>
              </w:rPr>
            </w:pPr>
            <w:r w:rsidRPr="00832745">
              <w:rPr>
                <w:rFonts w:ascii="Times New Roman" w:hAnsi="Times New Roman" w:cs="Times New Roman"/>
                <w:b/>
                <w:bCs/>
                <w:color w:val="000000"/>
                <w:sz w:val="24"/>
                <w:szCs w:val="24"/>
              </w:rPr>
              <w:t>inclusiv</w:t>
            </w:r>
          </w:p>
        </w:tc>
        <w:tc>
          <w:tcPr>
            <w:tcW w:w="1296" w:type="dxa"/>
            <w:vMerge w:val="restart"/>
            <w:shd w:val="clear" w:color="auto" w:fill="auto"/>
            <w:vAlign w:val="center"/>
            <w:hideMark/>
          </w:tcPr>
          <w:p w:rsidR="003E62EC" w:rsidRPr="00832745" w:rsidRDefault="003E62EC" w:rsidP="003E62EC">
            <w:pPr>
              <w:spacing w:after="0"/>
              <w:jc w:val="center"/>
              <w:rPr>
                <w:rFonts w:ascii="Times New Roman" w:hAnsi="Times New Roman" w:cs="Times New Roman"/>
                <w:b/>
                <w:bCs/>
                <w:color w:val="000000"/>
                <w:sz w:val="24"/>
                <w:szCs w:val="24"/>
              </w:rPr>
            </w:pPr>
            <w:r w:rsidRPr="00832745">
              <w:rPr>
                <w:rFonts w:ascii="Times New Roman" w:hAnsi="Times New Roman" w:cs="Times New Roman"/>
                <w:b/>
                <w:bCs/>
                <w:color w:val="000000"/>
                <w:sz w:val="24"/>
                <w:szCs w:val="24"/>
              </w:rPr>
              <w:t>Total la 31.12.201</w:t>
            </w:r>
            <w:r>
              <w:rPr>
                <w:rFonts w:ascii="Times New Roman" w:hAnsi="Times New Roman" w:cs="Times New Roman"/>
                <w:b/>
                <w:bCs/>
                <w:color w:val="000000"/>
                <w:sz w:val="24"/>
                <w:szCs w:val="24"/>
              </w:rPr>
              <w:t>7</w:t>
            </w:r>
          </w:p>
        </w:tc>
        <w:tc>
          <w:tcPr>
            <w:tcW w:w="1512" w:type="dxa"/>
            <w:gridSpan w:val="2"/>
            <w:shd w:val="clear" w:color="auto" w:fill="auto"/>
            <w:vAlign w:val="center"/>
            <w:hideMark/>
          </w:tcPr>
          <w:p w:rsidR="003E62EC" w:rsidRPr="00832745" w:rsidRDefault="003E62EC" w:rsidP="003E62EC">
            <w:pPr>
              <w:spacing w:after="0"/>
              <w:jc w:val="center"/>
              <w:rPr>
                <w:rFonts w:ascii="Times New Roman" w:hAnsi="Times New Roman" w:cs="Times New Roman"/>
                <w:b/>
                <w:bCs/>
                <w:color w:val="000000"/>
                <w:sz w:val="24"/>
                <w:szCs w:val="24"/>
              </w:rPr>
            </w:pPr>
            <w:r w:rsidRPr="00832745">
              <w:rPr>
                <w:rFonts w:ascii="Times New Roman" w:hAnsi="Times New Roman" w:cs="Times New Roman"/>
                <w:b/>
                <w:bCs/>
                <w:color w:val="000000"/>
                <w:sz w:val="24"/>
                <w:szCs w:val="24"/>
              </w:rPr>
              <w:t>inclusiv</w:t>
            </w:r>
          </w:p>
        </w:tc>
        <w:tc>
          <w:tcPr>
            <w:tcW w:w="1843" w:type="dxa"/>
            <w:gridSpan w:val="2"/>
            <w:shd w:val="clear" w:color="auto" w:fill="auto"/>
            <w:vAlign w:val="center"/>
            <w:hideMark/>
          </w:tcPr>
          <w:p w:rsidR="003E62EC" w:rsidRPr="00832745" w:rsidRDefault="003E62EC" w:rsidP="003E62EC">
            <w:pPr>
              <w:spacing w:after="0"/>
              <w:ind w:left="-155" w:right="-98"/>
              <w:jc w:val="center"/>
              <w:rPr>
                <w:rFonts w:ascii="Times New Roman" w:hAnsi="Times New Roman" w:cs="Times New Roman"/>
                <w:b/>
                <w:bCs/>
                <w:color w:val="000000"/>
                <w:sz w:val="24"/>
                <w:szCs w:val="24"/>
              </w:rPr>
            </w:pPr>
            <w:r w:rsidRPr="00832745">
              <w:rPr>
                <w:rFonts w:ascii="Times New Roman" w:hAnsi="Times New Roman" w:cs="Times New Roman"/>
                <w:b/>
                <w:bCs/>
                <w:color w:val="000000"/>
                <w:sz w:val="24"/>
                <w:szCs w:val="24"/>
              </w:rPr>
              <w:t xml:space="preserve">Devieri </w:t>
            </w:r>
            <w:r>
              <w:rPr>
                <w:rFonts w:ascii="Times New Roman" w:hAnsi="Times New Roman" w:cs="Times New Roman"/>
                <w:b/>
                <w:bCs/>
                <w:color w:val="000000"/>
                <w:sz w:val="24"/>
                <w:szCs w:val="24"/>
              </w:rPr>
              <w:t xml:space="preserve">total </w:t>
            </w:r>
            <w:r w:rsidRPr="00832745">
              <w:rPr>
                <w:rFonts w:ascii="Times New Roman" w:hAnsi="Times New Roman" w:cs="Times New Roman"/>
                <w:b/>
                <w:bCs/>
                <w:color w:val="000000"/>
                <w:sz w:val="24"/>
                <w:szCs w:val="24"/>
              </w:rPr>
              <w:t>201</w:t>
            </w:r>
            <w:r>
              <w:rPr>
                <w:rFonts w:ascii="Times New Roman" w:hAnsi="Times New Roman" w:cs="Times New Roman"/>
                <w:b/>
                <w:bCs/>
                <w:color w:val="000000"/>
                <w:sz w:val="24"/>
                <w:szCs w:val="24"/>
              </w:rPr>
              <w:t>7</w:t>
            </w:r>
            <w:r w:rsidRPr="00832745">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total </w:t>
            </w:r>
            <w:r w:rsidRPr="00832745">
              <w:rPr>
                <w:rFonts w:ascii="Times New Roman" w:hAnsi="Times New Roman" w:cs="Times New Roman"/>
                <w:b/>
                <w:bCs/>
                <w:color w:val="000000"/>
                <w:sz w:val="24"/>
                <w:szCs w:val="24"/>
              </w:rPr>
              <w:t>201</w:t>
            </w:r>
            <w:r>
              <w:rPr>
                <w:rFonts w:ascii="Times New Roman" w:hAnsi="Times New Roman" w:cs="Times New Roman"/>
                <w:b/>
                <w:bCs/>
                <w:color w:val="000000"/>
                <w:sz w:val="24"/>
                <w:szCs w:val="24"/>
              </w:rPr>
              <w:t>6</w:t>
            </w:r>
          </w:p>
        </w:tc>
      </w:tr>
      <w:tr w:rsidR="003E62EC" w:rsidRPr="00832745" w:rsidTr="003E62EC">
        <w:trPr>
          <w:trHeight w:val="255"/>
        </w:trPr>
        <w:tc>
          <w:tcPr>
            <w:tcW w:w="576" w:type="dxa"/>
            <w:vMerge/>
            <w:shd w:val="clear" w:color="auto" w:fill="auto"/>
            <w:vAlign w:val="bottom"/>
            <w:hideMark/>
          </w:tcPr>
          <w:p w:rsidR="003E62EC" w:rsidRPr="00832745" w:rsidRDefault="003E62EC" w:rsidP="003E62EC">
            <w:pPr>
              <w:spacing w:after="0"/>
              <w:jc w:val="center"/>
              <w:rPr>
                <w:rFonts w:ascii="Times New Roman" w:hAnsi="Times New Roman" w:cs="Times New Roman"/>
                <w:b/>
                <w:bCs/>
                <w:color w:val="000000"/>
                <w:sz w:val="24"/>
                <w:szCs w:val="24"/>
              </w:rPr>
            </w:pPr>
          </w:p>
        </w:tc>
        <w:tc>
          <w:tcPr>
            <w:tcW w:w="1528" w:type="dxa"/>
            <w:vMerge/>
            <w:vAlign w:val="center"/>
            <w:hideMark/>
          </w:tcPr>
          <w:p w:rsidR="003E62EC" w:rsidRPr="00832745" w:rsidRDefault="003E62EC" w:rsidP="003E62EC">
            <w:pPr>
              <w:spacing w:after="0"/>
              <w:rPr>
                <w:rFonts w:ascii="Times New Roman" w:hAnsi="Times New Roman" w:cs="Times New Roman"/>
                <w:b/>
                <w:bCs/>
                <w:color w:val="000000"/>
                <w:sz w:val="24"/>
                <w:szCs w:val="24"/>
              </w:rPr>
            </w:pPr>
          </w:p>
        </w:tc>
        <w:tc>
          <w:tcPr>
            <w:tcW w:w="1296" w:type="dxa"/>
            <w:vMerge/>
          </w:tcPr>
          <w:p w:rsidR="003E62EC" w:rsidRPr="00832745" w:rsidRDefault="003E62EC" w:rsidP="003E62EC">
            <w:pPr>
              <w:spacing w:after="0"/>
              <w:rPr>
                <w:rFonts w:ascii="Times New Roman" w:hAnsi="Times New Roman" w:cs="Times New Roman"/>
                <w:b/>
                <w:bCs/>
                <w:color w:val="000000"/>
                <w:sz w:val="24"/>
                <w:szCs w:val="24"/>
              </w:rPr>
            </w:pPr>
          </w:p>
        </w:tc>
        <w:tc>
          <w:tcPr>
            <w:tcW w:w="876" w:type="dxa"/>
            <w:vAlign w:val="bottom"/>
          </w:tcPr>
          <w:p w:rsidR="003E62EC" w:rsidRPr="00832745" w:rsidRDefault="003E62EC" w:rsidP="003E62EC">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S</w:t>
            </w:r>
            <w:r w:rsidRPr="00832745">
              <w:rPr>
                <w:rFonts w:ascii="Times New Roman" w:hAnsi="Times New Roman" w:cs="Times New Roman"/>
                <w:color w:val="000000"/>
                <w:sz w:val="24"/>
                <w:szCs w:val="24"/>
              </w:rPr>
              <w:t>FS</w:t>
            </w:r>
          </w:p>
        </w:tc>
        <w:tc>
          <w:tcPr>
            <w:tcW w:w="756" w:type="dxa"/>
            <w:vAlign w:val="bottom"/>
          </w:tcPr>
          <w:p w:rsidR="003E62EC" w:rsidRPr="00832745" w:rsidRDefault="003E62EC" w:rsidP="003E62EC">
            <w:pPr>
              <w:spacing w:after="0"/>
              <w:jc w:val="center"/>
              <w:rPr>
                <w:rFonts w:ascii="Times New Roman" w:hAnsi="Times New Roman" w:cs="Times New Roman"/>
                <w:color w:val="000000"/>
                <w:sz w:val="24"/>
                <w:szCs w:val="24"/>
              </w:rPr>
            </w:pPr>
            <w:r w:rsidRPr="00832745">
              <w:rPr>
                <w:rFonts w:ascii="Times New Roman" w:hAnsi="Times New Roman" w:cs="Times New Roman"/>
                <w:color w:val="000000"/>
                <w:sz w:val="24"/>
                <w:szCs w:val="24"/>
              </w:rPr>
              <w:t xml:space="preserve">SV </w:t>
            </w:r>
          </w:p>
        </w:tc>
        <w:tc>
          <w:tcPr>
            <w:tcW w:w="1296" w:type="dxa"/>
            <w:vMerge/>
            <w:vAlign w:val="center"/>
            <w:hideMark/>
          </w:tcPr>
          <w:p w:rsidR="003E62EC" w:rsidRPr="00832745" w:rsidRDefault="003E62EC" w:rsidP="003E62EC">
            <w:pPr>
              <w:spacing w:after="0"/>
              <w:rPr>
                <w:rFonts w:ascii="Times New Roman" w:hAnsi="Times New Roman" w:cs="Times New Roman"/>
                <w:b/>
                <w:bCs/>
                <w:color w:val="000000"/>
                <w:sz w:val="24"/>
                <w:szCs w:val="24"/>
              </w:rPr>
            </w:pPr>
          </w:p>
        </w:tc>
        <w:tc>
          <w:tcPr>
            <w:tcW w:w="756" w:type="dxa"/>
            <w:shd w:val="clear" w:color="auto" w:fill="auto"/>
            <w:vAlign w:val="bottom"/>
            <w:hideMark/>
          </w:tcPr>
          <w:p w:rsidR="003E62EC" w:rsidRPr="00832745" w:rsidRDefault="003E62EC" w:rsidP="003E62EC">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S</w:t>
            </w:r>
            <w:r w:rsidRPr="00832745">
              <w:rPr>
                <w:rFonts w:ascii="Times New Roman" w:hAnsi="Times New Roman" w:cs="Times New Roman"/>
                <w:color w:val="000000"/>
                <w:sz w:val="24"/>
                <w:szCs w:val="24"/>
              </w:rPr>
              <w:t>FS</w:t>
            </w:r>
          </w:p>
        </w:tc>
        <w:tc>
          <w:tcPr>
            <w:tcW w:w="756" w:type="dxa"/>
            <w:shd w:val="clear" w:color="auto" w:fill="auto"/>
            <w:vAlign w:val="bottom"/>
            <w:hideMark/>
          </w:tcPr>
          <w:p w:rsidR="003E62EC" w:rsidRPr="00832745" w:rsidRDefault="003E62EC" w:rsidP="003E62EC">
            <w:pPr>
              <w:spacing w:after="0"/>
              <w:jc w:val="center"/>
              <w:rPr>
                <w:rFonts w:ascii="Times New Roman" w:hAnsi="Times New Roman" w:cs="Times New Roman"/>
                <w:color w:val="000000"/>
                <w:sz w:val="24"/>
                <w:szCs w:val="24"/>
              </w:rPr>
            </w:pPr>
            <w:r w:rsidRPr="00832745">
              <w:rPr>
                <w:rFonts w:ascii="Times New Roman" w:hAnsi="Times New Roman" w:cs="Times New Roman"/>
                <w:color w:val="000000"/>
                <w:sz w:val="24"/>
                <w:szCs w:val="24"/>
              </w:rPr>
              <w:t xml:space="preserve">SV </w:t>
            </w:r>
          </w:p>
        </w:tc>
        <w:tc>
          <w:tcPr>
            <w:tcW w:w="761" w:type="dxa"/>
            <w:shd w:val="clear" w:color="auto" w:fill="auto"/>
            <w:vAlign w:val="center"/>
            <w:hideMark/>
          </w:tcPr>
          <w:p w:rsidR="003E62EC" w:rsidRPr="00E6327C" w:rsidRDefault="003E62EC" w:rsidP="003E62EC">
            <w:pPr>
              <w:spacing w:after="0"/>
              <w:jc w:val="center"/>
              <w:rPr>
                <w:rFonts w:ascii="Times New Roman" w:hAnsi="Times New Roman" w:cs="Times New Roman"/>
                <w:bCs/>
                <w:color w:val="000000"/>
                <w:sz w:val="24"/>
                <w:szCs w:val="24"/>
              </w:rPr>
            </w:pPr>
            <w:r w:rsidRPr="00E6327C">
              <w:rPr>
                <w:rFonts w:ascii="Times New Roman" w:hAnsi="Times New Roman" w:cs="Times New Roman"/>
                <w:bCs/>
                <w:color w:val="000000"/>
                <w:sz w:val="24"/>
                <w:szCs w:val="24"/>
              </w:rPr>
              <w:t>(+/-)</w:t>
            </w:r>
          </w:p>
        </w:tc>
        <w:tc>
          <w:tcPr>
            <w:tcW w:w="1082" w:type="dxa"/>
          </w:tcPr>
          <w:p w:rsidR="003E62EC" w:rsidRPr="00E6327C" w:rsidRDefault="003E62EC" w:rsidP="003E62EC">
            <w:pPr>
              <w:spacing w:after="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w:t>
            </w:r>
          </w:p>
        </w:tc>
      </w:tr>
      <w:tr w:rsidR="003E62EC" w:rsidRPr="00832745" w:rsidTr="003E62EC">
        <w:trPr>
          <w:trHeight w:val="255"/>
        </w:trPr>
        <w:tc>
          <w:tcPr>
            <w:tcW w:w="576" w:type="dxa"/>
            <w:shd w:val="clear" w:color="auto" w:fill="auto"/>
            <w:vAlign w:val="bottom"/>
          </w:tcPr>
          <w:p w:rsidR="003E62EC" w:rsidRPr="00055285" w:rsidRDefault="003E62EC" w:rsidP="003E62EC">
            <w:pPr>
              <w:spacing w:after="0"/>
              <w:jc w:val="center"/>
              <w:rPr>
                <w:rFonts w:ascii="Times New Roman" w:hAnsi="Times New Roman" w:cs="Times New Roman"/>
                <w:b/>
                <w:bCs/>
                <w:color w:val="000000"/>
                <w:sz w:val="20"/>
                <w:szCs w:val="24"/>
              </w:rPr>
            </w:pPr>
            <w:r w:rsidRPr="00055285">
              <w:rPr>
                <w:rFonts w:ascii="Times New Roman" w:hAnsi="Times New Roman" w:cs="Times New Roman"/>
                <w:b/>
                <w:bCs/>
                <w:color w:val="000000"/>
                <w:sz w:val="20"/>
                <w:szCs w:val="24"/>
              </w:rPr>
              <w:t>1</w:t>
            </w:r>
          </w:p>
        </w:tc>
        <w:tc>
          <w:tcPr>
            <w:tcW w:w="1528" w:type="dxa"/>
            <w:vAlign w:val="center"/>
          </w:tcPr>
          <w:p w:rsidR="003E62EC" w:rsidRPr="00055285" w:rsidRDefault="003E62EC" w:rsidP="003E62EC">
            <w:pPr>
              <w:spacing w:after="0"/>
              <w:jc w:val="center"/>
              <w:rPr>
                <w:rFonts w:ascii="Times New Roman" w:hAnsi="Times New Roman" w:cs="Times New Roman"/>
                <w:b/>
                <w:bCs/>
                <w:color w:val="000000"/>
                <w:sz w:val="20"/>
                <w:szCs w:val="24"/>
              </w:rPr>
            </w:pPr>
            <w:r w:rsidRPr="00055285">
              <w:rPr>
                <w:rFonts w:ascii="Times New Roman" w:hAnsi="Times New Roman" w:cs="Times New Roman"/>
                <w:b/>
                <w:bCs/>
                <w:color w:val="000000"/>
                <w:sz w:val="20"/>
                <w:szCs w:val="24"/>
              </w:rPr>
              <w:t>2</w:t>
            </w:r>
          </w:p>
        </w:tc>
        <w:tc>
          <w:tcPr>
            <w:tcW w:w="1296" w:type="dxa"/>
          </w:tcPr>
          <w:p w:rsidR="003E62EC" w:rsidRPr="00055285" w:rsidRDefault="003E62EC" w:rsidP="003E62EC">
            <w:pPr>
              <w:spacing w:after="0"/>
              <w:jc w:val="center"/>
              <w:rPr>
                <w:rFonts w:ascii="Times New Roman" w:hAnsi="Times New Roman" w:cs="Times New Roman"/>
                <w:b/>
                <w:bCs/>
                <w:color w:val="000000"/>
                <w:sz w:val="20"/>
                <w:szCs w:val="24"/>
              </w:rPr>
            </w:pPr>
            <w:r w:rsidRPr="00055285">
              <w:rPr>
                <w:rFonts w:ascii="Times New Roman" w:hAnsi="Times New Roman" w:cs="Times New Roman"/>
                <w:b/>
                <w:bCs/>
                <w:color w:val="000000"/>
                <w:sz w:val="20"/>
                <w:szCs w:val="24"/>
              </w:rPr>
              <w:t>3</w:t>
            </w:r>
          </w:p>
        </w:tc>
        <w:tc>
          <w:tcPr>
            <w:tcW w:w="876" w:type="dxa"/>
            <w:vAlign w:val="bottom"/>
          </w:tcPr>
          <w:p w:rsidR="003E62EC" w:rsidRPr="00055285" w:rsidRDefault="003E62EC" w:rsidP="003E62EC">
            <w:pPr>
              <w:spacing w:after="0"/>
              <w:jc w:val="center"/>
              <w:rPr>
                <w:rFonts w:ascii="Times New Roman" w:hAnsi="Times New Roman" w:cs="Times New Roman"/>
                <w:b/>
                <w:color w:val="000000"/>
                <w:sz w:val="20"/>
                <w:szCs w:val="24"/>
              </w:rPr>
            </w:pPr>
            <w:r w:rsidRPr="00055285">
              <w:rPr>
                <w:rFonts w:ascii="Times New Roman" w:hAnsi="Times New Roman" w:cs="Times New Roman"/>
                <w:b/>
                <w:color w:val="000000"/>
                <w:sz w:val="20"/>
                <w:szCs w:val="24"/>
              </w:rPr>
              <w:t>4</w:t>
            </w:r>
          </w:p>
        </w:tc>
        <w:tc>
          <w:tcPr>
            <w:tcW w:w="756" w:type="dxa"/>
            <w:vAlign w:val="bottom"/>
          </w:tcPr>
          <w:p w:rsidR="003E62EC" w:rsidRPr="00055285" w:rsidRDefault="003E62EC" w:rsidP="003E62EC">
            <w:pPr>
              <w:spacing w:after="0"/>
              <w:jc w:val="center"/>
              <w:rPr>
                <w:rFonts w:ascii="Times New Roman" w:hAnsi="Times New Roman" w:cs="Times New Roman"/>
                <w:b/>
                <w:color w:val="000000"/>
                <w:sz w:val="20"/>
                <w:szCs w:val="24"/>
              </w:rPr>
            </w:pPr>
            <w:r w:rsidRPr="00055285">
              <w:rPr>
                <w:rFonts w:ascii="Times New Roman" w:hAnsi="Times New Roman" w:cs="Times New Roman"/>
                <w:b/>
                <w:color w:val="000000"/>
                <w:sz w:val="20"/>
                <w:szCs w:val="24"/>
              </w:rPr>
              <w:t>5</w:t>
            </w:r>
          </w:p>
        </w:tc>
        <w:tc>
          <w:tcPr>
            <w:tcW w:w="1296" w:type="dxa"/>
            <w:vAlign w:val="center"/>
          </w:tcPr>
          <w:p w:rsidR="003E62EC" w:rsidRPr="00055285" w:rsidRDefault="003E62EC" w:rsidP="003E62EC">
            <w:pPr>
              <w:spacing w:after="0"/>
              <w:jc w:val="center"/>
              <w:rPr>
                <w:rFonts w:ascii="Times New Roman" w:hAnsi="Times New Roman" w:cs="Times New Roman"/>
                <w:b/>
                <w:bCs/>
                <w:color w:val="000000"/>
                <w:sz w:val="20"/>
                <w:szCs w:val="24"/>
              </w:rPr>
            </w:pPr>
            <w:r w:rsidRPr="00055285">
              <w:rPr>
                <w:rFonts w:ascii="Times New Roman" w:hAnsi="Times New Roman" w:cs="Times New Roman"/>
                <w:b/>
                <w:bCs/>
                <w:color w:val="000000"/>
                <w:sz w:val="20"/>
                <w:szCs w:val="24"/>
              </w:rPr>
              <w:t>6</w:t>
            </w:r>
          </w:p>
        </w:tc>
        <w:tc>
          <w:tcPr>
            <w:tcW w:w="756" w:type="dxa"/>
            <w:shd w:val="clear" w:color="auto" w:fill="auto"/>
            <w:vAlign w:val="bottom"/>
          </w:tcPr>
          <w:p w:rsidR="003E62EC" w:rsidRPr="00055285" w:rsidRDefault="003E62EC" w:rsidP="003E62EC">
            <w:pPr>
              <w:spacing w:after="0"/>
              <w:jc w:val="center"/>
              <w:rPr>
                <w:rFonts w:ascii="Times New Roman" w:hAnsi="Times New Roman" w:cs="Times New Roman"/>
                <w:b/>
                <w:color w:val="000000"/>
                <w:sz w:val="20"/>
                <w:szCs w:val="24"/>
              </w:rPr>
            </w:pPr>
            <w:r w:rsidRPr="00055285">
              <w:rPr>
                <w:rFonts w:ascii="Times New Roman" w:hAnsi="Times New Roman" w:cs="Times New Roman"/>
                <w:b/>
                <w:color w:val="000000"/>
                <w:sz w:val="20"/>
                <w:szCs w:val="24"/>
              </w:rPr>
              <w:t>7</w:t>
            </w:r>
          </w:p>
        </w:tc>
        <w:tc>
          <w:tcPr>
            <w:tcW w:w="756" w:type="dxa"/>
            <w:shd w:val="clear" w:color="auto" w:fill="auto"/>
            <w:vAlign w:val="bottom"/>
          </w:tcPr>
          <w:p w:rsidR="003E62EC" w:rsidRPr="00055285" w:rsidRDefault="003E62EC" w:rsidP="003E62EC">
            <w:pPr>
              <w:spacing w:after="0"/>
              <w:jc w:val="center"/>
              <w:rPr>
                <w:rFonts w:ascii="Times New Roman" w:hAnsi="Times New Roman" w:cs="Times New Roman"/>
                <w:b/>
                <w:color w:val="000000"/>
                <w:sz w:val="20"/>
                <w:szCs w:val="24"/>
              </w:rPr>
            </w:pPr>
            <w:r w:rsidRPr="00055285">
              <w:rPr>
                <w:rFonts w:ascii="Times New Roman" w:hAnsi="Times New Roman" w:cs="Times New Roman"/>
                <w:b/>
                <w:color w:val="000000"/>
                <w:sz w:val="20"/>
                <w:szCs w:val="24"/>
              </w:rPr>
              <w:t>8</w:t>
            </w:r>
          </w:p>
        </w:tc>
        <w:tc>
          <w:tcPr>
            <w:tcW w:w="761" w:type="dxa"/>
            <w:shd w:val="clear" w:color="auto" w:fill="auto"/>
            <w:vAlign w:val="center"/>
          </w:tcPr>
          <w:p w:rsidR="003E62EC" w:rsidRPr="00055285" w:rsidRDefault="003E62EC" w:rsidP="003E62EC">
            <w:pPr>
              <w:spacing w:after="0"/>
              <w:jc w:val="center"/>
              <w:rPr>
                <w:rFonts w:ascii="Times New Roman" w:hAnsi="Times New Roman" w:cs="Times New Roman"/>
                <w:b/>
                <w:bCs/>
                <w:color w:val="000000"/>
                <w:sz w:val="20"/>
                <w:szCs w:val="24"/>
              </w:rPr>
            </w:pPr>
            <w:r w:rsidRPr="00055285">
              <w:rPr>
                <w:rFonts w:ascii="Times New Roman" w:hAnsi="Times New Roman" w:cs="Times New Roman"/>
                <w:b/>
                <w:bCs/>
                <w:color w:val="000000"/>
                <w:sz w:val="20"/>
                <w:szCs w:val="24"/>
              </w:rPr>
              <w:t>9=6-3</w:t>
            </w:r>
          </w:p>
        </w:tc>
        <w:tc>
          <w:tcPr>
            <w:tcW w:w="1082" w:type="dxa"/>
          </w:tcPr>
          <w:p w:rsidR="003E62EC" w:rsidRPr="00055285" w:rsidRDefault="003E62EC" w:rsidP="003E62EC">
            <w:pPr>
              <w:spacing w:after="0"/>
              <w:ind w:left="-104" w:right="-68"/>
              <w:jc w:val="center"/>
              <w:rPr>
                <w:rFonts w:ascii="Times New Roman" w:hAnsi="Times New Roman" w:cs="Times New Roman"/>
                <w:b/>
                <w:bCs/>
                <w:color w:val="000000"/>
                <w:sz w:val="20"/>
                <w:szCs w:val="24"/>
              </w:rPr>
            </w:pPr>
            <w:r w:rsidRPr="00055285">
              <w:rPr>
                <w:rFonts w:ascii="Times New Roman" w:hAnsi="Times New Roman" w:cs="Times New Roman"/>
                <w:b/>
                <w:bCs/>
                <w:color w:val="000000"/>
                <w:sz w:val="20"/>
                <w:szCs w:val="24"/>
              </w:rPr>
              <w:t>10=6/3*100</w:t>
            </w:r>
          </w:p>
        </w:tc>
      </w:tr>
      <w:tr w:rsidR="003E62EC" w:rsidRPr="00832745" w:rsidTr="003E62EC">
        <w:trPr>
          <w:trHeight w:val="227"/>
        </w:trPr>
        <w:tc>
          <w:tcPr>
            <w:tcW w:w="576" w:type="dxa"/>
            <w:shd w:val="clear" w:color="auto" w:fill="auto"/>
            <w:hideMark/>
          </w:tcPr>
          <w:p w:rsidR="003E62EC" w:rsidRPr="00411AF9" w:rsidRDefault="003E62EC" w:rsidP="003E62EC">
            <w:pPr>
              <w:spacing w:after="0"/>
              <w:jc w:val="center"/>
              <w:rPr>
                <w:rFonts w:ascii="Times New Roman" w:hAnsi="Times New Roman" w:cs="Times New Roman"/>
                <w:b/>
                <w:color w:val="000000"/>
                <w:sz w:val="24"/>
                <w:szCs w:val="24"/>
              </w:rPr>
            </w:pPr>
            <w:r w:rsidRPr="00411AF9">
              <w:rPr>
                <w:rFonts w:ascii="Times New Roman" w:hAnsi="Times New Roman" w:cs="Times New Roman"/>
                <w:b/>
                <w:color w:val="000000"/>
                <w:sz w:val="24"/>
                <w:szCs w:val="24"/>
              </w:rPr>
              <w:t>1.</w:t>
            </w:r>
          </w:p>
        </w:tc>
        <w:tc>
          <w:tcPr>
            <w:tcW w:w="1528" w:type="dxa"/>
            <w:shd w:val="clear" w:color="auto" w:fill="auto"/>
            <w:vAlign w:val="center"/>
            <w:hideMark/>
          </w:tcPr>
          <w:p w:rsidR="003E62EC" w:rsidRPr="00832745" w:rsidRDefault="003E62EC" w:rsidP="003E62EC">
            <w:pPr>
              <w:spacing w:after="0"/>
              <w:jc w:val="both"/>
              <w:rPr>
                <w:rFonts w:ascii="Times New Roman" w:hAnsi="Times New Roman" w:cs="Times New Roman"/>
                <w:color w:val="000000"/>
                <w:sz w:val="24"/>
                <w:szCs w:val="24"/>
              </w:rPr>
            </w:pPr>
            <w:r w:rsidRPr="00411AF9">
              <w:rPr>
                <w:rFonts w:ascii="Times New Roman" w:hAnsi="Times New Roman" w:cs="Times New Roman"/>
                <w:b/>
                <w:i/>
                <w:color w:val="000000"/>
                <w:sz w:val="24"/>
                <w:szCs w:val="24"/>
              </w:rPr>
              <w:t>Plăți de bază</w:t>
            </w:r>
            <w:r w:rsidRPr="00832745">
              <w:rPr>
                <w:rFonts w:ascii="Times New Roman" w:hAnsi="Times New Roman" w:cs="Times New Roman"/>
                <w:color w:val="000000"/>
                <w:sz w:val="24"/>
                <w:szCs w:val="24"/>
              </w:rPr>
              <w:t xml:space="preserve">, </w:t>
            </w:r>
            <w:r w:rsidRPr="00832745">
              <w:rPr>
                <w:rFonts w:ascii="Times New Roman" w:hAnsi="Times New Roman" w:cs="Times New Roman"/>
                <w:i/>
                <w:color w:val="000000"/>
                <w:sz w:val="24"/>
                <w:szCs w:val="24"/>
              </w:rPr>
              <w:t>inclusiv:</w:t>
            </w:r>
          </w:p>
        </w:tc>
        <w:tc>
          <w:tcPr>
            <w:tcW w:w="1296" w:type="dxa"/>
            <w:vAlign w:val="center"/>
          </w:tcPr>
          <w:p w:rsidR="003E62EC" w:rsidRPr="00411AF9" w:rsidRDefault="003E62EC" w:rsidP="003E62EC">
            <w:pPr>
              <w:spacing w:after="0"/>
              <w:jc w:val="center"/>
              <w:rPr>
                <w:rFonts w:ascii="Times New Roman" w:hAnsi="Times New Roman" w:cs="Times New Roman"/>
                <w:b/>
                <w:i/>
                <w:color w:val="000000"/>
                <w:sz w:val="24"/>
                <w:szCs w:val="24"/>
              </w:rPr>
            </w:pPr>
            <w:r w:rsidRPr="00411AF9">
              <w:rPr>
                <w:rFonts w:ascii="Times New Roman" w:hAnsi="Times New Roman" w:cs="Times New Roman"/>
                <w:b/>
                <w:i/>
                <w:color w:val="000000"/>
                <w:sz w:val="24"/>
                <w:szCs w:val="24"/>
              </w:rPr>
              <w:t>745,2</w:t>
            </w:r>
          </w:p>
        </w:tc>
        <w:tc>
          <w:tcPr>
            <w:tcW w:w="876" w:type="dxa"/>
            <w:vAlign w:val="center"/>
          </w:tcPr>
          <w:p w:rsidR="003E62EC" w:rsidRPr="00411AF9" w:rsidRDefault="003E62EC" w:rsidP="003E62EC">
            <w:pPr>
              <w:spacing w:after="0"/>
              <w:jc w:val="center"/>
              <w:rPr>
                <w:rFonts w:ascii="Times New Roman" w:hAnsi="Times New Roman" w:cs="Times New Roman"/>
                <w:b/>
                <w:i/>
                <w:color w:val="000000"/>
                <w:sz w:val="24"/>
                <w:szCs w:val="24"/>
              </w:rPr>
            </w:pPr>
            <w:r w:rsidRPr="00411AF9">
              <w:rPr>
                <w:rFonts w:ascii="Times New Roman" w:hAnsi="Times New Roman" w:cs="Times New Roman"/>
                <w:b/>
                <w:i/>
                <w:color w:val="000000"/>
                <w:sz w:val="24"/>
                <w:szCs w:val="24"/>
              </w:rPr>
              <w:t>544,7</w:t>
            </w:r>
          </w:p>
        </w:tc>
        <w:tc>
          <w:tcPr>
            <w:tcW w:w="756" w:type="dxa"/>
            <w:vAlign w:val="center"/>
          </w:tcPr>
          <w:p w:rsidR="003E62EC" w:rsidRPr="00411AF9" w:rsidRDefault="003E62EC" w:rsidP="003E62EC">
            <w:pPr>
              <w:spacing w:after="0"/>
              <w:jc w:val="center"/>
              <w:rPr>
                <w:rFonts w:ascii="Times New Roman" w:hAnsi="Times New Roman" w:cs="Times New Roman"/>
                <w:b/>
                <w:i/>
                <w:color w:val="000000"/>
                <w:sz w:val="24"/>
                <w:szCs w:val="24"/>
              </w:rPr>
            </w:pPr>
            <w:r w:rsidRPr="00411AF9">
              <w:rPr>
                <w:rFonts w:ascii="Times New Roman" w:hAnsi="Times New Roman" w:cs="Times New Roman"/>
                <w:b/>
                <w:i/>
                <w:color w:val="000000"/>
                <w:sz w:val="24"/>
                <w:szCs w:val="24"/>
              </w:rPr>
              <w:t>200,5</w:t>
            </w:r>
          </w:p>
        </w:tc>
        <w:tc>
          <w:tcPr>
            <w:tcW w:w="1296" w:type="dxa"/>
            <w:shd w:val="clear" w:color="auto" w:fill="auto"/>
            <w:vAlign w:val="center"/>
          </w:tcPr>
          <w:p w:rsidR="003E62EC" w:rsidRPr="00411AF9" w:rsidRDefault="003E62EC" w:rsidP="003E62EC">
            <w:pPr>
              <w:spacing w:after="0"/>
              <w:jc w:val="center"/>
              <w:rPr>
                <w:rFonts w:ascii="Times New Roman" w:hAnsi="Times New Roman" w:cs="Times New Roman"/>
                <w:b/>
                <w:i/>
                <w:color w:val="000000"/>
                <w:sz w:val="24"/>
                <w:szCs w:val="24"/>
              </w:rPr>
            </w:pPr>
            <w:r w:rsidRPr="00411AF9">
              <w:rPr>
                <w:rFonts w:ascii="Times New Roman" w:hAnsi="Times New Roman" w:cs="Times New Roman"/>
                <w:b/>
                <w:i/>
                <w:color w:val="000000"/>
                <w:sz w:val="24"/>
                <w:szCs w:val="24"/>
              </w:rPr>
              <w:t>955,7</w:t>
            </w:r>
          </w:p>
        </w:tc>
        <w:tc>
          <w:tcPr>
            <w:tcW w:w="756" w:type="dxa"/>
            <w:shd w:val="clear" w:color="auto" w:fill="auto"/>
            <w:vAlign w:val="center"/>
          </w:tcPr>
          <w:p w:rsidR="003E62EC" w:rsidRPr="00411AF9" w:rsidRDefault="003E62EC" w:rsidP="003E62EC">
            <w:pPr>
              <w:spacing w:after="0"/>
              <w:jc w:val="center"/>
              <w:rPr>
                <w:rFonts w:ascii="Times New Roman" w:hAnsi="Times New Roman" w:cs="Times New Roman"/>
                <w:b/>
                <w:i/>
                <w:color w:val="000000"/>
                <w:sz w:val="24"/>
                <w:szCs w:val="24"/>
              </w:rPr>
            </w:pPr>
            <w:r w:rsidRPr="00411AF9">
              <w:rPr>
                <w:rFonts w:ascii="Times New Roman" w:hAnsi="Times New Roman" w:cs="Times New Roman"/>
                <w:b/>
                <w:i/>
                <w:color w:val="000000"/>
                <w:sz w:val="24"/>
                <w:szCs w:val="24"/>
              </w:rPr>
              <w:t>727,3</w:t>
            </w:r>
          </w:p>
        </w:tc>
        <w:tc>
          <w:tcPr>
            <w:tcW w:w="756" w:type="dxa"/>
            <w:shd w:val="clear" w:color="auto" w:fill="auto"/>
            <w:vAlign w:val="center"/>
          </w:tcPr>
          <w:p w:rsidR="003E62EC" w:rsidRPr="00411AF9" w:rsidRDefault="003E62EC" w:rsidP="003E62EC">
            <w:pPr>
              <w:spacing w:after="0"/>
              <w:jc w:val="center"/>
              <w:rPr>
                <w:rFonts w:ascii="Times New Roman" w:hAnsi="Times New Roman" w:cs="Times New Roman"/>
                <w:b/>
                <w:i/>
                <w:color w:val="000000"/>
                <w:sz w:val="24"/>
                <w:szCs w:val="24"/>
              </w:rPr>
            </w:pPr>
            <w:r w:rsidRPr="00411AF9">
              <w:rPr>
                <w:rFonts w:ascii="Times New Roman" w:hAnsi="Times New Roman" w:cs="Times New Roman"/>
                <w:b/>
                <w:i/>
                <w:color w:val="000000"/>
                <w:sz w:val="24"/>
                <w:szCs w:val="24"/>
              </w:rPr>
              <w:t>228,4</w:t>
            </w:r>
          </w:p>
        </w:tc>
        <w:tc>
          <w:tcPr>
            <w:tcW w:w="761" w:type="dxa"/>
            <w:shd w:val="clear" w:color="auto" w:fill="auto"/>
            <w:vAlign w:val="center"/>
          </w:tcPr>
          <w:p w:rsidR="003E62EC" w:rsidRPr="00411AF9" w:rsidRDefault="003E62EC" w:rsidP="003E62EC">
            <w:pPr>
              <w:spacing w:after="0"/>
              <w:jc w:val="center"/>
              <w:rPr>
                <w:rFonts w:ascii="Times New Roman" w:hAnsi="Times New Roman" w:cs="Times New Roman"/>
                <w:b/>
                <w:i/>
                <w:color w:val="000000"/>
                <w:sz w:val="24"/>
                <w:szCs w:val="24"/>
              </w:rPr>
            </w:pPr>
            <w:r w:rsidRPr="00411AF9">
              <w:rPr>
                <w:rFonts w:ascii="Times New Roman" w:hAnsi="Times New Roman" w:cs="Times New Roman"/>
                <w:b/>
                <w:i/>
                <w:color w:val="000000"/>
                <w:sz w:val="24"/>
                <w:szCs w:val="24"/>
              </w:rPr>
              <w:t>210,5</w:t>
            </w:r>
          </w:p>
        </w:tc>
        <w:tc>
          <w:tcPr>
            <w:tcW w:w="1082" w:type="dxa"/>
            <w:vAlign w:val="center"/>
          </w:tcPr>
          <w:p w:rsidR="003E62EC" w:rsidRPr="00411AF9" w:rsidRDefault="003E62EC" w:rsidP="003E62EC">
            <w:pPr>
              <w:spacing w:after="0"/>
              <w:jc w:val="center"/>
              <w:rPr>
                <w:rFonts w:ascii="Times New Roman" w:hAnsi="Times New Roman" w:cs="Times New Roman"/>
                <w:b/>
                <w:i/>
                <w:color w:val="000000"/>
                <w:sz w:val="24"/>
                <w:szCs w:val="24"/>
              </w:rPr>
            </w:pPr>
            <w:r w:rsidRPr="00411AF9">
              <w:rPr>
                <w:rFonts w:ascii="Times New Roman" w:hAnsi="Times New Roman" w:cs="Times New Roman"/>
                <w:b/>
                <w:i/>
                <w:color w:val="000000"/>
                <w:sz w:val="24"/>
                <w:szCs w:val="24"/>
              </w:rPr>
              <w:t>+28,2%</w:t>
            </w:r>
          </w:p>
        </w:tc>
      </w:tr>
      <w:tr w:rsidR="003E62EC" w:rsidRPr="00832745" w:rsidTr="003E62EC">
        <w:trPr>
          <w:trHeight w:val="227"/>
        </w:trPr>
        <w:tc>
          <w:tcPr>
            <w:tcW w:w="576" w:type="dxa"/>
            <w:shd w:val="clear" w:color="auto" w:fill="auto"/>
            <w:hideMark/>
          </w:tcPr>
          <w:p w:rsidR="003E62EC" w:rsidRPr="00411AF9" w:rsidRDefault="003E62EC" w:rsidP="003E62EC">
            <w:pPr>
              <w:spacing w:after="0"/>
              <w:jc w:val="center"/>
              <w:rPr>
                <w:rFonts w:ascii="Times New Roman" w:hAnsi="Times New Roman" w:cs="Times New Roman"/>
                <w:b/>
                <w:color w:val="000000"/>
                <w:sz w:val="24"/>
                <w:szCs w:val="24"/>
              </w:rPr>
            </w:pPr>
            <w:r w:rsidRPr="00411AF9">
              <w:rPr>
                <w:rFonts w:ascii="Times New Roman" w:hAnsi="Times New Roman" w:cs="Times New Roman"/>
                <w:b/>
                <w:color w:val="000000"/>
                <w:sz w:val="24"/>
                <w:szCs w:val="24"/>
              </w:rPr>
              <w:t>1.1.</w:t>
            </w:r>
          </w:p>
        </w:tc>
        <w:tc>
          <w:tcPr>
            <w:tcW w:w="1528" w:type="dxa"/>
            <w:shd w:val="clear" w:color="auto" w:fill="auto"/>
            <w:vAlign w:val="center"/>
            <w:hideMark/>
          </w:tcPr>
          <w:p w:rsidR="003E62EC" w:rsidRPr="00832745" w:rsidRDefault="003E62EC" w:rsidP="003E62EC">
            <w:pPr>
              <w:spacing w:after="0"/>
              <w:rPr>
                <w:rFonts w:ascii="Times New Roman" w:hAnsi="Times New Roman" w:cs="Times New Roman"/>
                <w:color w:val="000000"/>
                <w:sz w:val="24"/>
                <w:szCs w:val="24"/>
              </w:rPr>
            </w:pPr>
            <w:r w:rsidRPr="00832745">
              <w:rPr>
                <w:rFonts w:ascii="Times New Roman" w:hAnsi="Times New Roman" w:cs="Times New Roman"/>
                <w:iCs/>
                <w:color w:val="000000"/>
                <w:sz w:val="24"/>
                <w:szCs w:val="24"/>
              </w:rPr>
              <w:t>Impozitul pe venitul din activitatea de întreprinzător</w:t>
            </w:r>
          </w:p>
        </w:tc>
        <w:tc>
          <w:tcPr>
            <w:tcW w:w="1296" w:type="dxa"/>
            <w:vAlign w:val="center"/>
          </w:tcPr>
          <w:p w:rsidR="003E62EC" w:rsidRPr="00411AF9" w:rsidRDefault="003E62EC" w:rsidP="003E62EC">
            <w:pPr>
              <w:spacing w:after="0"/>
              <w:jc w:val="center"/>
              <w:rPr>
                <w:rFonts w:ascii="Times New Roman" w:hAnsi="Times New Roman" w:cs="Times New Roman"/>
                <w:i/>
                <w:color w:val="000000"/>
                <w:sz w:val="24"/>
                <w:szCs w:val="24"/>
              </w:rPr>
            </w:pPr>
            <w:r w:rsidRPr="00411AF9">
              <w:rPr>
                <w:rFonts w:ascii="Times New Roman" w:hAnsi="Times New Roman" w:cs="Times New Roman"/>
                <w:i/>
                <w:color w:val="000000"/>
                <w:sz w:val="24"/>
                <w:szCs w:val="24"/>
              </w:rPr>
              <w:t>75,0</w:t>
            </w:r>
          </w:p>
        </w:tc>
        <w:tc>
          <w:tcPr>
            <w:tcW w:w="876" w:type="dxa"/>
            <w:vAlign w:val="center"/>
          </w:tcPr>
          <w:p w:rsidR="003E62EC" w:rsidRPr="00411AF9" w:rsidRDefault="003E62EC" w:rsidP="003E62EC">
            <w:pPr>
              <w:spacing w:after="0"/>
              <w:jc w:val="center"/>
              <w:rPr>
                <w:rFonts w:ascii="Times New Roman" w:hAnsi="Times New Roman" w:cs="Times New Roman"/>
                <w:i/>
                <w:color w:val="000000"/>
                <w:sz w:val="24"/>
                <w:szCs w:val="24"/>
              </w:rPr>
            </w:pPr>
            <w:r w:rsidRPr="00411AF9">
              <w:rPr>
                <w:rFonts w:ascii="Times New Roman" w:hAnsi="Times New Roman" w:cs="Times New Roman"/>
                <w:i/>
                <w:color w:val="000000"/>
                <w:sz w:val="24"/>
                <w:szCs w:val="24"/>
              </w:rPr>
              <w:t>75,0</w:t>
            </w:r>
          </w:p>
        </w:tc>
        <w:tc>
          <w:tcPr>
            <w:tcW w:w="756" w:type="dxa"/>
            <w:vAlign w:val="center"/>
          </w:tcPr>
          <w:p w:rsidR="003E62EC" w:rsidRPr="00411AF9" w:rsidRDefault="003E62EC" w:rsidP="003E62EC">
            <w:pPr>
              <w:spacing w:after="0"/>
              <w:jc w:val="center"/>
              <w:rPr>
                <w:rFonts w:ascii="Times New Roman" w:hAnsi="Times New Roman" w:cs="Times New Roman"/>
                <w:i/>
                <w:color w:val="000000"/>
                <w:sz w:val="24"/>
                <w:szCs w:val="24"/>
              </w:rPr>
            </w:pPr>
            <w:r w:rsidRPr="00411AF9">
              <w:rPr>
                <w:rFonts w:ascii="Times New Roman" w:hAnsi="Times New Roman" w:cs="Times New Roman"/>
                <w:i/>
                <w:color w:val="000000"/>
                <w:sz w:val="24"/>
                <w:szCs w:val="24"/>
              </w:rPr>
              <w:t>-</w:t>
            </w:r>
          </w:p>
        </w:tc>
        <w:tc>
          <w:tcPr>
            <w:tcW w:w="1296" w:type="dxa"/>
            <w:shd w:val="clear" w:color="auto" w:fill="auto"/>
            <w:vAlign w:val="center"/>
          </w:tcPr>
          <w:p w:rsidR="003E62EC" w:rsidRPr="00411AF9" w:rsidRDefault="003E62EC" w:rsidP="003E62EC">
            <w:pPr>
              <w:spacing w:after="0"/>
              <w:jc w:val="center"/>
              <w:rPr>
                <w:rFonts w:ascii="Times New Roman" w:hAnsi="Times New Roman" w:cs="Times New Roman"/>
                <w:i/>
                <w:color w:val="000000"/>
                <w:sz w:val="24"/>
                <w:szCs w:val="24"/>
              </w:rPr>
            </w:pPr>
            <w:r w:rsidRPr="00411AF9">
              <w:rPr>
                <w:rFonts w:ascii="Times New Roman" w:hAnsi="Times New Roman" w:cs="Times New Roman"/>
                <w:i/>
                <w:color w:val="000000"/>
                <w:sz w:val="24"/>
                <w:szCs w:val="24"/>
              </w:rPr>
              <w:t>144,9</w:t>
            </w:r>
          </w:p>
        </w:tc>
        <w:tc>
          <w:tcPr>
            <w:tcW w:w="756" w:type="dxa"/>
            <w:shd w:val="clear" w:color="auto" w:fill="auto"/>
            <w:vAlign w:val="center"/>
          </w:tcPr>
          <w:p w:rsidR="003E62EC" w:rsidRPr="00411AF9" w:rsidRDefault="003E62EC" w:rsidP="003E62EC">
            <w:pPr>
              <w:spacing w:after="0"/>
              <w:jc w:val="center"/>
              <w:rPr>
                <w:rFonts w:ascii="Times New Roman" w:hAnsi="Times New Roman" w:cs="Times New Roman"/>
                <w:i/>
                <w:color w:val="000000"/>
                <w:sz w:val="24"/>
                <w:szCs w:val="24"/>
              </w:rPr>
            </w:pPr>
            <w:r w:rsidRPr="00411AF9">
              <w:rPr>
                <w:rFonts w:ascii="Times New Roman" w:hAnsi="Times New Roman" w:cs="Times New Roman"/>
                <w:i/>
                <w:color w:val="000000"/>
                <w:sz w:val="24"/>
                <w:szCs w:val="24"/>
              </w:rPr>
              <w:t>144,9</w:t>
            </w:r>
          </w:p>
        </w:tc>
        <w:tc>
          <w:tcPr>
            <w:tcW w:w="756" w:type="dxa"/>
            <w:shd w:val="clear" w:color="auto" w:fill="auto"/>
            <w:vAlign w:val="center"/>
          </w:tcPr>
          <w:p w:rsidR="003E62EC" w:rsidRPr="00411AF9" w:rsidRDefault="003E62EC" w:rsidP="003E62EC">
            <w:pPr>
              <w:spacing w:after="0"/>
              <w:jc w:val="center"/>
              <w:rPr>
                <w:rFonts w:ascii="Times New Roman" w:hAnsi="Times New Roman" w:cs="Times New Roman"/>
                <w:i/>
                <w:color w:val="000000"/>
                <w:sz w:val="24"/>
                <w:szCs w:val="24"/>
              </w:rPr>
            </w:pPr>
            <w:r w:rsidRPr="00411AF9">
              <w:rPr>
                <w:rFonts w:ascii="Times New Roman" w:hAnsi="Times New Roman" w:cs="Times New Roman"/>
                <w:i/>
                <w:color w:val="000000"/>
                <w:sz w:val="24"/>
                <w:szCs w:val="24"/>
              </w:rPr>
              <w:t>-</w:t>
            </w:r>
          </w:p>
        </w:tc>
        <w:tc>
          <w:tcPr>
            <w:tcW w:w="761" w:type="dxa"/>
            <w:shd w:val="clear" w:color="auto" w:fill="auto"/>
            <w:vAlign w:val="center"/>
          </w:tcPr>
          <w:p w:rsidR="003E62EC" w:rsidRPr="00411AF9" w:rsidRDefault="003E62EC" w:rsidP="003E62EC">
            <w:pPr>
              <w:spacing w:after="0"/>
              <w:jc w:val="center"/>
              <w:rPr>
                <w:rFonts w:ascii="Times New Roman" w:hAnsi="Times New Roman" w:cs="Times New Roman"/>
                <w:i/>
                <w:color w:val="000000"/>
                <w:sz w:val="24"/>
                <w:szCs w:val="24"/>
              </w:rPr>
            </w:pPr>
            <w:r w:rsidRPr="00411AF9">
              <w:rPr>
                <w:rFonts w:ascii="Times New Roman" w:hAnsi="Times New Roman" w:cs="Times New Roman"/>
                <w:i/>
                <w:color w:val="000000"/>
                <w:sz w:val="24"/>
                <w:szCs w:val="24"/>
              </w:rPr>
              <w:t>69,9</w:t>
            </w:r>
          </w:p>
        </w:tc>
        <w:tc>
          <w:tcPr>
            <w:tcW w:w="1082" w:type="dxa"/>
            <w:vAlign w:val="center"/>
          </w:tcPr>
          <w:p w:rsidR="003E62EC" w:rsidRPr="00411AF9" w:rsidRDefault="003E62EC" w:rsidP="003E62EC">
            <w:pPr>
              <w:spacing w:after="0"/>
              <w:jc w:val="center"/>
              <w:rPr>
                <w:rFonts w:ascii="Times New Roman" w:hAnsi="Times New Roman" w:cs="Times New Roman"/>
                <w:i/>
                <w:color w:val="000000"/>
                <w:sz w:val="24"/>
                <w:szCs w:val="24"/>
              </w:rPr>
            </w:pPr>
            <w:r w:rsidRPr="00411AF9">
              <w:rPr>
                <w:rFonts w:ascii="Times New Roman" w:hAnsi="Times New Roman" w:cs="Times New Roman"/>
                <w:i/>
                <w:color w:val="000000"/>
                <w:sz w:val="24"/>
                <w:szCs w:val="24"/>
              </w:rPr>
              <w:t>+93,3%</w:t>
            </w:r>
          </w:p>
        </w:tc>
      </w:tr>
      <w:tr w:rsidR="003E62EC" w:rsidRPr="00832745" w:rsidTr="003E62EC">
        <w:trPr>
          <w:trHeight w:val="227"/>
        </w:trPr>
        <w:tc>
          <w:tcPr>
            <w:tcW w:w="576" w:type="dxa"/>
            <w:shd w:val="clear" w:color="auto" w:fill="auto"/>
            <w:hideMark/>
          </w:tcPr>
          <w:p w:rsidR="003E62EC" w:rsidRPr="00411AF9" w:rsidRDefault="003E62EC" w:rsidP="003E62EC">
            <w:pPr>
              <w:spacing w:after="0"/>
              <w:jc w:val="center"/>
              <w:rPr>
                <w:rFonts w:ascii="Times New Roman" w:hAnsi="Times New Roman" w:cs="Times New Roman"/>
                <w:b/>
                <w:color w:val="000000"/>
                <w:sz w:val="24"/>
                <w:szCs w:val="24"/>
              </w:rPr>
            </w:pPr>
            <w:r w:rsidRPr="00411AF9">
              <w:rPr>
                <w:rFonts w:ascii="Times New Roman" w:hAnsi="Times New Roman" w:cs="Times New Roman"/>
                <w:b/>
                <w:color w:val="000000"/>
                <w:sz w:val="24"/>
                <w:szCs w:val="24"/>
              </w:rPr>
              <w:t>1.2.</w:t>
            </w:r>
          </w:p>
        </w:tc>
        <w:tc>
          <w:tcPr>
            <w:tcW w:w="1528" w:type="dxa"/>
            <w:shd w:val="clear" w:color="auto" w:fill="auto"/>
            <w:vAlign w:val="center"/>
            <w:hideMark/>
          </w:tcPr>
          <w:p w:rsidR="003E62EC" w:rsidRPr="00832745" w:rsidRDefault="003E62EC" w:rsidP="003E62EC">
            <w:pPr>
              <w:spacing w:after="0"/>
              <w:rPr>
                <w:rFonts w:ascii="Times New Roman" w:hAnsi="Times New Roman" w:cs="Times New Roman"/>
                <w:color w:val="000000"/>
                <w:sz w:val="24"/>
                <w:szCs w:val="24"/>
              </w:rPr>
            </w:pPr>
            <w:r w:rsidRPr="00832745">
              <w:rPr>
                <w:rFonts w:ascii="Times New Roman" w:hAnsi="Times New Roman" w:cs="Times New Roman"/>
                <w:iCs/>
                <w:color w:val="000000"/>
                <w:sz w:val="24"/>
                <w:szCs w:val="24"/>
              </w:rPr>
              <w:t>Taxa pe valoarea adăugată</w:t>
            </w:r>
          </w:p>
        </w:tc>
        <w:tc>
          <w:tcPr>
            <w:tcW w:w="1296" w:type="dxa"/>
            <w:vAlign w:val="center"/>
          </w:tcPr>
          <w:p w:rsidR="003E62EC" w:rsidRPr="00411AF9" w:rsidRDefault="003E62EC" w:rsidP="003E62EC">
            <w:pPr>
              <w:spacing w:after="0"/>
              <w:jc w:val="center"/>
              <w:rPr>
                <w:rFonts w:ascii="Times New Roman" w:hAnsi="Times New Roman" w:cs="Times New Roman"/>
                <w:i/>
                <w:color w:val="000000"/>
                <w:sz w:val="24"/>
                <w:szCs w:val="24"/>
              </w:rPr>
            </w:pPr>
            <w:r w:rsidRPr="00411AF9">
              <w:rPr>
                <w:rFonts w:ascii="Times New Roman" w:hAnsi="Times New Roman" w:cs="Times New Roman"/>
                <w:i/>
                <w:color w:val="000000"/>
                <w:sz w:val="24"/>
                <w:szCs w:val="24"/>
              </w:rPr>
              <w:t>494,2</w:t>
            </w:r>
          </w:p>
        </w:tc>
        <w:tc>
          <w:tcPr>
            <w:tcW w:w="876" w:type="dxa"/>
            <w:vAlign w:val="center"/>
          </w:tcPr>
          <w:p w:rsidR="003E62EC" w:rsidRPr="00411AF9" w:rsidRDefault="003E62EC" w:rsidP="003E62EC">
            <w:pPr>
              <w:spacing w:after="0"/>
              <w:jc w:val="center"/>
              <w:rPr>
                <w:rFonts w:ascii="Times New Roman" w:hAnsi="Times New Roman" w:cs="Times New Roman"/>
                <w:i/>
                <w:color w:val="000000"/>
                <w:sz w:val="24"/>
                <w:szCs w:val="24"/>
              </w:rPr>
            </w:pPr>
            <w:r w:rsidRPr="00411AF9">
              <w:rPr>
                <w:rFonts w:ascii="Times New Roman" w:hAnsi="Times New Roman" w:cs="Times New Roman"/>
                <w:i/>
                <w:color w:val="000000"/>
                <w:sz w:val="24"/>
                <w:szCs w:val="24"/>
              </w:rPr>
              <w:t>332,5</w:t>
            </w:r>
          </w:p>
        </w:tc>
        <w:tc>
          <w:tcPr>
            <w:tcW w:w="756" w:type="dxa"/>
            <w:vAlign w:val="center"/>
          </w:tcPr>
          <w:p w:rsidR="003E62EC" w:rsidRPr="00411AF9" w:rsidRDefault="003E62EC" w:rsidP="003E62EC">
            <w:pPr>
              <w:spacing w:after="0"/>
              <w:jc w:val="center"/>
              <w:rPr>
                <w:rFonts w:ascii="Times New Roman" w:hAnsi="Times New Roman" w:cs="Times New Roman"/>
                <w:i/>
                <w:color w:val="000000"/>
                <w:sz w:val="24"/>
                <w:szCs w:val="24"/>
              </w:rPr>
            </w:pPr>
            <w:r w:rsidRPr="00411AF9">
              <w:rPr>
                <w:rFonts w:ascii="Times New Roman" w:hAnsi="Times New Roman" w:cs="Times New Roman"/>
                <w:i/>
                <w:color w:val="000000"/>
                <w:sz w:val="24"/>
                <w:szCs w:val="24"/>
              </w:rPr>
              <w:t>161,6</w:t>
            </w:r>
          </w:p>
        </w:tc>
        <w:tc>
          <w:tcPr>
            <w:tcW w:w="1296" w:type="dxa"/>
            <w:shd w:val="clear" w:color="auto" w:fill="auto"/>
            <w:vAlign w:val="center"/>
          </w:tcPr>
          <w:p w:rsidR="003E62EC" w:rsidRPr="00411AF9" w:rsidRDefault="003E62EC" w:rsidP="003E62EC">
            <w:pPr>
              <w:spacing w:after="0"/>
              <w:jc w:val="center"/>
              <w:rPr>
                <w:rFonts w:ascii="Times New Roman" w:hAnsi="Times New Roman" w:cs="Times New Roman"/>
                <w:i/>
                <w:color w:val="000000"/>
                <w:sz w:val="24"/>
                <w:szCs w:val="24"/>
              </w:rPr>
            </w:pPr>
            <w:r w:rsidRPr="00411AF9">
              <w:rPr>
                <w:rFonts w:ascii="Times New Roman" w:hAnsi="Times New Roman" w:cs="Times New Roman"/>
                <w:i/>
                <w:color w:val="000000"/>
                <w:sz w:val="24"/>
                <w:szCs w:val="24"/>
              </w:rPr>
              <w:t>610,9</w:t>
            </w:r>
          </w:p>
        </w:tc>
        <w:tc>
          <w:tcPr>
            <w:tcW w:w="756" w:type="dxa"/>
            <w:shd w:val="clear" w:color="auto" w:fill="auto"/>
            <w:vAlign w:val="center"/>
          </w:tcPr>
          <w:p w:rsidR="003E62EC" w:rsidRPr="00411AF9" w:rsidRDefault="003E62EC" w:rsidP="003E62EC">
            <w:pPr>
              <w:spacing w:after="0"/>
              <w:jc w:val="center"/>
              <w:rPr>
                <w:rFonts w:ascii="Times New Roman" w:hAnsi="Times New Roman" w:cs="Times New Roman"/>
                <w:i/>
                <w:color w:val="000000"/>
                <w:sz w:val="24"/>
                <w:szCs w:val="24"/>
              </w:rPr>
            </w:pPr>
            <w:r w:rsidRPr="00411AF9">
              <w:rPr>
                <w:rFonts w:ascii="Times New Roman" w:hAnsi="Times New Roman" w:cs="Times New Roman"/>
                <w:i/>
                <w:color w:val="000000"/>
                <w:sz w:val="24"/>
                <w:szCs w:val="24"/>
              </w:rPr>
              <w:t>425,9</w:t>
            </w:r>
          </w:p>
        </w:tc>
        <w:tc>
          <w:tcPr>
            <w:tcW w:w="756" w:type="dxa"/>
            <w:shd w:val="clear" w:color="auto" w:fill="auto"/>
            <w:vAlign w:val="center"/>
          </w:tcPr>
          <w:p w:rsidR="003E62EC" w:rsidRPr="00411AF9" w:rsidRDefault="003E62EC" w:rsidP="003E62EC">
            <w:pPr>
              <w:spacing w:after="0"/>
              <w:jc w:val="center"/>
              <w:rPr>
                <w:rFonts w:ascii="Times New Roman" w:hAnsi="Times New Roman" w:cs="Times New Roman"/>
                <w:i/>
                <w:color w:val="000000"/>
                <w:sz w:val="24"/>
                <w:szCs w:val="24"/>
              </w:rPr>
            </w:pPr>
            <w:r w:rsidRPr="00411AF9">
              <w:rPr>
                <w:rFonts w:ascii="Times New Roman" w:hAnsi="Times New Roman" w:cs="Times New Roman"/>
                <w:i/>
                <w:color w:val="000000"/>
                <w:sz w:val="24"/>
                <w:szCs w:val="24"/>
              </w:rPr>
              <w:t>185,0</w:t>
            </w:r>
          </w:p>
        </w:tc>
        <w:tc>
          <w:tcPr>
            <w:tcW w:w="761" w:type="dxa"/>
            <w:shd w:val="clear" w:color="auto" w:fill="auto"/>
            <w:vAlign w:val="center"/>
          </w:tcPr>
          <w:p w:rsidR="003E62EC" w:rsidRPr="00411AF9" w:rsidRDefault="003E62EC" w:rsidP="003E62EC">
            <w:pPr>
              <w:spacing w:after="0"/>
              <w:jc w:val="center"/>
              <w:rPr>
                <w:rFonts w:ascii="Times New Roman" w:hAnsi="Times New Roman" w:cs="Times New Roman"/>
                <w:i/>
                <w:color w:val="000000"/>
                <w:sz w:val="24"/>
                <w:szCs w:val="24"/>
              </w:rPr>
            </w:pPr>
            <w:r w:rsidRPr="00411AF9">
              <w:rPr>
                <w:rFonts w:ascii="Times New Roman" w:hAnsi="Times New Roman" w:cs="Times New Roman"/>
                <w:i/>
                <w:color w:val="000000"/>
                <w:sz w:val="24"/>
                <w:szCs w:val="24"/>
              </w:rPr>
              <w:t>116,8</w:t>
            </w:r>
          </w:p>
        </w:tc>
        <w:tc>
          <w:tcPr>
            <w:tcW w:w="1082" w:type="dxa"/>
            <w:vAlign w:val="center"/>
          </w:tcPr>
          <w:p w:rsidR="003E62EC" w:rsidRPr="00411AF9" w:rsidRDefault="003E62EC" w:rsidP="003E62EC">
            <w:pPr>
              <w:spacing w:after="0"/>
              <w:jc w:val="center"/>
              <w:rPr>
                <w:rFonts w:ascii="Times New Roman" w:hAnsi="Times New Roman" w:cs="Times New Roman"/>
                <w:i/>
                <w:color w:val="000000"/>
                <w:sz w:val="24"/>
                <w:szCs w:val="24"/>
              </w:rPr>
            </w:pPr>
            <w:r w:rsidRPr="00411AF9">
              <w:rPr>
                <w:rFonts w:ascii="Times New Roman" w:hAnsi="Times New Roman" w:cs="Times New Roman"/>
                <w:i/>
                <w:color w:val="000000"/>
                <w:sz w:val="24"/>
                <w:szCs w:val="24"/>
              </w:rPr>
              <w:t>+23,6%</w:t>
            </w:r>
          </w:p>
        </w:tc>
      </w:tr>
      <w:tr w:rsidR="003E62EC" w:rsidRPr="00832745" w:rsidTr="003E62EC">
        <w:trPr>
          <w:trHeight w:val="227"/>
        </w:trPr>
        <w:tc>
          <w:tcPr>
            <w:tcW w:w="576" w:type="dxa"/>
            <w:shd w:val="clear" w:color="auto" w:fill="auto"/>
            <w:hideMark/>
          </w:tcPr>
          <w:p w:rsidR="003E62EC" w:rsidRPr="00411AF9" w:rsidRDefault="003E62EC" w:rsidP="003E62EC">
            <w:pPr>
              <w:spacing w:after="0"/>
              <w:jc w:val="center"/>
              <w:rPr>
                <w:rFonts w:ascii="Times New Roman" w:hAnsi="Times New Roman" w:cs="Times New Roman"/>
                <w:b/>
                <w:color w:val="000000"/>
                <w:sz w:val="24"/>
                <w:szCs w:val="24"/>
              </w:rPr>
            </w:pPr>
            <w:r w:rsidRPr="00411AF9">
              <w:rPr>
                <w:rFonts w:ascii="Times New Roman" w:hAnsi="Times New Roman" w:cs="Times New Roman"/>
                <w:b/>
                <w:color w:val="000000"/>
                <w:sz w:val="24"/>
                <w:szCs w:val="24"/>
              </w:rPr>
              <w:t>1.3.</w:t>
            </w:r>
          </w:p>
        </w:tc>
        <w:tc>
          <w:tcPr>
            <w:tcW w:w="1528" w:type="dxa"/>
            <w:shd w:val="clear" w:color="auto" w:fill="auto"/>
            <w:vAlign w:val="center"/>
            <w:hideMark/>
          </w:tcPr>
          <w:p w:rsidR="003E62EC" w:rsidRPr="00832745" w:rsidRDefault="003E62EC" w:rsidP="003E62EC">
            <w:pPr>
              <w:spacing w:after="0"/>
              <w:rPr>
                <w:rFonts w:ascii="Times New Roman" w:hAnsi="Times New Roman" w:cs="Times New Roman"/>
                <w:color w:val="000000"/>
                <w:sz w:val="24"/>
                <w:szCs w:val="24"/>
              </w:rPr>
            </w:pPr>
            <w:r w:rsidRPr="00832745">
              <w:rPr>
                <w:rFonts w:ascii="Times New Roman" w:hAnsi="Times New Roman" w:cs="Times New Roman"/>
                <w:iCs/>
                <w:color w:val="000000"/>
                <w:sz w:val="24"/>
                <w:szCs w:val="24"/>
              </w:rPr>
              <w:t>Accize</w:t>
            </w:r>
          </w:p>
        </w:tc>
        <w:tc>
          <w:tcPr>
            <w:tcW w:w="1296" w:type="dxa"/>
            <w:vAlign w:val="center"/>
          </w:tcPr>
          <w:p w:rsidR="003E62EC" w:rsidRPr="00411AF9" w:rsidRDefault="003E62EC" w:rsidP="003E62EC">
            <w:pPr>
              <w:spacing w:after="0"/>
              <w:jc w:val="center"/>
              <w:rPr>
                <w:rFonts w:ascii="Times New Roman" w:hAnsi="Times New Roman" w:cs="Times New Roman"/>
                <w:i/>
                <w:color w:val="000000"/>
                <w:sz w:val="24"/>
                <w:szCs w:val="24"/>
              </w:rPr>
            </w:pPr>
            <w:r w:rsidRPr="00411AF9">
              <w:rPr>
                <w:rFonts w:ascii="Times New Roman" w:hAnsi="Times New Roman" w:cs="Times New Roman"/>
                <w:i/>
                <w:color w:val="000000"/>
                <w:sz w:val="24"/>
                <w:szCs w:val="24"/>
              </w:rPr>
              <w:t>44,8</w:t>
            </w:r>
          </w:p>
        </w:tc>
        <w:tc>
          <w:tcPr>
            <w:tcW w:w="876" w:type="dxa"/>
            <w:vAlign w:val="center"/>
          </w:tcPr>
          <w:p w:rsidR="003E62EC" w:rsidRPr="00411AF9" w:rsidRDefault="003E62EC" w:rsidP="003E62EC">
            <w:pPr>
              <w:spacing w:after="0"/>
              <w:jc w:val="center"/>
              <w:rPr>
                <w:rFonts w:ascii="Times New Roman" w:hAnsi="Times New Roman" w:cs="Times New Roman"/>
                <w:i/>
                <w:color w:val="000000"/>
                <w:sz w:val="24"/>
                <w:szCs w:val="24"/>
              </w:rPr>
            </w:pPr>
            <w:r w:rsidRPr="00411AF9">
              <w:rPr>
                <w:rFonts w:ascii="Times New Roman" w:hAnsi="Times New Roman" w:cs="Times New Roman"/>
                <w:i/>
                <w:color w:val="000000"/>
                <w:sz w:val="24"/>
                <w:szCs w:val="24"/>
              </w:rPr>
              <w:t>35,7</w:t>
            </w:r>
          </w:p>
        </w:tc>
        <w:tc>
          <w:tcPr>
            <w:tcW w:w="756" w:type="dxa"/>
            <w:vAlign w:val="center"/>
          </w:tcPr>
          <w:p w:rsidR="003E62EC" w:rsidRPr="00411AF9" w:rsidRDefault="003E62EC" w:rsidP="003E62EC">
            <w:pPr>
              <w:spacing w:after="0"/>
              <w:jc w:val="center"/>
              <w:rPr>
                <w:rFonts w:ascii="Times New Roman" w:hAnsi="Times New Roman" w:cs="Times New Roman"/>
                <w:i/>
                <w:color w:val="000000"/>
                <w:sz w:val="24"/>
                <w:szCs w:val="24"/>
              </w:rPr>
            </w:pPr>
            <w:r w:rsidRPr="00411AF9">
              <w:rPr>
                <w:rFonts w:ascii="Times New Roman" w:hAnsi="Times New Roman" w:cs="Times New Roman"/>
                <w:i/>
                <w:color w:val="000000"/>
                <w:sz w:val="24"/>
                <w:szCs w:val="24"/>
              </w:rPr>
              <w:t>9,1</w:t>
            </w:r>
          </w:p>
        </w:tc>
        <w:tc>
          <w:tcPr>
            <w:tcW w:w="1296" w:type="dxa"/>
            <w:shd w:val="clear" w:color="auto" w:fill="auto"/>
            <w:vAlign w:val="center"/>
          </w:tcPr>
          <w:p w:rsidR="003E62EC" w:rsidRPr="00411AF9" w:rsidRDefault="003E62EC" w:rsidP="003E62EC">
            <w:pPr>
              <w:spacing w:after="0"/>
              <w:jc w:val="center"/>
              <w:rPr>
                <w:rFonts w:ascii="Times New Roman" w:hAnsi="Times New Roman" w:cs="Times New Roman"/>
                <w:i/>
                <w:color w:val="000000"/>
                <w:sz w:val="24"/>
                <w:szCs w:val="24"/>
              </w:rPr>
            </w:pPr>
            <w:r w:rsidRPr="00411AF9">
              <w:rPr>
                <w:rFonts w:ascii="Times New Roman" w:hAnsi="Times New Roman" w:cs="Times New Roman"/>
                <w:i/>
                <w:color w:val="000000"/>
                <w:sz w:val="24"/>
                <w:szCs w:val="24"/>
              </w:rPr>
              <w:t>57,8</w:t>
            </w:r>
          </w:p>
        </w:tc>
        <w:tc>
          <w:tcPr>
            <w:tcW w:w="756" w:type="dxa"/>
            <w:shd w:val="clear" w:color="auto" w:fill="auto"/>
            <w:vAlign w:val="center"/>
          </w:tcPr>
          <w:p w:rsidR="003E62EC" w:rsidRPr="00411AF9" w:rsidRDefault="003E62EC" w:rsidP="003E62EC">
            <w:pPr>
              <w:spacing w:after="0"/>
              <w:jc w:val="center"/>
              <w:rPr>
                <w:rFonts w:ascii="Times New Roman" w:hAnsi="Times New Roman" w:cs="Times New Roman"/>
                <w:i/>
                <w:color w:val="000000"/>
                <w:sz w:val="24"/>
                <w:szCs w:val="24"/>
              </w:rPr>
            </w:pPr>
            <w:r w:rsidRPr="00411AF9">
              <w:rPr>
                <w:rFonts w:ascii="Times New Roman" w:hAnsi="Times New Roman" w:cs="Times New Roman"/>
                <w:i/>
                <w:color w:val="000000"/>
                <w:sz w:val="24"/>
                <w:szCs w:val="24"/>
              </w:rPr>
              <w:t>48,5</w:t>
            </w:r>
          </w:p>
        </w:tc>
        <w:tc>
          <w:tcPr>
            <w:tcW w:w="756" w:type="dxa"/>
            <w:shd w:val="clear" w:color="auto" w:fill="auto"/>
            <w:vAlign w:val="center"/>
          </w:tcPr>
          <w:p w:rsidR="003E62EC" w:rsidRPr="00411AF9" w:rsidRDefault="003E62EC" w:rsidP="003E62EC">
            <w:pPr>
              <w:spacing w:after="0"/>
              <w:jc w:val="center"/>
              <w:rPr>
                <w:rFonts w:ascii="Times New Roman" w:hAnsi="Times New Roman" w:cs="Times New Roman"/>
                <w:i/>
                <w:color w:val="000000"/>
                <w:sz w:val="24"/>
                <w:szCs w:val="24"/>
              </w:rPr>
            </w:pPr>
            <w:r w:rsidRPr="00411AF9">
              <w:rPr>
                <w:rFonts w:ascii="Times New Roman" w:hAnsi="Times New Roman" w:cs="Times New Roman"/>
                <w:i/>
                <w:color w:val="000000"/>
                <w:sz w:val="24"/>
                <w:szCs w:val="24"/>
              </w:rPr>
              <w:t>9,3</w:t>
            </w:r>
          </w:p>
        </w:tc>
        <w:tc>
          <w:tcPr>
            <w:tcW w:w="761" w:type="dxa"/>
            <w:shd w:val="clear" w:color="auto" w:fill="auto"/>
            <w:vAlign w:val="center"/>
          </w:tcPr>
          <w:p w:rsidR="003E62EC" w:rsidRPr="00411AF9" w:rsidRDefault="003E62EC" w:rsidP="003E62EC">
            <w:pPr>
              <w:spacing w:after="0"/>
              <w:jc w:val="center"/>
              <w:rPr>
                <w:rFonts w:ascii="Times New Roman" w:hAnsi="Times New Roman" w:cs="Times New Roman"/>
                <w:i/>
                <w:color w:val="000000"/>
                <w:sz w:val="24"/>
                <w:szCs w:val="24"/>
              </w:rPr>
            </w:pPr>
            <w:r w:rsidRPr="00411AF9">
              <w:rPr>
                <w:rFonts w:ascii="Times New Roman" w:hAnsi="Times New Roman" w:cs="Times New Roman"/>
                <w:i/>
                <w:color w:val="000000"/>
                <w:sz w:val="24"/>
                <w:szCs w:val="24"/>
              </w:rPr>
              <w:t>12,9</w:t>
            </w:r>
          </w:p>
        </w:tc>
        <w:tc>
          <w:tcPr>
            <w:tcW w:w="1082" w:type="dxa"/>
            <w:vAlign w:val="center"/>
          </w:tcPr>
          <w:p w:rsidR="003E62EC" w:rsidRPr="00411AF9" w:rsidRDefault="003E62EC" w:rsidP="003E62EC">
            <w:pPr>
              <w:spacing w:after="0"/>
              <w:jc w:val="center"/>
              <w:rPr>
                <w:rFonts w:ascii="Times New Roman" w:hAnsi="Times New Roman" w:cs="Times New Roman"/>
                <w:i/>
                <w:color w:val="000000"/>
                <w:sz w:val="24"/>
                <w:szCs w:val="24"/>
              </w:rPr>
            </w:pPr>
            <w:r w:rsidRPr="00411AF9">
              <w:rPr>
                <w:rFonts w:ascii="Times New Roman" w:hAnsi="Times New Roman" w:cs="Times New Roman"/>
                <w:i/>
                <w:color w:val="000000"/>
                <w:sz w:val="24"/>
                <w:szCs w:val="24"/>
              </w:rPr>
              <w:t>+28,8%</w:t>
            </w:r>
          </w:p>
        </w:tc>
      </w:tr>
      <w:tr w:rsidR="003E62EC" w:rsidRPr="00832745" w:rsidTr="003E62EC">
        <w:trPr>
          <w:trHeight w:val="227"/>
        </w:trPr>
        <w:tc>
          <w:tcPr>
            <w:tcW w:w="576" w:type="dxa"/>
            <w:shd w:val="clear" w:color="auto" w:fill="auto"/>
            <w:hideMark/>
          </w:tcPr>
          <w:p w:rsidR="003E62EC" w:rsidRPr="00411AF9" w:rsidRDefault="003E62EC" w:rsidP="003E62EC">
            <w:pPr>
              <w:spacing w:after="0"/>
              <w:jc w:val="center"/>
              <w:rPr>
                <w:rFonts w:ascii="Times New Roman" w:hAnsi="Times New Roman" w:cs="Times New Roman"/>
                <w:b/>
                <w:color w:val="000000"/>
                <w:sz w:val="24"/>
                <w:szCs w:val="24"/>
              </w:rPr>
            </w:pPr>
            <w:r w:rsidRPr="00411AF9">
              <w:rPr>
                <w:rFonts w:ascii="Times New Roman" w:hAnsi="Times New Roman" w:cs="Times New Roman"/>
                <w:b/>
                <w:color w:val="000000"/>
                <w:sz w:val="24"/>
                <w:szCs w:val="24"/>
              </w:rPr>
              <w:lastRenderedPageBreak/>
              <w:t>1.4.</w:t>
            </w:r>
          </w:p>
        </w:tc>
        <w:tc>
          <w:tcPr>
            <w:tcW w:w="1528" w:type="dxa"/>
            <w:shd w:val="clear" w:color="auto" w:fill="auto"/>
            <w:vAlign w:val="center"/>
            <w:hideMark/>
          </w:tcPr>
          <w:p w:rsidR="003E62EC" w:rsidRPr="00832745" w:rsidRDefault="003E62EC" w:rsidP="003E62EC">
            <w:pPr>
              <w:spacing w:after="0"/>
              <w:rPr>
                <w:rFonts w:ascii="Times New Roman" w:hAnsi="Times New Roman" w:cs="Times New Roman"/>
                <w:color w:val="000000"/>
                <w:sz w:val="24"/>
                <w:szCs w:val="24"/>
              </w:rPr>
            </w:pPr>
            <w:r w:rsidRPr="00832745">
              <w:rPr>
                <w:rFonts w:ascii="Times New Roman" w:hAnsi="Times New Roman" w:cs="Times New Roman"/>
                <w:iCs/>
                <w:color w:val="000000"/>
                <w:sz w:val="24"/>
                <w:szCs w:val="24"/>
              </w:rPr>
              <w:t>Alte impozite, plăți și taxe</w:t>
            </w:r>
          </w:p>
        </w:tc>
        <w:tc>
          <w:tcPr>
            <w:tcW w:w="1296" w:type="dxa"/>
            <w:vAlign w:val="center"/>
          </w:tcPr>
          <w:p w:rsidR="003E62EC" w:rsidRPr="00411AF9" w:rsidRDefault="003E62EC" w:rsidP="003E62EC">
            <w:pPr>
              <w:spacing w:after="0"/>
              <w:jc w:val="center"/>
              <w:rPr>
                <w:rFonts w:ascii="Times New Roman" w:hAnsi="Times New Roman" w:cs="Times New Roman"/>
                <w:i/>
                <w:color w:val="000000"/>
                <w:sz w:val="24"/>
                <w:szCs w:val="24"/>
              </w:rPr>
            </w:pPr>
            <w:r w:rsidRPr="00411AF9">
              <w:rPr>
                <w:rFonts w:ascii="Times New Roman" w:hAnsi="Times New Roman" w:cs="Times New Roman"/>
                <w:i/>
                <w:color w:val="000000"/>
                <w:sz w:val="24"/>
                <w:szCs w:val="24"/>
              </w:rPr>
              <w:t>131,2</w:t>
            </w:r>
          </w:p>
        </w:tc>
        <w:tc>
          <w:tcPr>
            <w:tcW w:w="876" w:type="dxa"/>
            <w:vAlign w:val="center"/>
          </w:tcPr>
          <w:p w:rsidR="003E62EC" w:rsidRPr="00411AF9" w:rsidRDefault="003E62EC" w:rsidP="003E62EC">
            <w:pPr>
              <w:spacing w:after="0"/>
              <w:jc w:val="center"/>
              <w:rPr>
                <w:rFonts w:ascii="Times New Roman" w:hAnsi="Times New Roman" w:cs="Times New Roman"/>
                <w:i/>
                <w:color w:val="000000"/>
                <w:sz w:val="24"/>
                <w:szCs w:val="24"/>
              </w:rPr>
            </w:pPr>
            <w:r w:rsidRPr="00411AF9">
              <w:rPr>
                <w:rFonts w:ascii="Times New Roman" w:hAnsi="Times New Roman" w:cs="Times New Roman"/>
                <w:i/>
                <w:color w:val="000000"/>
                <w:sz w:val="24"/>
                <w:szCs w:val="24"/>
              </w:rPr>
              <w:t>101,5</w:t>
            </w:r>
          </w:p>
        </w:tc>
        <w:tc>
          <w:tcPr>
            <w:tcW w:w="756" w:type="dxa"/>
            <w:vAlign w:val="center"/>
          </w:tcPr>
          <w:p w:rsidR="003E62EC" w:rsidRPr="00411AF9" w:rsidRDefault="003E62EC" w:rsidP="003E62EC">
            <w:pPr>
              <w:spacing w:after="0"/>
              <w:jc w:val="center"/>
              <w:rPr>
                <w:rFonts w:ascii="Times New Roman" w:hAnsi="Times New Roman" w:cs="Times New Roman"/>
                <w:i/>
                <w:color w:val="000000"/>
                <w:sz w:val="24"/>
                <w:szCs w:val="24"/>
              </w:rPr>
            </w:pPr>
            <w:r w:rsidRPr="00411AF9">
              <w:rPr>
                <w:rFonts w:ascii="Times New Roman" w:hAnsi="Times New Roman" w:cs="Times New Roman"/>
                <w:i/>
                <w:color w:val="000000"/>
                <w:sz w:val="24"/>
                <w:szCs w:val="24"/>
              </w:rPr>
              <w:t>29,8</w:t>
            </w:r>
          </w:p>
        </w:tc>
        <w:tc>
          <w:tcPr>
            <w:tcW w:w="1296" w:type="dxa"/>
            <w:shd w:val="clear" w:color="auto" w:fill="auto"/>
            <w:vAlign w:val="center"/>
          </w:tcPr>
          <w:p w:rsidR="003E62EC" w:rsidRPr="00411AF9" w:rsidRDefault="003E62EC" w:rsidP="003E62EC">
            <w:pPr>
              <w:spacing w:after="0"/>
              <w:jc w:val="center"/>
              <w:rPr>
                <w:rFonts w:ascii="Times New Roman" w:hAnsi="Times New Roman" w:cs="Times New Roman"/>
                <w:i/>
                <w:color w:val="000000"/>
                <w:sz w:val="24"/>
                <w:szCs w:val="24"/>
              </w:rPr>
            </w:pPr>
            <w:r w:rsidRPr="00411AF9">
              <w:rPr>
                <w:rFonts w:ascii="Times New Roman" w:hAnsi="Times New Roman" w:cs="Times New Roman"/>
                <w:i/>
                <w:color w:val="000000"/>
                <w:sz w:val="24"/>
                <w:szCs w:val="24"/>
              </w:rPr>
              <w:t>142,1</w:t>
            </w:r>
          </w:p>
        </w:tc>
        <w:tc>
          <w:tcPr>
            <w:tcW w:w="756" w:type="dxa"/>
            <w:shd w:val="clear" w:color="auto" w:fill="auto"/>
            <w:vAlign w:val="center"/>
          </w:tcPr>
          <w:p w:rsidR="003E62EC" w:rsidRPr="00411AF9" w:rsidRDefault="003E62EC" w:rsidP="003E62EC">
            <w:pPr>
              <w:spacing w:after="0"/>
              <w:jc w:val="center"/>
              <w:rPr>
                <w:rFonts w:ascii="Times New Roman" w:hAnsi="Times New Roman" w:cs="Times New Roman"/>
                <w:i/>
                <w:color w:val="000000"/>
                <w:sz w:val="24"/>
                <w:szCs w:val="24"/>
              </w:rPr>
            </w:pPr>
            <w:r w:rsidRPr="00411AF9">
              <w:rPr>
                <w:rFonts w:ascii="Times New Roman" w:hAnsi="Times New Roman" w:cs="Times New Roman"/>
                <w:i/>
                <w:color w:val="000000"/>
                <w:sz w:val="24"/>
                <w:szCs w:val="24"/>
              </w:rPr>
              <w:t>108,0</w:t>
            </w:r>
          </w:p>
        </w:tc>
        <w:tc>
          <w:tcPr>
            <w:tcW w:w="756" w:type="dxa"/>
            <w:shd w:val="clear" w:color="auto" w:fill="auto"/>
            <w:vAlign w:val="center"/>
          </w:tcPr>
          <w:p w:rsidR="003E62EC" w:rsidRPr="00411AF9" w:rsidRDefault="003E62EC" w:rsidP="003E62EC">
            <w:pPr>
              <w:spacing w:after="0"/>
              <w:jc w:val="center"/>
              <w:rPr>
                <w:rFonts w:ascii="Times New Roman" w:hAnsi="Times New Roman" w:cs="Times New Roman"/>
                <w:i/>
                <w:color w:val="000000"/>
                <w:sz w:val="24"/>
                <w:szCs w:val="24"/>
              </w:rPr>
            </w:pPr>
            <w:r w:rsidRPr="00411AF9">
              <w:rPr>
                <w:rFonts w:ascii="Times New Roman" w:hAnsi="Times New Roman" w:cs="Times New Roman"/>
                <w:i/>
                <w:color w:val="000000"/>
                <w:sz w:val="24"/>
                <w:szCs w:val="24"/>
              </w:rPr>
              <w:t>34,1</w:t>
            </w:r>
          </w:p>
        </w:tc>
        <w:tc>
          <w:tcPr>
            <w:tcW w:w="761" w:type="dxa"/>
            <w:shd w:val="clear" w:color="auto" w:fill="auto"/>
            <w:vAlign w:val="center"/>
          </w:tcPr>
          <w:p w:rsidR="003E62EC" w:rsidRPr="00411AF9" w:rsidRDefault="003E62EC" w:rsidP="003E62EC">
            <w:pPr>
              <w:spacing w:after="0"/>
              <w:jc w:val="center"/>
              <w:rPr>
                <w:rFonts w:ascii="Times New Roman" w:hAnsi="Times New Roman" w:cs="Times New Roman"/>
                <w:i/>
                <w:color w:val="000000"/>
                <w:sz w:val="24"/>
                <w:szCs w:val="24"/>
              </w:rPr>
            </w:pPr>
            <w:r w:rsidRPr="00411AF9">
              <w:rPr>
                <w:rFonts w:ascii="Times New Roman" w:hAnsi="Times New Roman" w:cs="Times New Roman"/>
                <w:i/>
                <w:color w:val="000000"/>
                <w:sz w:val="24"/>
                <w:szCs w:val="24"/>
              </w:rPr>
              <w:t>10,9</w:t>
            </w:r>
          </w:p>
        </w:tc>
        <w:tc>
          <w:tcPr>
            <w:tcW w:w="1082" w:type="dxa"/>
            <w:vAlign w:val="center"/>
          </w:tcPr>
          <w:p w:rsidR="003E62EC" w:rsidRPr="00411AF9" w:rsidRDefault="003E62EC" w:rsidP="003E62EC">
            <w:pPr>
              <w:spacing w:after="0"/>
              <w:jc w:val="center"/>
              <w:rPr>
                <w:rFonts w:ascii="Times New Roman" w:hAnsi="Times New Roman" w:cs="Times New Roman"/>
                <w:i/>
                <w:color w:val="000000"/>
                <w:sz w:val="24"/>
                <w:szCs w:val="24"/>
              </w:rPr>
            </w:pPr>
            <w:r w:rsidRPr="00411AF9">
              <w:rPr>
                <w:rFonts w:ascii="Times New Roman" w:hAnsi="Times New Roman" w:cs="Times New Roman"/>
                <w:i/>
                <w:color w:val="000000"/>
                <w:sz w:val="24"/>
                <w:szCs w:val="24"/>
              </w:rPr>
              <w:t>+8,3%</w:t>
            </w:r>
          </w:p>
        </w:tc>
      </w:tr>
      <w:tr w:rsidR="003E62EC" w:rsidRPr="00832745" w:rsidTr="003E62EC">
        <w:trPr>
          <w:trHeight w:val="227"/>
        </w:trPr>
        <w:tc>
          <w:tcPr>
            <w:tcW w:w="576" w:type="dxa"/>
            <w:shd w:val="clear" w:color="auto" w:fill="auto"/>
            <w:hideMark/>
          </w:tcPr>
          <w:p w:rsidR="003E62EC" w:rsidRPr="00411AF9" w:rsidRDefault="003E62EC" w:rsidP="003E62EC">
            <w:pPr>
              <w:spacing w:after="0"/>
              <w:jc w:val="center"/>
              <w:rPr>
                <w:rFonts w:ascii="Times New Roman" w:hAnsi="Times New Roman" w:cs="Times New Roman"/>
                <w:b/>
                <w:color w:val="000000"/>
                <w:sz w:val="24"/>
                <w:szCs w:val="24"/>
              </w:rPr>
            </w:pPr>
            <w:r w:rsidRPr="00411AF9">
              <w:rPr>
                <w:rFonts w:ascii="Times New Roman" w:hAnsi="Times New Roman" w:cs="Times New Roman"/>
                <w:b/>
                <w:color w:val="000000"/>
                <w:sz w:val="24"/>
                <w:szCs w:val="24"/>
              </w:rPr>
              <w:t>2.</w:t>
            </w:r>
          </w:p>
        </w:tc>
        <w:tc>
          <w:tcPr>
            <w:tcW w:w="1528" w:type="dxa"/>
            <w:shd w:val="clear" w:color="auto" w:fill="auto"/>
            <w:vAlign w:val="center"/>
            <w:hideMark/>
          </w:tcPr>
          <w:p w:rsidR="003E62EC" w:rsidRPr="00411AF9" w:rsidRDefault="003E62EC" w:rsidP="003E62EC">
            <w:pPr>
              <w:spacing w:after="0"/>
              <w:jc w:val="both"/>
              <w:rPr>
                <w:rFonts w:ascii="Times New Roman" w:hAnsi="Times New Roman" w:cs="Times New Roman"/>
                <w:b/>
                <w:i/>
                <w:color w:val="000000"/>
                <w:sz w:val="24"/>
                <w:szCs w:val="24"/>
              </w:rPr>
            </w:pPr>
            <w:r w:rsidRPr="00411AF9">
              <w:rPr>
                <w:rFonts w:ascii="Times New Roman" w:hAnsi="Times New Roman" w:cs="Times New Roman"/>
                <w:b/>
                <w:i/>
                <w:color w:val="000000"/>
                <w:sz w:val="24"/>
                <w:szCs w:val="24"/>
              </w:rPr>
              <w:t>Amenzi</w:t>
            </w:r>
          </w:p>
        </w:tc>
        <w:tc>
          <w:tcPr>
            <w:tcW w:w="1296" w:type="dxa"/>
            <w:vAlign w:val="center"/>
          </w:tcPr>
          <w:p w:rsidR="003E62EC" w:rsidRPr="0001576D" w:rsidRDefault="003E62EC" w:rsidP="003E62EC">
            <w:pPr>
              <w:spacing w:after="0"/>
              <w:jc w:val="center"/>
              <w:rPr>
                <w:rFonts w:ascii="Times New Roman" w:hAnsi="Times New Roman" w:cs="Times New Roman"/>
                <w:b/>
                <w:i/>
                <w:color w:val="000000"/>
                <w:sz w:val="24"/>
                <w:szCs w:val="24"/>
              </w:rPr>
            </w:pPr>
            <w:r w:rsidRPr="0001576D">
              <w:rPr>
                <w:rFonts w:ascii="Times New Roman" w:hAnsi="Times New Roman" w:cs="Times New Roman"/>
                <w:b/>
                <w:i/>
                <w:color w:val="000000"/>
                <w:sz w:val="24"/>
                <w:szCs w:val="24"/>
              </w:rPr>
              <w:t>336,9</w:t>
            </w:r>
          </w:p>
        </w:tc>
        <w:tc>
          <w:tcPr>
            <w:tcW w:w="876" w:type="dxa"/>
            <w:vAlign w:val="center"/>
          </w:tcPr>
          <w:p w:rsidR="003E62EC" w:rsidRPr="008C0336" w:rsidRDefault="003E62EC" w:rsidP="003E62EC">
            <w:pPr>
              <w:spacing w:after="0"/>
              <w:jc w:val="center"/>
              <w:rPr>
                <w:rFonts w:ascii="Times New Roman" w:hAnsi="Times New Roman" w:cs="Times New Roman"/>
                <w:b/>
                <w:i/>
                <w:color w:val="000000"/>
                <w:sz w:val="24"/>
                <w:szCs w:val="24"/>
              </w:rPr>
            </w:pPr>
            <w:r w:rsidRPr="008C0336">
              <w:rPr>
                <w:rFonts w:ascii="Times New Roman" w:hAnsi="Times New Roman" w:cs="Times New Roman"/>
                <w:b/>
                <w:i/>
                <w:color w:val="000000"/>
                <w:sz w:val="24"/>
                <w:szCs w:val="24"/>
              </w:rPr>
              <w:t>309,7</w:t>
            </w:r>
          </w:p>
        </w:tc>
        <w:tc>
          <w:tcPr>
            <w:tcW w:w="756" w:type="dxa"/>
            <w:vAlign w:val="center"/>
          </w:tcPr>
          <w:p w:rsidR="003E62EC" w:rsidRPr="0001576D" w:rsidRDefault="003E62EC" w:rsidP="003E62EC">
            <w:pPr>
              <w:spacing w:after="0"/>
              <w:jc w:val="center"/>
              <w:rPr>
                <w:rFonts w:ascii="Times New Roman" w:hAnsi="Times New Roman" w:cs="Times New Roman"/>
                <w:b/>
                <w:i/>
                <w:color w:val="000000"/>
                <w:sz w:val="24"/>
                <w:szCs w:val="24"/>
              </w:rPr>
            </w:pPr>
            <w:r w:rsidRPr="0001576D">
              <w:rPr>
                <w:rFonts w:ascii="Times New Roman" w:hAnsi="Times New Roman" w:cs="Times New Roman"/>
                <w:b/>
                <w:i/>
                <w:color w:val="000000"/>
                <w:sz w:val="24"/>
                <w:szCs w:val="24"/>
              </w:rPr>
              <w:t>27,2</w:t>
            </w:r>
          </w:p>
        </w:tc>
        <w:tc>
          <w:tcPr>
            <w:tcW w:w="1296" w:type="dxa"/>
            <w:shd w:val="clear" w:color="auto" w:fill="auto"/>
            <w:vAlign w:val="center"/>
          </w:tcPr>
          <w:p w:rsidR="003E62EC" w:rsidRPr="0001576D" w:rsidRDefault="003E62EC" w:rsidP="003E62EC">
            <w:pPr>
              <w:spacing w:after="0"/>
              <w:jc w:val="center"/>
              <w:rPr>
                <w:rFonts w:ascii="Times New Roman" w:hAnsi="Times New Roman" w:cs="Times New Roman"/>
                <w:b/>
                <w:i/>
                <w:color w:val="000000"/>
                <w:sz w:val="24"/>
                <w:szCs w:val="24"/>
              </w:rPr>
            </w:pPr>
            <w:r w:rsidRPr="0001576D">
              <w:rPr>
                <w:rFonts w:ascii="Times New Roman" w:hAnsi="Times New Roman" w:cs="Times New Roman"/>
                <w:b/>
                <w:i/>
                <w:color w:val="000000"/>
                <w:sz w:val="24"/>
                <w:szCs w:val="24"/>
              </w:rPr>
              <w:t>448,0</w:t>
            </w:r>
          </w:p>
        </w:tc>
        <w:tc>
          <w:tcPr>
            <w:tcW w:w="756" w:type="dxa"/>
            <w:shd w:val="clear" w:color="auto" w:fill="auto"/>
            <w:vAlign w:val="center"/>
          </w:tcPr>
          <w:p w:rsidR="003E62EC" w:rsidRPr="008C0336" w:rsidRDefault="003E62EC" w:rsidP="003E62EC">
            <w:pPr>
              <w:spacing w:after="0"/>
              <w:jc w:val="center"/>
              <w:rPr>
                <w:rFonts w:ascii="Times New Roman" w:hAnsi="Times New Roman" w:cs="Times New Roman"/>
                <w:b/>
                <w:i/>
                <w:color w:val="000000"/>
                <w:sz w:val="24"/>
                <w:szCs w:val="24"/>
              </w:rPr>
            </w:pPr>
            <w:r w:rsidRPr="008C0336">
              <w:rPr>
                <w:rFonts w:ascii="Times New Roman" w:hAnsi="Times New Roman" w:cs="Times New Roman"/>
                <w:b/>
                <w:i/>
                <w:color w:val="000000"/>
                <w:sz w:val="24"/>
                <w:szCs w:val="24"/>
              </w:rPr>
              <w:t>399,1</w:t>
            </w:r>
          </w:p>
        </w:tc>
        <w:tc>
          <w:tcPr>
            <w:tcW w:w="756" w:type="dxa"/>
            <w:shd w:val="clear" w:color="auto" w:fill="auto"/>
            <w:vAlign w:val="center"/>
          </w:tcPr>
          <w:p w:rsidR="003E62EC" w:rsidRPr="0001576D" w:rsidRDefault="003E62EC" w:rsidP="003E62EC">
            <w:pPr>
              <w:spacing w:after="0"/>
              <w:jc w:val="center"/>
              <w:rPr>
                <w:rFonts w:ascii="Times New Roman" w:hAnsi="Times New Roman" w:cs="Times New Roman"/>
                <w:b/>
                <w:i/>
                <w:color w:val="000000"/>
                <w:sz w:val="24"/>
                <w:szCs w:val="24"/>
              </w:rPr>
            </w:pPr>
            <w:r w:rsidRPr="0001576D">
              <w:rPr>
                <w:rFonts w:ascii="Times New Roman" w:hAnsi="Times New Roman" w:cs="Times New Roman"/>
                <w:b/>
                <w:i/>
                <w:color w:val="000000"/>
                <w:sz w:val="24"/>
                <w:szCs w:val="24"/>
              </w:rPr>
              <w:t>48,9</w:t>
            </w:r>
          </w:p>
        </w:tc>
        <w:tc>
          <w:tcPr>
            <w:tcW w:w="761" w:type="dxa"/>
            <w:shd w:val="clear" w:color="auto" w:fill="auto"/>
            <w:vAlign w:val="center"/>
          </w:tcPr>
          <w:p w:rsidR="003E62EC" w:rsidRPr="0001576D" w:rsidRDefault="003E62EC" w:rsidP="003E62EC">
            <w:pPr>
              <w:spacing w:after="0"/>
              <w:jc w:val="center"/>
              <w:rPr>
                <w:rFonts w:ascii="Times New Roman" w:hAnsi="Times New Roman" w:cs="Times New Roman"/>
                <w:b/>
                <w:i/>
                <w:color w:val="000000"/>
                <w:sz w:val="24"/>
                <w:szCs w:val="24"/>
              </w:rPr>
            </w:pPr>
            <w:r w:rsidRPr="0001576D">
              <w:rPr>
                <w:rFonts w:ascii="Times New Roman" w:hAnsi="Times New Roman" w:cs="Times New Roman"/>
                <w:b/>
                <w:i/>
                <w:color w:val="000000"/>
                <w:sz w:val="24"/>
                <w:szCs w:val="24"/>
              </w:rPr>
              <w:t>111,1</w:t>
            </w:r>
          </w:p>
        </w:tc>
        <w:tc>
          <w:tcPr>
            <w:tcW w:w="1082" w:type="dxa"/>
            <w:vAlign w:val="center"/>
          </w:tcPr>
          <w:p w:rsidR="003E62EC" w:rsidRPr="0001576D" w:rsidRDefault="003E62EC" w:rsidP="003E62EC">
            <w:pPr>
              <w:spacing w:after="0"/>
              <w:jc w:val="center"/>
              <w:rPr>
                <w:rFonts w:ascii="Times New Roman" w:hAnsi="Times New Roman" w:cs="Times New Roman"/>
                <w:b/>
                <w:i/>
                <w:color w:val="000000"/>
                <w:sz w:val="24"/>
                <w:szCs w:val="24"/>
              </w:rPr>
            </w:pPr>
            <w:r w:rsidRPr="0001576D">
              <w:rPr>
                <w:rFonts w:ascii="Times New Roman" w:hAnsi="Times New Roman" w:cs="Times New Roman"/>
                <w:b/>
                <w:i/>
                <w:color w:val="000000"/>
                <w:sz w:val="24"/>
                <w:szCs w:val="24"/>
              </w:rPr>
              <w:t>+33,0%</w:t>
            </w:r>
          </w:p>
        </w:tc>
      </w:tr>
      <w:tr w:rsidR="003E62EC" w:rsidRPr="00832745" w:rsidTr="003E62EC">
        <w:trPr>
          <w:trHeight w:val="227"/>
        </w:trPr>
        <w:tc>
          <w:tcPr>
            <w:tcW w:w="576" w:type="dxa"/>
            <w:shd w:val="clear" w:color="auto" w:fill="auto"/>
            <w:hideMark/>
          </w:tcPr>
          <w:p w:rsidR="003E62EC" w:rsidRPr="00411AF9" w:rsidRDefault="003E62EC" w:rsidP="003E62EC">
            <w:pPr>
              <w:spacing w:after="0"/>
              <w:jc w:val="center"/>
              <w:rPr>
                <w:rFonts w:ascii="Times New Roman" w:hAnsi="Times New Roman" w:cs="Times New Roman"/>
                <w:b/>
                <w:color w:val="000000"/>
                <w:sz w:val="24"/>
                <w:szCs w:val="24"/>
              </w:rPr>
            </w:pPr>
            <w:r w:rsidRPr="00411AF9">
              <w:rPr>
                <w:rFonts w:ascii="Times New Roman" w:hAnsi="Times New Roman" w:cs="Times New Roman"/>
                <w:b/>
                <w:color w:val="000000"/>
                <w:sz w:val="24"/>
                <w:szCs w:val="24"/>
              </w:rPr>
              <w:t>3.</w:t>
            </w:r>
          </w:p>
        </w:tc>
        <w:tc>
          <w:tcPr>
            <w:tcW w:w="1528" w:type="dxa"/>
            <w:shd w:val="clear" w:color="auto" w:fill="auto"/>
            <w:vAlign w:val="center"/>
            <w:hideMark/>
          </w:tcPr>
          <w:p w:rsidR="003E62EC" w:rsidRPr="00411AF9" w:rsidRDefault="003E62EC" w:rsidP="003E62EC">
            <w:pPr>
              <w:spacing w:after="0"/>
              <w:jc w:val="both"/>
              <w:rPr>
                <w:rFonts w:ascii="Times New Roman" w:hAnsi="Times New Roman" w:cs="Times New Roman"/>
                <w:b/>
                <w:i/>
                <w:color w:val="000000"/>
                <w:sz w:val="24"/>
                <w:szCs w:val="24"/>
              </w:rPr>
            </w:pPr>
            <w:r w:rsidRPr="00411AF9">
              <w:rPr>
                <w:rFonts w:ascii="Times New Roman" w:hAnsi="Times New Roman" w:cs="Times New Roman"/>
                <w:b/>
                <w:i/>
                <w:color w:val="000000"/>
                <w:sz w:val="24"/>
                <w:szCs w:val="24"/>
              </w:rPr>
              <w:t>Majorare de întârziere</w:t>
            </w:r>
          </w:p>
        </w:tc>
        <w:tc>
          <w:tcPr>
            <w:tcW w:w="1296" w:type="dxa"/>
            <w:vAlign w:val="center"/>
          </w:tcPr>
          <w:p w:rsidR="003E62EC" w:rsidRPr="0001576D" w:rsidRDefault="003E62EC" w:rsidP="003E62EC">
            <w:pPr>
              <w:spacing w:after="0"/>
              <w:jc w:val="center"/>
              <w:rPr>
                <w:rFonts w:ascii="Times New Roman" w:hAnsi="Times New Roman" w:cs="Times New Roman"/>
                <w:b/>
                <w:i/>
                <w:color w:val="000000"/>
                <w:sz w:val="24"/>
                <w:szCs w:val="24"/>
              </w:rPr>
            </w:pPr>
            <w:r w:rsidRPr="0001576D">
              <w:rPr>
                <w:rFonts w:ascii="Times New Roman" w:hAnsi="Times New Roman" w:cs="Times New Roman"/>
                <w:b/>
                <w:i/>
                <w:color w:val="000000"/>
                <w:sz w:val="24"/>
                <w:szCs w:val="24"/>
              </w:rPr>
              <w:t>358,0</w:t>
            </w:r>
          </w:p>
        </w:tc>
        <w:tc>
          <w:tcPr>
            <w:tcW w:w="876" w:type="dxa"/>
            <w:vAlign w:val="center"/>
          </w:tcPr>
          <w:p w:rsidR="003E62EC" w:rsidRPr="008C0336" w:rsidRDefault="003E62EC" w:rsidP="003E62EC">
            <w:pPr>
              <w:spacing w:after="0"/>
              <w:jc w:val="center"/>
              <w:rPr>
                <w:rFonts w:ascii="Times New Roman" w:hAnsi="Times New Roman" w:cs="Times New Roman"/>
                <w:b/>
                <w:i/>
                <w:color w:val="000000"/>
                <w:sz w:val="24"/>
                <w:szCs w:val="24"/>
              </w:rPr>
            </w:pPr>
            <w:r w:rsidRPr="008C0336">
              <w:rPr>
                <w:rFonts w:ascii="Times New Roman" w:hAnsi="Times New Roman" w:cs="Times New Roman"/>
                <w:b/>
                <w:i/>
                <w:color w:val="000000"/>
                <w:sz w:val="24"/>
                <w:szCs w:val="24"/>
              </w:rPr>
              <w:t>266,2</w:t>
            </w:r>
          </w:p>
        </w:tc>
        <w:tc>
          <w:tcPr>
            <w:tcW w:w="756" w:type="dxa"/>
            <w:vAlign w:val="center"/>
          </w:tcPr>
          <w:p w:rsidR="003E62EC" w:rsidRPr="0001576D" w:rsidRDefault="003E62EC" w:rsidP="003E62EC">
            <w:pPr>
              <w:spacing w:after="0"/>
              <w:jc w:val="center"/>
              <w:rPr>
                <w:rFonts w:ascii="Times New Roman" w:hAnsi="Times New Roman" w:cs="Times New Roman"/>
                <w:b/>
                <w:i/>
                <w:color w:val="000000"/>
                <w:sz w:val="24"/>
                <w:szCs w:val="24"/>
              </w:rPr>
            </w:pPr>
            <w:r w:rsidRPr="0001576D">
              <w:rPr>
                <w:rFonts w:ascii="Times New Roman" w:hAnsi="Times New Roman" w:cs="Times New Roman"/>
                <w:b/>
                <w:i/>
                <w:color w:val="000000"/>
                <w:sz w:val="24"/>
                <w:szCs w:val="24"/>
              </w:rPr>
              <w:t>91,8</w:t>
            </w:r>
          </w:p>
        </w:tc>
        <w:tc>
          <w:tcPr>
            <w:tcW w:w="1296" w:type="dxa"/>
            <w:shd w:val="clear" w:color="auto" w:fill="auto"/>
            <w:vAlign w:val="center"/>
          </w:tcPr>
          <w:p w:rsidR="003E62EC" w:rsidRPr="0001576D" w:rsidRDefault="003E62EC" w:rsidP="003E62EC">
            <w:pPr>
              <w:spacing w:after="0"/>
              <w:jc w:val="center"/>
              <w:rPr>
                <w:rFonts w:ascii="Times New Roman" w:hAnsi="Times New Roman" w:cs="Times New Roman"/>
                <w:b/>
                <w:i/>
                <w:color w:val="000000"/>
                <w:sz w:val="24"/>
                <w:szCs w:val="24"/>
              </w:rPr>
            </w:pPr>
            <w:r w:rsidRPr="0001576D">
              <w:rPr>
                <w:rFonts w:ascii="Times New Roman" w:hAnsi="Times New Roman" w:cs="Times New Roman"/>
                <w:b/>
                <w:i/>
                <w:color w:val="000000"/>
                <w:sz w:val="24"/>
                <w:szCs w:val="24"/>
              </w:rPr>
              <w:t>449,0</w:t>
            </w:r>
          </w:p>
        </w:tc>
        <w:tc>
          <w:tcPr>
            <w:tcW w:w="756" w:type="dxa"/>
            <w:shd w:val="clear" w:color="auto" w:fill="auto"/>
            <w:vAlign w:val="center"/>
          </w:tcPr>
          <w:p w:rsidR="003E62EC" w:rsidRPr="008C0336" w:rsidRDefault="003E62EC" w:rsidP="003E62EC">
            <w:pPr>
              <w:spacing w:after="0"/>
              <w:ind w:right="-61"/>
              <w:jc w:val="center"/>
              <w:rPr>
                <w:rFonts w:ascii="Times New Roman" w:hAnsi="Times New Roman" w:cs="Times New Roman"/>
                <w:b/>
                <w:i/>
                <w:color w:val="000000"/>
                <w:sz w:val="24"/>
                <w:szCs w:val="24"/>
              </w:rPr>
            </w:pPr>
            <w:r w:rsidRPr="008C0336">
              <w:rPr>
                <w:rFonts w:ascii="Times New Roman" w:hAnsi="Times New Roman" w:cs="Times New Roman"/>
                <w:b/>
                <w:i/>
                <w:color w:val="000000"/>
                <w:sz w:val="24"/>
                <w:szCs w:val="24"/>
              </w:rPr>
              <w:t>340,5</w:t>
            </w:r>
          </w:p>
        </w:tc>
        <w:tc>
          <w:tcPr>
            <w:tcW w:w="756" w:type="dxa"/>
            <w:shd w:val="clear" w:color="auto" w:fill="auto"/>
            <w:vAlign w:val="center"/>
          </w:tcPr>
          <w:p w:rsidR="003E62EC" w:rsidRPr="0001576D" w:rsidRDefault="003E62EC" w:rsidP="003E62EC">
            <w:pPr>
              <w:spacing w:after="0"/>
              <w:ind w:left="-15" w:right="-61"/>
              <w:jc w:val="center"/>
              <w:rPr>
                <w:rFonts w:ascii="Times New Roman" w:hAnsi="Times New Roman" w:cs="Times New Roman"/>
                <w:b/>
                <w:i/>
                <w:color w:val="000000"/>
                <w:sz w:val="24"/>
                <w:szCs w:val="24"/>
              </w:rPr>
            </w:pPr>
            <w:r w:rsidRPr="0001576D">
              <w:rPr>
                <w:rFonts w:ascii="Times New Roman" w:hAnsi="Times New Roman" w:cs="Times New Roman"/>
                <w:b/>
                <w:i/>
                <w:color w:val="000000"/>
                <w:sz w:val="24"/>
                <w:szCs w:val="24"/>
              </w:rPr>
              <w:t>108,5</w:t>
            </w:r>
          </w:p>
        </w:tc>
        <w:tc>
          <w:tcPr>
            <w:tcW w:w="761" w:type="dxa"/>
            <w:shd w:val="clear" w:color="auto" w:fill="auto"/>
            <w:vAlign w:val="center"/>
          </w:tcPr>
          <w:p w:rsidR="003E62EC" w:rsidRPr="0001576D" w:rsidRDefault="003E62EC" w:rsidP="003E62EC">
            <w:pPr>
              <w:spacing w:after="0"/>
              <w:ind w:left="-15"/>
              <w:jc w:val="center"/>
              <w:rPr>
                <w:rFonts w:ascii="Times New Roman" w:hAnsi="Times New Roman" w:cs="Times New Roman"/>
                <w:b/>
                <w:i/>
                <w:color w:val="000000"/>
                <w:sz w:val="24"/>
                <w:szCs w:val="24"/>
              </w:rPr>
            </w:pPr>
            <w:r w:rsidRPr="0001576D">
              <w:rPr>
                <w:rFonts w:ascii="Times New Roman" w:hAnsi="Times New Roman" w:cs="Times New Roman"/>
                <w:b/>
                <w:i/>
                <w:color w:val="000000"/>
                <w:sz w:val="24"/>
                <w:szCs w:val="24"/>
              </w:rPr>
              <w:t>91,0</w:t>
            </w:r>
          </w:p>
        </w:tc>
        <w:tc>
          <w:tcPr>
            <w:tcW w:w="1082" w:type="dxa"/>
            <w:vAlign w:val="center"/>
          </w:tcPr>
          <w:p w:rsidR="003E62EC" w:rsidRPr="0001576D" w:rsidRDefault="003E62EC" w:rsidP="003E62EC">
            <w:pPr>
              <w:spacing w:after="0"/>
              <w:jc w:val="center"/>
              <w:rPr>
                <w:rFonts w:ascii="Times New Roman" w:hAnsi="Times New Roman" w:cs="Times New Roman"/>
                <w:b/>
                <w:i/>
                <w:color w:val="000000"/>
                <w:sz w:val="24"/>
                <w:szCs w:val="24"/>
              </w:rPr>
            </w:pPr>
            <w:r w:rsidRPr="0001576D">
              <w:rPr>
                <w:rFonts w:ascii="Times New Roman" w:hAnsi="Times New Roman" w:cs="Times New Roman"/>
                <w:b/>
                <w:i/>
                <w:color w:val="000000"/>
                <w:sz w:val="24"/>
                <w:szCs w:val="24"/>
              </w:rPr>
              <w:t>+25,4%</w:t>
            </w:r>
          </w:p>
        </w:tc>
      </w:tr>
      <w:tr w:rsidR="003E62EC" w:rsidRPr="00832745" w:rsidTr="003E62EC">
        <w:trPr>
          <w:trHeight w:val="227"/>
        </w:trPr>
        <w:tc>
          <w:tcPr>
            <w:tcW w:w="2104" w:type="dxa"/>
            <w:gridSpan w:val="2"/>
            <w:shd w:val="clear" w:color="auto" w:fill="auto"/>
            <w:hideMark/>
          </w:tcPr>
          <w:p w:rsidR="003E62EC" w:rsidRPr="00411AF9" w:rsidRDefault="003E62EC" w:rsidP="003E62EC">
            <w:pPr>
              <w:spacing w:after="0"/>
              <w:jc w:val="both"/>
              <w:rPr>
                <w:rFonts w:ascii="Times New Roman" w:hAnsi="Times New Roman" w:cs="Times New Roman"/>
                <w:b/>
                <w:bCs/>
                <w:iCs/>
                <w:color w:val="000000"/>
                <w:sz w:val="24"/>
                <w:szCs w:val="24"/>
              </w:rPr>
            </w:pPr>
            <w:r w:rsidRPr="00411AF9">
              <w:rPr>
                <w:rFonts w:ascii="Times New Roman" w:hAnsi="Times New Roman" w:cs="Times New Roman"/>
                <w:b/>
                <w:bCs/>
                <w:iCs/>
                <w:color w:val="000000"/>
                <w:sz w:val="24"/>
                <w:szCs w:val="24"/>
              </w:rPr>
              <w:t>Total:</w:t>
            </w:r>
          </w:p>
        </w:tc>
        <w:tc>
          <w:tcPr>
            <w:tcW w:w="1296" w:type="dxa"/>
            <w:vAlign w:val="center"/>
          </w:tcPr>
          <w:p w:rsidR="003E62EC" w:rsidRPr="0001576D" w:rsidRDefault="003E62EC" w:rsidP="003E62EC">
            <w:pPr>
              <w:spacing w:after="0"/>
              <w:jc w:val="center"/>
              <w:rPr>
                <w:rFonts w:ascii="Times New Roman" w:hAnsi="Times New Roman" w:cs="Times New Roman"/>
                <w:b/>
                <w:color w:val="000000"/>
                <w:sz w:val="24"/>
                <w:szCs w:val="24"/>
              </w:rPr>
            </w:pPr>
            <w:r w:rsidRPr="0001576D">
              <w:rPr>
                <w:rFonts w:ascii="Times New Roman" w:hAnsi="Times New Roman" w:cs="Times New Roman"/>
                <w:b/>
                <w:color w:val="000000"/>
                <w:sz w:val="24"/>
                <w:szCs w:val="24"/>
              </w:rPr>
              <w:t>1440,1</w:t>
            </w:r>
          </w:p>
        </w:tc>
        <w:tc>
          <w:tcPr>
            <w:tcW w:w="876" w:type="dxa"/>
            <w:vAlign w:val="center"/>
          </w:tcPr>
          <w:p w:rsidR="003E62EC" w:rsidRPr="008C0336" w:rsidRDefault="003E62EC" w:rsidP="003E62EC">
            <w:pPr>
              <w:spacing w:after="0"/>
              <w:ind w:left="-97"/>
              <w:jc w:val="center"/>
              <w:rPr>
                <w:rFonts w:ascii="Times New Roman" w:hAnsi="Times New Roman" w:cs="Times New Roman"/>
                <w:b/>
                <w:color w:val="000000"/>
                <w:sz w:val="24"/>
                <w:szCs w:val="24"/>
              </w:rPr>
            </w:pPr>
            <w:r w:rsidRPr="008C0336">
              <w:rPr>
                <w:rFonts w:ascii="Times New Roman" w:hAnsi="Times New Roman" w:cs="Times New Roman"/>
                <w:b/>
                <w:color w:val="000000"/>
                <w:sz w:val="24"/>
                <w:szCs w:val="24"/>
              </w:rPr>
              <w:t>1120,6</w:t>
            </w:r>
          </w:p>
        </w:tc>
        <w:tc>
          <w:tcPr>
            <w:tcW w:w="756" w:type="dxa"/>
            <w:vAlign w:val="center"/>
          </w:tcPr>
          <w:p w:rsidR="003E62EC" w:rsidRPr="0001576D" w:rsidRDefault="003E62EC" w:rsidP="003E62EC">
            <w:pPr>
              <w:spacing w:after="0"/>
              <w:jc w:val="center"/>
              <w:rPr>
                <w:rFonts w:ascii="Times New Roman" w:hAnsi="Times New Roman" w:cs="Times New Roman"/>
                <w:b/>
                <w:color w:val="000000"/>
                <w:sz w:val="24"/>
                <w:szCs w:val="24"/>
              </w:rPr>
            </w:pPr>
            <w:r w:rsidRPr="0001576D">
              <w:rPr>
                <w:rFonts w:ascii="Times New Roman" w:hAnsi="Times New Roman" w:cs="Times New Roman"/>
                <w:b/>
                <w:color w:val="000000"/>
                <w:sz w:val="24"/>
                <w:szCs w:val="24"/>
              </w:rPr>
              <w:t>319,5</w:t>
            </w:r>
          </w:p>
        </w:tc>
        <w:tc>
          <w:tcPr>
            <w:tcW w:w="1296" w:type="dxa"/>
            <w:shd w:val="clear" w:color="auto" w:fill="auto"/>
            <w:vAlign w:val="center"/>
          </w:tcPr>
          <w:p w:rsidR="003E62EC" w:rsidRPr="0001576D" w:rsidRDefault="003E62EC" w:rsidP="003E62EC">
            <w:pPr>
              <w:spacing w:after="0"/>
              <w:jc w:val="center"/>
              <w:rPr>
                <w:rFonts w:ascii="Times New Roman" w:hAnsi="Times New Roman" w:cs="Times New Roman"/>
                <w:b/>
                <w:color w:val="000000"/>
                <w:sz w:val="24"/>
                <w:szCs w:val="24"/>
              </w:rPr>
            </w:pPr>
            <w:r w:rsidRPr="0001576D">
              <w:rPr>
                <w:rFonts w:ascii="Times New Roman" w:hAnsi="Times New Roman" w:cs="Times New Roman"/>
                <w:b/>
                <w:color w:val="000000"/>
                <w:sz w:val="24"/>
                <w:szCs w:val="24"/>
              </w:rPr>
              <w:t>1852,7</w:t>
            </w:r>
          </w:p>
        </w:tc>
        <w:tc>
          <w:tcPr>
            <w:tcW w:w="756" w:type="dxa"/>
            <w:shd w:val="clear" w:color="auto" w:fill="auto"/>
            <w:vAlign w:val="center"/>
          </w:tcPr>
          <w:p w:rsidR="003E62EC" w:rsidRPr="008C0336" w:rsidRDefault="003E62EC" w:rsidP="003E62EC">
            <w:pPr>
              <w:spacing w:after="0"/>
              <w:ind w:left="-122" w:right="-61"/>
              <w:jc w:val="center"/>
              <w:rPr>
                <w:rFonts w:ascii="Times New Roman" w:hAnsi="Times New Roman" w:cs="Times New Roman"/>
                <w:b/>
                <w:bCs/>
                <w:iCs/>
                <w:color w:val="000000"/>
                <w:sz w:val="24"/>
                <w:szCs w:val="24"/>
              </w:rPr>
            </w:pPr>
            <w:r w:rsidRPr="008C0336">
              <w:rPr>
                <w:rFonts w:ascii="Times New Roman" w:hAnsi="Times New Roman" w:cs="Times New Roman"/>
                <w:b/>
                <w:bCs/>
                <w:iCs/>
                <w:color w:val="000000"/>
                <w:sz w:val="24"/>
                <w:szCs w:val="24"/>
              </w:rPr>
              <w:t>1466,9</w:t>
            </w:r>
          </w:p>
        </w:tc>
        <w:tc>
          <w:tcPr>
            <w:tcW w:w="756" w:type="dxa"/>
            <w:shd w:val="clear" w:color="auto" w:fill="auto"/>
            <w:vAlign w:val="center"/>
          </w:tcPr>
          <w:p w:rsidR="003E62EC" w:rsidRPr="0001576D" w:rsidRDefault="003E62EC" w:rsidP="003E62EC">
            <w:pPr>
              <w:spacing w:after="0"/>
              <w:ind w:left="-15" w:right="-61"/>
              <w:jc w:val="center"/>
              <w:rPr>
                <w:rFonts w:ascii="Times New Roman" w:hAnsi="Times New Roman" w:cs="Times New Roman"/>
                <w:b/>
                <w:bCs/>
                <w:iCs/>
                <w:color w:val="000000"/>
                <w:sz w:val="24"/>
                <w:szCs w:val="24"/>
              </w:rPr>
            </w:pPr>
            <w:r w:rsidRPr="0001576D">
              <w:rPr>
                <w:rFonts w:ascii="Times New Roman" w:hAnsi="Times New Roman" w:cs="Times New Roman"/>
                <w:b/>
                <w:bCs/>
                <w:iCs/>
                <w:color w:val="000000"/>
                <w:sz w:val="24"/>
                <w:szCs w:val="24"/>
              </w:rPr>
              <w:t>385,4</w:t>
            </w:r>
          </w:p>
        </w:tc>
        <w:tc>
          <w:tcPr>
            <w:tcW w:w="761" w:type="dxa"/>
            <w:shd w:val="clear" w:color="auto" w:fill="auto"/>
            <w:vAlign w:val="center"/>
          </w:tcPr>
          <w:p w:rsidR="003E62EC" w:rsidRPr="0001576D" w:rsidRDefault="003E62EC" w:rsidP="003E62EC">
            <w:pPr>
              <w:spacing w:after="0"/>
              <w:ind w:left="-15"/>
              <w:jc w:val="center"/>
              <w:rPr>
                <w:rFonts w:ascii="Times New Roman" w:hAnsi="Times New Roman" w:cs="Times New Roman"/>
                <w:b/>
                <w:color w:val="000000"/>
                <w:sz w:val="24"/>
                <w:szCs w:val="24"/>
              </w:rPr>
            </w:pPr>
            <w:r w:rsidRPr="0001576D">
              <w:rPr>
                <w:rFonts w:ascii="Times New Roman" w:hAnsi="Times New Roman" w:cs="Times New Roman"/>
                <w:b/>
                <w:color w:val="000000"/>
                <w:sz w:val="24"/>
                <w:szCs w:val="24"/>
              </w:rPr>
              <w:t>412,6</w:t>
            </w:r>
          </w:p>
        </w:tc>
        <w:tc>
          <w:tcPr>
            <w:tcW w:w="1082" w:type="dxa"/>
            <w:vAlign w:val="center"/>
          </w:tcPr>
          <w:p w:rsidR="003E62EC" w:rsidRPr="0001576D" w:rsidRDefault="003E62EC" w:rsidP="003E62EC">
            <w:pPr>
              <w:spacing w:after="0"/>
              <w:jc w:val="center"/>
              <w:rPr>
                <w:rFonts w:ascii="Times New Roman" w:hAnsi="Times New Roman" w:cs="Times New Roman"/>
                <w:b/>
                <w:color w:val="000000"/>
                <w:sz w:val="24"/>
                <w:szCs w:val="24"/>
              </w:rPr>
            </w:pPr>
            <w:r w:rsidRPr="0001576D">
              <w:rPr>
                <w:rFonts w:ascii="Times New Roman" w:hAnsi="Times New Roman" w:cs="Times New Roman"/>
                <w:b/>
                <w:color w:val="000000"/>
                <w:sz w:val="24"/>
                <w:szCs w:val="24"/>
              </w:rPr>
              <w:t>+28,6%</w:t>
            </w:r>
          </w:p>
        </w:tc>
      </w:tr>
      <w:tr w:rsidR="003E62EC" w:rsidRPr="00832745" w:rsidTr="003E62EC">
        <w:trPr>
          <w:trHeight w:val="227"/>
        </w:trPr>
        <w:tc>
          <w:tcPr>
            <w:tcW w:w="2104" w:type="dxa"/>
            <w:gridSpan w:val="2"/>
            <w:shd w:val="clear" w:color="auto" w:fill="auto"/>
          </w:tcPr>
          <w:p w:rsidR="003E62EC" w:rsidRPr="00411AF9" w:rsidRDefault="003E62EC" w:rsidP="003E62EC">
            <w:pPr>
              <w:spacing w:after="0"/>
              <w:jc w:val="both"/>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Ponderea în total restanțe</w:t>
            </w:r>
          </w:p>
        </w:tc>
        <w:tc>
          <w:tcPr>
            <w:tcW w:w="1296" w:type="dxa"/>
            <w:vAlign w:val="center"/>
          </w:tcPr>
          <w:p w:rsidR="003E62EC" w:rsidRPr="008C0336" w:rsidRDefault="003E62EC" w:rsidP="003E62EC">
            <w:pPr>
              <w:spacing w:after="0"/>
              <w:jc w:val="center"/>
              <w:rPr>
                <w:rFonts w:ascii="Times New Roman" w:hAnsi="Times New Roman" w:cs="Times New Roman"/>
                <w:b/>
                <w:color w:val="000000"/>
                <w:sz w:val="24"/>
                <w:szCs w:val="24"/>
              </w:rPr>
            </w:pPr>
            <w:r w:rsidRPr="008C0336">
              <w:rPr>
                <w:rFonts w:ascii="Times New Roman" w:hAnsi="Times New Roman" w:cs="Times New Roman"/>
                <w:b/>
                <w:color w:val="000000"/>
                <w:sz w:val="24"/>
                <w:szCs w:val="24"/>
              </w:rPr>
              <w:t>100%</w:t>
            </w:r>
          </w:p>
        </w:tc>
        <w:tc>
          <w:tcPr>
            <w:tcW w:w="876" w:type="dxa"/>
            <w:vAlign w:val="center"/>
          </w:tcPr>
          <w:p w:rsidR="003E62EC" w:rsidRPr="008C0336" w:rsidRDefault="003E62EC" w:rsidP="003E62EC">
            <w:pPr>
              <w:spacing w:after="0"/>
              <w:ind w:left="-97"/>
              <w:jc w:val="center"/>
              <w:rPr>
                <w:rFonts w:ascii="Times New Roman" w:hAnsi="Times New Roman" w:cs="Times New Roman"/>
                <w:b/>
                <w:color w:val="000000"/>
                <w:sz w:val="24"/>
                <w:szCs w:val="24"/>
              </w:rPr>
            </w:pPr>
            <w:r w:rsidRPr="008C0336">
              <w:rPr>
                <w:rFonts w:ascii="Times New Roman" w:hAnsi="Times New Roman" w:cs="Times New Roman"/>
                <w:b/>
                <w:color w:val="000000"/>
                <w:sz w:val="24"/>
                <w:szCs w:val="24"/>
              </w:rPr>
              <w:t>77,8%</w:t>
            </w:r>
          </w:p>
        </w:tc>
        <w:tc>
          <w:tcPr>
            <w:tcW w:w="756" w:type="dxa"/>
            <w:vAlign w:val="center"/>
          </w:tcPr>
          <w:p w:rsidR="003E62EC" w:rsidRPr="0001576D" w:rsidRDefault="003E62EC" w:rsidP="003E62EC">
            <w:pPr>
              <w:spacing w:after="0"/>
              <w:ind w:left="-83" w:right="-163"/>
              <w:jc w:val="center"/>
              <w:rPr>
                <w:rFonts w:ascii="Times New Roman" w:hAnsi="Times New Roman" w:cs="Times New Roman"/>
                <w:b/>
                <w:color w:val="000000"/>
                <w:sz w:val="24"/>
                <w:szCs w:val="24"/>
              </w:rPr>
            </w:pPr>
            <w:r w:rsidRPr="0001576D">
              <w:rPr>
                <w:rFonts w:ascii="Times New Roman" w:hAnsi="Times New Roman" w:cs="Times New Roman"/>
                <w:b/>
                <w:color w:val="000000"/>
                <w:sz w:val="24"/>
                <w:szCs w:val="24"/>
              </w:rPr>
              <w:t>22,2%</w:t>
            </w:r>
          </w:p>
        </w:tc>
        <w:tc>
          <w:tcPr>
            <w:tcW w:w="1296" w:type="dxa"/>
            <w:shd w:val="clear" w:color="auto" w:fill="auto"/>
            <w:vAlign w:val="center"/>
          </w:tcPr>
          <w:p w:rsidR="003E62EC" w:rsidRPr="008C0336" w:rsidRDefault="003E62EC" w:rsidP="003E62EC">
            <w:pPr>
              <w:spacing w:after="0"/>
              <w:jc w:val="center"/>
              <w:rPr>
                <w:rFonts w:ascii="Times New Roman" w:hAnsi="Times New Roman" w:cs="Times New Roman"/>
                <w:b/>
                <w:color w:val="000000"/>
                <w:sz w:val="24"/>
                <w:szCs w:val="24"/>
              </w:rPr>
            </w:pPr>
            <w:r w:rsidRPr="008C0336">
              <w:rPr>
                <w:rFonts w:ascii="Times New Roman" w:hAnsi="Times New Roman" w:cs="Times New Roman"/>
                <w:b/>
                <w:color w:val="000000"/>
                <w:sz w:val="24"/>
                <w:szCs w:val="24"/>
              </w:rPr>
              <w:t>100%</w:t>
            </w:r>
          </w:p>
        </w:tc>
        <w:tc>
          <w:tcPr>
            <w:tcW w:w="756" w:type="dxa"/>
            <w:shd w:val="clear" w:color="auto" w:fill="auto"/>
            <w:vAlign w:val="center"/>
          </w:tcPr>
          <w:p w:rsidR="003E62EC" w:rsidRPr="008C0336" w:rsidRDefault="003E62EC" w:rsidP="003E62EC">
            <w:pPr>
              <w:spacing w:after="0"/>
              <w:ind w:left="-122" w:right="-113"/>
              <w:jc w:val="center"/>
              <w:rPr>
                <w:rFonts w:ascii="Times New Roman" w:hAnsi="Times New Roman" w:cs="Times New Roman"/>
                <w:b/>
                <w:bCs/>
                <w:iCs/>
                <w:color w:val="000000"/>
                <w:sz w:val="24"/>
                <w:szCs w:val="24"/>
              </w:rPr>
            </w:pPr>
            <w:r w:rsidRPr="008C0336">
              <w:rPr>
                <w:rFonts w:ascii="Times New Roman" w:hAnsi="Times New Roman" w:cs="Times New Roman"/>
                <w:b/>
                <w:bCs/>
                <w:iCs/>
                <w:color w:val="000000"/>
                <w:sz w:val="24"/>
                <w:szCs w:val="24"/>
              </w:rPr>
              <w:t>79,2%</w:t>
            </w:r>
          </w:p>
        </w:tc>
        <w:tc>
          <w:tcPr>
            <w:tcW w:w="756" w:type="dxa"/>
            <w:shd w:val="clear" w:color="auto" w:fill="auto"/>
            <w:vAlign w:val="center"/>
          </w:tcPr>
          <w:p w:rsidR="003E62EC" w:rsidRPr="0001576D" w:rsidRDefault="003E62EC" w:rsidP="003E62EC">
            <w:pPr>
              <w:spacing w:after="0"/>
              <w:ind w:left="-169" w:right="-169"/>
              <w:jc w:val="center"/>
              <w:rPr>
                <w:rFonts w:ascii="Times New Roman" w:hAnsi="Times New Roman" w:cs="Times New Roman"/>
                <w:b/>
                <w:bCs/>
                <w:iCs/>
                <w:color w:val="000000"/>
                <w:sz w:val="24"/>
                <w:szCs w:val="24"/>
              </w:rPr>
            </w:pPr>
            <w:r w:rsidRPr="0001576D">
              <w:rPr>
                <w:rFonts w:ascii="Times New Roman" w:hAnsi="Times New Roman" w:cs="Times New Roman"/>
                <w:b/>
                <w:bCs/>
                <w:iCs/>
                <w:color w:val="000000"/>
                <w:sz w:val="24"/>
                <w:szCs w:val="24"/>
              </w:rPr>
              <w:t>20,8%</w:t>
            </w:r>
          </w:p>
        </w:tc>
        <w:tc>
          <w:tcPr>
            <w:tcW w:w="761" w:type="dxa"/>
            <w:shd w:val="clear" w:color="auto" w:fill="auto"/>
            <w:vAlign w:val="center"/>
          </w:tcPr>
          <w:p w:rsidR="003E62EC" w:rsidRPr="008C0336" w:rsidRDefault="003E62EC" w:rsidP="003E62EC">
            <w:pPr>
              <w:spacing w:after="0"/>
              <w:jc w:val="center"/>
              <w:rPr>
                <w:rFonts w:ascii="Times New Roman" w:hAnsi="Times New Roman" w:cs="Times New Roman"/>
                <w:b/>
                <w:color w:val="000000"/>
                <w:sz w:val="24"/>
                <w:szCs w:val="24"/>
              </w:rPr>
            </w:pPr>
            <w:r w:rsidRPr="008C0336">
              <w:rPr>
                <w:rFonts w:ascii="Times New Roman" w:hAnsi="Times New Roman" w:cs="Times New Roman"/>
                <w:b/>
                <w:color w:val="000000"/>
                <w:sz w:val="24"/>
                <w:szCs w:val="24"/>
              </w:rPr>
              <w:t>-</w:t>
            </w:r>
          </w:p>
        </w:tc>
        <w:tc>
          <w:tcPr>
            <w:tcW w:w="1082" w:type="dxa"/>
            <w:vAlign w:val="center"/>
          </w:tcPr>
          <w:p w:rsidR="003E62EC" w:rsidRPr="008C0336" w:rsidRDefault="003E62EC" w:rsidP="003E62EC">
            <w:pPr>
              <w:spacing w:after="0"/>
              <w:jc w:val="center"/>
              <w:rPr>
                <w:rFonts w:ascii="Times New Roman" w:hAnsi="Times New Roman" w:cs="Times New Roman"/>
                <w:b/>
                <w:color w:val="000000"/>
                <w:sz w:val="24"/>
                <w:szCs w:val="24"/>
              </w:rPr>
            </w:pPr>
            <w:r w:rsidRPr="008C0336">
              <w:rPr>
                <w:rFonts w:ascii="Times New Roman" w:hAnsi="Times New Roman" w:cs="Times New Roman"/>
                <w:b/>
                <w:color w:val="000000"/>
                <w:sz w:val="24"/>
                <w:szCs w:val="24"/>
              </w:rPr>
              <w:t>-</w:t>
            </w:r>
          </w:p>
        </w:tc>
      </w:tr>
    </w:tbl>
    <w:p w:rsidR="003E62EC" w:rsidRPr="00190FC3" w:rsidRDefault="003E62EC" w:rsidP="003E62EC">
      <w:pPr>
        <w:ind w:right="-1"/>
        <w:jc w:val="both"/>
        <w:rPr>
          <w:rFonts w:ascii="Times New Roman" w:hAnsi="Times New Roman" w:cs="Times New Roman"/>
          <w:color w:val="000000"/>
          <w:spacing w:val="-1"/>
          <w:sz w:val="20"/>
          <w:szCs w:val="20"/>
        </w:rPr>
      </w:pPr>
      <w:r w:rsidRPr="00832745">
        <w:rPr>
          <w:rFonts w:ascii="Times New Roman" w:hAnsi="Times New Roman" w:cs="Times New Roman"/>
          <w:b/>
          <w:i/>
          <w:color w:val="000000"/>
          <w:spacing w:val="-1"/>
          <w:sz w:val="20"/>
          <w:szCs w:val="20"/>
        </w:rPr>
        <w:t>Surs</w:t>
      </w:r>
      <w:r w:rsidR="00CB4EB3">
        <w:rPr>
          <w:rFonts w:ascii="Times New Roman" w:hAnsi="Times New Roman" w:cs="Times New Roman"/>
          <w:b/>
          <w:i/>
          <w:color w:val="000000"/>
          <w:spacing w:val="-1"/>
          <w:sz w:val="20"/>
          <w:szCs w:val="20"/>
        </w:rPr>
        <w:t>ă</w:t>
      </w:r>
      <w:r w:rsidRPr="00832745">
        <w:rPr>
          <w:rFonts w:ascii="Times New Roman" w:hAnsi="Times New Roman" w:cs="Times New Roman"/>
          <w:b/>
          <w:i/>
          <w:color w:val="000000"/>
          <w:spacing w:val="-1"/>
          <w:sz w:val="20"/>
          <w:szCs w:val="20"/>
        </w:rPr>
        <w:t>:</w:t>
      </w:r>
      <w:r w:rsidRPr="00832745">
        <w:rPr>
          <w:rFonts w:ascii="Times New Roman" w:hAnsi="Times New Roman" w:cs="Times New Roman"/>
          <w:color w:val="000000"/>
          <w:spacing w:val="-1"/>
          <w:sz w:val="20"/>
          <w:szCs w:val="20"/>
        </w:rPr>
        <w:t xml:space="preserve"> </w:t>
      </w:r>
      <w:r w:rsidRPr="00D40DB8">
        <w:rPr>
          <w:rFonts w:ascii="Times New Roman" w:hAnsi="Times New Roman" w:cs="Times New Roman"/>
          <w:i/>
          <w:color w:val="000000"/>
          <w:spacing w:val="-1"/>
          <w:sz w:val="20"/>
          <w:szCs w:val="20"/>
        </w:rPr>
        <w:t>Informații generalizate de echipa de audit conform datelor prezentate de SV și SFS</w:t>
      </w:r>
      <w:r w:rsidR="00CB4EB3">
        <w:rPr>
          <w:rFonts w:ascii="Times New Roman" w:hAnsi="Times New Roman" w:cs="Times New Roman"/>
          <w:i/>
          <w:color w:val="000000"/>
          <w:spacing w:val="-1"/>
          <w:sz w:val="20"/>
          <w:szCs w:val="20"/>
        </w:rPr>
        <w:t>.</w:t>
      </w:r>
      <w:r w:rsidRPr="00832745">
        <w:rPr>
          <w:rFonts w:ascii="Times New Roman" w:hAnsi="Times New Roman" w:cs="Times New Roman"/>
          <w:b/>
        </w:rPr>
        <w:t xml:space="preserve"> </w:t>
      </w:r>
    </w:p>
    <w:p w:rsidR="003E62EC" w:rsidRDefault="003E62EC" w:rsidP="003E62EC">
      <w:pPr>
        <w:shd w:val="clear" w:color="auto" w:fill="FFFFFF" w:themeFill="background1"/>
        <w:spacing w:after="0" w:line="276" w:lineRule="auto"/>
        <w:ind w:firstLine="709"/>
        <w:jc w:val="both"/>
        <w:rPr>
          <w:rFonts w:ascii="Times New Roman" w:hAnsi="Times New Roman" w:cs="Times New Roman"/>
          <w:sz w:val="28"/>
          <w:szCs w:val="28"/>
        </w:rPr>
      </w:pPr>
      <w:r>
        <w:rPr>
          <w:rFonts w:ascii="Times New Roman" w:eastAsiaTheme="minorEastAsia" w:hAnsi="Times New Roman" w:cs="Times New Roman"/>
          <w:bCs/>
          <w:iCs/>
          <w:sz w:val="28"/>
          <w:szCs w:val="28"/>
          <w:lang w:eastAsia="ru-RU"/>
        </w:rPr>
        <w:t xml:space="preserve">Analiza datelor prezentate în tabel </w:t>
      </w:r>
      <w:r w:rsidRPr="007E4DF8">
        <w:rPr>
          <w:rFonts w:ascii="Times New Roman" w:hAnsi="Times New Roman" w:cs="Times New Roman"/>
          <w:sz w:val="28"/>
          <w:szCs w:val="28"/>
        </w:rPr>
        <w:t>denotă că restanțele la plăți</w:t>
      </w:r>
      <w:r>
        <w:rPr>
          <w:rFonts w:ascii="Times New Roman" w:hAnsi="Times New Roman" w:cs="Times New Roman"/>
          <w:sz w:val="28"/>
          <w:szCs w:val="28"/>
        </w:rPr>
        <w:t>le</w:t>
      </w:r>
      <w:r w:rsidRPr="007E4DF8">
        <w:rPr>
          <w:rFonts w:ascii="Times New Roman" w:hAnsi="Times New Roman" w:cs="Times New Roman"/>
          <w:sz w:val="28"/>
          <w:szCs w:val="28"/>
        </w:rPr>
        <w:t xml:space="preserve"> de bază au înregistrat o </w:t>
      </w:r>
      <w:r>
        <w:rPr>
          <w:rFonts w:ascii="Times New Roman" w:hAnsi="Times New Roman" w:cs="Times New Roman"/>
          <w:sz w:val="28"/>
          <w:szCs w:val="28"/>
        </w:rPr>
        <w:t>creștere</w:t>
      </w:r>
      <w:r w:rsidRPr="007E4DF8">
        <w:rPr>
          <w:rFonts w:ascii="Times New Roman" w:hAnsi="Times New Roman" w:cs="Times New Roman"/>
          <w:sz w:val="28"/>
          <w:szCs w:val="28"/>
        </w:rPr>
        <w:t xml:space="preserve"> față de anul precedent cu </w:t>
      </w:r>
      <w:r>
        <w:rPr>
          <w:rFonts w:ascii="Times New Roman" w:hAnsi="Times New Roman" w:cs="Times New Roman"/>
          <w:sz w:val="28"/>
          <w:szCs w:val="28"/>
        </w:rPr>
        <w:t>2</w:t>
      </w:r>
      <w:r w:rsidRPr="007E4DF8">
        <w:rPr>
          <w:rFonts w:ascii="Times New Roman" w:hAnsi="Times New Roman" w:cs="Times New Roman"/>
          <w:sz w:val="28"/>
          <w:szCs w:val="28"/>
        </w:rPr>
        <w:t>1</w:t>
      </w:r>
      <w:r>
        <w:rPr>
          <w:rFonts w:ascii="Times New Roman" w:hAnsi="Times New Roman" w:cs="Times New Roman"/>
          <w:sz w:val="28"/>
          <w:szCs w:val="28"/>
        </w:rPr>
        <w:t>0</w:t>
      </w:r>
      <w:r w:rsidRPr="007E4DF8">
        <w:rPr>
          <w:rFonts w:ascii="Times New Roman" w:hAnsi="Times New Roman" w:cs="Times New Roman"/>
          <w:sz w:val="28"/>
          <w:szCs w:val="28"/>
        </w:rPr>
        <w:t>,</w:t>
      </w:r>
      <w:r>
        <w:rPr>
          <w:rFonts w:ascii="Times New Roman" w:hAnsi="Times New Roman" w:cs="Times New Roman"/>
          <w:sz w:val="28"/>
          <w:szCs w:val="28"/>
        </w:rPr>
        <w:t>5 mil.lei, sau cu 28,2%.</w:t>
      </w:r>
      <w:r w:rsidRPr="007E4DF8">
        <w:rPr>
          <w:rFonts w:ascii="Times New Roman" w:hAnsi="Times New Roman" w:cs="Times New Roman"/>
          <w:sz w:val="28"/>
          <w:szCs w:val="28"/>
        </w:rPr>
        <w:t xml:space="preserve"> </w:t>
      </w:r>
      <w:r>
        <w:rPr>
          <w:rFonts w:ascii="Times New Roman" w:hAnsi="Times New Roman" w:cs="Times New Roman"/>
          <w:sz w:val="28"/>
          <w:szCs w:val="28"/>
        </w:rPr>
        <w:t>De asemenea, r</w:t>
      </w:r>
      <w:r w:rsidRPr="007E4DF8">
        <w:rPr>
          <w:rFonts w:ascii="Times New Roman" w:hAnsi="Times New Roman" w:cs="Times New Roman"/>
          <w:sz w:val="28"/>
          <w:szCs w:val="28"/>
        </w:rPr>
        <w:t xml:space="preserve">estanțele la plata amenzilor au înregistrat o </w:t>
      </w:r>
      <w:r>
        <w:rPr>
          <w:rFonts w:ascii="Times New Roman" w:hAnsi="Times New Roman" w:cs="Times New Roman"/>
          <w:sz w:val="28"/>
          <w:szCs w:val="28"/>
        </w:rPr>
        <w:t>majora</w:t>
      </w:r>
      <w:r w:rsidRPr="007E4DF8">
        <w:rPr>
          <w:rFonts w:ascii="Times New Roman" w:hAnsi="Times New Roman" w:cs="Times New Roman"/>
          <w:sz w:val="28"/>
          <w:szCs w:val="28"/>
        </w:rPr>
        <w:t xml:space="preserve">re față de anul precedent cu </w:t>
      </w:r>
      <w:r>
        <w:rPr>
          <w:rFonts w:ascii="Times New Roman" w:hAnsi="Times New Roman" w:cs="Times New Roman"/>
          <w:sz w:val="28"/>
          <w:szCs w:val="28"/>
        </w:rPr>
        <w:t>111</w:t>
      </w:r>
      <w:r w:rsidRPr="007E4DF8">
        <w:rPr>
          <w:rFonts w:ascii="Times New Roman" w:hAnsi="Times New Roman" w:cs="Times New Roman"/>
          <w:sz w:val="28"/>
          <w:szCs w:val="28"/>
        </w:rPr>
        <w:t>,</w:t>
      </w:r>
      <w:r>
        <w:rPr>
          <w:rFonts w:ascii="Times New Roman" w:hAnsi="Times New Roman" w:cs="Times New Roman"/>
          <w:sz w:val="28"/>
          <w:szCs w:val="28"/>
        </w:rPr>
        <w:t>1</w:t>
      </w:r>
      <w:r w:rsidRPr="007E4DF8">
        <w:rPr>
          <w:rFonts w:ascii="Times New Roman" w:hAnsi="Times New Roman" w:cs="Times New Roman"/>
          <w:sz w:val="28"/>
          <w:szCs w:val="28"/>
        </w:rPr>
        <w:t xml:space="preserve"> mil.lei</w:t>
      </w:r>
      <w:r>
        <w:rPr>
          <w:rFonts w:ascii="Times New Roman" w:hAnsi="Times New Roman" w:cs="Times New Roman"/>
          <w:sz w:val="28"/>
          <w:szCs w:val="28"/>
        </w:rPr>
        <w:t xml:space="preserve">, sau cu 33,0%, și </w:t>
      </w:r>
      <w:r w:rsidRPr="007E4DF8">
        <w:rPr>
          <w:rFonts w:ascii="Times New Roman" w:hAnsi="Times New Roman" w:cs="Times New Roman"/>
          <w:sz w:val="28"/>
          <w:szCs w:val="28"/>
        </w:rPr>
        <w:t xml:space="preserve">restanțele la plata penalităților </w:t>
      </w:r>
      <w:r>
        <w:rPr>
          <w:rFonts w:ascii="Times New Roman" w:hAnsi="Times New Roman" w:cs="Times New Roman"/>
          <w:sz w:val="28"/>
          <w:szCs w:val="28"/>
        </w:rPr>
        <w:t xml:space="preserve">– </w:t>
      </w:r>
      <w:r w:rsidRPr="007E4DF8">
        <w:rPr>
          <w:rFonts w:ascii="Times New Roman" w:hAnsi="Times New Roman" w:cs="Times New Roman"/>
          <w:sz w:val="28"/>
          <w:szCs w:val="28"/>
        </w:rPr>
        <w:t xml:space="preserve">o creștere cu </w:t>
      </w:r>
      <w:r>
        <w:rPr>
          <w:rFonts w:ascii="Times New Roman" w:hAnsi="Times New Roman" w:cs="Times New Roman"/>
          <w:sz w:val="28"/>
          <w:szCs w:val="28"/>
        </w:rPr>
        <w:t>91,0</w:t>
      </w:r>
      <w:r w:rsidRPr="007E4DF8">
        <w:rPr>
          <w:rFonts w:ascii="Times New Roman" w:hAnsi="Times New Roman" w:cs="Times New Roman"/>
          <w:sz w:val="28"/>
          <w:szCs w:val="28"/>
        </w:rPr>
        <w:t xml:space="preserve"> mil.lei</w:t>
      </w:r>
      <w:r w:rsidR="00CB4EB3">
        <w:rPr>
          <w:rFonts w:ascii="Times New Roman" w:hAnsi="Times New Roman" w:cs="Times New Roman"/>
          <w:sz w:val="28"/>
          <w:szCs w:val="28"/>
        </w:rPr>
        <w:t>,</w:t>
      </w:r>
      <w:r>
        <w:rPr>
          <w:rFonts w:ascii="Times New Roman" w:hAnsi="Times New Roman" w:cs="Times New Roman"/>
          <w:sz w:val="28"/>
          <w:szCs w:val="28"/>
        </w:rPr>
        <w:t xml:space="preserve"> sau cu 25,4%</w:t>
      </w:r>
      <w:r w:rsidRPr="007E4DF8">
        <w:rPr>
          <w:rFonts w:ascii="Times New Roman" w:hAnsi="Times New Roman" w:cs="Times New Roman"/>
          <w:sz w:val="28"/>
          <w:szCs w:val="28"/>
        </w:rPr>
        <w:t>.</w:t>
      </w:r>
    </w:p>
    <w:p w:rsidR="003E62EC" w:rsidRDefault="003E62EC" w:rsidP="003E62EC">
      <w:pPr>
        <w:shd w:val="clear" w:color="auto" w:fill="FFFFFF" w:themeFill="background1"/>
        <w:spacing w:after="0" w:line="276" w:lineRule="auto"/>
        <w:ind w:firstLine="709"/>
        <w:jc w:val="both"/>
        <w:rPr>
          <w:rFonts w:ascii="Times New Roman" w:eastAsiaTheme="minorEastAsia" w:hAnsi="Times New Roman" w:cs="Times New Roman"/>
          <w:bCs/>
          <w:iCs/>
          <w:sz w:val="28"/>
          <w:szCs w:val="28"/>
          <w:lang w:eastAsia="ru-RU"/>
        </w:rPr>
      </w:pPr>
      <w:r w:rsidRPr="00E745BD">
        <w:rPr>
          <w:rFonts w:ascii="Times New Roman" w:eastAsiaTheme="minorEastAsia" w:hAnsi="Times New Roman" w:cs="Times New Roman"/>
          <w:bCs/>
          <w:iCs/>
          <w:sz w:val="28"/>
          <w:szCs w:val="28"/>
          <w:lang w:eastAsia="ru-RU"/>
        </w:rPr>
        <w:t>În structura restanțelor</w:t>
      </w:r>
      <w:r>
        <w:rPr>
          <w:rFonts w:ascii="Times New Roman" w:eastAsiaTheme="minorEastAsia" w:hAnsi="Times New Roman" w:cs="Times New Roman"/>
          <w:bCs/>
          <w:iCs/>
          <w:sz w:val="28"/>
          <w:szCs w:val="28"/>
          <w:lang w:eastAsia="ru-RU"/>
        </w:rPr>
        <w:t xml:space="preserve"> la BS</w:t>
      </w:r>
      <w:r w:rsidRPr="00E745BD">
        <w:rPr>
          <w:rFonts w:ascii="Times New Roman" w:eastAsiaTheme="minorEastAsia" w:hAnsi="Times New Roman" w:cs="Times New Roman"/>
          <w:bCs/>
          <w:iCs/>
          <w:sz w:val="28"/>
          <w:szCs w:val="28"/>
          <w:lang w:eastAsia="ru-RU"/>
        </w:rPr>
        <w:t xml:space="preserve">, </w:t>
      </w:r>
      <w:r>
        <w:rPr>
          <w:rFonts w:ascii="Times New Roman" w:eastAsiaTheme="minorEastAsia" w:hAnsi="Times New Roman" w:cs="Times New Roman"/>
          <w:bCs/>
          <w:iCs/>
          <w:sz w:val="28"/>
          <w:szCs w:val="28"/>
          <w:lang w:eastAsia="ru-RU"/>
        </w:rPr>
        <w:t xml:space="preserve">cea mai semnificativă </w:t>
      </w:r>
      <w:r w:rsidRPr="00E745BD">
        <w:rPr>
          <w:rFonts w:ascii="Times New Roman" w:eastAsiaTheme="minorEastAsia" w:hAnsi="Times New Roman" w:cs="Times New Roman"/>
          <w:bCs/>
          <w:iCs/>
          <w:sz w:val="28"/>
          <w:szCs w:val="28"/>
          <w:lang w:eastAsia="ru-RU"/>
        </w:rPr>
        <w:t xml:space="preserve">parte o dețin plățile </w:t>
      </w:r>
      <w:r>
        <w:rPr>
          <w:rFonts w:ascii="Times New Roman" w:eastAsiaTheme="minorEastAsia" w:hAnsi="Times New Roman" w:cs="Times New Roman"/>
          <w:bCs/>
          <w:iCs/>
          <w:sz w:val="28"/>
          <w:szCs w:val="28"/>
          <w:lang w:eastAsia="ru-RU"/>
        </w:rPr>
        <w:t xml:space="preserve">obligațiilor fiscale </w:t>
      </w:r>
      <w:r w:rsidRPr="00E745BD">
        <w:rPr>
          <w:rFonts w:ascii="Times New Roman" w:eastAsiaTheme="minorEastAsia" w:hAnsi="Times New Roman" w:cs="Times New Roman"/>
          <w:bCs/>
          <w:iCs/>
          <w:sz w:val="28"/>
          <w:szCs w:val="28"/>
          <w:lang w:eastAsia="ru-RU"/>
        </w:rPr>
        <w:t xml:space="preserve">administrate de </w:t>
      </w:r>
      <w:r w:rsidR="00CB4EB3">
        <w:rPr>
          <w:rFonts w:ascii="Times New Roman" w:eastAsiaTheme="minorEastAsia" w:hAnsi="Times New Roman" w:cs="Times New Roman"/>
          <w:bCs/>
          <w:iCs/>
          <w:sz w:val="28"/>
          <w:szCs w:val="28"/>
          <w:lang w:eastAsia="ru-RU"/>
        </w:rPr>
        <w:t>SFS</w:t>
      </w:r>
      <w:r w:rsidRPr="00E745BD">
        <w:rPr>
          <w:rFonts w:ascii="Times New Roman" w:eastAsiaTheme="minorEastAsia" w:hAnsi="Times New Roman" w:cs="Times New Roman"/>
          <w:bCs/>
          <w:iCs/>
          <w:sz w:val="28"/>
          <w:szCs w:val="28"/>
          <w:lang w:eastAsia="ru-RU"/>
        </w:rPr>
        <w:t xml:space="preserve"> – 7</w:t>
      </w:r>
      <w:r>
        <w:rPr>
          <w:rFonts w:ascii="Times New Roman" w:eastAsiaTheme="minorEastAsia" w:hAnsi="Times New Roman" w:cs="Times New Roman"/>
          <w:bCs/>
          <w:iCs/>
          <w:sz w:val="28"/>
          <w:szCs w:val="28"/>
          <w:lang w:eastAsia="ru-RU"/>
        </w:rPr>
        <w:t>9</w:t>
      </w:r>
      <w:r w:rsidRPr="00E745BD">
        <w:rPr>
          <w:rFonts w:ascii="Times New Roman" w:eastAsiaTheme="minorEastAsia" w:hAnsi="Times New Roman" w:cs="Times New Roman"/>
          <w:bCs/>
          <w:iCs/>
          <w:sz w:val="28"/>
          <w:szCs w:val="28"/>
          <w:lang w:eastAsia="ru-RU"/>
        </w:rPr>
        <w:t>,</w:t>
      </w:r>
      <w:r>
        <w:rPr>
          <w:rFonts w:ascii="Times New Roman" w:eastAsiaTheme="minorEastAsia" w:hAnsi="Times New Roman" w:cs="Times New Roman"/>
          <w:bCs/>
          <w:iCs/>
          <w:sz w:val="28"/>
          <w:szCs w:val="28"/>
          <w:lang w:eastAsia="ru-RU"/>
        </w:rPr>
        <w:t>2</w:t>
      </w:r>
      <w:r w:rsidRPr="00E745BD">
        <w:rPr>
          <w:rFonts w:ascii="Times New Roman" w:eastAsiaTheme="minorEastAsia" w:hAnsi="Times New Roman" w:cs="Times New Roman"/>
          <w:bCs/>
          <w:iCs/>
          <w:sz w:val="28"/>
          <w:szCs w:val="28"/>
          <w:lang w:eastAsia="ru-RU"/>
        </w:rPr>
        <w:t>% (1</w:t>
      </w:r>
      <w:r>
        <w:rPr>
          <w:rFonts w:ascii="Times New Roman" w:eastAsiaTheme="minorEastAsia" w:hAnsi="Times New Roman" w:cs="Times New Roman"/>
          <w:bCs/>
          <w:iCs/>
          <w:sz w:val="28"/>
          <w:szCs w:val="28"/>
          <w:lang w:eastAsia="ru-RU"/>
        </w:rPr>
        <w:t>466</w:t>
      </w:r>
      <w:r w:rsidRPr="00E745BD">
        <w:rPr>
          <w:rFonts w:ascii="Times New Roman" w:eastAsiaTheme="minorEastAsia" w:hAnsi="Times New Roman" w:cs="Times New Roman"/>
          <w:bCs/>
          <w:iCs/>
          <w:sz w:val="28"/>
          <w:szCs w:val="28"/>
          <w:lang w:eastAsia="ru-RU"/>
        </w:rPr>
        <w:t>,</w:t>
      </w:r>
      <w:r>
        <w:rPr>
          <w:rFonts w:ascii="Times New Roman" w:eastAsiaTheme="minorEastAsia" w:hAnsi="Times New Roman" w:cs="Times New Roman"/>
          <w:bCs/>
          <w:iCs/>
          <w:sz w:val="28"/>
          <w:szCs w:val="28"/>
          <w:lang w:eastAsia="ru-RU"/>
        </w:rPr>
        <w:t>9</w:t>
      </w:r>
      <w:r w:rsidRPr="00E745BD">
        <w:rPr>
          <w:rFonts w:ascii="Times New Roman" w:eastAsiaTheme="minorEastAsia" w:hAnsi="Times New Roman" w:cs="Times New Roman"/>
          <w:bCs/>
          <w:iCs/>
          <w:sz w:val="28"/>
          <w:szCs w:val="28"/>
          <w:lang w:eastAsia="ru-RU"/>
        </w:rPr>
        <w:t xml:space="preserve"> mil.lei), care</w:t>
      </w:r>
      <w:r w:rsidR="00CB4EB3">
        <w:rPr>
          <w:rFonts w:ascii="Times New Roman" w:eastAsiaTheme="minorEastAsia" w:hAnsi="Times New Roman" w:cs="Times New Roman"/>
          <w:bCs/>
          <w:iCs/>
          <w:sz w:val="28"/>
          <w:szCs w:val="28"/>
          <w:lang w:eastAsia="ru-RU"/>
        </w:rPr>
        <w:t>,</w:t>
      </w:r>
      <w:r w:rsidRPr="00E745BD">
        <w:rPr>
          <w:rFonts w:ascii="Times New Roman" w:eastAsiaTheme="minorEastAsia" w:hAnsi="Times New Roman" w:cs="Times New Roman"/>
          <w:bCs/>
          <w:iCs/>
          <w:sz w:val="28"/>
          <w:szCs w:val="28"/>
          <w:lang w:eastAsia="ru-RU"/>
        </w:rPr>
        <w:t xml:space="preserve"> </w:t>
      </w:r>
      <w:r>
        <w:rPr>
          <w:rFonts w:ascii="Times New Roman" w:eastAsiaTheme="minorEastAsia" w:hAnsi="Times New Roman" w:cs="Times New Roman"/>
          <w:bCs/>
          <w:iCs/>
          <w:sz w:val="28"/>
          <w:szCs w:val="28"/>
          <w:lang w:eastAsia="ru-RU"/>
        </w:rPr>
        <w:t xml:space="preserve">față de anul precedent, </w:t>
      </w:r>
      <w:r w:rsidRPr="00E745BD">
        <w:rPr>
          <w:rFonts w:ascii="Times New Roman" w:eastAsiaTheme="minorEastAsia" w:hAnsi="Times New Roman" w:cs="Times New Roman"/>
          <w:bCs/>
          <w:iCs/>
          <w:sz w:val="28"/>
          <w:szCs w:val="28"/>
          <w:lang w:eastAsia="ru-RU"/>
        </w:rPr>
        <w:t xml:space="preserve">s-au majorat cu </w:t>
      </w:r>
      <w:r>
        <w:rPr>
          <w:rFonts w:ascii="Times New Roman" w:eastAsiaTheme="minorEastAsia" w:hAnsi="Times New Roman" w:cs="Times New Roman"/>
          <w:bCs/>
          <w:iCs/>
          <w:sz w:val="28"/>
          <w:szCs w:val="28"/>
          <w:lang w:eastAsia="ru-RU"/>
        </w:rPr>
        <w:t>346</w:t>
      </w:r>
      <w:r w:rsidRPr="00E745BD">
        <w:rPr>
          <w:rFonts w:ascii="Times New Roman" w:eastAsiaTheme="minorEastAsia" w:hAnsi="Times New Roman" w:cs="Times New Roman"/>
          <w:bCs/>
          <w:iCs/>
          <w:sz w:val="28"/>
          <w:szCs w:val="28"/>
          <w:lang w:eastAsia="ru-RU"/>
        </w:rPr>
        <w:t>,</w:t>
      </w:r>
      <w:r>
        <w:rPr>
          <w:rFonts w:ascii="Times New Roman" w:eastAsiaTheme="minorEastAsia" w:hAnsi="Times New Roman" w:cs="Times New Roman"/>
          <w:bCs/>
          <w:iCs/>
          <w:sz w:val="28"/>
          <w:szCs w:val="28"/>
          <w:lang w:eastAsia="ru-RU"/>
        </w:rPr>
        <w:t>3</w:t>
      </w:r>
      <w:r w:rsidRPr="00E745BD">
        <w:rPr>
          <w:rFonts w:ascii="Times New Roman" w:eastAsiaTheme="minorEastAsia" w:hAnsi="Times New Roman" w:cs="Times New Roman"/>
          <w:bCs/>
          <w:iCs/>
          <w:sz w:val="28"/>
          <w:szCs w:val="28"/>
          <w:lang w:eastAsia="ru-RU"/>
        </w:rPr>
        <w:t xml:space="preserve"> mil.lei (</w:t>
      </w:r>
      <w:r>
        <w:rPr>
          <w:rFonts w:ascii="Times New Roman" w:eastAsiaTheme="minorEastAsia" w:hAnsi="Times New Roman" w:cs="Times New Roman"/>
          <w:bCs/>
          <w:iCs/>
          <w:sz w:val="28"/>
          <w:szCs w:val="28"/>
          <w:lang w:eastAsia="ru-RU"/>
        </w:rPr>
        <w:t>+3</w:t>
      </w:r>
      <w:r w:rsidRPr="00E745BD">
        <w:rPr>
          <w:rFonts w:ascii="Times New Roman" w:eastAsiaTheme="minorEastAsia" w:hAnsi="Times New Roman" w:cs="Times New Roman"/>
          <w:bCs/>
          <w:iCs/>
          <w:sz w:val="28"/>
          <w:szCs w:val="28"/>
          <w:lang w:eastAsia="ru-RU"/>
        </w:rPr>
        <w:t>0,</w:t>
      </w:r>
      <w:r>
        <w:rPr>
          <w:rFonts w:ascii="Times New Roman" w:eastAsiaTheme="minorEastAsia" w:hAnsi="Times New Roman" w:cs="Times New Roman"/>
          <w:bCs/>
          <w:iCs/>
          <w:sz w:val="28"/>
          <w:szCs w:val="28"/>
          <w:lang w:eastAsia="ru-RU"/>
        </w:rPr>
        <w:t>9</w:t>
      </w:r>
      <w:r w:rsidRPr="00E745BD">
        <w:rPr>
          <w:rFonts w:ascii="Times New Roman" w:eastAsiaTheme="minorEastAsia" w:hAnsi="Times New Roman" w:cs="Times New Roman"/>
          <w:bCs/>
          <w:iCs/>
          <w:sz w:val="28"/>
          <w:szCs w:val="28"/>
          <w:lang w:eastAsia="ru-RU"/>
        </w:rPr>
        <w:t>%). Restanțel</w:t>
      </w:r>
      <w:r>
        <w:rPr>
          <w:rFonts w:ascii="Times New Roman" w:eastAsiaTheme="minorEastAsia" w:hAnsi="Times New Roman" w:cs="Times New Roman"/>
          <w:bCs/>
          <w:iCs/>
          <w:sz w:val="28"/>
          <w:szCs w:val="28"/>
          <w:lang w:eastAsia="ru-RU"/>
        </w:rPr>
        <w:t>e</w:t>
      </w:r>
      <w:r w:rsidRPr="00E745BD">
        <w:rPr>
          <w:rFonts w:ascii="Times New Roman" w:eastAsiaTheme="minorEastAsia" w:hAnsi="Times New Roman" w:cs="Times New Roman"/>
          <w:bCs/>
          <w:iCs/>
          <w:sz w:val="28"/>
          <w:szCs w:val="28"/>
          <w:lang w:eastAsia="ru-RU"/>
        </w:rPr>
        <w:t xml:space="preserve"> la </w:t>
      </w:r>
      <w:r>
        <w:rPr>
          <w:rFonts w:ascii="Times New Roman" w:eastAsiaTheme="minorEastAsia" w:hAnsi="Times New Roman" w:cs="Times New Roman"/>
          <w:bCs/>
          <w:iCs/>
          <w:sz w:val="28"/>
          <w:szCs w:val="28"/>
          <w:lang w:eastAsia="ru-RU"/>
        </w:rPr>
        <w:t>plata obligațiilor vamale</w:t>
      </w:r>
      <w:r w:rsidRPr="00E745BD">
        <w:rPr>
          <w:rFonts w:ascii="Times New Roman" w:eastAsiaTheme="minorEastAsia" w:hAnsi="Times New Roman" w:cs="Times New Roman"/>
          <w:bCs/>
          <w:iCs/>
          <w:sz w:val="28"/>
          <w:szCs w:val="28"/>
          <w:lang w:eastAsia="ru-RU"/>
        </w:rPr>
        <w:t xml:space="preserve"> administrate de SV re</w:t>
      </w:r>
      <w:r>
        <w:rPr>
          <w:rFonts w:ascii="Times New Roman" w:eastAsiaTheme="minorEastAsia" w:hAnsi="Times New Roman" w:cs="Times New Roman"/>
          <w:bCs/>
          <w:iCs/>
          <w:sz w:val="28"/>
          <w:szCs w:val="28"/>
          <w:lang w:eastAsia="ru-RU"/>
        </w:rPr>
        <w:t xml:space="preserve">prezintă </w:t>
      </w:r>
      <w:r w:rsidRPr="00E745BD">
        <w:rPr>
          <w:rFonts w:ascii="Times New Roman" w:eastAsiaTheme="minorEastAsia" w:hAnsi="Times New Roman" w:cs="Times New Roman"/>
          <w:bCs/>
          <w:iCs/>
          <w:sz w:val="28"/>
          <w:szCs w:val="28"/>
          <w:lang w:eastAsia="ru-RU"/>
        </w:rPr>
        <w:t>2</w:t>
      </w:r>
      <w:r>
        <w:rPr>
          <w:rFonts w:ascii="Times New Roman" w:eastAsiaTheme="minorEastAsia" w:hAnsi="Times New Roman" w:cs="Times New Roman"/>
          <w:bCs/>
          <w:iCs/>
          <w:sz w:val="28"/>
          <w:szCs w:val="28"/>
          <w:lang w:eastAsia="ru-RU"/>
        </w:rPr>
        <w:t>0</w:t>
      </w:r>
      <w:r w:rsidRPr="00E745BD">
        <w:rPr>
          <w:rFonts w:ascii="Times New Roman" w:eastAsiaTheme="minorEastAsia" w:hAnsi="Times New Roman" w:cs="Times New Roman"/>
          <w:bCs/>
          <w:iCs/>
          <w:sz w:val="28"/>
          <w:szCs w:val="28"/>
          <w:lang w:eastAsia="ru-RU"/>
        </w:rPr>
        <w:t>,</w:t>
      </w:r>
      <w:r>
        <w:rPr>
          <w:rFonts w:ascii="Times New Roman" w:eastAsiaTheme="minorEastAsia" w:hAnsi="Times New Roman" w:cs="Times New Roman"/>
          <w:bCs/>
          <w:iCs/>
          <w:sz w:val="28"/>
          <w:szCs w:val="28"/>
          <w:lang w:eastAsia="ru-RU"/>
        </w:rPr>
        <w:t>8</w:t>
      </w:r>
      <w:r w:rsidRPr="00E745BD">
        <w:rPr>
          <w:rFonts w:ascii="Times New Roman" w:eastAsiaTheme="minorEastAsia" w:hAnsi="Times New Roman" w:cs="Times New Roman"/>
          <w:bCs/>
          <w:iCs/>
          <w:sz w:val="28"/>
          <w:szCs w:val="28"/>
          <w:lang w:eastAsia="ru-RU"/>
        </w:rPr>
        <w:t>% (3</w:t>
      </w:r>
      <w:r>
        <w:rPr>
          <w:rFonts w:ascii="Times New Roman" w:eastAsiaTheme="minorEastAsia" w:hAnsi="Times New Roman" w:cs="Times New Roman"/>
          <w:bCs/>
          <w:iCs/>
          <w:sz w:val="28"/>
          <w:szCs w:val="28"/>
          <w:lang w:eastAsia="ru-RU"/>
        </w:rPr>
        <w:t>85</w:t>
      </w:r>
      <w:r w:rsidRPr="00E745BD">
        <w:rPr>
          <w:rFonts w:ascii="Times New Roman" w:eastAsiaTheme="minorEastAsia" w:hAnsi="Times New Roman" w:cs="Times New Roman"/>
          <w:bCs/>
          <w:iCs/>
          <w:sz w:val="28"/>
          <w:szCs w:val="28"/>
          <w:lang w:eastAsia="ru-RU"/>
        </w:rPr>
        <w:t>,</w:t>
      </w:r>
      <w:r>
        <w:rPr>
          <w:rFonts w:ascii="Times New Roman" w:eastAsiaTheme="minorEastAsia" w:hAnsi="Times New Roman" w:cs="Times New Roman"/>
          <w:bCs/>
          <w:iCs/>
          <w:sz w:val="28"/>
          <w:szCs w:val="28"/>
          <w:lang w:eastAsia="ru-RU"/>
        </w:rPr>
        <w:t>4</w:t>
      </w:r>
      <w:r w:rsidRPr="00E745BD">
        <w:rPr>
          <w:rFonts w:ascii="Times New Roman" w:eastAsiaTheme="minorEastAsia" w:hAnsi="Times New Roman" w:cs="Times New Roman"/>
          <w:bCs/>
          <w:iCs/>
          <w:sz w:val="28"/>
          <w:szCs w:val="28"/>
          <w:lang w:eastAsia="ru-RU"/>
        </w:rPr>
        <w:t xml:space="preserve"> mil.lei)</w:t>
      </w:r>
      <w:r>
        <w:rPr>
          <w:rFonts w:ascii="Times New Roman" w:eastAsiaTheme="minorEastAsia" w:hAnsi="Times New Roman" w:cs="Times New Roman"/>
          <w:bCs/>
          <w:iCs/>
          <w:sz w:val="28"/>
          <w:szCs w:val="28"/>
          <w:lang w:eastAsia="ru-RU"/>
        </w:rPr>
        <w:t xml:space="preserve"> din totalul restanțelor</w:t>
      </w:r>
      <w:r w:rsidRPr="00E745BD">
        <w:rPr>
          <w:rFonts w:ascii="Times New Roman" w:eastAsiaTheme="minorEastAsia" w:hAnsi="Times New Roman" w:cs="Times New Roman"/>
          <w:bCs/>
          <w:iCs/>
          <w:sz w:val="28"/>
          <w:szCs w:val="28"/>
          <w:lang w:eastAsia="ru-RU"/>
        </w:rPr>
        <w:t xml:space="preserve">, </w:t>
      </w:r>
      <w:r>
        <w:rPr>
          <w:rFonts w:ascii="Times New Roman" w:eastAsiaTheme="minorEastAsia" w:hAnsi="Times New Roman" w:cs="Times New Roman"/>
          <w:bCs/>
          <w:iCs/>
          <w:sz w:val="28"/>
          <w:szCs w:val="28"/>
          <w:lang w:eastAsia="ru-RU"/>
        </w:rPr>
        <w:t xml:space="preserve">acestea </w:t>
      </w:r>
      <w:r w:rsidRPr="00E745BD">
        <w:rPr>
          <w:rFonts w:ascii="Times New Roman" w:eastAsiaTheme="minorEastAsia" w:hAnsi="Times New Roman" w:cs="Times New Roman"/>
          <w:bCs/>
          <w:iCs/>
          <w:sz w:val="28"/>
          <w:szCs w:val="28"/>
          <w:lang w:eastAsia="ru-RU"/>
        </w:rPr>
        <w:t>majorând</w:t>
      </w:r>
      <w:r>
        <w:rPr>
          <w:rFonts w:ascii="Times New Roman" w:eastAsiaTheme="minorEastAsia" w:hAnsi="Times New Roman" w:cs="Times New Roman"/>
          <w:bCs/>
          <w:iCs/>
          <w:sz w:val="28"/>
          <w:szCs w:val="28"/>
          <w:lang w:eastAsia="ru-RU"/>
        </w:rPr>
        <w:t>u</w:t>
      </w:r>
      <w:r w:rsidRPr="00E745BD">
        <w:rPr>
          <w:rFonts w:ascii="Times New Roman" w:eastAsiaTheme="minorEastAsia" w:hAnsi="Times New Roman" w:cs="Times New Roman"/>
          <w:bCs/>
          <w:iCs/>
          <w:sz w:val="28"/>
          <w:szCs w:val="28"/>
          <w:lang w:eastAsia="ru-RU"/>
        </w:rPr>
        <w:t xml:space="preserve">-se față de anul precedent cu </w:t>
      </w:r>
      <w:r>
        <w:rPr>
          <w:rFonts w:ascii="Times New Roman" w:eastAsiaTheme="minorEastAsia" w:hAnsi="Times New Roman" w:cs="Times New Roman"/>
          <w:bCs/>
          <w:iCs/>
          <w:sz w:val="28"/>
          <w:szCs w:val="28"/>
          <w:lang w:eastAsia="ru-RU"/>
        </w:rPr>
        <w:t>65,9 mil.lei (+20,6%)</w:t>
      </w:r>
      <w:r w:rsidRPr="00E745BD">
        <w:rPr>
          <w:rFonts w:ascii="Times New Roman" w:eastAsiaTheme="minorEastAsia" w:hAnsi="Times New Roman" w:cs="Times New Roman"/>
          <w:bCs/>
          <w:iCs/>
          <w:sz w:val="28"/>
          <w:szCs w:val="28"/>
          <w:lang w:eastAsia="ru-RU"/>
        </w:rPr>
        <w:t>.</w:t>
      </w:r>
      <w:r>
        <w:rPr>
          <w:rFonts w:ascii="Times New Roman" w:eastAsiaTheme="minorEastAsia" w:hAnsi="Times New Roman" w:cs="Times New Roman"/>
          <w:bCs/>
          <w:iCs/>
          <w:sz w:val="28"/>
          <w:szCs w:val="28"/>
          <w:lang w:eastAsia="ru-RU"/>
        </w:rPr>
        <w:t xml:space="preserve"> </w:t>
      </w:r>
      <w:r w:rsidRPr="008B013D">
        <w:rPr>
          <w:rFonts w:ascii="Times New Roman" w:eastAsiaTheme="minorEastAsia" w:hAnsi="Times New Roman" w:cs="Times New Roman"/>
          <w:bCs/>
          <w:i/>
          <w:iCs/>
          <w:sz w:val="28"/>
          <w:szCs w:val="28"/>
          <w:lang w:eastAsia="ru-RU"/>
        </w:rPr>
        <w:t>Situația grafică privind restanțele față de BS administrate de SFS și SV la situația din 31.12.2017 se prezintă în</w:t>
      </w:r>
      <w:r>
        <w:rPr>
          <w:rFonts w:ascii="Times New Roman" w:eastAsiaTheme="minorEastAsia" w:hAnsi="Times New Roman" w:cs="Times New Roman"/>
          <w:bCs/>
          <w:iCs/>
          <w:sz w:val="28"/>
          <w:szCs w:val="28"/>
          <w:lang w:eastAsia="ru-RU"/>
        </w:rPr>
        <w:t xml:space="preserve"> </w:t>
      </w:r>
      <w:r w:rsidRPr="00555618">
        <w:rPr>
          <w:rFonts w:ascii="Times New Roman" w:eastAsiaTheme="minorEastAsia" w:hAnsi="Times New Roman" w:cs="Times New Roman"/>
          <w:bCs/>
          <w:i/>
          <w:iCs/>
          <w:sz w:val="28"/>
          <w:szCs w:val="28"/>
          <w:lang w:eastAsia="ru-RU"/>
        </w:rPr>
        <w:t>Diagrama nr.</w:t>
      </w:r>
      <w:r w:rsidR="008E7A98">
        <w:rPr>
          <w:rFonts w:ascii="Times New Roman" w:eastAsiaTheme="minorEastAsia" w:hAnsi="Times New Roman" w:cs="Times New Roman"/>
          <w:bCs/>
          <w:i/>
          <w:iCs/>
          <w:sz w:val="28"/>
          <w:szCs w:val="28"/>
          <w:lang w:eastAsia="ru-RU"/>
        </w:rPr>
        <w:t>1</w:t>
      </w:r>
      <w:r>
        <w:rPr>
          <w:rFonts w:ascii="Times New Roman" w:eastAsiaTheme="minorEastAsia" w:hAnsi="Times New Roman" w:cs="Times New Roman"/>
          <w:bCs/>
          <w:i/>
          <w:iCs/>
          <w:sz w:val="28"/>
          <w:szCs w:val="28"/>
          <w:lang w:eastAsia="ru-RU"/>
        </w:rPr>
        <w:t xml:space="preserve"> din </w:t>
      </w:r>
      <w:r w:rsidRPr="0001576D">
        <w:rPr>
          <w:rFonts w:ascii="Times New Roman" w:eastAsiaTheme="minorEastAsia" w:hAnsi="Times New Roman" w:cs="Times New Roman"/>
          <w:bCs/>
          <w:i/>
          <w:iCs/>
          <w:sz w:val="28"/>
          <w:szCs w:val="28"/>
          <w:lang w:eastAsia="ru-RU"/>
        </w:rPr>
        <w:t>Anexa</w:t>
      </w:r>
      <w:r w:rsidR="00E42170">
        <w:rPr>
          <w:rFonts w:ascii="Times New Roman" w:eastAsiaTheme="minorEastAsia" w:hAnsi="Times New Roman" w:cs="Times New Roman"/>
          <w:bCs/>
          <w:i/>
          <w:iCs/>
          <w:sz w:val="28"/>
          <w:szCs w:val="28"/>
          <w:lang w:eastAsia="ru-RU"/>
        </w:rPr>
        <w:t xml:space="preserve"> </w:t>
      </w:r>
      <w:r w:rsidRPr="00E42170">
        <w:rPr>
          <w:rFonts w:ascii="Times New Roman" w:eastAsiaTheme="minorEastAsia" w:hAnsi="Times New Roman" w:cs="Times New Roman"/>
          <w:bCs/>
          <w:i/>
          <w:iCs/>
          <w:sz w:val="28"/>
          <w:szCs w:val="28"/>
          <w:lang w:eastAsia="ru-RU"/>
        </w:rPr>
        <w:t>nr.</w:t>
      </w:r>
      <w:r w:rsidR="003B4CAE" w:rsidRPr="00E42170">
        <w:rPr>
          <w:rFonts w:ascii="Times New Roman" w:eastAsiaTheme="minorEastAsia" w:hAnsi="Times New Roman" w:cs="Times New Roman"/>
          <w:bCs/>
          <w:i/>
          <w:iCs/>
          <w:sz w:val="28"/>
          <w:szCs w:val="28"/>
          <w:lang w:eastAsia="ru-RU"/>
        </w:rPr>
        <w:t>4</w:t>
      </w:r>
      <w:r w:rsidRPr="00E42170">
        <w:rPr>
          <w:rFonts w:ascii="Times New Roman" w:eastAsiaTheme="minorEastAsia" w:hAnsi="Times New Roman" w:cs="Times New Roman"/>
          <w:bCs/>
          <w:i/>
          <w:iCs/>
          <w:sz w:val="28"/>
          <w:szCs w:val="28"/>
          <w:lang w:eastAsia="ru-RU"/>
        </w:rPr>
        <w:t xml:space="preserve"> </w:t>
      </w:r>
      <w:r w:rsidRPr="0001576D">
        <w:rPr>
          <w:rFonts w:ascii="Times New Roman" w:eastAsiaTheme="minorEastAsia" w:hAnsi="Times New Roman" w:cs="Times New Roman"/>
          <w:bCs/>
          <w:i/>
          <w:iCs/>
          <w:sz w:val="28"/>
          <w:szCs w:val="28"/>
          <w:lang w:eastAsia="ru-RU"/>
        </w:rPr>
        <w:t>la prezentul Raport</w:t>
      </w:r>
      <w:r w:rsidR="00CB4EB3">
        <w:rPr>
          <w:rFonts w:ascii="Times New Roman" w:eastAsiaTheme="minorEastAsia" w:hAnsi="Times New Roman" w:cs="Times New Roman"/>
          <w:bCs/>
          <w:i/>
          <w:iCs/>
          <w:sz w:val="28"/>
          <w:szCs w:val="28"/>
          <w:lang w:eastAsia="ru-RU"/>
        </w:rPr>
        <w:t xml:space="preserve"> de audit</w:t>
      </w:r>
      <w:r w:rsidRPr="0001576D">
        <w:rPr>
          <w:rFonts w:ascii="Times New Roman" w:eastAsiaTheme="minorEastAsia" w:hAnsi="Times New Roman" w:cs="Times New Roman"/>
          <w:bCs/>
          <w:iCs/>
          <w:sz w:val="28"/>
          <w:szCs w:val="28"/>
          <w:lang w:eastAsia="ru-RU"/>
        </w:rPr>
        <w:t>.</w:t>
      </w:r>
    </w:p>
    <w:p w:rsidR="003E62EC" w:rsidRPr="008B013D" w:rsidRDefault="003E62EC" w:rsidP="003E62EC">
      <w:pPr>
        <w:spacing w:line="276" w:lineRule="auto"/>
        <w:ind w:firstLine="709"/>
        <w:contextualSpacing/>
        <w:jc w:val="both"/>
        <w:rPr>
          <w:rFonts w:ascii="Times New Roman" w:eastAsiaTheme="minorEastAsia" w:hAnsi="Times New Roman" w:cs="Times New Roman"/>
          <w:bCs/>
          <w:i/>
          <w:iCs/>
          <w:sz w:val="28"/>
          <w:szCs w:val="28"/>
          <w:lang w:eastAsia="ru-RU"/>
        </w:rPr>
      </w:pPr>
      <w:r w:rsidRPr="00E745BD">
        <w:rPr>
          <w:rFonts w:ascii="Times New Roman" w:eastAsiaTheme="minorEastAsia" w:hAnsi="Times New Roman" w:cs="Times New Roman"/>
          <w:bCs/>
          <w:iCs/>
          <w:sz w:val="28"/>
          <w:szCs w:val="28"/>
          <w:lang w:eastAsia="ru-RU"/>
        </w:rPr>
        <w:t xml:space="preserve">Analiza restanțelor </w:t>
      </w:r>
      <w:r>
        <w:rPr>
          <w:rFonts w:ascii="Times New Roman" w:eastAsiaTheme="minorEastAsia" w:hAnsi="Times New Roman" w:cs="Times New Roman"/>
          <w:bCs/>
          <w:iCs/>
          <w:sz w:val="28"/>
          <w:szCs w:val="28"/>
          <w:lang w:eastAsia="ru-RU"/>
        </w:rPr>
        <w:t>la plăți</w:t>
      </w:r>
      <w:r w:rsidR="00CB4EB3">
        <w:rPr>
          <w:rFonts w:ascii="Times New Roman" w:eastAsiaTheme="minorEastAsia" w:hAnsi="Times New Roman" w:cs="Times New Roman"/>
          <w:bCs/>
          <w:iCs/>
          <w:sz w:val="28"/>
          <w:szCs w:val="28"/>
          <w:lang w:eastAsia="ru-RU"/>
        </w:rPr>
        <w:t>le</w:t>
      </w:r>
      <w:r>
        <w:rPr>
          <w:rFonts w:ascii="Times New Roman" w:eastAsiaTheme="minorEastAsia" w:hAnsi="Times New Roman" w:cs="Times New Roman"/>
          <w:bCs/>
          <w:iCs/>
          <w:sz w:val="28"/>
          <w:szCs w:val="28"/>
          <w:lang w:eastAsia="ru-RU"/>
        </w:rPr>
        <w:t xml:space="preserve"> de bază</w:t>
      </w:r>
      <w:r w:rsidR="00CB4EB3">
        <w:rPr>
          <w:rFonts w:ascii="Times New Roman" w:eastAsiaTheme="minorEastAsia" w:hAnsi="Times New Roman" w:cs="Times New Roman"/>
          <w:bCs/>
          <w:iCs/>
          <w:sz w:val="28"/>
          <w:szCs w:val="28"/>
          <w:lang w:eastAsia="ru-RU"/>
        </w:rPr>
        <w:t>,</w:t>
      </w:r>
      <w:r>
        <w:rPr>
          <w:rFonts w:ascii="Times New Roman" w:eastAsiaTheme="minorEastAsia" w:hAnsi="Times New Roman" w:cs="Times New Roman"/>
          <w:bCs/>
          <w:iCs/>
          <w:sz w:val="28"/>
          <w:szCs w:val="28"/>
          <w:lang w:eastAsia="ru-RU"/>
        </w:rPr>
        <w:t xml:space="preserve"> </w:t>
      </w:r>
      <w:r w:rsidRPr="00E745BD">
        <w:rPr>
          <w:rFonts w:ascii="Times New Roman" w:eastAsiaTheme="minorEastAsia" w:hAnsi="Times New Roman" w:cs="Times New Roman"/>
          <w:bCs/>
          <w:iCs/>
          <w:sz w:val="28"/>
          <w:szCs w:val="28"/>
          <w:lang w:eastAsia="ru-RU"/>
        </w:rPr>
        <w:t>pe tipuri de impozite</w:t>
      </w:r>
      <w:r>
        <w:rPr>
          <w:rFonts w:ascii="Times New Roman" w:eastAsiaTheme="minorEastAsia" w:hAnsi="Times New Roman" w:cs="Times New Roman"/>
          <w:bCs/>
          <w:iCs/>
          <w:sz w:val="28"/>
          <w:szCs w:val="28"/>
          <w:lang w:eastAsia="ru-RU"/>
        </w:rPr>
        <w:t xml:space="preserve"> și taxe</w:t>
      </w:r>
      <w:r w:rsidR="00CB4EB3">
        <w:rPr>
          <w:rFonts w:ascii="Times New Roman" w:eastAsiaTheme="minorEastAsia" w:hAnsi="Times New Roman" w:cs="Times New Roman"/>
          <w:bCs/>
          <w:iCs/>
          <w:sz w:val="28"/>
          <w:szCs w:val="28"/>
          <w:lang w:eastAsia="ru-RU"/>
        </w:rPr>
        <w:t>,</w:t>
      </w:r>
      <w:r>
        <w:rPr>
          <w:rFonts w:ascii="Times New Roman" w:eastAsiaTheme="minorEastAsia" w:hAnsi="Times New Roman" w:cs="Times New Roman"/>
          <w:bCs/>
          <w:iCs/>
          <w:sz w:val="28"/>
          <w:szCs w:val="28"/>
          <w:lang w:eastAsia="ru-RU"/>
        </w:rPr>
        <w:t xml:space="preserve"> atest</w:t>
      </w:r>
      <w:r w:rsidRPr="00E745BD">
        <w:rPr>
          <w:rFonts w:ascii="Times New Roman" w:eastAsiaTheme="minorEastAsia" w:hAnsi="Times New Roman" w:cs="Times New Roman"/>
          <w:bCs/>
          <w:iCs/>
          <w:sz w:val="28"/>
          <w:szCs w:val="28"/>
          <w:lang w:eastAsia="ru-RU"/>
        </w:rPr>
        <w:t xml:space="preserve">ă că partea preponderentă de </w:t>
      </w:r>
      <w:r>
        <w:rPr>
          <w:rFonts w:ascii="Times New Roman" w:eastAsiaTheme="minorEastAsia" w:hAnsi="Times New Roman" w:cs="Times New Roman"/>
          <w:bCs/>
          <w:iCs/>
          <w:sz w:val="28"/>
          <w:szCs w:val="28"/>
          <w:lang w:eastAsia="ru-RU"/>
        </w:rPr>
        <w:t>63</w:t>
      </w:r>
      <w:r w:rsidRPr="00E745BD">
        <w:rPr>
          <w:rFonts w:ascii="Times New Roman" w:eastAsiaTheme="minorEastAsia" w:hAnsi="Times New Roman" w:cs="Times New Roman"/>
          <w:bCs/>
          <w:iCs/>
          <w:sz w:val="28"/>
          <w:szCs w:val="28"/>
          <w:lang w:eastAsia="ru-RU"/>
        </w:rPr>
        <w:t>,</w:t>
      </w:r>
      <w:r>
        <w:rPr>
          <w:rFonts w:ascii="Times New Roman" w:eastAsiaTheme="minorEastAsia" w:hAnsi="Times New Roman" w:cs="Times New Roman"/>
          <w:bCs/>
          <w:iCs/>
          <w:sz w:val="28"/>
          <w:szCs w:val="28"/>
          <w:lang w:eastAsia="ru-RU"/>
        </w:rPr>
        <w:t>9</w:t>
      </w:r>
      <w:r w:rsidRPr="00E745BD">
        <w:rPr>
          <w:rFonts w:ascii="Times New Roman" w:eastAsiaTheme="minorEastAsia" w:hAnsi="Times New Roman" w:cs="Times New Roman"/>
          <w:bCs/>
          <w:iCs/>
          <w:sz w:val="28"/>
          <w:szCs w:val="28"/>
          <w:lang w:eastAsia="ru-RU"/>
        </w:rPr>
        <w:t>% (6</w:t>
      </w:r>
      <w:r>
        <w:rPr>
          <w:rFonts w:ascii="Times New Roman" w:eastAsiaTheme="minorEastAsia" w:hAnsi="Times New Roman" w:cs="Times New Roman"/>
          <w:bCs/>
          <w:iCs/>
          <w:sz w:val="28"/>
          <w:szCs w:val="28"/>
          <w:lang w:eastAsia="ru-RU"/>
        </w:rPr>
        <w:t>10</w:t>
      </w:r>
      <w:r w:rsidRPr="00E745BD">
        <w:rPr>
          <w:rFonts w:ascii="Times New Roman" w:eastAsiaTheme="minorEastAsia" w:hAnsi="Times New Roman" w:cs="Times New Roman"/>
          <w:bCs/>
          <w:iCs/>
          <w:sz w:val="28"/>
          <w:szCs w:val="28"/>
          <w:lang w:eastAsia="ru-RU"/>
        </w:rPr>
        <w:t>,</w:t>
      </w:r>
      <w:r>
        <w:rPr>
          <w:rFonts w:ascii="Times New Roman" w:eastAsiaTheme="minorEastAsia" w:hAnsi="Times New Roman" w:cs="Times New Roman"/>
          <w:bCs/>
          <w:iCs/>
          <w:sz w:val="28"/>
          <w:szCs w:val="28"/>
          <w:lang w:eastAsia="ru-RU"/>
        </w:rPr>
        <w:t>9</w:t>
      </w:r>
      <w:r w:rsidRPr="00E745BD">
        <w:rPr>
          <w:rFonts w:ascii="Times New Roman" w:eastAsiaTheme="minorEastAsia" w:hAnsi="Times New Roman" w:cs="Times New Roman"/>
          <w:bCs/>
          <w:iCs/>
          <w:sz w:val="28"/>
          <w:szCs w:val="28"/>
          <w:lang w:eastAsia="ru-RU"/>
        </w:rPr>
        <w:t xml:space="preserve"> mil.lei) aparține restanțelor la TVA; </w:t>
      </w:r>
      <w:r>
        <w:rPr>
          <w:rFonts w:ascii="Times New Roman" w:eastAsiaTheme="minorEastAsia" w:hAnsi="Times New Roman" w:cs="Times New Roman"/>
          <w:bCs/>
          <w:iCs/>
          <w:sz w:val="28"/>
          <w:szCs w:val="28"/>
          <w:lang w:eastAsia="ru-RU"/>
        </w:rPr>
        <w:t>1</w:t>
      </w:r>
      <w:r w:rsidRPr="00E745BD">
        <w:rPr>
          <w:rFonts w:ascii="Times New Roman" w:eastAsiaTheme="minorEastAsia" w:hAnsi="Times New Roman" w:cs="Times New Roman"/>
          <w:bCs/>
          <w:iCs/>
          <w:sz w:val="28"/>
          <w:szCs w:val="28"/>
          <w:lang w:eastAsia="ru-RU"/>
        </w:rPr>
        <w:t>5,</w:t>
      </w:r>
      <w:r>
        <w:rPr>
          <w:rFonts w:ascii="Times New Roman" w:eastAsiaTheme="minorEastAsia" w:hAnsi="Times New Roman" w:cs="Times New Roman"/>
          <w:bCs/>
          <w:iCs/>
          <w:sz w:val="28"/>
          <w:szCs w:val="28"/>
          <w:lang w:eastAsia="ru-RU"/>
        </w:rPr>
        <w:t>2</w:t>
      </w:r>
      <w:r w:rsidRPr="00E745BD">
        <w:rPr>
          <w:rFonts w:ascii="Times New Roman" w:eastAsiaTheme="minorEastAsia" w:hAnsi="Times New Roman" w:cs="Times New Roman"/>
          <w:bCs/>
          <w:iCs/>
          <w:sz w:val="28"/>
          <w:szCs w:val="28"/>
          <w:lang w:eastAsia="ru-RU"/>
        </w:rPr>
        <w:t>% (</w:t>
      </w:r>
      <w:r>
        <w:rPr>
          <w:rFonts w:ascii="Times New Roman" w:eastAsiaTheme="minorEastAsia" w:hAnsi="Times New Roman" w:cs="Times New Roman"/>
          <w:bCs/>
          <w:iCs/>
          <w:sz w:val="28"/>
          <w:szCs w:val="28"/>
          <w:lang w:eastAsia="ru-RU"/>
        </w:rPr>
        <w:t>144</w:t>
      </w:r>
      <w:r w:rsidRPr="00E745BD">
        <w:rPr>
          <w:rFonts w:ascii="Times New Roman" w:eastAsiaTheme="minorEastAsia" w:hAnsi="Times New Roman" w:cs="Times New Roman"/>
          <w:bCs/>
          <w:iCs/>
          <w:sz w:val="28"/>
          <w:szCs w:val="28"/>
          <w:lang w:eastAsia="ru-RU"/>
        </w:rPr>
        <w:t>,</w:t>
      </w:r>
      <w:r>
        <w:rPr>
          <w:rFonts w:ascii="Times New Roman" w:eastAsiaTheme="minorEastAsia" w:hAnsi="Times New Roman" w:cs="Times New Roman"/>
          <w:bCs/>
          <w:iCs/>
          <w:sz w:val="28"/>
          <w:szCs w:val="28"/>
          <w:lang w:eastAsia="ru-RU"/>
        </w:rPr>
        <w:t>8</w:t>
      </w:r>
      <w:r w:rsidRPr="00E745BD">
        <w:rPr>
          <w:rFonts w:ascii="Times New Roman" w:eastAsiaTheme="minorEastAsia" w:hAnsi="Times New Roman" w:cs="Times New Roman"/>
          <w:bCs/>
          <w:iCs/>
          <w:sz w:val="28"/>
          <w:szCs w:val="28"/>
          <w:lang w:eastAsia="ru-RU"/>
        </w:rPr>
        <w:t xml:space="preserve"> mil.lei) – la impozitul pe venitul din activitatea de întreprinzător;</w:t>
      </w:r>
      <w:r>
        <w:rPr>
          <w:rFonts w:ascii="Times New Roman" w:eastAsiaTheme="minorEastAsia" w:hAnsi="Times New Roman" w:cs="Times New Roman"/>
          <w:bCs/>
          <w:iCs/>
          <w:sz w:val="28"/>
          <w:szCs w:val="28"/>
          <w:lang w:eastAsia="ru-RU"/>
        </w:rPr>
        <w:t xml:space="preserve"> 14</w:t>
      </w:r>
      <w:r w:rsidRPr="00E745BD">
        <w:rPr>
          <w:rFonts w:ascii="Times New Roman" w:eastAsiaTheme="minorEastAsia" w:hAnsi="Times New Roman" w:cs="Times New Roman"/>
          <w:bCs/>
          <w:iCs/>
          <w:sz w:val="28"/>
          <w:szCs w:val="28"/>
          <w:lang w:eastAsia="ru-RU"/>
        </w:rPr>
        <w:t>,</w:t>
      </w:r>
      <w:r>
        <w:rPr>
          <w:rFonts w:ascii="Times New Roman" w:eastAsiaTheme="minorEastAsia" w:hAnsi="Times New Roman" w:cs="Times New Roman"/>
          <w:bCs/>
          <w:iCs/>
          <w:sz w:val="28"/>
          <w:szCs w:val="28"/>
          <w:lang w:eastAsia="ru-RU"/>
        </w:rPr>
        <w:t>9</w:t>
      </w:r>
      <w:r w:rsidRPr="00E745BD">
        <w:rPr>
          <w:rFonts w:ascii="Times New Roman" w:eastAsiaTheme="minorEastAsia" w:hAnsi="Times New Roman" w:cs="Times New Roman"/>
          <w:bCs/>
          <w:iCs/>
          <w:sz w:val="28"/>
          <w:szCs w:val="28"/>
          <w:lang w:eastAsia="ru-RU"/>
        </w:rPr>
        <w:t>% (</w:t>
      </w:r>
      <w:r>
        <w:rPr>
          <w:rFonts w:ascii="Times New Roman" w:eastAsiaTheme="minorEastAsia" w:hAnsi="Times New Roman" w:cs="Times New Roman"/>
          <w:bCs/>
          <w:iCs/>
          <w:sz w:val="28"/>
          <w:szCs w:val="28"/>
          <w:lang w:eastAsia="ru-RU"/>
        </w:rPr>
        <w:t>1</w:t>
      </w:r>
      <w:r w:rsidRPr="00E745BD">
        <w:rPr>
          <w:rFonts w:ascii="Times New Roman" w:eastAsiaTheme="minorEastAsia" w:hAnsi="Times New Roman" w:cs="Times New Roman"/>
          <w:bCs/>
          <w:iCs/>
          <w:sz w:val="28"/>
          <w:szCs w:val="28"/>
          <w:lang w:eastAsia="ru-RU"/>
        </w:rPr>
        <w:t>42,</w:t>
      </w:r>
      <w:r>
        <w:rPr>
          <w:rFonts w:ascii="Times New Roman" w:eastAsiaTheme="minorEastAsia" w:hAnsi="Times New Roman" w:cs="Times New Roman"/>
          <w:bCs/>
          <w:iCs/>
          <w:sz w:val="28"/>
          <w:szCs w:val="28"/>
          <w:lang w:eastAsia="ru-RU"/>
        </w:rPr>
        <w:t>1</w:t>
      </w:r>
      <w:r w:rsidRPr="00E745BD">
        <w:rPr>
          <w:rFonts w:ascii="Times New Roman" w:eastAsiaTheme="minorEastAsia" w:hAnsi="Times New Roman" w:cs="Times New Roman"/>
          <w:bCs/>
          <w:iCs/>
          <w:sz w:val="28"/>
          <w:szCs w:val="28"/>
          <w:lang w:eastAsia="ru-RU"/>
        </w:rPr>
        <w:t xml:space="preserve"> mil.lei) – la alte impozite, plăți și taxe; </w:t>
      </w:r>
      <w:r>
        <w:rPr>
          <w:rFonts w:ascii="Times New Roman" w:eastAsiaTheme="minorEastAsia" w:hAnsi="Times New Roman" w:cs="Times New Roman"/>
          <w:bCs/>
          <w:iCs/>
          <w:sz w:val="28"/>
          <w:szCs w:val="28"/>
          <w:lang w:eastAsia="ru-RU"/>
        </w:rPr>
        <w:t>6</w:t>
      </w:r>
      <w:r w:rsidRPr="00E745BD">
        <w:rPr>
          <w:rFonts w:ascii="Times New Roman" w:eastAsiaTheme="minorEastAsia" w:hAnsi="Times New Roman" w:cs="Times New Roman"/>
          <w:bCs/>
          <w:iCs/>
          <w:sz w:val="28"/>
          <w:szCs w:val="28"/>
          <w:lang w:eastAsia="ru-RU"/>
        </w:rPr>
        <w:t>,</w:t>
      </w:r>
      <w:r>
        <w:rPr>
          <w:rFonts w:ascii="Times New Roman" w:eastAsiaTheme="minorEastAsia" w:hAnsi="Times New Roman" w:cs="Times New Roman"/>
          <w:bCs/>
          <w:iCs/>
          <w:sz w:val="28"/>
          <w:szCs w:val="28"/>
          <w:lang w:eastAsia="ru-RU"/>
        </w:rPr>
        <w:t>0</w:t>
      </w:r>
      <w:r w:rsidRPr="00E745BD">
        <w:rPr>
          <w:rFonts w:ascii="Times New Roman" w:eastAsiaTheme="minorEastAsia" w:hAnsi="Times New Roman" w:cs="Times New Roman"/>
          <w:bCs/>
          <w:iCs/>
          <w:sz w:val="28"/>
          <w:szCs w:val="28"/>
          <w:lang w:eastAsia="ru-RU"/>
        </w:rPr>
        <w:t>% (</w:t>
      </w:r>
      <w:r>
        <w:rPr>
          <w:rFonts w:ascii="Times New Roman" w:eastAsiaTheme="minorEastAsia" w:hAnsi="Times New Roman" w:cs="Times New Roman"/>
          <w:bCs/>
          <w:iCs/>
          <w:sz w:val="28"/>
          <w:szCs w:val="28"/>
          <w:lang w:eastAsia="ru-RU"/>
        </w:rPr>
        <w:t>5</w:t>
      </w:r>
      <w:r w:rsidRPr="00E745BD">
        <w:rPr>
          <w:rFonts w:ascii="Times New Roman" w:eastAsiaTheme="minorEastAsia" w:hAnsi="Times New Roman" w:cs="Times New Roman"/>
          <w:bCs/>
          <w:iCs/>
          <w:sz w:val="28"/>
          <w:szCs w:val="28"/>
          <w:lang w:eastAsia="ru-RU"/>
        </w:rPr>
        <w:t>7,</w:t>
      </w:r>
      <w:r>
        <w:rPr>
          <w:rFonts w:ascii="Times New Roman" w:eastAsiaTheme="minorEastAsia" w:hAnsi="Times New Roman" w:cs="Times New Roman"/>
          <w:bCs/>
          <w:iCs/>
          <w:sz w:val="28"/>
          <w:szCs w:val="28"/>
          <w:lang w:eastAsia="ru-RU"/>
        </w:rPr>
        <w:t xml:space="preserve">8 mil.lei) – la accize. </w:t>
      </w:r>
      <w:r w:rsidRPr="008B013D">
        <w:rPr>
          <w:rFonts w:ascii="Times New Roman" w:eastAsiaTheme="minorEastAsia" w:hAnsi="Times New Roman" w:cs="Times New Roman"/>
          <w:bCs/>
          <w:i/>
          <w:iCs/>
          <w:sz w:val="28"/>
          <w:szCs w:val="28"/>
          <w:lang w:eastAsia="ru-RU"/>
        </w:rPr>
        <w:t>Situația grafică a restanțelor în aspect</w:t>
      </w:r>
      <w:r w:rsidR="00CB4EB3">
        <w:rPr>
          <w:rFonts w:ascii="Times New Roman" w:eastAsiaTheme="minorEastAsia" w:hAnsi="Times New Roman" w:cs="Times New Roman"/>
          <w:bCs/>
          <w:i/>
          <w:iCs/>
          <w:sz w:val="28"/>
          <w:szCs w:val="28"/>
          <w:lang w:eastAsia="ru-RU"/>
        </w:rPr>
        <w:t>ul</w:t>
      </w:r>
      <w:r w:rsidRPr="008B013D">
        <w:rPr>
          <w:rFonts w:ascii="Times New Roman" w:eastAsiaTheme="minorEastAsia" w:hAnsi="Times New Roman" w:cs="Times New Roman"/>
          <w:bCs/>
          <w:i/>
          <w:iCs/>
          <w:sz w:val="28"/>
          <w:szCs w:val="28"/>
          <w:lang w:eastAsia="ru-RU"/>
        </w:rPr>
        <w:t xml:space="preserve"> structural al sumei (plăți de bază, m</w:t>
      </w:r>
      <w:r>
        <w:rPr>
          <w:rFonts w:ascii="Times New Roman" w:eastAsiaTheme="minorEastAsia" w:hAnsi="Times New Roman" w:cs="Times New Roman"/>
          <w:bCs/>
          <w:i/>
          <w:iCs/>
          <w:sz w:val="28"/>
          <w:szCs w:val="28"/>
          <w:lang w:eastAsia="ru-RU"/>
        </w:rPr>
        <w:t>ajorări de întârziere, amenzi</w:t>
      </w:r>
      <w:r w:rsidRPr="008B013D">
        <w:rPr>
          <w:rFonts w:ascii="Times New Roman" w:eastAsiaTheme="minorEastAsia" w:hAnsi="Times New Roman" w:cs="Times New Roman"/>
          <w:bCs/>
          <w:i/>
          <w:iCs/>
          <w:sz w:val="28"/>
          <w:szCs w:val="28"/>
          <w:lang w:eastAsia="ru-RU"/>
        </w:rPr>
        <w:t>)</w:t>
      </w:r>
      <w:r>
        <w:rPr>
          <w:rFonts w:ascii="Times New Roman" w:eastAsiaTheme="minorEastAsia" w:hAnsi="Times New Roman" w:cs="Times New Roman"/>
          <w:bCs/>
          <w:i/>
          <w:iCs/>
          <w:sz w:val="28"/>
          <w:szCs w:val="28"/>
          <w:lang w:eastAsia="ru-RU"/>
        </w:rPr>
        <w:t xml:space="preserve"> și în aspectul tipurilor de impozite și taxe se prezin</w:t>
      </w:r>
      <w:r w:rsidRPr="008B013D">
        <w:rPr>
          <w:rFonts w:ascii="Times New Roman" w:eastAsiaTheme="minorEastAsia" w:hAnsi="Times New Roman" w:cs="Times New Roman"/>
          <w:bCs/>
          <w:i/>
          <w:iCs/>
          <w:sz w:val="28"/>
          <w:szCs w:val="28"/>
          <w:lang w:eastAsia="ru-RU"/>
        </w:rPr>
        <w:t>tă în Diagrama nr.</w:t>
      </w:r>
      <w:r w:rsidR="008E7A98">
        <w:rPr>
          <w:rFonts w:ascii="Times New Roman" w:eastAsiaTheme="minorEastAsia" w:hAnsi="Times New Roman" w:cs="Times New Roman"/>
          <w:bCs/>
          <w:i/>
          <w:iCs/>
          <w:sz w:val="28"/>
          <w:szCs w:val="28"/>
          <w:lang w:eastAsia="ru-RU"/>
        </w:rPr>
        <w:t>2</w:t>
      </w:r>
      <w:r>
        <w:rPr>
          <w:rFonts w:ascii="Times New Roman" w:eastAsiaTheme="minorEastAsia" w:hAnsi="Times New Roman" w:cs="Times New Roman"/>
          <w:bCs/>
          <w:i/>
          <w:iCs/>
          <w:sz w:val="28"/>
          <w:szCs w:val="28"/>
          <w:lang w:eastAsia="ru-RU"/>
        </w:rPr>
        <w:t xml:space="preserve"> din </w:t>
      </w:r>
      <w:r w:rsidRPr="0001576D">
        <w:rPr>
          <w:rFonts w:ascii="Times New Roman" w:eastAsiaTheme="minorEastAsia" w:hAnsi="Times New Roman" w:cs="Times New Roman"/>
          <w:bCs/>
          <w:i/>
          <w:iCs/>
          <w:sz w:val="28"/>
          <w:szCs w:val="28"/>
          <w:lang w:eastAsia="ru-RU"/>
        </w:rPr>
        <w:t xml:space="preserve">Anexa </w:t>
      </w:r>
      <w:r w:rsidRPr="00E42170">
        <w:rPr>
          <w:rFonts w:ascii="Times New Roman" w:eastAsiaTheme="minorEastAsia" w:hAnsi="Times New Roman" w:cs="Times New Roman"/>
          <w:bCs/>
          <w:i/>
          <w:iCs/>
          <w:sz w:val="28"/>
          <w:szCs w:val="28"/>
          <w:lang w:eastAsia="ru-RU"/>
        </w:rPr>
        <w:t>nr.</w:t>
      </w:r>
      <w:r w:rsidR="003B4CAE" w:rsidRPr="00E42170">
        <w:rPr>
          <w:rFonts w:ascii="Times New Roman" w:eastAsiaTheme="minorEastAsia" w:hAnsi="Times New Roman" w:cs="Times New Roman"/>
          <w:bCs/>
          <w:i/>
          <w:iCs/>
          <w:sz w:val="28"/>
          <w:szCs w:val="28"/>
          <w:lang w:eastAsia="ru-RU"/>
        </w:rPr>
        <w:t>4</w:t>
      </w:r>
      <w:r w:rsidRPr="00E42170">
        <w:rPr>
          <w:rFonts w:ascii="Times New Roman" w:eastAsiaTheme="minorEastAsia" w:hAnsi="Times New Roman" w:cs="Times New Roman"/>
          <w:bCs/>
          <w:i/>
          <w:iCs/>
          <w:sz w:val="28"/>
          <w:szCs w:val="28"/>
          <w:lang w:eastAsia="ru-RU"/>
        </w:rPr>
        <w:t xml:space="preserve"> </w:t>
      </w:r>
      <w:r w:rsidRPr="0001576D">
        <w:rPr>
          <w:rFonts w:ascii="Times New Roman" w:eastAsiaTheme="minorEastAsia" w:hAnsi="Times New Roman" w:cs="Times New Roman"/>
          <w:bCs/>
          <w:i/>
          <w:iCs/>
          <w:sz w:val="28"/>
          <w:szCs w:val="28"/>
          <w:lang w:eastAsia="ru-RU"/>
        </w:rPr>
        <w:t>la prezentul Raport de audit.</w:t>
      </w:r>
    </w:p>
    <w:p w:rsidR="003E62EC" w:rsidRDefault="003E62EC" w:rsidP="003E62EC">
      <w:pPr>
        <w:spacing w:line="276" w:lineRule="auto"/>
        <w:ind w:firstLine="709"/>
        <w:contextualSpacing/>
        <w:jc w:val="both"/>
        <w:rPr>
          <w:rFonts w:ascii="Times New Roman" w:eastAsiaTheme="minorEastAsia" w:hAnsi="Times New Roman" w:cs="Times New Roman"/>
          <w:bCs/>
          <w:iCs/>
          <w:sz w:val="28"/>
          <w:szCs w:val="28"/>
          <w:lang w:eastAsia="ru-RU"/>
        </w:rPr>
      </w:pPr>
      <w:r w:rsidRPr="00E745BD">
        <w:rPr>
          <w:rFonts w:ascii="Times New Roman" w:eastAsiaTheme="minorEastAsia" w:hAnsi="Times New Roman" w:cs="Times New Roman"/>
          <w:bCs/>
          <w:iCs/>
          <w:sz w:val="28"/>
          <w:szCs w:val="28"/>
          <w:lang w:eastAsia="ru-RU"/>
        </w:rPr>
        <w:t xml:space="preserve">Verificările auditului referitor la </w:t>
      </w:r>
      <w:r>
        <w:rPr>
          <w:rFonts w:ascii="Times New Roman" w:eastAsiaTheme="minorEastAsia" w:hAnsi="Times New Roman" w:cs="Times New Roman"/>
          <w:bCs/>
          <w:iCs/>
          <w:sz w:val="28"/>
          <w:szCs w:val="28"/>
          <w:lang w:eastAsia="ru-RU"/>
        </w:rPr>
        <w:t>prezen</w:t>
      </w:r>
      <w:r w:rsidRPr="00E745BD">
        <w:rPr>
          <w:rFonts w:ascii="Times New Roman" w:eastAsiaTheme="minorEastAsia" w:hAnsi="Times New Roman" w:cs="Times New Roman"/>
          <w:bCs/>
          <w:iCs/>
          <w:sz w:val="28"/>
          <w:szCs w:val="28"/>
          <w:lang w:eastAsia="ru-RU"/>
        </w:rPr>
        <w:t>t</w:t>
      </w:r>
      <w:r>
        <w:rPr>
          <w:rFonts w:ascii="Times New Roman" w:eastAsiaTheme="minorEastAsia" w:hAnsi="Times New Roman" w:cs="Times New Roman"/>
          <w:bCs/>
          <w:iCs/>
          <w:sz w:val="28"/>
          <w:szCs w:val="28"/>
          <w:lang w:eastAsia="ru-RU"/>
        </w:rPr>
        <w:t>area</w:t>
      </w:r>
      <w:r w:rsidRPr="00E745BD">
        <w:rPr>
          <w:rFonts w:ascii="Times New Roman" w:eastAsiaTheme="minorEastAsia" w:hAnsi="Times New Roman" w:cs="Times New Roman"/>
          <w:bCs/>
          <w:iCs/>
          <w:sz w:val="28"/>
          <w:szCs w:val="28"/>
          <w:lang w:eastAsia="ru-RU"/>
        </w:rPr>
        <w:t xml:space="preserve"> </w:t>
      </w:r>
      <w:r>
        <w:rPr>
          <w:rFonts w:ascii="Times New Roman" w:eastAsiaTheme="minorEastAsia" w:hAnsi="Times New Roman" w:cs="Times New Roman"/>
          <w:bCs/>
          <w:iCs/>
          <w:sz w:val="28"/>
          <w:szCs w:val="28"/>
          <w:lang w:eastAsia="ru-RU"/>
        </w:rPr>
        <w:t xml:space="preserve">veridică și deplină a informației privind </w:t>
      </w:r>
      <w:r w:rsidRPr="00E745BD">
        <w:rPr>
          <w:rFonts w:ascii="Times New Roman" w:eastAsiaTheme="minorEastAsia" w:hAnsi="Times New Roman" w:cs="Times New Roman"/>
          <w:bCs/>
          <w:iCs/>
          <w:sz w:val="28"/>
          <w:szCs w:val="28"/>
          <w:lang w:eastAsia="ru-RU"/>
        </w:rPr>
        <w:t>restanțel</w:t>
      </w:r>
      <w:r>
        <w:rPr>
          <w:rFonts w:ascii="Times New Roman" w:eastAsiaTheme="minorEastAsia" w:hAnsi="Times New Roman" w:cs="Times New Roman"/>
          <w:bCs/>
          <w:iCs/>
          <w:sz w:val="28"/>
          <w:szCs w:val="28"/>
          <w:lang w:eastAsia="ru-RU"/>
        </w:rPr>
        <w:t>e față de bugetul de stat incluse în Raportul Guvernului privind executarea bugetului de stat pe anul 2017 (descrierea narativă)</w:t>
      </w:r>
      <w:r w:rsidR="00CB4EB3">
        <w:rPr>
          <w:rFonts w:ascii="Times New Roman" w:eastAsiaTheme="minorEastAsia" w:hAnsi="Times New Roman" w:cs="Times New Roman"/>
          <w:bCs/>
          <w:iCs/>
          <w:sz w:val="28"/>
          <w:szCs w:val="28"/>
          <w:lang w:eastAsia="ru-RU"/>
        </w:rPr>
        <w:t>,</w:t>
      </w:r>
      <w:r>
        <w:rPr>
          <w:rFonts w:ascii="Times New Roman" w:eastAsiaTheme="minorEastAsia" w:hAnsi="Times New Roman" w:cs="Times New Roman"/>
          <w:bCs/>
          <w:iCs/>
          <w:sz w:val="28"/>
          <w:szCs w:val="28"/>
          <w:lang w:eastAsia="ru-RU"/>
        </w:rPr>
        <w:t xml:space="preserve"> în </w:t>
      </w:r>
      <w:r w:rsidRPr="00E745BD">
        <w:rPr>
          <w:rFonts w:ascii="Times New Roman" w:eastAsiaTheme="minorEastAsia" w:hAnsi="Times New Roman" w:cs="Times New Roman"/>
          <w:bCs/>
          <w:iCs/>
          <w:sz w:val="28"/>
          <w:szCs w:val="28"/>
          <w:lang w:eastAsia="ru-RU"/>
        </w:rPr>
        <w:t>contrapu</w:t>
      </w:r>
      <w:r>
        <w:rPr>
          <w:rFonts w:ascii="Times New Roman" w:eastAsiaTheme="minorEastAsia" w:hAnsi="Times New Roman" w:cs="Times New Roman"/>
          <w:bCs/>
          <w:iCs/>
          <w:sz w:val="28"/>
          <w:szCs w:val="28"/>
          <w:lang w:eastAsia="ru-RU"/>
        </w:rPr>
        <w:t>nere</w:t>
      </w:r>
      <w:r w:rsidRPr="00E745BD">
        <w:rPr>
          <w:rFonts w:ascii="Times New Roman" w:eastAsiaTheme="minorEastAsia" w:hAnsi="Times New Roman" w:cs="Times New Roman"/>
          <w:bCs/>
          <w:iCs/>
          <w:sz w:val="28"/>
          <w:szCs w:val="28"/>
          <w:lang w:eastAsia="ru-RU"/>
        </w:rPr>
        <w:t xml:space="preserve"> cu </w:t>
      </w:r>
      <w:r>
        <w:rPr>
          <w:rFonts w:ascii="Times New Roman" w:eastAsiaTheme="minorEastAsia" w:hAnsi="Times New Roman" w:cs="Times New Roman"/>
          <w:bCs/>
          <w:iCs/>
          <w:sz w:val="28"/>
          <w:szCs w:val="28"/>
          <w:lang w:eastAsia="ru-RU"/>
        </w:rPr>
        <w:t>datele din informațiile</w:t>
      </w:r>
      <w:r w:rsidRPr="00E745BD">
        <w:rPr>
          <w:rFonts w:ascii="Times New Roman" w:eastAsiaTheme="minorEastAsia" w:hAnsi="Times New Roman" w:cs="Times New Roman"/>
          <w:bCs/>
          <w:iCs/>
          <w:sz w:val="28"/>
          <w:szCs w:val="28"/>
          <w:lang w:eastAsia="ru-RU"/>
        </w:rPr>
        <w:t xml:space="preserve"> prezentate de </w:t>
      </w:r>
      <w:r>
        <w:rPr>
          <w:rFonts w:ascii="Times New Roman" w:eastAsiaTheme="minorEastAsia" w:hAnsi="Times New Roman" w:cs="Times New Roman"/>
          <w:bCs/>
          <w:iCs/>
          <w:sz w:val="28"/>
          <w:szCs w:val="28"/>
          <w:lang w:eastAsia="ru-RU"/>
        </w:rPr>
        <w:t xml:space="preserve">principalii </w:t>
      </w:r>
      <w:r w:rsidRPr="00E745BD">
        <w:rPr>
          <w:rFonts w:ascii="Times New Roman" w:eastAsiaTheme="minorEastAsia" w:hAnsi="Times New Roman" w:cs="Times New Roman"/>
          <w:bCs/>
          <w:iCs/>
          <w:sz w:val="28"/>
          <w:szCs w:val="28"/>
          <w:lang w:eastAsia="ru-RU"/>
        </w:rPr>
        <w:t>administratori</w:t>
      </w:r>
      <w:r>
        <w:rPr>
          <w:rFonts w:ascii="Times New Roman" w:eastAsiaTheme="minorEastAsia" w:hAnsi="Times New Roman" w:cs="Times New Roman"/>
          <w:bCs/>
          <w:iCs/>
          <w:sz w:val="28"/>
          <w:szCs w:val="28"/>
          <w:lang w:eastAsia="ru-RU"/>
        </w:rPr>
        <w:t xml:space="preserve"> ai veniturilor publice</w:t>
      </w:r>
      <w:r w:rsidRPr="00E745BD">
        <w:rPr>
          <w:rFonts w:ascii="Times New Roman" w:eastAsiaTheme="minorEastAsia" w:hAnsi="Times New Roman" w:cs="Times New Roman"/>
          <w:bCs/>
          <w:iCs/>
          <w:sz w:val="28"/>
          <w:szCs w:val="28"/>
          <w:lang w:eastAsia="ru-RU"/>
        </w:rPr>
        <w:t xml:space="preserve"> </w:t>
      </w:r>
      <w:r>
        <w:rPr>
          <w:rFonts w:ascii="Times New Roman" w:eastAsiaTheme="minorEastAsia" w:hAnsi="Times New Roman" w:cs="Times New Roman"/>
          <w:bCs/>
          <w:iCs/>
          <w:sz w:val="28"/>
          <w:szCs w:val="28"/>
          <w:lang w:eastAsia="ru-RU"/>
        </w:rPr>
        <w:t>(SFS și SV)</w:t>
      </w:r>
      <w:r w:rsidR="00CB4EB3">
        <w:rPr>
          <w:rFonts w:ascii="Times New Roman" w:eastAsiaTheme="minorEastAsia" w:hAnsi="Times New Roman" w:cs="Times New Roman"/>
          <w:bCs/>
          <w:iCs/>
          <w:sz w:val="28"/>
          <w:szCs w:val="28"/>
          <w:lang w:eastAsia="ru-RU"/>
        </w:rPr>
        <w:t>,</w:t>
      </w:r>
      <w:r>
        <w:rPr>
          <w:rFonts w:ascii="Times New Roman" w:eastAsiaTheme="minorEastAsia" w:hAnsi="Times New Roman" w:cs="Times New Roman"/>
          <w:bCs/>
          <w:iCs/>
          <w:sz w:val="28"/>
          <w:szCs w:val="28"/>
          <w:lang w:eastAsia="ru-RU"/>
        </w:rPr>
        <w:t xml:space="preserve"> nu au relevat </w:t>
      </w:r>
      <w:r w:rsidRPr="00E745BD">
        <w:rPr>
          <w:rFonts w:ascii="Times New Roman" w:eastAsiaTheme="minorEastAsia" w:hAnsi="Times New Roman" w:cs="Times New Roman"/>
          <w:bCs/>
          <w:iCs/>
          <w:sz w:val="28"/>
          <w:szCs w:val="28"/>
          <w:lang w:eastAsia="ru-RU"/>
        </w:rPr>
        <w:t>abateri.</w:t>
      </w:r>
      <w:r>
        <w:rPr>
          <w:rFonts w:ascii="Times New Roman" w:eastAsiaTheme="minorEastAsia" w:hAnsi="Times New Roman" w:cs="Times New Roman"/>
          <w:bCs/>
          <w:iCs/>
          <w:sz w:val="28"/>
          <w:szCs w:val="28"/>
          <w:lang w:eastAsia="ru-RU"/>
        </w:rPr>
        <w:t xml:space="preserve"> </w:t>
      </w:r>
      <w:r w:rsidR="003B4CAE">
        <w:rPr>
          <w:rFonts w:ascii="Times New Roman" w:eastAsiaTheme="minorEastAsia" w:hAnsi="Times New Roman" w:cs="Times New Roman"/>
          <w:bCs/>
          <w:iCs/>
          <w:sz w:val="28"/>
          <w:szCs w:val="28"/>
          <w:lang w:eastAsia="ru-RU"/>
        </w:rPr>
        <w:t>Î</w:t>
      </w:r>
      <w:r>
        <w:rPr>
          <w:rFonts w:ascii="Times New Roman" w:eastAsiaTheme="minorEastAsia" w:hAnsi="Times New Roman" w:cs="Times New Roman"/>
          <w:bCs/>
          <w:iCs/>
          <w:sz w:val="28"/>
          <w:szCs w:val="28"/>
          <w:lang w:eastAsia="ru-RU"/>
        </w:rPr>
        <w:t xml:space="preserve">n viziunea auditului, </w:t>
      </w:r>
      <w:r w:rsidR="003B4CAE">
        <w:rPr>
          <w:rFonts w:ascii="Times New Roman" w:eastAsiaTheme="minorEastAsia" w:hAnsi="Times New Roman" w:cs="Times New Roman"/>
          <w:bCs/>
          <w:iCs/>
          <w:sz w:val="28"/>
          <w:szCs w:val="28"/>
          <w:lang w:eastAsia="ru-RU"/>
        </w:rPr>
        <w:t xml:space="preserve">deși MF sistematizează informațiile privind soldurile </w:t>
      </w:r>
      <w:r>
        <w:rPr>
          <w:rFonts w:ascii="Times New Roman" w:eastAsiaTheme="minorEastAsia" w:hAnsi="Times New Roman" w:cs="Times New Roman"/>
          <w:bCs/>
          <w:iCs/>
          <w:sz w:val="28"/>
          <w:szCs w:val="28"/>
          <w:lang w:eastAsia="ru-RU"/>
        </w:rPr>
        <w:t>restanțel</w:t>
      </w:r>
      <w:r w:rsidR="003B4CAE">
        <w:rPr>
          <w:rFonts w:ascii="Times New Roman" w:eastAsiaTheme="minorEastAsia" w:hAnsi="Times New Roman" w:cs="Times New Roman"/>
          <w:bCs/>
          <w:iCs/>
          <w:sz w:val="28"/>
          <w:szCs w:val="28"/>
          <w:lang w:eastAsia="ru-RU"/>
        </w:rPr>
        <w:t xml:space="preserve">or la BPN, inclusiv pe componentele acestuia, și conform clasificației veniturilor bugetare, aceasta nu se regăsește în </w:t>
      </w:r>
      <w:r w:rsidR="003B4CAE" w:rsidRPr="00FA6D69">
        <w:rPr>
          <w:rFonts w:ascii="Times New Roman" w:eastAsiaTheme="minorEastAsia" w:hAnsi="Times New Roman" w:cs="Times New Roman"/>
          <w:bCs/>
          <w:iCs/>
          <w:sz w:val="28"/>
          <w:szCs w:val="28"/>
          <w:lang w:eastAsia="ru-RU"/>
        </w:rPr>
        <w:t>formularel</w:t>
      </w:r>
      <w:r w:rsidR="00CB4EB3">
        <w:rPr>
          <w:rFonts w:ascii="Times New Roman" w:eastAsiaTheme="minorEastAsia" w:hAnsi="Times New Roman" w:cs="Times New Roman"/>
          <w:bCs/>
          <w:iCs/>
          <w:sz w:val="28"/>
          <w:szCs w:val="28"/>
          <w:lang w:eastAsia="ru-RU"/>
        </w:rPr>
        <w:t>e</w:t>
      </w:r>
      <w:r w:rsidR="003B4CAE">
        <w:rPr>
          <w:rFonts w:ascii="Times New Roman" w:eastAsiaTheme="minorEastAsia" w:hAnsi="Times New Roman" w:cs="Times New Roman"/>
          <w:bCs/>
          <w:iCs/>
          <w:sz w:val="28"/>
          <w:szCs w:val="28"/>
          <w:lang w:eastAsia="ru-RU"/>
        </w:rPr>
        <w:t xml:space="preserve"> la Raportul anual privind executarea bugetului de stat, aprobat prin Ordinul </w:t>
      </w:r>
      <w:r w:rsidR="00CB4EB3">
        <w:rPr>
          <w:rFonts w:ascii="Times New Roman" w:eastAsiaTheme="minorEastAsia" w:hAnsi="Times New Roman" w:cs="Times New Roman"/>
          <w:bCs/>
          <w:iCs/>
          <w:sz w:val="28"/>
          <w:szCs w:val="28"/>
          <w:lang w:eastAsia="ru-RU"/>
        </w:rPr>
        <w:t xml:space="preserve">MF </w:t>
      </w:r>
      <w:r w:rsidR="003B4CAE">
        <w:rPr>
          <w:rFonts w:ascii="Times New Roman" w:eastAsiaTheme="minorEastAsia" w:hAnsi="Times New Roman" w:cs="Times New Roman"/>
          <w:bCs/>
          <w:iCs/>
          <w:sz w:val="28"/>
          <w:szCs w:val="28"/>
          <w:lang w:eastAsia="ru-RU"/>
        </w:rPr>
        <w:t>nr.44 din 12.02.2018.</w:t>
      </w:r>
    </w:p>
    <w:p w:rsidR="00D40DB8" w:rsidRDefault="00D40DB8" w:rsidP="00BA4FED">
      <w:pPr>
        <w:spacing w:after="0" w:line="276" w:lineRule="auto"/>
        <w:ind w:firstLine="709"/>
        <w:jc w:val="both"/>
        <w:rPr>
          <w:rFonts w:ascii="Times New Roman" w:eastAsiaTheme="minorEastAsia" w:hAnsi="Times New Roman" w:cs="Times New Roman"/>
          <w:bCs/>
          <w:iCs/>
          <w:sz w:val="28"/>
          <w:szCs w:val="28"/>
          <w:lang w:eastAsia="ru-RU"/>
        </w:rPr>
      </w:pPr>
    </w:p>
    <w:p w:rsidR="003E62EC" w:rsidRPr="00E4079E" w:rsidRDefault="003E62EC" w:rsidP="003F12B5">
      <w:pPr>
        <w:pStyle w:val="a5"/>
        <w:numPr>
          <w:ilvl w:val="2"/>
          <w:numId w:val="3"/>
        </w:numPr>
        <w:spacing w:after="0" w:line="276" w:lineRule="auto"/>
        <w:ind w:left="0" w:firstLine="709"/>
        <w:jc w:val="both"/>
        <w:outlineLvl w:val="2"/>
        <w:rPr>
          <w:rFonts w:ascii="Times New Roman" w:hAnsi="Times New Roman" w:cs="Times New Roman"/>
          <w:b/>
          <w:i/>
          <w:sz w:val="28"/>
          <w:szCs w:val="28"/>
        </w:rPr>
      </w:pPr>
      <w:bookmarkStart w:id="20" w:name="_Toc515518993"/>
      <w:r w:rsidRPr="00E4079E">
        <w:rPr>
          <w:rFonts w:ascii="Times New Roman" w:hAnsi="Times New Roman" w:cs="Times New Roman"/>
          <w:b/>
          <w:i/>
          <w:sz w:val="28"/>
          <w:szCs w:val="28"/>
        </w:rPr>
        <w:t>Cheltuielile</w:t>
      </w:r>
      <w:r>
        <w:rPr>
          <w:rFonts w:ascii="Times New Roman" w:hAnsi="Times New Roman" w:cs="Times New Roman"/>
          <w:b/>
          <w:i/>
          <w:sz w:val="28"/>
          <w:szCs w:val="28"/>
        </w:rPr>
        <w:t xml:space="preserve"> de casă a</w:t>
      </w:r>
      <w:r w:rsidR="00CB4EB3">
        <w:rPr>
          <w:rFonts w:ascii="Times New Roman" w:hAnsi="Times New Roman" w:cs="Times New Roman"/>
          <w:b/>
          <w:i/>
          <w:sz w:val="28"/>
          <w:szCs w:val="28"/>
        </w:rPr>
        <w:t>le</w:t>
      </w:r>
      <w:r w:rsidRPr="00E4079E">
        <w:rPr>
          <w:rFonts w:ascii="Times New Roman" w:hAnsi="Times New Roman" w:cs="Times New Roman"/>
          <w:b/>
          <w:i/>
          <w:sz w:val="28"/>
          <w:szCs w:val="28"/>
        </w:rPr>
        <w:t xml:space="preserve"> bugetului de stat în anul 2017 au fost </w:t>
      </w:r>
      <w:r>
        <w:rPr>
          <w:rFonts w:ascii="Times New Roman" w:hAnsi="Times New Roman" w:cs="Times New Roman"/>
          <w:b/>
          <w:i/>
          <w:sz w:val="28"/>
          <w:szCs w:val="28"/>
        </w:rPr>
        <w:t>executate</w:t>
      </w:r>
      <w:r w:rsidRPr="00E4079E">
        <w:rPr>
          <w:rFonts w:ascii="Times New Roman" w:hAnsi="Times New Roman" w:cs="Times New Roman"/>
          <w:b/>
          <w:i/>
          <w:sz w:val="28"/>
          <w:szCs w:val="28"/>
        </w:rPr>
        <w:t xml:space="preserve"> sub nivelul pr</w:t>
      </w:r>
      <w:r>
        <w:rPr>
          <w:rFonts w:ascii="Times New Roman" w:hAnsi="Times New Roman" w:cs="Times New Roman"/>
          <w:b/>
          <w:i/>
          <w:sz w:val="28"/>
          <w:szCs w:val="28"/>
        </w:rPr>
        <w:t>ecizat</w:t>
      </w:r>
      <w:r w:rsidR="00CB4EB3">
        <w:rPr>
          <w:rFonts w:ascii="Times New Roman" w:hAnsi="Times New Roman" w:cs="Times New Roman"/>
          <w:b/>
          <w:i/>
          <w:sz w:val="28"/>
          <w:szCs w:val="28"/>
        </w:rPr>
        <w:t>.</w:t>
      </w:r>
      <w:bookmarkEnd w:id="20"/>
    </w:p>
    <w:p w:rsidR="003E62EC" w:rsidRDefault="003E62EC" w:rsidP="003E62EC">
      <w:pPr>
        <w:spacing w:line="276" w:lineRule="auto"/>
        <w:ind w:firstLine="709"/>
        <w:contextualSpacing/>
        <w:jc w:val="both"/>
        <w:rPr>
          <w:rFonts w:ascii="Times New Roman" w:hAnsi="Times New Roman" w:cs="Times New Roman"/>
          <w:i/>
          <w:sz w:val="28"/>
          <w:szCs w:val="28"/>
        </w:rPr>
      </w:pPr>
      <w:r w:rsidRPr="00632598">
        <w:rPr>
          <w:rFonts w:ascii="Times New Roman" w:hAnsi="Times New Roman" w:cs="Times New Roman"/>
          <w:sz w:val="28"/>
          <w:szCs w:val="28"/>
        </w:rPr>
        <w:t>Conform Raportului privind executarea bugetului de stat pe anul 201</w:t>
      </w:r>
      <w:r>
        <w:rPr>
          <w:rFonts w:ascii="Times New Roman" w:hAnsi="Times New Roman" w:cs="Times New Roman"/>
          <w:sz w:val="28"/>
          <w:szCs w:val="28"/>
        </w:rPr>
        <w:t>7</w:t>
      </w:r>
      <w:r w:rsidRPr="00632598">
        <w:rPr>
          <w:rFonts w:ascii="Times New Roman" w:hAnsi="Times New Roman" w:cs="Times New Roman"/>
          <w:sz w:val="28"/>
          <w:szCs w:val="28"/>
        </w:rPr>
        <w:t>, cheltuielile</w:t>
      </w:r>
      <w:r>
        <w:rPr>
          <w:rStyle w:val="a9"/>
          <w:rFonts w:ascii="Times New Roman" w:hAnsi="Times New Roman" w:cs="Times New Roman"/>
          <w:sz w:val="28"/>
          <w:szCs w:val="28"/>
        </w:rPr>
        <w:footnoteReference w:id="45"/>
      </w:r>
      <w:r w:rsidRPr="00632598">
        <w:rPr>
          <w:rFonts w:ascii="Times New Roman" w:hAnsi="Times New Roman" w:cs="Times New Roman"/>
          <w:sz w:val="28"/>
          <w:szCs w:val="28"/>
        </w:rPr>
        <w:t xml:space="preserve"> de casă au </w:t>
      </w:r>
      <w:r>
        <w:rPr>
          <w:rFonts w:ascii="Times New Roman" w:hAnsi="Times New Roman" w:cs="Times New Roman"/>
          <w:sz w:val="28"/>
          <w:szCs w:val="28"/>
        </w:rPr>
        <w:t xml:space="preserve">fost realizate la </w:t>
      </w:r>
      <w:r w:rsidRPr="00632598">
        <w:rPr>
          <w:rFonts w:ascii="Times New Roman" w:hAnsi="Times New Roman" w:cs="Times New Roman"/>
          <w:sz w:val="28"/>
          <w:szCs w:val="28"/>
        </w:rPr>
        <w:t>un nivel de 9</w:t>
      </w:r>
      <w:r>
        <w:rPr>
          <w:rFonts w:ascii="Times New Roman" w:hAnsi="Times New Roman" w:cs="Times New Roman"/>
          <w:sz w:val="28"/>
          <w:szCs w:val="28"/>
        </w:rPr>
        <w:t>3</w:t>
      </w:r>
      <w:r w:rsidRPr="00632598">
        <w:rPr>
          <w:rFonts w:ascii="Times New Roman" w:hAnsi="Times New Roman" w:cs="Times New Roman"/>
          <w:sz w:val="28"/>
          <w:szCs w:val="28"/>
        </w:rPr>
        <w:t>,</w:t>
      </w:r>
      <w:r>
        <w:rPr>
          <w:rFonts w:ascii="Times New Roman" w:hAnsi="Times New Roman" w:cs="Times New Roman"/>
          <w:sz w:val="28"/>
          <w:szCs w:val="28"/>
        </w:rPr>
        <w:t>9</w:t>
      </w:r>
      <w:r w:rsidRPr="00632598">
        <w:rPr>
          <w:rFonts w:ascii="Times New Roman" w:hAnsi="Times New Roman" w:cs="Times New Roman"/>
          <w:sz w:val="28"/>
          <w:szCs w:val="28"/>
        </w:rPr>
        <w:t xml:space="preserve">%, </w:t>
      </w:r>
      <w:r>
        <w:rPr>
          <w:rFonts w:ascii="Times New Roman" w:hAnsi="Times New Roman" w:cs="Times New Roman"/>
          <w:sz w:val="28"/>
          <w:szCs w:val="28"/>
        </w:rPr>
        <w:t>sau</w:t>
      </w:r>
      <w:r w:rsidRPr="00632598">
        <w:rPr>
          <w:rFonts w:ascii="Times New Roman" w:hAnsi="Times New Roman" w:cs="Times New Roman"/>
          <w:sz w:val="28"/>
          <w:szCs w:val="28"/>
        </w:rPr>
        <w:t xml:space="preserve"> în sumă de </w:t>
      </w:r>
      <w:r>
        <w:rPr>
          <w:rFonts w:ascii="Times New Roman" w:hAnsi="Times New Roman" w:cs="Times New Roman"/>
          <w:sz w:val="28"/>
          <w:szCs w:val="28"/>
        </w:rPr>
        <w:t>35479</w:t>
      </w:r>
      <w:r w:rsidRPr="00632598">
        <w:rPr>
          <w:rFonts w:ascii="Times New Roman" w:hAnsi="Times New Roman" w:cs="Times New Roman"/>
          <w:sz w:val="28"/>
          <w:szCs w:val="28"/>
        </w:rPr>
        <w:t>,</w:t>
      </w:r>
      <w:r>
        <w:rPr>
          <w:rFonts w:ascii="Times New Roman" w:hAnsi="Times New Roman" w:cs="Times New Roman"/>
          <w:sz w:val="28"/>
          <w:szCs w:val="28"/>
        </w:rPr>
        <w:t>1 mil.lei. Astfel, a fost</w:t>
      </w:r>
      <w:r w:rsidRPr="00632598">
        <w:rPr>
          <w:rFonts w:ascii="Times New Roman" w:hAnsi="Times New Roman" w:cs="Times New Roman"/>
          <w:sz w:val="28"/>
          <w:szCs w:val="28"/>
        </w:rPr>
        <w:t xml:space="preserve"> </w:t>
      </w:r>
      <w:r>
        <w:rPr>
          <w:rFonts w:ascii="Times New Roman" w:hAnsi="Times New Roman" w:cs="Times New Roman"/>
          <w:sz w:val="28"/>
          <w:szCs w:val="28"/>
        </w:rPr>
        <w:t>înregistrată</w:t>
      </w:r>
      <w:r w:rsidRPr="00632598">
        <w:rPr>
          <w:rFonts w:ascii="Times New Roman" w:hAnsi="Times New Roman" w:cs="Times New Roman"/>
          <w:sz w:val="28"/>
          <w:szCs w:val="28"/>
        </w:rPr>
        <w:t xml:space="preserve"> o creștere de </w:t>
      </w:r>
      <w:r>
        <w:rPr>
          <w:rFonts w:ascii="Times New Roman" w:hAnsi="Times New Roman" w:cs="Times New Roman"/>
          <w:sz w:val="28"/>
          <w:szCs w:val="28"/>
        </w:rPr>
        <w:t>3165</w:t>
      </w:r>
      <w:r w:rsidRPr="00632598">
        <w:rPr>
          <w:rFonts w:ascii="Times New Roman" w:hAnsi="Times New Roman" w:cs="Times New Roman"/>
          <w:sz w:val="28"/>
          <w:szCs w:val="28"/>
        </w:rPr>
        <w:t>,9 mil.lei</w:t>
      </w:r>
      <w:r w:rsidR="00894DF2">
        <w:rPr>
          <w:rFonts w:ascii="Times New Roman" w:hAnsi="Times New Roman" w:cs="Times New Roman"/>
          <w:sz w:val="28"/>
          <w:szCs w:val="28"/>
        </w:rPr>
        <w:t>,</w:t>
      </w:r>
      <w:r w:rsidRPr="00632598">
        <w:rPr>
          <w:rFonts w:ascii="Times New Roman" w:hAnsi="Times New Roman" w:cs="Times New Roman"/>
          <w:sz w:val="28"/>
          <w:szCs w:val="28"/>
        </w:rPr>
        <w:t xml:space="preserve"> față de cheltuielile </w:t>
      </w:r>
      <w:r>
        <w:rPr>
          <w:rFonts w:ascii="Times New Roman" w:hAnsi="Times New Roman" w:cs="Times New Roman"/>
          <w:sz w:val="28"/>
          <w:szCs w:val="28"/>
        </w:rPr>
        <w:t xml:space="preserve">de casă executate </w:t>
      </w:r>
      <w:r w:rsidRPr="00632598">
        <w:rPr>
          <w:rFonts w:ascii="Times New Roman" w:hAnsi="Times New Roman" w:cs="Times New Roman"/>
          <w:sz w:val="28"/>
          <w:szCs w:val="28"/>
        </w:rPr>
        <w:t>în anul 201</w:t>
      </w:r>
      <w:r>
        <w:rPr>
          <w:rFonts w:ascii="Times New Roman" w:hAnsi="Times New Roman" w:cs="Times New Roman"/>
          <w:sz w:val="28"/>
          <w:szCs w:val="28"/>
        </w:rPr>
        <w:t>6</w:t>
      </w:r>
      <w:r w:rsidR="00894DF2">
        <w:rPr>
          <w:rFonts w:ascii="Times New Roman" w:hAnsi="Times New Roman" w:cs="Times New Roman"/>
          <w:sz w:val="28"/>
          <w:szCs w:val="28"/>
        </w:rPr>
        <w:t>,</w:t>
      </w:r>
      <w:r>
        <w:rPr>
          <w:rFonts w:ascii="Times New Roman" w:hAnsi="Times New Roman" w:cs="Times New Roman"/>
          <w:sz w:val="28"/>
          <w:szCs w:val="28"/>
        </w:rPr>
        <w:t xml:space="preserve"> și o creștere de 5082,4 mil.lei</w:t>
      </w:r>
      <w:r w:rsidR="00894DF2">
        <w:rPr>
          <w:rFonts w:ascii="Times New Roman" w:hAnsi="Times New Roman" w:cs="Times New Roman"/>
          <w:sz w:val="28"/>
          <w:szCs w:val="28"/>
        </w:rPr>
        <w:t>,</w:t>
      </w:r>
      <w:r>
        <w:rPr>
          <w:rFonts w:ascii="Times New Roman" w:hAnsi="Times New Roman" w:cs="Times New Roman"/>
          <w:sz w:val="28"/>
          <w:szCs w:val="28"/>
        </w:rPr>
        <w:t xml:space="preserve"> față de cheltuielile de casă executate în anul 2015</w:t>
      </w:r>
      <w:r w:rsidRPr="00632598">
        <w:rPr>
          <w:rFonts w:ascii="Times New Roman" w:hAnsi="Times New Roman" w:cs="Times New Roman"/>
          <w:sz w:val="28"/>
          <w:szCs w:val="28"/>
        </w:rPr>
        <w:t xml:space="preserve">. </w:t>
      </w:r>
      <w:r w:rsidRPr="00FD5765">
        <w:rPr>
          <w:rFonts w:ascii="Times New Roman" w:hAnsi="Times New Roman" w:cs="Times New Roman"/>
          <w:i/>
          <w:sz w:val="28"/>
          <w:szCs w:val="28"/>
        </w:rPr>
        <w:t>Executarea bugetului de stat la partea de cheltuieli, cât și soldul alocațiilor neutilizate pe anul 2017, în comparație cu anii 2015</w:t>
      </w:r>
      <w:r w:rsidR="00424A4A">
        <w:rPr>
          <w:rFonts w:ascii="Times New Roman" w:hAnsi="Times New Roman" w:cs="Times New Roman"/>
          <w:i/>
          <w:sz w:val="28"/>
          <w:szCs w:val="28"/>
        </w:rPr>
        <w:t xml:space="preserve"> </w:t>
      </w:r>
      <w:r w:rsidR="00894DF2">
        <w:rPr>
          <w:rFonts w:ascii="Times New Roman" w:hAnsi="Times New Roman" w:cs="Times New Roman"/>
          <w:i/>
          <w:sz w:val="28"/>
          <w:szCs w:val="28"/>
        </w:rPr>
        <w:t>–</w:t>
      </w:r>
      <w:r w:rsidRPr="00FD5765">
        <w:rPr>
          <w:rFonts w:ascii="Times New Roman" w:hAnsi="Times New Roman" w:cs="Times New Roman"/>
          <w:i/>
          <w:sz w:val="28"/>
          <w:szCs w:val="28"/>
        </w:rPr>
        <w:t xml:space="preserve"> 2016</w:t>
      </w:r>
      <w:r w:rsidR="00894DF2">
        <w:rPr>
          <w:rFonts w:ascii="Times New Roman" w:hAnsi="Times New Roman" w:cs="Times New Roman"/>
          <w:i/>
          <w:sz w:val="28"/>
          <w:szCs w:val="28"/>
        </w:rPr>
        <w:t>,</w:t>
      </w:r>
      <w:r w:rsidRPr="00FD5765">
        <w:rPr>
          <w:rFonts w:ascii="Times New Roman" w:hAnsi="Times New Roman" w:cs="Times New Roman"/>
          <w:i/>
          <w:sz w:val="28"/>
          <w:szCs w:val="28"/>
        </w:rPr>
        <w:t xml:space="preserve"> este prezentată în</w:t>
      </w:r>
      <w:r>
        <w:rPr>
          <w:rFonts w:ascii="Times New Roman" w:hAnsi="Times New Roman" w:cs="Times New Roman"/>
          <w:sz w:val="28"/>
          <w:szCs w:val="28"/>
        </w:rPr>
        <w:t xml:space="preserve"> </w:t>
      </w:r>
      <w:r w:rsidRPr="00C06023">
        <w:rPr>
          <w:rFonts w:ascii="Times New Roman" w:hAnsi="Times New Roman" w:cs="Times New Roman"/>
          <w:i/>
          <w:sz w:val="28"/>
          <w:szCs w:val="28"/>
        </w:rPr>
        <w:t>Diagrama nr.</w:t>
      </w:r>
      <w:r w:rsidR="00824429">
        <w:rPr>
          <w:rFonts w:ascii="Times New Roman" w:hAnsi="Times New Roman" w:cs="Times New Roman"/>
          <w:i/>
          <w:sz w:val="28"/>
          <w:szCs w:val="28"/>
        </w:rPr>
        <w:t>4</w:t>
      </w:r>
      <w:r w:rsidRPr="00C06023">
        <w:rPr>
          <w:rFonts w:ascii="Times New Roman" w:hAnsi="Times New Roman" w:cs="Times New Roman"/>
          <w:i/>
          <w:sz w:val="28"/>
          <w:szCs w:val="28"/>
        </w:rPr>
        <w:t>.</w:t>
      </w:r>
    </w:p>
    <w:p w:rsidR="003E62EC" w:rsidRPr="00C06023" w:rsidRDefault="003E62EC" w:rsidP="003E62EC">
      <w:pPr>
        <w:spacing w:line="276" w:lineRule="auto"/>
        <w:contextualSpacing/>
        <w:jc w:val="right"/>
        <w:rPr>
          <w:rFonts w:ascii="Times New Roman" w:hAnsi="Times New Roman" w:cs="Times New Roman"/>
          <w:i/>
          <w:sz w:val="28"/>
          <w:szCs w:val="28"/>
        </w:rPr>
      </w:pPr>
      <w:r w:rsidRPr="00C06023">
        <w:rPr>
          <w:rFonts w:ascii="Times New Roman" w:hAnsi="Times New Roman" w:cs="Times New Roman"/>
          <w:i/>
          <w:sz w:val="28"/>
          <w:szCs w:val="28"/>
        </w:rPr>
        <w:t>Diagrama nr.</w:t>
      </w:r>
      <w:r w:rsidR="00824429">
        <w:rPr>
          <w:rFonts w:ascii="Times New Roman" w:hAnsi="Times New Roman" w:cs="Times New Roman"/>
          <w:i/>
          <w:sz w:val="28"/>
          <w:szCs w:val="28"/>
        </w:rPr>
        <w:t>4</w:t>
      </w:r>
    </w:p>
    <w:p w:rsidR="003E62EC" w:rsidRDefault="003E62EC" w:rsidP="003E62EC">
      <w:pPr>
        <w:spacing w:line="276" w:lineRule="auto"/>
        <w:contextualSpacing/>
        <w:jc w:val="center"/>
        <w:rPr>
          <w:rFonts w:ascii="Times New Roman" w:hAnsi="Times New Roman" w:cs="Times New Roman"/>
          <w:b/>
          <w:sz w:val="24"/>
          <w:szCs w:val="28"/>
        </w:rPr>
      </w:pPr>
      <w:r>
        <w:rPr>
          <w:rFonts w:ascii="Times New Roman" w:hAnsi="Times New Roman" w:cs="Times New Roman"/>
          <w:b/>
          <w:sz w:val="24"/>
          <w:szCs w:val="28"/>
        </w:rPr>
        <w:t>Analiza e</w:t>
      </w:r>
      <w:r w:rsidRPr="00C06023">
        <w:rPr>
          <w:rFonts w:ascii="Times New Roman" w:hAnsi="Times New Roman" w:cs="Times New Roman"/>
          <w:b/>
          <w:sz w:val="24"/>
          <w:szCs w:val="28"/>
        </w:rPr>
        <w:t>xecut</w:t>
      </w:r>
      <w:r>
        <w:rPr>
          <w:rFonts w:ascii="Times New Roman" w:hAnsi="Times New Roman" w:cs="Times New Roman"/>
          <w:b/>
          <w:sz w:val="24"/>
          <w:szCs w:val="28"/>
        </w:rPr>
        <w:t>ă</w:t>
      </w:r>
      <w:r w:rsidRPr="00C06023">
        <w:rPr>
          <w:rFonts w:ascii="Times New Roman" w:hAnsi="Times New Roman" w:cs="Times New Roman"/>
          <w:b/>
          <w:sz w:val="24"/>
          <w:szCs w:val="28"/>
        </w:rPr>
        <w:t>r</w:t>
      </w:r>
      <w:r>
        <w:rPr>
          <w:rFonts w:ascii="Times New Roman" w:hAnsi="Times New Roman" w:cs="Times New Roman"/>
          <w:b/>
          <w:sz w:val="24"/>
          <w:szCs w:val="28"/>
        </w:rPr>
        <w:t>ii</w:t>
      </w:r>
      <w:r w:rsidRPr="00C06023">
        <w:rPr>
          <w:rFonts w:ascii="Times New Roman" w:hAnsi="Times New Roman" w:cs="Times New Roman"/>
          <w:b/>
          <w:sz w:val="24"/>
          <w:szCs w:val="28"/>
        </w:rPr>
        <w:t xml:space="preserve"> cheltuielilor bugetului de stat și </w:t>
      </w:r>
      <w:r>
        <w:rPr>
          <w:rFonts w:ascii="Times New Roman" w:hAnsi="Times New Roman" w:cs="Times New Roman"/>
          <w:b/>
          <w:sz w:val="24"/>
          <w:szCs w:val="28"/>
        </w:rPr>
        <w:t xml:space="preserve">a </w:t>
      </w:r>
      <w:r w:rsidRPr="00C06023">
        <w:rPr>
          <w:rFonts w:ascii="Times New Roman" w:hAnsi="Times New Roman" w:cs="Times New Roman"/>
          <w:b/>
          <w:sz w:val="24"/>
          <w:szCs w:val="28"/>
        </w:rPr>
        <w:t>soldul</w:t>
      </w:r>
      <w:r>
        <w:rPr>
          <w:rFonts w:ascii="Times New Roman" w:hAnsi="Times New Roman" w:cs="Times New Roman"/>
          <w:b/>
          <w:sz w:val="24"/>
          <w:szCs w:val="28"/>
        </w:rPr>
        <w:t>ui</w:t>
      </w:r>
      <w:r w:rsidRPr="00C06023">
        <w:rPr>
          <w:rFonts w:ascii="Times New Roman" w:hAnsi="Times New Roman" w:cs="Times New Roman"/>
          <w:b/>
          <w:sz w:val="24"/>
          <w:szCs w:val="28"/>
        </w:rPr>
        <w:t xml:space="preserve"> alocațiilor neutilizate în anii 2015-2017</w:t>
      </w:r>
    </w:p>
    <w:p w:rsidR="00796523" w:rsidRPr="00A071F0" w:rsidRDefault="00796523" w:rsidP="00796523">
      <w:pPr>
        <w:spacing w:line="276" w:lineRule="auto"/>
        <w:ind w:right="283"/>
        <w:contextualSpacing/>
        <w:jc w:val="right"/>
        <w:rPr>
          <w:rFonts w:ascii="Times New Roman" w:hAnsi="Times New Roman" w:cs="Times New Roman"/>
          <w:b/>
          <w:sz w:val="24"/>
          <w:szCs w:val="28"/>
        </w:rPr>
      </w:pPr>
      <w:r w:rsidRPr="00A071F0">
        <w:rPr>
          <w:rFonts w:ascii="Times New Roman" w:hAnsi="Times New Roman" w:cs="Times New Roman"/>
          <w:i/>
          <w:sz w:val="24"/>
          <w:szCs w:val="28"/>
        </w:rPr>
        <w:t>(mil.lei)</w:t>
      </w:r>
    </w:p>
    <w:p w:rsidR="003E62EC" w:rsidRDefault="003E62EC" w:rsidP="00796523">
      <w:pPr>
        <w:spacing w:line="276" w:lineRule="auto"/>
        <w:contextualSpacing/>
        <w:jc w:val="center"/>
        <w:rPr>
          <w:rFonts w:ascii="Times New Roman" w:hAnsi="Times New Roman" w:cs="Times New Roman"/>
          <w:b/>
          <w:sz w:val="28"/>
          <w:szCs w:val="28"/>
        </w:rPr>
      </w:pPr>
      <w:r>
        <w:rPr>
          <w:rFonts w:ascii="Times New Roman" w:hAnsi="Times New Roman" w:cs="Times New Roman"/>
          <w:b/>
          <w:noProof/>
          <w:sz w:val="28"/>
          <w:szCs w:val="28"/>
          <w:lang w:val="ru-RU" w:eastAsia="ru-RU"/>
        </w:rPr>
        <w:drawing>
          <wp:inline distT="0" distB="0" distL="0" distR="0" wp14:anchorId="5BBB6340" wp14:editId="3EDB7893">
            <wp:extent cx="5629275" cy="2771775"/>
            <wp:effectExtent l="0" t="0" r="9525" b="952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E62EC" w:rsidRDefault="003E62EC" w:rsidP="00BA4FED">
      <w:pPr>
        <w:spacing w:after="120" w:line="276" w:lineRule="auto"/>
        <w:ind w:left="426" w:right="425"/>
        <w:jc w:val="both"/>
        <w:rPr>
          <w:rFonts w:ascii="Times New Roman" w:hAnsi="Times New Roman" w:cs="Times New Roman"/>
          <w:b/>
          <w:sz w:val="28"/>
          <w:szCs w:val="28"/>
        </w:rPr>
      </w:pPr>
      <w:r w:rsidRPr="001E7A2C">
        <w:rPr>
          <w:rFonts w:ascii="Times New Roman" w:hAnsi="Times New Roman" w:cs="Times New Roman"/>
          <w:b/>
          <w:i/>
          <w:sz w:val="20"/>
          <w:szCs w:val="28"/>
        </w:rPr>
        <w:t>Surs</w:t>
      </w:r>
      <w:r w:rsidR="00424A4A">
        <w:rPr>
          <w:rFonts w:ascii="Times New Roman" w:hAnsi="Times New Roman" w:cs="Times New Roman"/>
          <w:b/>
          <w:i/>
          <w:sz w:val="20"/>
          <w:szCs w:val="28"/>
        </w:rPr>
        <w:t>ă</w:t>
      </w:r>
      <w:r w:rsidRPr="001E7A2C">
        <w:rPr>
          <w:rFonts w:ascii="Times New Roman" w:hAnsi="Times New Roman" w:cs="Times New Roman"/>
          <w:b/>
          <w:i/>
          <w:sz w:val="20"/>
          <w:szCs w:val="28"/>
        </w:rPr>
        <w:t>:</w:t>
      </w:r>
      <w:r w:rsidRPr="001E7A2C">
        <w:rPr>
          <w:rFonts w:ascii="Times New Roman" w:hAnsi="Times New Roman" w:cs="Times New Roman"/>
          <w:b/>
          <w:sz w:val="20"/>
          <w:szCs w:val="28"/>
        </w:rPr>
        <w:t xml:space="preserve"> </w:t>
      </w:r>
      <w:r w:rsidRPr="00600AE6">
        <w:rPr>
          <w:rFonts w:ascii="Times New Roman" w:hAnsi="Times New Roman" w:cs="Times New Roman"/>
          <w:i/>
          <w:sz w:val="20"/>
          <w:szCs w:val="28"/>
        </w:rPr>
        <w:t>Informații generalizate de echipa de audit conform</w:t>
      </w:r>
      <w:r>
        <w:rPr>
          <w:rFonts w:ascii="Times New Roman" w:hAnsi="Times New Roman" w:cs="Times New Roman"/>
          <w:b/>
          <w:sz w:val="20"/>
          <w:szCs w:val="28"/>
        </w:rPr>
        <w:t xml:space="preserve"> </w:t>
      </w:r>
      <w:r>
        <w:rPr>
          <w:rFonts w:ascii="Times New Roman" w:hAnsi="Times New Roman" w:cs="Times New Roman"/>
          <w:i/>
          <w:sz w:val="20"/>
          <w:szCs w:val="28"/>
        </w:rPr>
        <w:t>Rapoartelor</w:t>
      </w:r>
      <w:r w:rsidRPr="001E7A2C">
        <w:rPr>
          <w:rFonts w:ascii="Times New Roman" w:hAnsi="Times New Roman" w:cs="Times New Roman"/>
          <w:i/>
          <w:sz w:val="20"/>
          <w:szCs w:val="28"/>
        </w:rPr>
        <w:t xml:space="preserve"> privind executarea bugetului de stat pe anii 2015-2017.</w:t>
      </w:r>
    </w:p>
    <w:p w:rsidR="003E62EC" w:rsidRPr="009B5725" w:rsidRDefault="003E62EC" w:rsidP="003E62EC">
      <w:pPr>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Auditul atestă că nivelul de executare a cheltuielilor de casă a generat prezența unui sold de alocații nevalorificate în anul 2017 în cuantum total de 2323,4 mil.lei. </w:t>
      </w:r>
      <w:r w:rsidRPr="009B5725">
        <w:rPr>
          <w:rFonts w:ascii="Times New Roman" w:hAnsi="Times New Roman" w:cs="Times New Roman"/>
          <w:sz w:val="28"/>
          <w:szCs w:val="28"/>
        </w:rPr>
        <w:t>Analiza alocațiilor nevalorificate</w:t>
      </w:r>
      <w:r>
        <w:rPr>
          <w:rFonts w:ascii="Times New Roman" w:hAnsi="Times New Roman" w:cs="Times New Roman"/>
          <w:sz w:val="28"/>
          <w:szCs w:val="28"/>
        </w:rPr>
        <w:t xml:space="preserve"> indică că în anul 2017 acestea dețin o pondere de 6,1% din totalul cheltuielilor precizate</w:t>
      </w:r>
      <w:r w:rsidR="00894DF2">
        <w:rPr>
          <w:rFonts w:ascii="Times New Roman" w:hAnsi="Times New Roman" w:cs="Times New Roman"/>
          <w:sz w:val="28"/>
          <w:szCs w:val="28"/>
        </w:rPr>
        <w:t>,</w:t>
      </w:r>
      <w:r>
        <w:rPr>
          <w:rFonts w:ascii="Times New Roman" w:hAnsi="Times New Roman" w:cs="Times New Roman"/>
          <w:sz w:val="28"/>
          <w:szCs w:val="28"/>
        </w:rPr>
        <w:t xml:space="preserve"> față de 4,7% în anul 2016</w:t>
      </w:r>
      <w:r w:rsidR="00424A4A">
        <w:rPr>
          <w:rFonts w:ascii="Times New Roman" w:hAnsi="Times New Roman" w:cs="Times New Roman"/>
          <w:sz w:val="28"/>
          <w:szCs w:val="28"/>
        </w:rPr>
        <w:t>,</w:t>
      </w:r>
      <w:r>
        <w:rPr>
          <w:rFonts w:ascii="Times New Roman" w:hAnsi="Times New Roman" w:cs="Times New Roman"/>
          <w:sz w:val="28"/>
          <w:szCs w:val="28"/>
        </w:rPr>
        <w:t xml:space="preserve"> sau fiind în creștere cu 798,4 mil.lei. Nevalorificarea deplină a alocațiilor a fost determinată de </w:t>
      </w:r>
      <w:r w:rsidRPr="002B710D">
        <w:rPr>
          <w:rFonts w:ascii="Times New Roman" w:hAnsi="Times New Roman" w:cs="Times New Roman"/>
          <w:sz w:val="28"/>
          <w:szCs w:val="28"/>
        </w:rPr>
        <w:t>nivel</w:t>
      </w:r>
      <w:r>
        <w:rPr>
          <w:rFonts w:ascii="Times New Roman" w:hAnsi="Times New Roman" w:cs="Times New Roman"/>
          <w:sz w:val="28"/>
          <w:szCs w:val="28"/>
        </w:rPr>
        <w:t xml:space="preserve">ul de </w:t>
      </w:r>
      <w:r w:rsidR="005F2274">
        <w:rPr>
          <w:rFonts w:ascii="Times New Roman" w:hAnsi="Times New Roman" w:cs="Times New Roman"/>
          <w:sz w:val="28"/>
          <w:szCs w:val="28"/>
        </w:rPr>
        <w:t xml:space="preserve">planificare </w:t>
      </w:r>
      <w:r>
        <w:rPr>
          <w:rFonts w:ascii="Times New Roman" w:hAnsi="Times New Roman" w:cs="Times New Roman"/>
          <w:sz w:val="28"/>
          <w:szCs w:val="28"/>
        </w:rPr>
        <w:t>a limitelor de cheltuieli și de circumstanțele cauzate de nedebursarea granturilor externe la nivelul planificat.</w:t>
      </w:r>
      <w:r w:rsidRPr="002B710D">
        <w:rPr>
          <w:rFonts w:ascii="Times New Roman" w:hAnsi="Times New Roman" w:cs="Times New Roman"/>
          <w:sz w:val="28"/>
          <w:szCs w:val="28"/>
        </w:rPr>
        <w:t xml:space="preserve"> </w:t>
      </w:r>
    </w:p>
    <w:p w:rsidR="003E62EC" w:rsidRDefault="003E62EC" w:rsidP="003E62EC">
      <w:pPr>
        <w:spacing w:line="276" w:lineRule="auto"/>
        <w:ind w:firstLine="709"/>
        <w:contextualSpacing/>
        <w:jc w:val="both"/>
        <w:rPr>
          <w:rFonts w:ascii="Times New Roman" w:hAnsi="Times New Roman"/>
          <w:sz w:val="28"/>
          <w:szCs w:val="28"/>
        </w:rPr>
      </w:pPr>
      <w:r>
        <w:rPr>
          <w:rFonts w:ascii="Times New Roman" w:hAnsi="Times New Roman" w:cs="Times New Roman"/>
          <w:sz w:val="28"/>
          <w:szCs w:val="28"/>
        </w:rPr>
        <w:lastRenderedPageBreak/>
        <w:t xml:space="preserve">Analizând </w:t>
      </w:r>
      <w:r>
        <w:rPr>
          <w:rFonts w:ascii="Times New Roman" w:hAnsi="Times New Roman"/>
          <w:sz w:val="28"/>
          <w:szCs w:val="28"/>
        </w:rPr>
        <w:t xml:space="preserve">modificările operate </w:t>
      </w:r>
      <w:r w:rsidR="00424A4A">
        <w:rPr>
          <w:rFonts w:ascii="Times New Roman" w:hAnsi="Times New Roman"/>
          <w:sz w:val="28"/>
          <w:szCs w:val="28"/>
        </w:rPr>
        <w:t>în</w:t>
      </w:r>
      <w:r>
        <w:rPr>
          <w:rFonts w:ascii="Times New Roman" w:hAnsi="Times New Roman"/>
          <w:sz w:val="28"/>
          <w:szCs w:val="28"/>
        </w:rPr>
        <w:t xml:space="preserve"> Legea bugetului de stat pentru anul 2017 la partea de cheltuieli, auditul constată că totalul cheltuielilor bugetului de stat a fost majorat la data de 17.03.2017 cu 385,9 mil.lei</w:t>
      </w:r>
      <w:r>
        <w:rPr>
          <w:rStyle w:val="a9"/>
          <w:rFonts w:ascii="Times New Roman" w:hAnsi="Times New Roman"/>
          <w:sz w:val="28"/>
          <w:szCs w:val="28"/>
        </w:rPr>
        <w:footnoteReference w:id="46"/>
      </w:r>
      <w:r>
        <w:rPr>
          <w:rFonts w:ascii="Times New Roman" w:hAnsi="Times New Roman"/>
          <w:sz w:val="28"/>
          <w:szCs w:val="28"/>
        </w:rPr>
        <w:t xml:space="preserve"> și, respectiv, la data de 10.11.2017 cu 416,</w:t>
      </w:r>
      <w:r w:rsidR="00864C4E">
        <w:rPr>
          <w:rFonts w:ascii="Times New Roman" w:hAnsi="Times New Roman"/>
          <w:sz w:val="28"/>
          <w:szCs w:val="28"/>
        </w:rPr>
        <w:t xml:space="preserve">2 </w:t>
      </w:r>
      <w:r>
        <w:rPr>
          <w:rFonts w:ascii="Times New Roman" w:hAnsi="Times New Roman"/>
          <w:sz w:val="28"/>
          <w:szCs w:val="28"/>
        </w:rPr>
        <w:t>mil.lei</w:t>
      </w:r>
      <w:r>
        <w:rPr>
          <w:rStyle w:val="a9"/>
          <w:rFonts w:ascii="Times New Roman" w:hAnsi="Times New Roman"/>
          <w:sz w:val="28"/>
          <w:szCs w:val="28"/>
        </w:rPr>
        <w:footnoteReference w:id="47"/>
      </w:r>
      <w:r>
        <w:rPr>
          <w:rFonts w:ascii="Times New Roman" w:hAnsi="Times New Roman"/>
          <w:sz w:val="28"/>
          <w:szCs w:val="28"/>
        </w:rPr>
        <w:t xml:space="preserve">, însumând în total 37796,9 mil.lei. Totodată, MF, </w:t>
      </w:r>
      <w:r w:rsidRPr="00976D61">
        <w:rPr>
          <w:rFonts w:ascii="Times New Roman" w:hAnsi="Times New Roman"/>
          <w:sz w:val="28"/>
          <w:szCs w:val="28"/>
        </w:rPr>
        <w:t xml:space="preserve">fiind autorizat </w:t>
      </w:r>
      <w:r>
        <w:rPr>
          <w:rFonts w:ascii="Times New Roman" w:hAnsi="Times New Roman"/>
          <w:sz w:val="28"/>
          <w:szCs w:val="28"/>
        </w:rPr>
        <w:t>legal</w:t>
      </w:r>
      <w:r w:rsidRPr="00361161">
        <w:rPr>
          <w:rStyle w:val="a9"/>
          <w:rFonts w:ascii="Times New Roman" w:hAnsi="Times New Roman" w:cs="Times New Roman"/>
          <w:sz w:val="28"/>
          <w:szCs w:val="28"/>
        </w:rPr>
        <w:footnoteReference w:id="48"/>
      </w:r>
      <w:r w:rsidRPr="00361161">
        <w:rPr>
          <w:rFonts w:ascii="Times New Roman" w:hAnsi="Times New Roman" w:cs="Times New Roman"/>
          <w:sz w:val="28"/>
          <w:szCs w:val="28"/>
        </w:rPr>
        <w:t>,</w:t>
      </w:r>
      <w:r>
        <w:rPr>
          <w:rFonts w:ascii="Times New Roman" w:hAnsi="Times New Roman"/>
          <w:sz w:val="28"/>
          <w:szCs w:val="28"/>
        </w:rPr>
        <w:t xml:space="preserve"> </w:t>
      </w:r>
      <w:r w:rsidRPr="00976D61">
        <w:rPr>
          <w:rFonts w:ascii="Times New Roman" w:hAnsi="Times New Roman"/>
          <w:sz w:val="28"/>
          <w:szCs w:val="28"/>
        </w:rPr>
        <w:t xml:space="preserve">a </w:t>
      </w:r>
      <w:r>
        <w:rPr>
          <w:rFonts w:ascii="Times New Roman" w:hAnsi="Times New Roman"/>
          <w:sz w:val="28"/>
          <w:szCs w:val="28"/>
        </w:rPr>
        <w:t>majorat</w:t>
      </w:r>
      <w:r w:rsidRPr="00976D61">
        <w:rPr>
          <w:rFonts w:ascii="Times New Roman" w:hAnsi="Times New Roman"/>
          <w:sz w:val="28"/>
          <w:szCs w:val="28"/>
        </w:rPr>
        <w:t xml:space="preserve"> </w:t>
      </w:r>
      <w:r>
        <w:rPr>
          <w:rFonts w:ascii="Times New Roman" w:hAnsi="Times New Roman"/>
          <w:sz w:val="28"/>
          <w:szCs w:val="28"/>
        </w:rPr>
        <w:t>cheltuielile bugetului de stat cu 5,6 mil.lei, prin care fapt volumul definitivat al cheltuielilor BS a constituit 37802,</w:t>
      </w:r>
      <w:r w:rsidR="007564D7">
        <w:rPr>
          <w:rFonts w:ascii="Times New Roman" w:hAnsi="Times New Roman"/>
          <w:sz w:val="28"/>
          <w:szCs w:val="28"/>
        </w:rPr>
        <w:t>5</w:t>
      </w:r>
      <w:r>
        <w:rPr>
          <w:rFonts w:ascii="Times New Roman" w:hAnsi="Times New Roman"/>
          <w:sz w:val="28"/>
          <w:szCs w:val="28"/>
        </w:rPr>
        <w:t xml:space="preserve"> mil.lei.</w:t>
      </w:r>
    </w:p>
    <w:p w:rsidR="003E62EC" w:rsidRPr="00333819" w:rsidRDefault="003E62EC" w:rsidP="003E62EC">
      <w:pPr>
        <w:spacing w:line="276" w:lineRule="auto"/>
        <w:ind w:firstLine="709"/>
        <w:contextualSpacing/>
        <w:jc w:val="both"/>
        <w:rPr>
          <w:rFonts w:ascii="Times New Roman" w:hAnsi="Times New Roman" w:cs="Times New Roman"/>
          <w:b/>
          <w:sz w:val="28"/>
          <w:szCs w:val="28"/>
        </w:rPr>
      </w:pPr>
      <w:r>
        <w:rPr>
          <w:rFonts w:ascii="Times New Roman" w:hAnsi="Times New Roman" w:cs="Times New Roman"/>
          <w:sz w:val="28"/>
          <w:szCs w:val="28"/>
        </w:rPr>
        <w:t xml:space="preserve">În baza analizei cheltuielilor de casă executate la BS pe anul 2017, în aspectul clasificației economice, auditul denotă că cel mai mic nivel de executare a fost înregistrat la capitolul „Mijloace fixe” </w:t>
      </w:r>
      <w:r w:rsidR="00424A4A">
        <w:rPr>
          <w:rFonts w:ascii="Times New Roman" w:hAnsi="Times New Roman"/>
          <w:sz w:val="28"/>
          <w:szCs w:val="28"/>
        </w:rPr>
        <w:t xml:space="preserve">– </w:t>
      </w:r>
      <w:r>
        <w:rPr>
          <w:rFonts w:ascii="Times New Roman" w:hAnsi="Times New Roman" w:cs="Times New Roman"/>
          <w:sz w:val="28"/>
          <w:szCs w:val="28"/>
        </w:rPr>
        <w:t xml:space="preserve">cu 69,9% , din care „Investiții capitale în active în curs de execuție” – 60,5%. Analiza executării în anul </w:t>
      </w:r>
      <w:r w:rsidR="00424A4A">
        <w:rPr>
          <w:rFonts w:ascii="Times New Roman" w:hAnsi="Times New Roman" w:cs="Times New Roman"/>
          <w:sz w:val="28"/>
          <w:szCs w:val="28"/>
        </w:rPr>
        <w:t>de raportare</w:t>
      </w:r>
      <w:r>
        <w:rPr>
          <w:rFonts w:ascii="Times New Roman" w:hAnsi="Times New Roman" w:cs="Times New Roman"/>
          <w:sz w:val="28"/>
          <w:szCs w:val="28"/>
        </w:rPr>
        <w:t xml:space="preserve"> a cheltuielilor de casă ale bugetului de stat, în aspectul clasificației economice, comparativ cu anul 2016, este prezentată în </w:t>
      </w:r>
      <w:r w:rsidRPr="00AE1750">
        <w:rPr>
          <w:rFonts w:ascii="Times New Roman" w:hAnsi="Times New Roman" w:cs="Times New Roman"/>
          <w:i/>
          <w:sz w:val="28"/>
          <w:szCs w:val="28"/>
        </w:rPr>
        <w:t>Tabelul nr.</w:t>
      </w:r>
      <w:r w:rsidR="003B4CAE">
        <w:rPr>
          <w:rFonts w:ascii="Times New Roman" w:hAnsi="Times New Roman" w:cs="Times New Roman"/>
          <w:i/>
          <w:sz w:val="28"/>
          <w:szCs w:val="28"/>
        </w:rPr>
        <w:t>10</w:t>
      </w:r>
      <w:r w:rsidRPr="00AE1750">
        <w:rPr>
          <w:rFonts w:ascii="Times New Roman" w:hAnsi="Times New Roman" w:cs="Times New Roman"/>
          <w:i/>
          <w:sz w:val="28"/>
          <w:szCs w:val="28"/>
        </w:rPr>
        <w:t>.</w:t>
      </w:r>
    </w:p>
    <w:p w:rsidR="003E62EC" w:rsidRPr="00AE1750" w:rsidRDefault="003E62EC" w:rsidP="003E62EC">
      <w:pPr>
        <w:spacing w:after="0" w:line="276" w:lineRule="auto"/>
        <w:ind w:firstLine="709"/>
        <w:jc w:val="right"/>
        <w:rPr>
          <w:rFonts w:ascii="Times New Roman" w:eastAsia="Times New Roman" w:hAnsi="Times New Roman" w:cs="Times New Roman"/>
          <w:i/>
          <w:sz w:val="28"/>
          <w:szCs w:val="24"/>
          <w:lang w:eastAsia="ru-RU"/>
        </w:rPr>
      </w:pPr>
      <w:r w:rsidRPr="00AE1750">
        <w:rPr>
          <w:rFonts w:ascii="Times New Roman" w:eastAsia="Times New Roman" w:hAnsi="Times New Roman" w:cs="Times New Roman"/>
          <w:i/>
          <w:sz w:val="28"/>
          <w:szCs w:val="24"/>
          <w:lang w:eastAsia="ru-RU"/>
        </w:rPr>
        <w:t>Tabelul nr.</w:t>
      </w:r>
      <w:r w:rsidR="003B4CAE">
        <w:rPr>
          <w:rFonts w:ascii="Times New Roman" w:eastAsia="Times New Roman" w:hAnsi="Times New Roman" w:cs="Times New Roman"/>
          <w:i/>
          <w:sz w:val="28"/>
          <w:szCs w:val="24"/>
          <w:lang w:eastAsia="ru-RU"/>
        </w:rPr>
        <w:t>10</w:t>
      </w:r>
    </w:p>
    <w:p w:rsidR="003E62EC" w:rsidRPr="00C26E3B" w:rsidRDefault="003E62EC" w:rsidP="003E62EC">
      <w:pPr>
        <w:spacing w:after="0" w:line="276" w:lineRule="auto"/>
        <w:jc w:val="center"/>
        <w:rPr>
          <w:rFonts w:ascii="Times New Roman" w:eastAsia="Times New Roman" w:hAnsi="Times New Roman" w:cs="Times New Roman"/>
          <w:b/>
          <w:sz w:val="24"/>
          <w:szCs w:val="24"/>
          <w:lang w:eastAsia="ru-RU"/>
        </w:rPr>
      </w:pPr>
      <w:r w:rsidRPr="00AE1750">
        <w:rPr>
          <w:rFonts w:ascii="Times New Roman" w:eastAsia="Times New Roman" w:hAnsi="Times New Roman" w:cs="Times New Roman"/>
          <w:b/>
          <w:sz w:val="24"/>
          <w:szCs w:val="24"/>
          <w:lang w:eastAsia="ru-RU"/>
        </w:rPr>
        <w:t>Analiza executării cheltuielilor bugetului de stat în aspectul clasificației economice pe anul 2017, comparativ cu anul 2016</w:t>
      </w:r>
    </w:p>
    <w:p w:rsidR="003E62EC" w:rsidRPr="00C26E3B" w:rsidRDefault="003E62EC" w:rsidP="003E62EC">
      <w:pPr>
        <w:spacing w:after="0" w:line="240" w:lineRule="auto"/>
        <w:jc w:val="right"/>
        <w:rPr>
          <w:rFonts w:ascii="Times New Roman" w:eastAsia="Times New Roman" w:hAnsi="Times New Roman" w:cs="Times New Roman"/>
          <w:sz w:val="24"/>
          <w:szCs w:val="24"/>
          <w:lang w:eastAsia="ru-RU"/>
        </w:rPr>
      </w:pPr>
      <w:r w:rsidRPr="00C26E3B">
        <w:rPr>
          <w:rFonts w:ascii="Times New Roman" w:eastAsia="Times New Roman" w:hAnsi="Times New Roman" w:cs="Times New Roman"/>
          <w:i/>
          <w:sz w:val="24"/>
          <w:szCs w:val="24"/>
          <w:lang w:eastAsia="ru-RU"/>
        </w:rPr>
        <w:t>(mil.lei)</w:t>
      </w:r>
    </w:p>
    <w:tbl>
      <w:tblPr>
        <w:tblStyle w:val="TableGrid2"/>
        <w:tblW w:w="9781" w:type="dxa"/>
        <w:tblInd w:w="-147" w:type="dxa"/>
        <w:tblLayout w:type="fixed"/>
        <w:tblLook w:val="04A0" w:firstRow="1" w:lastRow="0" w:firstColumn="1" w:lastColumn="0" w:noHBand="0" w:noVBand="1"/>
      </w:tblPr>
      <w:tblGrid>
        <w:gridCol w:w="2836"/>
        <w:gridCol w:w="992"/>
        <w:gridCol w:w="844"/>
        <w:gridCol w:w="968"/>
        <w:gridCol w:w="881"/>
        <w:gridCol w:w="709"/>
        <w:gridCol w:w="992"/>
        <w:gridCol w:w="851"/>
        <w:gridCol w:w="708"/>
      </w:tblGrid>
      <w:tr w:rsidR="003E62EC" w:rsidRPr="00C26E3B" w:rsidTr="003E62EC">
        <w:tc>
          <w:tcPr>
            <w:tcW w:w="2836" w:type="dxa"/>
            <w:vMerge w:val="restart"/>
            <w:shd w:val="clear" w:color="auto" w:fill="002060"/>
            <w:vAlign w:val="center"/>
          </w:tcPr>
          <w:p w:rsidR="003E62EC" w:rsidRPr="00894DF2" w:rsidRDefault="003E62EC" w:rsidP="003E62EC">
            <w:pPr>
              <w:jc w:val="center"/>
              <w:rPr>
                <w:rFonts w:ascii="Times New Roman" w:eastAsia="Times New Roman" w:hAnsi="Times New Roman" w:cs="Times New Roman"/>
                <w:b/>
                <w:lang w:eastAsia="ru-RU"/>
              </w:rPr>
            </w:pPr>
            <w:r w:rsidRPr="00FA6D69">
              <w:rPr>
                <w:rFonts w:ascii="Times New Roman" w:eastAsia="Times New Roman" w:hAnsi="Times New Roman" w:cs="Times New Roman"/>
                <w:b/>
                <w:lang w:eastAsia="ru-RU"/>
              </w:rPr>
              <w:t>Cheltuieli</w:t>
            </w:r>
          </w:p>
        </w:tc>
        <w:tc>
          <w:tcPr>
            <w:tcW w:w="992" w:type="dxa"/>
            <w:vMerge w:val="restart"/>
            <w:shd w:val="clear" w:color="auto" w:fill="002060"/>
            <w:vAlign w:val="center"/>
          </w:tcPr>
          <w:p w:rsidR="003E62EC" w:rsidRPr="00C26E3B" w:rsidRDefault="003E62EC" w:rsidP="003E62EC">
            <w:pPr>
              <w:ind w:left="-110"/>
              <w:jc w:val="center"/>
              <w:rPr>
                <w:rFonts w:ascii="Times New Roman" w:eastAsia="Times New Roman" w:hAnsi="Times New Roman" w:cs="Times New Roman"/>
                <w:b/>
                <w:lang w:eastAsia="ru-RU"/>
              </w:rPr>
            </w:pPr>
            <w:r w:rsidRPr="00C26E3B">
              <w:rPr>
                <w:rFonts w:ascii="Times New Roman" w:eastAsia="Times New Roman" w:hAnsi="Times New Roman" w:cs="Times New Roman"/>
                <w:b/>
                <w:lang w:eastAsia="ru-RU"/>
              </w:rPr>
              <w:t>Aprobat pe an</w:t>
            </w:r>
          </w:p>
        </w:tc>
        <w:tc>
          <w:tcPr>
            <w:tcW w:w="844" w:type="dxa"/>
            <w:vMerge w:val="restart"/>
            <w:shd w:val="clear" w:color="auto" w:fill="002060"/>
            <w:vAlign w:val="center"/>
          </w:tcPr>
          <w:p w:rsidR="003E62EC" w:rsidRPr="00C26E3B" w:rsidRDefault="003E62EC" w:rsidP="003E62EC">
            <w:pPr>
              <w:ind w:left="-108" w:right="-111"/>
              <w:jc w:val="center"/>
              <w:rPr>
                <w:rFonts w:ascii="Times New Roman" w:eastAsia="Times New Roman" w:hAnsi="Times New Roman" w:cs="Times New Roman"/>
                <w:b/>
                <w:lang w:eastAsia="ru-RU"/>
              </w:rPr>
            </w:pPr>
            <w:r w:rsidRPr="00C26E3B">
              <w:rPr>
                <w:rFonts w:ascii="Times New Roman" w:eastAsia="Times New Roman" w:hAnsi="Times New Roman" w:cs="Times New Roman"/>
                <w:b/>
                <w:lang w:eastAsia="ru-RU"/>
              </w:rPr>
              <w:t>Precizat pe an</w:t>
            </w:r>
          </w:p>
        </w:tc>
        <w:tc>
          <w:tcPr>
            <w:tcW w:w="968" w:type="dxa"/>
            <w:vMerge w:val="restart"/>
            <w:shd w:val="clear" w:color="auto" w:fill="002060"/>
            <w:vAlign w:val="center"/>
          </w:tcPr>
          <w:p w:rsidR="003E62EC" w:rsidRPr="00C26E3B" w:rsidRDefault="003E62EC" w:rsidP="003E62EC">
            <w:pPr>
              <w:ind w:left="-117" w:right="-124"/>
              <w:jc w:val="center"/>
              <w:rPr>
                <w:rFonts w:ascii="Times New Roman" w:eastAsia="Times New Roman" w:hAnsi="Times New Roman" w:cs="Times New Roman"/>
                <w:b/>
                <w:lang w:eastAsia="ru-RU"/>
              </w:rPr>
            </w:pPr>
            <w:r w:rsidRPr="00C26E3B">
              <w:rPr>
                <w:rFonts w:ascii="Times New Roman" w:eastAsia="Times New Roman" w:hAnsi="Times New Roman" w:cs="Times New Roman"/>
                <w:b/>
                <w:lang w:eastAsia="ru-RU"/>
              </w:rPr>
              <w:t>Executat</w:t>
            </w:r>
            <w:r>
              <w:rPr>
                <w:rFonts w:ascii="Times New Roman" w:eastAsia="Times New Roman" w:hAnsi="Times New Roman" w:cs="Times New Roman"/>
                <w:b/>
                <w:lang w:eastAsia="ru-RU"/>
              </w:rPr>
              <w:t xml:space="preserve"> anul curent</w:t>
            </w:r>
          </w:p>
        </w:tc>
        <w:tc>
          <w:tcPr>
            <w:tcW w:w="1590" w:type="dxa"/>
            <w:gridSpan w:val="2"/>
            <w:shd w:val="clear" w:color="auto" w:fill="002060"/>
            <w:vAlign w:val="center"/>
          </w:tcPr>
          <w:p w:rsidR="003E62EC" w:rsidRPr="00C26E3B" w:rsidRDefault="003E62EC" w:rsidP="003E62EC">
            <w:pPr>
              <w:ind w:left="-80" w:right="-106"/>
              <w:jc w:val="center"/>
              <w:rPr>
                <w:rFonts w:ascii="Times New Roman" w:eastAsia="Times New Roman" w:hAnsi="Times New Roman" w:cs="Times New Roman"/>
                <w:b/>
                <w:lang w:eastAsia="ru-RU"/>
              </w:rPr>
            </w:pPr>
            <w:r w:rsidRPr="00C26E3B">
              <w:rPr>
                <w:rFonts w:ascii="Times New Roman" w:eastAsia="Times New Roman" w:hAnsi="Times New Roman" w:cs="Times New Roman"/>
                <w:b/>
                <w:lang w:eastAsia="ru-RU"/>
              </w:rPr>
              <w:t>Executat față de precizat pe an</w:t>
            </w:r>
          </w:p>
        </w:tc>
        <w:tc>
          <w:tcPr>
            <w:tcW w:w="992" w:type="dxa"/>
            <w:vMerge w:val="restart"/>
            <w:shd w:val="clear" w:color="auto" w:fill="002060"/>
            <w:vAlign w:val="center"/>
          </w:tcPr>
          <w:p w:rsidR="003E62EC" w:rsidRPr="00C26E3B" w:rsidRDefault="003E62EC" w:rsidP="003E62EC">
            <w:pPr>
              <w:ind w:left="-98" w:right="-114"/>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Executat în anul precedent</w:t>
            </w:r>
          </w:p>
        </w:tc>
        <w:tc>
          <w:tcPr>
            <w:tcW w:w="1559" w:type="dxa"/>
            <w:gridSpan w:val="2"/>
            <w:shd w:val="clear" w:color="auto" w:fill="002060"/>
            <w:vAlign w:val="center"/>
          </w:tcPr>
          <w:p w:rsidR="003E62EC" w:rsidRPr="00C26E3B" w:rsidRDefault="003E62EC" w:rsidP="003E62EC">
            <w:pPr>
              <w:jc w:val="center"/>
              <w:rPr>
                <w:rFonts w:ascii="Times New Roman" w:eastAsia="Times New Roman" w:hAnsi="Times New Roman" w:cs="Times New Roman"/>
                <w:b/>
                <w:lang w:eastAsia="ru-RU"/>
              </w:rPr>
            </w:pPr>
            <w:r w:rsidRPr="00C26E3B">
              <w:rPr>
                <w:rFonts w:ascii="Times New Roman" w:eastAsia="Times New Roman" w:hAnsi="Times New Roman" w:cs="Times New Roman"/>
                <w:b/>
                <w:lang w:eastAsia="ru-RU"/>
              </w:rPr>
              <w:t xml:space="preserve">Executat </w:t>
            </w:r>
            <w:r>
              <w:rPr>
                <w:rFonts w:ascii="Times New Roman" w:eastAsia="Times New Roman" w:hAnsi="Times New Roman" w:cs="Times New Roman"/>
                <w:b/>
                <w:lang w:eastAsia="ru-RU"/>
              </w:rPr>
              <w:t xml:space="preserve">anul curent </w:t>
            </w:r>
            <w:r w:rsidRPr="00C26E3B">
              <w:rPr>
                <w:rFonts w:ascii="Times New Roman" w:eastAsia="Times New Roman" w:hAnsi="Times New Roman" w:cs="Times New Roman"/>
                <w:b/>
                <w:lang w:eastAsia="ru-RU"/>
              </w:rPr>
              <w:t>față de pre</w:t>
            </w:r>
            <w:r>
              <w:rPr>
                <w:rFonts w:ascii="Times New Roman" w:eastAsia="Times New Roman" w:hAnsi="Times New Roman" w:cs="Times New Roman"/>
                <w:b/>
                <w:lang w:eastAsia="ru-RU"/>
              </w:rPr>
              <w:t>cedent</w:t>
            </w:r>
          </w:p>
        </w:tc>
      </w:tr>
      <w:tr w:rsidR="003E62EC" w:rsidRPr="00C26E3B" w:rsidTr="003E62EC">
        <w:tc>
          <w:tcPr>
            <w:tcW w:w="2836" w:type="dxa"/>
            <w:vMerge/>
            <w:shd w:val="clear" w:color="auto" w:fill="002060"/>
            <w:vAlign w:val="center"/>
          </w:tcPr>
          <w:p w:rsidR="003E62EC" w:rsidRPr="00C26E3B" w:rsidRDefault="003E62EC" w:rsidP="003E62EC">
            <w:pPr>
              <w:jc w:val="center"/>
              <w:rPr>
                <w:rFonts w:ascii="Times New Roman" w:eastAsia="Times New Roman" w:hAnsi="Times New Roman" w:cs="Times New Roman"/>
                <w:lang w:eastAsia="ru-RU"/>
              </w:rPr>
            </w:pPr>
          </w:p>
        </w:tc>
        <w:tc>
          <w:tcPr>
            <w:tcW w:w="992" w:type="dxa"/>
            <w:vMerge/>
            <w:shd w:val="clear" w:color="auto" w:fill="002060"/>
            <w:vAlign w:val="center"/>
          </w:tcPr>
          <w:p w:rsidR="003E62EC" w:rsidRPr="00C26E3B" w:rsidRDefault="003E62EC" w:rsidP="003E62EC">
            <w:pPr>
              <w:jc w:val="center"/>
              <w:rPr>
                <w:rFonts w:ascii="Times New Roman" w:eastAsia="Times New Roman" w:hAnsi="Times New Roman" w:cs="Times New Roman"/>
                <w:b/>
                <w:lang w:eastAsia="ru-RU"/>
              </w:rPr>
            </w:pPr>
          </w:p>
        </w:tc>
        <w:tc>
          <w:tcPr>
            <w:tcW w:w="844" w:type="dxa"/>
            <w:vMerge/>
            <w:shd w:val="clear" w:color="auto" w:fill="002060"/>
            <w:vAlign w:val="center"/>
          </w:tcPr>
          <w:p w:rsidR="003E62EC" w:rsidRPr="00C26E3B" w:rsidRDefault="003E62EC" w:rsidP="003E62EC">
            <w:pPr>
              <w:jc w:val="center"/>
              <w:rPr>
                <w:rFonts w:ascii="Times New Roman" w:eastAsia="Times New Roman" w:hAnsi="Times New Roman" w:cs="Times New Roman"/>
                <w:b/>
                <w:lang w:eastAsia="ru-RU"/>
              </w:rPr>
            </w:pPr>
          </w:p>
        </w:tc>
        <w:tc>
          <w:tcPr>
            <w:tcW w:w="968" w:type="dxa"/>
            <w:vMerge/>
            <w:shd w:val="clear" w:color="auto" w:fill="002060"/>
            <w:vAlign w:val="center"/>
          </w:tcPr>
          <w:p w:rsidR="003E62EC" w:rsidRPr="00C26E3B" w:rsidRDefault="003E62EC" w:rsidP="003E62EC">
            <w:pPr>
              <w:jc w:val="center"/>
              <w:rPr>
                <w:rFonts w:ascii="Times New Roman" w:eastAsia="Times New Roman" w:hAnsi="Times New Roman" w:cs="Times New Roman"/>
                <w:b/>
                <w:lang w:eastAsia="ru-RU"/>
              </w:rPr>
            </w:pPr>
          </w:p>
        </w:tc>
        <w:tc>
          <w:tcPr>
            <w:tcW w:w="881" w:type="dxa"/>
            <w:shd w:val="clear" w:color="auto" w:fill="002060"/>
            <w:vAlign w:val="center"/>
          </w:tcPr>
          <w:p w:rsidR="003E62EC" w:rsidRPr="00C26E3B" w:rsidRDefault="00424A4A" w:rsidP="003E62EC">
            <w:pPr>
              <w:ind w:left="-113" w:right="-113"/>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d</w:t>
            </w:r>
            <w:r w:rsidR="003E62EC" w:rsidRPr="00C26E3B">
              <w:rPr>
                <w:rFonts w:ascii="Times New Roman" w:eastAsia="Times New Roman" w:hAnsi="Times New Roman" w:cs="Times New Roman"/>
                <w:b/>
                <w:lang w:eastAsia="ru-RU"/>
              </w:rPr>
              <w:t>evieri (+/-)</w:t>
            </w:r>
          </w:p>
        </w:tc>
        <w:tc>
          <w:tcPr>
            <w:tcW w:w="709" w:type="dxa"/>
            <w:shd w:val="clear" w:color="auto" w:fill="002060"/>
            <w:vAlign w:val="center"/>
          </w:tcPr>
          <w:p w:rsidR="003E62EC" w:rsidRPr="00C26E3B" w:rsidRDefault="003E62EC" w:rsidP="003E62EC">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în </w:t>
            </w:r>
            <w:r w:rsidRPr="00C26E3B">
              <w:rPr>
                <w:rFonts w:ascii="Times New Roman" w:eastAsia="Times New Roman" w:hAnsi="Times New Roman" w:cs="Times New Roman"/>
                <w:b/>
                <w:lang w:eastAsia="ru-RU"/>
              </w:rPr>
              <w:t>%</w:t>
            </w:r>
          </w:p>
        </w:tc>
        <w:tc>
          <w:tcPr>
            <w:tcW w:w="992" w:type="dxa"/>
            <w:vMerge/>
            <w:shd w:val="clear" w:color="auto" w:fill="002060"/>
          </w:tcPr>
          <w:p w:rsidR="003E62EC" w:rsidRPr="00C26E3B" w:rsidRDefault="003E62EC" w:rsidP="003E62EC">
            <w:pPr>
              <w:ind w:left="-113" w:right="-113"/>
              <w:jc w:val="center"/>
              <w:rPr>
                <w:rFonts w:ascii="Times New Roman" w:eastAsia="Times New Roman" w:hAnsi="Times New Roman" w:cs="Times New Roman"/>
                <w:b/>
                <w:lang w:eastAsia="ru-RU"/>
              </w:rPr>
            </w:pPr>
          </w:p>
        </w:tc>
        <w:tc>
          <w:tcPr>
            <w:tcW w:w="851" w:type="dxa"/>
            <w:shd w:val="clear" w:color="auto" w:fill="002060"/>
            <w:vAlign w:val="center"/>
          </w:tcPr>
          <w:p w:rsidR="003E62EC" w:rsidRPr="00C26E3B" w:rsidRDefault="00424A4A" w:rsidP="003E62EC">
            <w:pPr>
              <w:ind w:left="-113" w:right="-113"/>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d</w:t>
            </w:r>
            <w:r w:rsidR="003E62EC" w:rsidRPr="00C26E3B">
              <w:rPr>
                <w:rFonts w:ascii="Times New Roman" w:eastAsia="Times New Roman" w:hAnsi="Times New Roman" w:cs="Times New Roman"/>
                <w:b/>
                <w:lang w:eastAsia="ru-RU"/>
              </w:rPr>
              <w:t>evieri (+/-)</w:t>
            </w:r>
          </w:p>
        </w:tc>
        <w:tc>
          <w:tcPr>
            <w:tcW w:w="708" w:type="dxa"/>
            <w:shd w:val="clear" w:color="auto" w:fill="002060"/>
            <w:vAlign w:val="center"/>
          </w:tcPr>
          <w:p w:rsidR="003E62EC" w:rsidRPr="00C26E3B" w:rsidRDefault="003E62EC" w:rsidP="003E62EC">
            <w:pPr>
              <w:jc w:val="center"/>
              <w:rPr>
                <w:rFonts w:ascii="Times New Roman" w:eastAsia="Times New Roman" w:hAnsi="Times New Roman" w:cs="Times New Roman"/>
                <w:b/>
                <w:lang w:eastAsia="ru-RU"/>
              </w:rPr>
            </w:pPr>
            <w:r w:rsidRPr="00C26E3B">
              <w:rPr>
                <w:rFonts w:ascii="Times New Roman" w:eastAsia="Times New Roman" w:hAnsi="Times New Roman" w:cs="Times New Roman"/>
                <w:b/>
                <w:lang w:eastAsia="ru-RU"/>
              </w:rPr>
              <w:t>în %</w:t>
            </w:r>
          </w:p>
        </w:tc>
      </w:tr>
      <w:tr w:rsidR="003E62EC" w:rsidRPr="00C26E3B" w:rsidTr="00D53685">
        <w:tc>
          <w:tcPr>
            <w:tcW w:w="2836" w:type="dxa"/>
            <w:shd w:val="clear" w:color="auto" w:fill="DEEAF6" w:themeFill="accent1" w:themeFillTint="33"/>
            <w:vAlign w:val="center"/>
          </w:tcPr>
          <w:p w:rsidR="003E62EC" w:rsidRPr="00FA228A" w:rsidRDefault="003E62EC" w:rsidP="003E62EC">
            <w:pPr>
              <w:ind w:right="-105"/>
              <w:jc w:val="center"/>
              <w:rPr>
                <w:rFonts w:ascii="Times New Roman" w:eastAsia="Times New Roman" w:hAnsi="Times New Roman" w:cs="Times New Roman"/>
                <w:b/>
                <w:lang w:eastAsia="ru-RU"/>
              </w:rPr>
            </w:pPr>
            <w:r w:rsidRPr="00032A2E">
              <w:rPr>
                <w:rFonts w:ascii="Times New Roman" w:eastAsia="Times New Roman" w:hAnsi="Times New Roman" w:cs="Times New Roman"/>
                <w:b/>
                <w:sz w:val="20"/>
                <w:lang w:eastAsia="ru-RU"/>
              </w:rPr>
              <w:t>1</w:t>
            </w:r>
          </w:p>
        </w:tc>
        <w:tc>
          <w:tcPr>
            <w:tcW w:w="992" w:type="dxa"/>
            <w:shd w:val="clear" w:color="auto" w:fill="DEEAF6" w:themeFill="accent1" w:themeFillTint="33"/>
            <w:vAlign w:val="center"/>
          </w:tcPr>
          <w:p w:rsidR="003E62EC" w:rsidRPr="00FA228A" w:rsidRDefault="003E62EC" w:rsidP="003E62EC">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p>
        </w:tc>
        <w:tc>
          <w:tcPr>
            <w:tcW w:w="844" w:type="dxa"/>
            <w:shd w:val="clear" w:color="auto" w:fill="DEEAF6" w:themeFill="accent1" w:themeFillTint="33"/>
            <w:vAlign w:val="center"/>
          </w:tcPr>
          <w:p w:rsidR="003E62EC" w:rsidRPr="00FA228A" w:rsidRDefault="003E62EC" w:rsidP="003E62EC">
            <w:pPr>
              <w:jc w:val="center"/>
              <w:rPr>
                <w:rFonts w:ascii="Times New Roman" w:eastAsia="Times New Roman" w:hAnsi="Times New Roman" w:cs="Times New Roman"/>
                <w:b/>
                <w:color w:val="000000"/>
                <w:sz w:val="20"/>
                <w:szCs w:val="20"/>
                <w:lang w:val="en-US"/>
              </w:rPr>
            </w:pPr>
            <w:r>
              <w:rPr>
                <w:rFonts w:ascii="Times New Roman" w:eastAsia="Times New Roman" w:hAnsi="Times New Roman" w:cs="Times New Roman"/>
                <w:b/>
                <w:color w:val="000000"/>
                <w:sz w:val="20"/>
                <w:szCs w:val="20"/>
                <w:lang w:val="en-US"/>
              </w:rPr>
              <w:t>3</w:t>
            </w:r>
          </w:p>
        </w:tc>
        <w:tc>
          <w:tcPr>
            <w:tcW w:w="968" w:type="dxa"/>
            <w:shd w:val="clear" w:color="auto" w:fill="DEEAF6" w:themeFill="accent1" w:themeFillTint="33"/>
            <w:vAlign w:val="center"/>
          </w:tcPr>
          <w:p w:rsidR="003E62EC" w:rsidRPr="00FA228A" w:rsidRDefault="003E62EC" w:rsidP="003E62EC">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p>
        </w:tc>
        <w:tc>
          <w:tcPr>
            <w:tcW w:w="881" w:type="dxa"/>
            <w:shd w:val="clear" w:color="auto" w:fill="DEEAF6" w:themeFill="accent1" w:themeFillTint="33"/>
            <w:vAlign w:val="center"/>
          </w:tcPr>
          <w:p w:rsidR="003E62EC" w:rsidRPr="00FA228A" w:rsidRDefault="003E62EC" w:rsidP="003E62EC">
            <w:pPr>
              <w:ind w:left="-97" w:right="-30"/>
              <w:jc w:val="center"/>
              <w:rPr>
                <w:rFonts w:ascii="Times New Roman" w:eastAsia="Times New Roman" w:hAnsi="Times New Roman" w:cs="Times New Roman"/>
                <w:b/>
                <w:bCs/>
                <w:color w:val="000000"/>
                <w:sz w:val="20"/>
                <w:szCs w:val="20"/>
                <w:lang w:val="en-US"/>
              </w:rPr>
            </w:pPr>
            <w:r>
              <w:rPr>
                <w:rFonts w:ascii="Times New Roman" w:eastAsia="Times New Roman" w:hAnsi="Times New Roman" w:cs="Times New Roman"/>
                <w:b/>
                <w:bCs/>
                <w:color w:val="000000"/>
                <w:sz w:val="20"/>
                <w:szCs w:val="20"/>
                <w:lang w:val="en-US"/>
              </w:rPr>
              <w:t>5=4-3</w:t>
            </w:r>
          </w:p>
        </w:tc>
        <w:tc>
          <w:tcPr>
            <w:tcW w:w="709" w:type="dxa"/>
            <w:shd w:val="clear" w:color="auto" w:fill="DEEAF6" w:themeFill="accent1" w:themeFillTint="33"/>
            <w:vAlign w:val="center"/>
          </w:tcPr>
          <w:p w:rsidR="003E62EC" w:rsidRPr="00FA228A" w:rsidRDefault="003E62EC" w:rsidP="003E62EC">
            <w:pPr>
              <w:jc w:val="center"/>
              <w:rPr>
                <w:rFonts w:ascii="Times New Roman" w:hAnsi="Times New Roman" w:cs="Times New Roman"/>
                <w:b/>
                <w:sz w:val="20"/>
              </w:rPr>
            </w:pPr>
            <w:r>
              <w:rPr>
                <w:rFonts w:ascii="Times New Roman" w:hAnsi="Times New Roman" w:cs="Times New Roman"/>
                <w:b/>
                <w:sz w:val="20"/>
              </w:rPr>
              <w:t>6</w:t>
            </w:r>
            <w:r w:rsidRPr="00FA228A">
              <w:rPr>
                <w:rFonts w:ascii="Times New Roman" w:hAnsi="Times New Roman" w:cs="Times New Roman"/>
                <w:b/>
                <w:sz w:val="20"/>
              </w:rPr>
              <w:t>=</w:t>
            </w:r>
            <w:r>
              <w:rPr>
                <w:rFonts w:ascii="Times New Roman" w:hAnsi="Times New Roman" w:cs="Times New Roman"/>
                <w:b/>
                <w:sz w:val="20"/>
              </w:rPr>
              <w:t>4</w:t>
            </w:r>
            <w:r w:rsidRPr="00FA228A">
              <w:rPr>
                <w:rFonts w:ascii="Times New Roman" w:hAnsi="Times New Roman" w:cs="Times New Roman"/>
                <w:b/>
                <w:sz w:val="20"/>
              </w:rPr>
              <w:t>/</w:t>
            </w:r>
            <w:r>
              <w:rPr>
                <w:rFonts w:ascii="Times New Roman" w:hAnsi="Times New Roman" w:cs="Times New Roman"/>
                <w:b/>
                <w:sz w:val="20"/>
              </w:rPr>
              <w:t>3</w:t>
            </w:r>
            <w:r w:rsidRPr="00FA228A">
              <w:rPr>
                <w:rFonts w:ascii="Times New Roman" w:hAnsi="Times New Roman" w:cs="Times New Roman"/>
                <w:b/>
                <w:sz w:val="20"/>
              </w:rPr>
              <w:t>*100</w:t>
            </w:r>
          </w:p>
        </w:tc>
        <w:tc>
          <w:tcPr>
            <w:tcW w:w="992" w:type="dxa"/>
            <w:shd w:val="clear" w:color="auto" w:fill="DEEAF6" w:themeFill="accent1" w:themeFillTint="33"/>
            <w:vAlign w:val="center"/>
          </w:tcPr>
          <w:p w:rsidR="003E62EC" w:rsidRPr="00FA228A" w:rsidRDefault="003E62EC" w:rsidP="003E62EC">
            <w:pPr>
              <w:ind w:left="-113" w:right="-113"/>
              <w:jc w:val="center"/>
              <w:rPr>
                <w:rFonts w:ascii="Times New Roman" w:hAnsi="Times New Roman" w:cs="Times New Roman"/>
                <w:b/>
                <w:sz w:val="20"/>
              </w:rPr>
            </w:pPr>
            <w:r>
              <w:rPr>
                <w:rFonts w:ascii="Times New Roman" w:hAnsi="Times New Roman" w:cs="Times New Roman"/>
                <w:b/>
                <w:sz w:val="20"/>
              </w:rPr>
              <w:t>7</w:t>
            </w:r>
          </w:p>
        </w:tc>
        <w:tc>
          <w:tcPr>
            <w:tcW w:w="851" w:type="dxa"/>
            <w:shd w:val="clear" w:color="auto" w:fill="DEEAF6" w:themeFill="accent1" w:themeFillTint="33"/>
            <w:vAlign w:val="center"/>
          </w:tcPr>
          <w:p w:rsidR="003E62EC" w:rsidRPr="00FA228A" w:rsidRDefault="003E62EC" w:rsidP="003E62EC">
            <w:pPr>
              <w:ind w:left="-113" w:right="-113"/>
              <w:jc w:val="center"/>
              <w:rPr>
                <w:rFonts w:ascii="Times New Roman" w:hAnsi="Times New Roman" w:cs="Times New Roman"/>
                <w:b/>
                <w:sz w:val="20"/>
              </w:rPr>
            </w:pPr>
            <w:r>
              <w:rPr>
                <w:rFonts w:ascii="Times New Roman" w:hAnsi="Times New Roman" w:cs="Times New Roman"/>
                <w:b/>
                <w:sz w:val="20"/>
              </w:rPr>
              <w:t>8</w:t>
            </w:r>
            <w:r w:rsidRPr="00FA228A">
              <w:rPr>
                <w:rFonts w:ascii="Times New Roman" w:hAnsi="Times New Roman" w:cs="Times New Roman"/>
                <w:b/>
                <w:sz w:val="20"/>
              </w:rPr>
              <w:t>=</w:t>
            </w:r>
            <w:r>
              <w:rPr>
                <w:rFonts w:ascii="Times New Roman" w:hAnsi="Times New Roman" w:cs="Times New Roman"/>
                <w:b/>
                <w:sz w:val="20"/>
              </w:rPr>
              <w:t>4</w:t>
            </w:r>
            <w:r w:rsidRPr="00FA228A">
              <w:rPr>
                <w:rFonts w:ascii="Times New Roman" w:hAnsi="Times New Roman" w:cs="Times New Roman"/>
                <w:b/>
                <w:sz w:val="20"/>
              </w:rPr>
              <w:t>-</w:t>
            </w:r>
            <w:r>
              <w:rPr>
                <w:rFonts w:ascii="Times New Roman" w:hAnsi="Times New Roman" w:cs="Times New Roman"/>
                <w:b/>
                <w:sz w:val="20"/>
              </w:rPr>
              <w:t>7</w:t>
            </w:r>
          </w:p>
        </w:tc>
        <w:tc>
          <w:tcPr>
            <w:tcW w:w="708" w:type="dxa"/>
            <w:shd w:val="clear" w:color="auto" w:fill="DEEAF6" w:themeFill="accent1" w:themeFillTint="33"/>
            <w:vAlign w:val="center"/>
          </w:tcPr>
          <w:p w:rsidR="003E62EC" w:rsidRPr="00FA228A" w:rsidRDefault="003E62EC" w:rsidP="003E62EC">
            <w:pPr>
              <w:jc w:val="center"/>
              <w:rPr>
                <w:rFonts w:ascii="Times New Roman" w:hAnsi="Times New Roman" w:cs="Times New Roman"/>
                <w:b/>
                <w:sz w:val="20"/>
              </w:rPr>
            </w:pPr>
            <w:r>
              <w:rPr>
                <w:rFonts w:ascii="Times New Roman" w:hAnsi="Times New Roman" w:cs="Times New Roman"/>
                <w:b/>
                <w:sz w:val="20"/>
              </w:rPr>
              <w:t>9</w:t>
            </w:r>
            <w:r w:rsidRPr="00FA228A">
              <w:rPr>
                <w:rFonts w:ascii="Times New Roman" w:hAnsi="Times New Roman" w:cs="Times New Roman"/>
                <w:b/>
                <w:sz w:val="20"/>
              </w:rPr>
              <w:t>=</w:t>
            </w:r>
            <w:r>
              <w:rPr>
                <w:rFonts w:ascii="Times New Roman" w:hAnsi="Times New Roman" w:cs="Times New Roman"/>
                <w:b/>
                <w:sz w:val="20"/>
              </w:rPr>
              <w:t>4</w:t>
            </w:r>
            <w:r w:rsidRPr="00FA228A">
              <w:rPr>
                <w:rFonts w:ascii="Times New Roman" w:hAnsi="Times New Roman" w:cs="Times New Roman"/>
                <w:b/>
                <w:sz w:val="20"/>
              </w:rPr>
              <w:t>/</w:t>
            </w:r>
            <w:r>
              <w:rPr>
                <w:rFonts w:ascii="Times New Roman" w:hAnsi="Times New Roman" w:cs="Times New Roman"/>
                <w:b/>
                <w:sz w:val="20"/>
              </w:rPr>
              <w:t>7</w:t>
            </w:r>
            <w:r w:rsidRPr="00FA228A">
              <w:rPr>
                <w:rFonts w:ascii="Times New Roman" w:hAnsi="Times New Roman" w:cs="Times New Roman"/>
                <w:b/>
                <w:sz w:val="20"/>
              </w:rPr>
              <w:t>*100</w:t>
            </w:r>
          </w:p>
        </w:tc>
      </w:tr>
      <w:tr w:rsidR="003E62EC" w:rsidRPr="00C26E3B" w:rsidTr="00D53685">
        <w:tc>
          <w:tcPr>
            <w:tcW w:w="2836" w:type="dxa"/>
            <w:shd w:val="clear" w:color="auto" w:fill="B4C6E7" w:themeFill="accent5" w:themeFillTint="66"/>
          </w:tcPr>
          <w:p w:rsidR="003E62EC" w:rsidRPr="00C26E3B" w:rsidRDefault="003E62EC" w:rsidP="003E62EC">
            <w:pPr>
              <w:ind w:right="-105"/>
              <w:rPr>
                <w:rFonts w:ascii="Times New Roman" w:eastAsia="Times New Roman" w:hAnsi="Times New Roman" w:cs="Times New Roman"/>
                <w:b/>
                <w:lang w:eastAsia="ru-RU"/>
              </w:rPr>
            </w:pPr>
            <w:r>
              <w:rPr>
                <w:rFonts w:ascii="Times New Roman" w:eastAsia="Times New Roman" w:hAnsi="Times New Roman" w:cs="Times New Roman"/>
                <w:b/>
                <w:lang w:eastAsia="ru-RU"/>
              </w:rPr>
              <w:t>CHELTUIELI ȘI ACTIVE NEFINANCIARE, total:</w:t>
            </w:r>
          </w:p>
        </w:tc>
        <w:tc>
          <w:tcPr>
            <w:tcW w:w="992" w:type="dxa"/>
            <w:shd w:val="clear" w:color="auto" w:fill="B4C6E7" w:themeFill="accent5" w:themeFillTint="66"/>
            <w:vAlign w:val="center"/>
          </w:tcPr>
          <w:p w:rsidR="003E62EC" w:rsidRPr="00F13ACF" w:rsidRDefault="003E62EC" w:rsidP="00864C4E">
            <w:pPr>
              <w:jc w:val="center"/>
              <w:rPr>
                <w:rFonts w:ascii="Times New Roman" w:eastAsia="Times New Roman" w:hAnsi="Times New Roman" w:cs="Times New Roman"/>
                <w:b/>
                <w:sz w:val="20"/>
                <w:szCs w:val="20"/>
                <w:lang w:eastAsia="ru-RU"/>
              </w:rPr>
            </w:pPr>
            <w:r w:rsidRPr="00F13ACF">
              <w:rPr>
                <w:rFonts w:ascii="Times New Roman" w:eastAsia="Times New Roman" w:hAnsi="Times New Roman" w:cs="Times New Roman"/>
                <w:b/>
                <w:sz w:val="20"/>
                <w:szCs w:val="20"/>
                <w:lang w:eastAsia="ru-RU"/>
              </w:rPr>
              <w:t>36994,8</w:t>
            </w:r>
          </w:p>
        </w:tc>
        <w:tc>
          <w:tcPr>
            <w:tcW w:w="844" w:type="dxa"/>
            <w:shd w:val="clear" w:color="auto" w:fill="B4C6E7" w:themeFill="accent5" w:themeFillTint="66"/>
            <w:vAlign w:val="center"/>
          </w:tcPr>
          <w:p w:rsidR="003E62EC" w:rsidRPr="00F13ACF" w:rsidRDefault="003E62EC" w:rsidP="007564D7">
            <w:pPr>
              <w:ind w:left="-108" w:right="-111"/>
              <w:jc w:val="center"/>
              <w:rPr>
                <w:rFonts w:ascii="Times New Roman" w:eastAsia="Times New Roman" w:hAnsi="Times New Roman" w:cs="Times New Roman"/>
                <w:b/>
                <w:color w:val="000000"/>
                <w:sz w:val="20"/>
                <w:szCs w:val="20"/>
                <w:lang w:val="en-US"/>
              </w:rPr>
            </w:pPr>
            <w:r w:rsidRPr="00F13ACF">
              <w:rPr>
                <w:rFonts w:ascii="Times New Roman" w:eastAsia="Times New Roman" w:hAnsi="Times New Roman" w:cs="Times New Roman"/>
                <w:b/>
                <w:color w:val="000000"/>
                <w:sz w:val="20"/>
                <w:szCs w:val="20"/>
                <w:lang w:val="en-US"/>
              </w:rPr>
              <w:t>37802,</w:t>
            </w:r>
            <w:r w:rsidR="007564D7">
              <w:rPr>
                <w:rFonts w:ascii="Times New Roman" w:eastAsia="Times New Roman" w:hAnsi="Times New Roman" w:cs="Times New Roman"/>
                <w:b/>
                <w:color w:val="000000"/>
                <w:sz w:val="20"/>
                <w:szCs w:val="20"/>
                <w:lang w:val="en-US"/>
              </w:rPr>
              <w:t>5</w:t>
            </w:r>
          </w:p>
        </w:tc>
        <w:tc>
          <w:tcPr>
            <w:tcW w:w="968" w:type="dxa"/>
            <w:shd w:val="clear" w:color="auto" w:fill="B4C6E7" w:themeFill="accent5" w:themeFillTint="66"/>
            <w:vAlign w:val="center"/>
          </w:tcPr>
          <w:p w:rsidR="003E62EC" w:rsidRPr="00F13ACF" w:rsidRDefault="003E62EC" w:rsidP="00864C4E">
            <w:pPr>
              <w:jc w:val="center"/>
              <w:rPr>
                <w:rFonts w:ascii="Times New Roman" w:eastAsia="Times New Roman" w:hAnsi="Times New Roman" w:cs="Times New Roman"/>
                <w:b/>
                <w:sz w:val="20"/>
                <w:szCs w:val="20"/>
                <w:lang w:eastAsia="ru-RU"/>
              </w:rPr>
            </w:pPr>
            <w:r w:rsidRPr="00F13ACF">
              <w:rPr>
                <w:rFonts w:ascii="Times New Roman" w:eastAsia="Times New Roman" w:hAnsi="Times New Roman" w:cs="Times New Roman"/>
                <w:b/>
                <w:sz w:val="20"/>
                <w:szCs w:val="20"/>
                <w:lang w:eastAsia="ru-RU"/>
              </w:rPr>
              <w:t>35479,1</w:t>
            </w:r>
          </w:p>
        </w:tc>
        <w:tc>
          <w:tcPr>
            <w:tcW w:w="881" w:type="dxa"/>
            <w:shd w:val="clear" w:color="auto" w:fill="B4C6E7" w:themeFill="accent5" w:themeFillTint="66"/>
            <w:vAlign w:val="center"/>
          </w:tcPr>
          <w:p w:rsidR="003E62EC" w:rsidRPr="00F13ACF" w:rsidRDefault="003E62EC" w:rsidP="00864C4E">
            <w:pPr>
              <w:ind w:left="-97" w:right="-30"/>
              <w:jc w:val="center"/>
              <w:rPr>
                <w:rFonts w:ascii="Times New Roman" w:eastAsia="Times New Roman" w:hAnsi="Times New Roman" w:cs="Times New Roman"/>
                <w:b/>
                <w:bCs/>
                <w:color w:val="000000"/>
                <w:sz w:val="20"/>
                <w:szCs w:val="20"/>
                <w:lang w:val="en-US"/>
              </w:rPr>
            </w:pPr>
            <w:r w:rsidRPr="00F13ACF">
              <w:rPr>
                <w:rFonts w:ascii="Times New Roman" w:eastAsia="Times New Roman" w:hAnsi="Times New Roman" w:cs="Times New Roman"/>
                <w:b/>
                <w:bCs/>
                <w:color w:val="000000"/>
                <w:sz w:val="20"/>
                <w:szCs w:val="20"/>
                <w:lang w:val="en-US"/>
              </w:rPr>
              <w:t>-2323,4</w:t>
            </w:r>
          </w:p>
        </w:tc>
        <w:tc>
          <w:tcPr>
            <w:tcW w:w="709" w:type="dxa"/>
            <w:shd w:val="clear" w:color="auto" w:fill="B4C6E7" w:themeFill="accent5" w:themeFillTint="66"/>
            <w:vAlign w:val="center"/>
          </w:tcPr>
          <w:p w:rsidR="003E62EC" w:rsidRPr="00F13ACF" w:rsidRDefault="003E62EC" w:rsidP="00864C4E">
            <w:pPr>
              <w:ind w:left="-89"/>
              <w:jc w:val="center"/>
              <w:rPr>
                <w:rFonts w:ascii="Times New Roman" w:eastAsia="Times New Roman" w:hAnsi="Times New Roman" w:cs="Times New Roman"/>
                <w:b/>
                <w:bCs/>
                <w:color w:val="000000"/>
                <w:sz w:val="20"/>
                <w:szCs w:val="20"/>
                <w:lang w:val="en-US"/>
              </w:rPr>
            </w:pPr>
            <w:r w:rsidRPr="00F13ACF">
              <w:rPr>
                <w:rFonts w:ascii="Times New Roman" w:eastAsia="Times New Roman" w:hAnsi="Times New Roman" w:cs="Times New Roman"/>
                <w:b/>
                <w:bCs/>
                <w:color w:val="000000"/>
                <w:sz w:val="20"/>
                <w:szCs w:val="20"/>
                <w:lang w:val="en-US"/>
              </w:rPr>
              <w:t>93,9</w:t>
            </w:r>
          </w:p>
        </w:tc>
        <w:tc>
          <w:tcPr>
            <w:tcW w:w="992" w:type="dxa"/>
            <w:shd w:val="clear" w:color="auto" w:fill="B4C6E7" w:themeFill="accent5" w:themeFillTint="66"/>
            <w:vAlign w:val="center"/>
          </w:tcPr>
          <w:p w:rsidR="003E62EC" w:rsidRPr="00F13ACF" w:rsidRDefault="003E62EC" w:rsidP="00864C4E">
            <w:pPr>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32313,2</w:t>
            </w:r>
          </w:p>
        </w:tc>
        <w:tc>
          <w:tcPr>
            <w:tcW w:w="851" w:type="dxa"/>
            <w:shd w:val="clear" w:color="auto" w:fill="B4C6E7" w:themeFill="accent5" w:themeFillTint="66"/>
            <w:vAlign w:val="center"/>
          </w:tcPr>
          <w:p w:rsidR="003E62EC" w:rsidRPr="00F13ACF" w:rsidRDefault="003E62EC" w:rsidP="00864C4E">
            <w:pPr>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3165,9</w:t>
            </w:r>
          </w:p>
        </w:tc>
        <w:tc>
          <w:tcPr>
            <w:tcW w:w="708" w:type="dxa"/>
            <w:shd w:val="clear" w:color="auto" w:fill="B4C6E7" w:themeFill="accent5" w:themeFillTint="66"/>
            <w:vAlign w:val="center"/>
          </w:tcPr>
          <w:p w:rsidR="003E62EC" w:rsidRPr="00F13ACF" w:rsidRDefault="003E62EC" w:rsidP="00864C4E">
            <w:pPr>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109,8</w:t>
            </w:r>
          </w:p>
        </w:tc>
      </w:tr>
      <w:tr w:rsidR="003E62EC" w:rsidRPr="00C26E3B" w:rsidTr="00D53685">
        <w:tc>
          <w:tcPr>
            <w:tcW w:w="2836" w:type="dxa"/>
            <w:shd w:val="clear" w:color="auto" w:fill="D9E2F3" w:themeFill="accent5" w:themeFillTint="33"/>
          </w:tcPr>
          <w:p w:rsidR="003E62EC" w:rsidRDefault="003E62EC" w:rsidP="003E62EC">
            <w:pPr>
              <w:ind w:right="-105"/>
              <w:rPr>
                <w:rFonts w:ascii="Times New Roman" w:eastAsia="Times New Roman" w:hAnsi="Times New Roman" w:cs="Times New Roman"/>
                <w:b/>
                <w:lang w:eastAsia="ru-RU"/>
              </w:rPr>
            </w:pPr>
            <w:r>
              <w:rPr>
                <w:rFonts w:ascii="Times New Roman" w:eastAsia="Times New Roman" w:hAnsi="Times New Roman" w:cs="Times New Roman"/>
                <w:b/>
                <w:lang w:eastAsia="ru-RU"/>
              </w:rPr>
              <w:t>CHELTUIELI</w:t>
            </w:r>
            <w:r w:rsidR="00424A4A">
              <w:rPr>
                <w:rFonts w:ascii="Times New Roman" w:eastAsia="Times New Roman" w:hAnsi="Times New Roman" w:cs="Times New Roman"/>
                <w:b/>
                <w:lang w:eastAsia="ru-RU"/>
              </w:rPr>
              <w:t>,</w:t>
            </w:r>
            <w:r w:rsidRPr="00C26E3B">
              <w:rPr>
                <w:rFonts w:ascii="Times New Roman" w:eastAsia="Times New Roman" w:hAnsi="Times New Roman" w:cs="Times New Roman"/>
                <w:b/>
                <w:lang w:eastAsia="ru-RU"/>
              </w:rPr>
              <w:t xml:space="preserve"> TOTAL</w:t>
            </w:r>
            <w:r w:rsidR="00424A4A">
              <w:rPr>
                <w:rFonts w:ascii="Times New Roman" w:eastAsia="Times New Roman" w:hAnsi="Times New Roman" w:cs="Times New Roman"/>
                <w:b/>
                <w:lang w:eastAsia="ru-RU"/>
              </w:rPr>
              <w:t>,</w:t>
            </w:r>
            <w:r w:rsidRPr="00C26E3B">
              <w:rPr>
                <w:rFonts w:ascii="Times New Roman" w:eastAsia="Times New Roman" w:hAnsi="Times New Roman" w:cs="Times New Roman"/>
                <w:b/>
                <w:lang w:eastAsia="ru-RU"/>
              </w:rPr>
              <w:t xml:space="preserve"> </w:t>
            </w:r>
          </w:p>
          <w:p w:rsidR="003E62EC" w:rsidRPr="00032A2E" w:rsidRDefault="003E62EC" w:rsidP="003E62EC">
            <w:pPr>
              <w:ind w:right="-105"/>
              <w:rPr>
                <w:rFonts w:ascii="Times New Roman" w:eastAsia="Times New Roman" w:hAnsi="Times New Roman" w:cs="Times New Roman"/>
                <w:b/>
                <w:i/>
                <w:lang w:eastAsia="ru-RU"/>
              </w:rPr>
            </w:pPr>
            <w:r w:rsidRPr="00032A2E">
              <w:rPr>
                <w:rFonts w:ascii="Times New Roman" w:eastAsia="Times New Roman" w:hAnsi="Times New Roman" w:cs="Times New Roman"/>
                <w:b/>
                <w:i/>
                <w:lang w:eastAsia="ru-RU"/>
              </w:rPr>
              <w:t>din care:</w:t>
            </w:r>
          </w:p>
        </w:tc>
        <w:tc>
          <w:tcPr>
            <w:tcW w:w="992" w:type="dxa"/>
            <w:shd w:val="clear" w:color="auto" w:fill="D9E2F3" w:themeFill="accent5" w:themeFillTint="33"/>
            <w:vAlign w:val="center"/>
          </w:tcPr>
          <w:p w:rsidR="003E62EC" w:rsidRPr="00F13ACF" w:rsidRDefault="003E62EC" w:rsidP="00864C4E">
            <w:pPr>
              <w:jc w:val="center"/>
              <w:rPr>
                <w:rFonts w:ascii="Times New Roman" w:eastAsia="Times New Roman" w:hAnsi="Times New Roman" w:cs="Times New Roman"/>
                <w:b/>
                <w:sz w:val="20"/>
                <w:szCs w:val="20"/>
                <w:lang w:eastAsia="ru-RU"/>
              </w:rPr>
            </w:pPr>
            <w:r w:rsidRPr="00F13ACF">
              <w:rPr>
                <w:rFonts w:ascii="Times New Roman" w:eastAsia="Times New Roman" w:hAnsi="Times New Roman" w:cs="Times New Roman"/>
                <w:b/>
                <w:sz w:val="20"/>
                <w:szCs w:val="20"/>
                <w:lang w:eastAsia="ru-RU"/>
              </w:rPr>
              <w:t>32988,5</w:t>
            </w:r>
          </w:p>
        </w:tc>
        <w:tc>
          <w:tcPr>
            <w:tcW w:w="844" w:type="dxa"/>
            <w:shd w:val="clear" w:color="auto" w:fill="D9E2F3" w:themeFill="accent5" w:themeFillTint="33"/>
            <w:vAlign w:val="center"/>
          </w:tcPr>
          <w:p w:rsidR="003E62EC" w:rsidRPr="00F13ACF" w:rsidRDefault="003E62EC" w:rsidP="00424A4A">
            <w:pPr>
              <w:ind w:left="-108" w:right="-111"/>
              <w:jc w:val="center"/>
              <w:rPr>
                <w:rFonts w:ascii="Times New Roman" w:eastAsia="Times New Roman" w:hAnsi="Times New Roman" w:cs="Times New Roman"/>
                <w:b/>
                <w:color w:val="000000"/>
                <w:sz w:val="20"/>
                <w:szCs w:val="20"/>
                <w:lang w:val="en-US"/>
              </w:rPr>
            </w:pPr>
            <w:r w:rsidRPr="00F13ACF">
              <w:rPr>
                <w:rFonts w:ascii="Times New Roman" w:eastAsia="Times New Roman" w:hAnsi="Times New Roman" w:cs="Times New Roman"/>
                <w:b/>
                <w:color w:val="000000"/>
                <w:sz w:val="20"/>
                <w:szCs w:val="20"/>
                <w:lang w:val="en-US"/>
              </w:rPr>
              <w:t>34063,2</w:t>
            </w:r>
          </w:p>
        </w:tc>
        <w:tc>
          <w:tcPr>
            <w:tcW w:w="968" w:type="dxa"/>
            <w:shd w:val="clear" w:color="auto" w:fill="D9E2F3" w:themeFill="accent5" w:themeFillTint="33"/>
            <w:vAlign w:val="center"/>
          </w:tcPr>
          <w:p w:rsidR="003E62EC" w:rsidRPr="00F13ACF" w:rsidRDefault="003E62EC" w:rsidP="00864C4E">
            <w:pPr>
              <w:jc w:val="center"/>
              <w:rPr>
                <w:rFonts w:ascii="Times New Roman" w:eastAsia="Times New Roman" w:hAnsi="Times New Roman" w:cs="Times New Roman"/>
                <w:b/>
                <w:sz w:val="20"/>
                <w:szCs w:val="20"/>
                <w:lang w:eastAsia="ru-RU"/>
              </w:rPr>
            </w:pPr>
            <w:r w:rsidRPr="00F13ACF">
              <w:rPr>
                <w:rFonts w:ascii="Times New Roman" w:eastAsia="Times New Roman" w:hAnsi="Times New Roman" w:cs="Times New Roman"/>
                <w:b/>
                <w:sz w:val="20"/>
                <w:szCs w:val="20"/>
                <w:lang w:eastAsia="ru-RU"/>
              </w:rPr>
              <w:t>32636,2</w:t>
            </w:r>
          </w:p>
        </w:tc>
        <w:tc>
          <w:tcPr>
            <w:tcW w:w="881" w:type="dxa"/>
            <w:shd w:val="clear" w:color="auto" w:fill="D9E2F3" w:themeFill="accent5" w:themeFillTint="33"/>
            <w:vAlign w:val="center"/>
          </w:tcPr>
          <w:p w:rsidR="003E62EC" w:rsidRPr="00F13ACF" w:rsidRDefault="003E62EC" w:rsidP="00864C4E">
            <w:pPr>
              <w:ind w:left="-97"/>
              <w:jc w:val="center"/>
              <w:rPr>
                <w:rFonts w:ascii="Times New Roman" w:eastAsia="Times New Roman" w:hAnsi="Times New Roman" w:cs="Times New Roman"/>
                <w:b/>
                <w:bCs/>
                <w:color w:val="000000"/>
                <w:sz w:val="20"/>
                <w:szCs w:val="20"/>
                <w:lang w:eastAsia="ru-RU"/>
              </w:rPr>
            </w:pPr>
            <w:r w:rsidRPr="00F13ACF">
              <w:rPr>
                <w:rFonts w:ascii="Times New Roman" w:eastAsia="Times New Roman" w:hAnsi="Times New Roman" w:cs="Times New Roman"/>
                <w:b/>
                <w:bCs/>
                <w:color w:val="000000"/>
                <w:sz w:val="20"/>
                <w:szCs w:val="20"/>
                <w:lang w:eastAsia="ru-RU"/>
              </w:rPr>
              <w:t>-1427,0</w:t>
            </w:r>
          </w:p>
        </w:tc>
        <w:tc>
          <w:tcPr>
            <w:tcW w:w="709" w:type="dxa"/>
            <w:shd w:val="clear" w:color="auto" w:fill="D9E2F3" w:themeFill="accent5" w:themeFillTint="33"/>
            <w:vAlign w:val="center"/>
          </w:tcPr>
          <w:p w:rsidR="003E62EC" w:rsidRPr="00F13ACF" w:rsidRDefault="003E62EC" w:rsidP="00864C4E">
            <w:pPr>
              <w:ind w:left="-89"/>
              <w:jc w:val="center"/>
              <w:rPr>
                <w:rFonts w:ascii="Times New Roman" w:eastAsia="Times New Roman" w:hAnsi="Times New Roman" w:cs="Times New Roman"/>
                <w:b/>
                <w:bCs/>
                <w:color w:val="000000"/>
                <w:sz w:val="20"/>
                <w:szCs w:val="20"/>
                <w:lang w:eastAsia="ru-RU"/>
              </w:rPr>
            </w:pPr>
            <w:r w:rsidRPr="00F13ACF">
              <w:rPr>
                <w:rFonts w:ascii="Times New Roman" w:eastAsia="Times New Roman" w:hAnsi="Times New Roman" w:cs="Times New Roman"/>
                <w:b/>
                <w:bCs/>
                <w:color w:val="000000"/>
                <w:sz w:val="20"/>
                <w:szCs w:val="20"/>
                <w:lang w:eastAsia="ru-RU"/>
              </w:rPr>
              <w:t>95,8</w:t>
            </w:r>
          </w:p>
        </w:tc>
        <w:tc>
          <w:tcPr>
            <w:tcW w:w="992" w:type="dxa"/>
            <w:shd w:val="clear" w:color="auto" w:fill="D9E2F3" w:themeFill="accent5" w:themeFillTint="33"/>
            <w:vAlign w:val="center"/>
          </w:tcPr>
          <w:p w:rsidR="003E62EC" w:rsidRPr="00F13ACF" w:rsidRDefault="003E62EC" w:rsidP="00864C4E">
            <w:pPr>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29340,4</w:t>
            </w:r>
          </w:p>
        </w:tc>
        <w:tc>
          <w:tcPr>
            <w:tcW w:w="851" w:type="dxa"/>
            <w:shd w:val="clear" w:color="auto" w:fill="D9E2F3" w:themeFill="accent5" w:themeFillTint="33"/>
            <w:vAlign w:val="center"/>
          </w:tcPr>
          <w:p w:rsidR="003E62EC" w:rsidRPr="00F13ACF" w:rsidRDefault="003E62EC" w:rsidP="00864C4E">
            <w:pPr>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3295,8</w:t>
            </w:r>
          </w:p>
        </w:tc>
        <w:tc>
          <w:tcPr>
            <w:tcW w:w="708" w:type="dxa"/>
            <w:shd w:val="clear" w:color="auto" w:fill="D9E2F3" w:themeFill="accent5" w:themeFillTint="33"/>
            <w:vAlign w:val="center"/>
          </w:tcPr>
          <w:p w:rsidR="003E62EC" w:rsidRPr="00F13ACF" w:rsidRDefault="003E62EC" w:rsidP="00864C4E">
            <w:pPr>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111,2</w:t>
            </w:r>
          </w:p>
        </w:tc>
      </w:tr>
      <w:tr w:rsidR="003E62EC" w:rsidRPr="00C26E3B" w:rsidTr="00D53685">
        <w:tc>
          <w:tcPr>
            <w:tcW w:w="2836" w:type="dxa"/>
          </w:tcPr>
          <w:p w:rsidR="003E62EC" w:rsidRPr="00CA4610" w:rsidRDefault="003E62EC" w:rsidP="003E62EC">
            <w:pPr>
              <w:rPr>
                <w:rFonts w:ascii="Times New Roman" w:eastAsia="Times New Roman" w:hAnsi="Times New Roman" w:cs="Times New Roman"/>
                <w:lang w:eastAsia="ru-RU"/>
              </w:rPr>
            </w:pPr>
            <w:r w:rsidRPr="00CA4610">
              <w:rPr>
                <w:rFonts w:ascii="Times New Roman" w:eastAsia="Times New Roman" w:hAnsi="Times New Roman" w:cs="Times New Roman"/>
                <w:lang w:eastAsia="ru-RU"/>
              </w:rPr>
              <w:t>Cheltuieli de personal</w:t>
            </w:r>
          </w:p>
        </w:tc>
        <w:tc>
          <w:tcPr>
            <w:tcW w:w="992" w:type="dxa"/>
            <w:vAlign w:val="center"/>
          </w:tcPr>
          <w:p w:rsidR="003E62EC" w:rsidRPr="00F13ACF" w:rsidRDefault="003E62EC" w:rsidP="00864C4E">
            <w:pPr>
              <w:jc w:val="center"/>
              <w:rPr>
                <w:rFonts w:ascii="Times New Roman" w:hAnsi="Times New Roman" w:cs="Times New Roman"/>
                <w:sz w:val="20"/>
                <w:szCs w:val="20"/>
              </w:rPr>
            </w:pPr>
            <w:r w:rsidRPr="00F13ACF">
              <w:rPr>
                <w:rFonts w:ascii="Times New Roman" w:hAnsi="Times New Roman" w:cs="Times New Roman"/>
                <w:sz w:val="20"/>
                <w:szCs w:val="20"/>
              </w:rPr>
              <w:t>6189</w:t>
            </w:r>
            <w:r>
              <w:rPr>
                <w:rFonts w:ascii="Times New Roman" w:hAnsi="Times New Roman" w:cs="Times New Roman"/>
                <w:sz w:val="20"/>
                <w:szCs w:val="20"/>
              </w:rPr>
              <w:t>,</w:t>
            </w:r>
            <w:r w:rsidRPr="00F13ACF">
              <w:rPr>
                <w:rFonts w:ascii="Times New Roman" w:hAnsi="Times New Roman" w:cs="Times New Roman"/>
                <w:sz w:val="20"/>
                <w:szCs w:val="20"/>
              </w:rPr>
              <w:t>7</w:t>
            </w:r>
          </w:p>
        </w:tc>
        <w:tc>
          <w:tcPr>
            <w:tcW w:w="844" w:type="dxa"/>
            <w:shd w:val="clear" w:color="auto" w:fill="auto"/>
            <w:vAlign w:val="center"/>
          </w:tcPr>
          <w:p w:rsidR="003E62EC" w:rsidRPr="00F13ACF" w:rsidRDefault="003E62EC" w:rsidP="00864C4E">
            <w:pPr>
              <w:ind w:left="-100" w:right="30"/>
              <w:jc w:val="center"/>
              <w:rPr>
                <w:rFonts w:ascii="Times New Roman" w:hAnsi="Times New Roman" w:cs="Times New Roman"/>
                <w:sz w:val="20"/>
                <w:szCs w:val="20"/>
              </w:rPr>
            </w:pPr>
            <w:r w:rsidRPr="00F13ACF">
              <w:rPr>
                <w:rFonts w:ascii="Times New Roman" w:hAnsi="Times New Roman" w:cs="Times New Roman"/>
                <w:sz w:val="20"/>
                <w:szCs w:val="20"/>
              </w:rPr>
              <w:t>6212</w:t>
            </w:r>
            <w:r>
              <w:rPr>
                <w:rFonts w:ascii="Times New Roman" w:hAnsi="Times New Roman" w:cs="Times New Roman"/>
                <w:sz w:val="20"/>
                <w:szCs w:val="20"/>
              </w:rPr>
              <w:t>,</w:t>
            </w:r>
            <w:r w:rsidRPr="00F13ACF">
              <w:rPr>
                <w:rFonts w:ascii="Times New Roman" w:hAnsi="Times New Roman" w:cs="Times New Roman"/>
                <w:sz w:val="20"/>
                <w:szCs w:val="20"/>
              </w:rPr>
              <w:t>8</w:t>
            </w:r>
          </w:p>
        </w:tc>
        <w:tc>
          <w:tcPr>
            <w:tcW w:w="968" w:type="dxa"/>
            <w:shd w:val="clear" w:color="auto" w:fill="auto"/>
            <w:vAlign w:val="center"/>
          </w:tcPr>
          <w:p w:rsidR="003E62EC" w:rsidRPr="00F13ACF" w:rsidRDefault="003E62EC" w:rsidP="00864C4E">
            <w:pPr>
              <w:ind w:left="-98" w:right="-2"/>
              <w:jc w:val="center"/>
              <w:rPr>
                <w:rFonts w:ascii="Times New Roman" w:hAnsi="Times New Roman" w:cs="Times New Roman"/>
                <w:sz w:val="20"/>
                <w:szCs w:val="20"/>
              </w:rPr>
            </w:pPr>
            <w:r>
              <w:rPr>
                <w:rFonts w:ascii="Times New Roman" w:hAnsi="Times New Roman" w:cs="Times New Roman"/>
                <w:sz w:val="20"/>
                <w:szCs w:val="20"/>
              </w:rPr>
              <w:t>6077,7</w:t>
            </w:r>
          </w:p>
        </w:tc>
        <w:tc>
          <w:tcPr>
            <w:tcW w:w="881" w:type="dxa"/>
            <w:shd w:val="clear" w:color="auto" w:fill="auto"/>
            <w:vAlign w:val="center"/>
          </w:tcPr>
          <w:p w:rsidR="003E62EC" w:rsidRPr="00F13ACF" w:rsidRDefault="003E62EC" w:rsidP="00864C4E">
            <w:pPr>
              <w:ind w:left="-80" w:right="41"/>
              <w:jc w:val="center"/>
              <w:rPr>
                <w:rFonts w:ascii="Times New Roman" w:hAnsi="Times New Roman" w:cs="Times New Roman"/>
                <w:sz w:val="20"/>
                <w:szCs w:val="20"/>
              </w:rPr>
            </w:pPr>
            <w:r w:rsidRPr="00F13ACF">
              <w:rPr>
                <w:rFonts w:ascii="Times New Roman" w:hAnsi="Times New Roman" w:cs="Times New Roman"/>
                <w:sz w:val="20"/>
                <w:szCs w:val="20"/>
              </w:rPr>
              <w:t>-135,1</w:t>
            </w:r>
          </w:p>
        </w:tc>
        <w:tc>
          <w:tcPr>
            <w:tcW w:w="709" w:type="dxa"/>
            <w:shd w:val="clear" w:color="auto" w:fill="auto"/>
            <w:vAlign w:val="center"/>
          </w:tcPr>
          <w:p w:rsidR="003E62EC" w:rsidRPr="00F13ACF" w:rsidRDefault="003E62EC" w:rsidP="00864C4E">
            <w:pPr>
              <w:ind w:left="-101"/>
              <w:jc w:val="center"/>
              <w:rPr>
                <w:rFonts w:ascii="Times New Roman" w:hAnsi="Times New Roman" w:cs="Times New Roman"/>
                <w:sz w:val="20"/>
                <w:szCs w:val="20"/>
              </w:rPr>
            </w:pPr>
            <w:r w:rsidRPr="00F13ACF">
              <w:rPr>
                <w:rFonts w:ascii="Times New Roman" w:hAnsi="Times New Roman" w:cs="Times New Roman"/>
                <w:sz w:val="20"/>
                <w:szCs w:val="20"/>
              </w:rPr>
              <w:t>97.8</w:t>
            </w:r>
          </w:p>
        </w:tc>
        <w:tc>
          <w:tcPr>
            <w:tcW w:w="992" w:type="dxa"/>
            <w:vAlign w:val="center"/>
          </w:tcPr>
          <w:p w:rsidR="003E62EC" w:rsidRPr="003D798B" w:rsidRDefault="003E62EC" w:rsidP="00864C4E">
            <w:pPr>
              <w:jc w:val="center"/>
              <w:rPr>
                <w:rFonts w:ascii="Times New Roman" w:eastAsia="Times New Roman" w:hAnsi="Times New Roman" w:cs="Times New Roman"/>
                <w:color w:val="000000"/>
                <w:sz w:val="20"/>
                <w:szCs w:val="20"/>
                <w:lang w:eastAsia="ru-RU"/>
              </w:rPr>
            </w:pPr>
            <w:r w:rsidRPr="003D798B">
              <w:rPr>
                <w:rFonts w:ascii="Times New Roman" w:eastAsia="Times New Roman" w:hAnsi="Times New Roman" w:cs="Times New Roman"/>
                <w:color w:val="000000"/>
                <w:sz w:val="20"/>
                <w:szCs w:val="20"/>
                <w:lang w:eastAsia="ru-RU"/>
              </w:rPr>
              <w:t>4997,0</w:t>
            </w:r>
          </w:p>
        </w:tc>
        <w:tc>
          <w:tcPr>
            <w:tcW w:w="851" w:type="dxa"/>
            <w:vAlign w:val="center"/>
          </w:tcPr>
          <w:p w:rsidR="003E62EC" w:rsidRPr="009A4177" w:rsidRDefault="003E62EC" w:rsidP="00864C4E">
            <w:pPr>
              <w:jc w:val="center"/>
              <w:rPr>
                <w:rFonts w:ascii="Times New Roman" w:eastAsia="Times New Roman" w:hAnsi="Times New Roman" w:cs="Times New Roman"/>
                <w:color w:val="000000"/>
                <w:sz w:val="20"/>
                <w:szCs w:val="20"/>
                <w:lang w:eastAsia="ru-RU"/>
              </w:rPr>
            </w:pPr>
            <w:r w:rsidRPr="009A4177">
              <w:rPr>
                <w:rFonts w:ascii="Times New Roman" w:eastAsia="Times New Roman" w:hAnsi="Times New Roman" w:cs="Times New Roman"/>
                <w:color w:val="000000"/>
                <w:sz w:val="20"/>
                <w:szCs w:val="20"/>
                <w:lang w:eastAsia="ru-RU"/>
              </w:rPr>
              <w:t>1080,7</w:t>
            </w:r>
          </w:p>
        </w:tc>
        <w:tc>
          <w:tcPr>
            <w:tcW w:w="708" w:type="dxa"/>
            <w:vAlign w:val="center"/>
          </w:tcPr>
          <w:p w:rsidR="003E62EC" w:rsidRPr="00686F32" w:rsidRDefault="003E62EC" w:rsidP="00864C4E">
            <w:pPr>
              <w:jc w:val="center"/>
              <w:rPr>
                <w:rFonts w:ascii="Times New Roman" w:eastAsia="Times New Roman" w:hAnsi="Times New Roman" w:cs="Times New Roman"/>
                <w:color w:val="000000"/>
                <w:sz w:val="20"/>
                <w:szCs w:val="20"/>
                <w:lang w:eastAsia="ru-RU"/>
              </w:rPr>
            </w:pPr>
            <w:r w:rsidRPr="00686F32">
              <w:rPr>
                <w:rFonts w:ascii="Times New Roman" w:eastAsia="Times New Roman" w:hAnsi="Times New Roman" w:cs="Times New Roman"/>
                <w:color w:val="000000"/>
                <w:sz w:val="20"/>
                <w:szCs w:val="20"/>
                <w:lang w:eastAsia="ru-RU"/>
              </w:rPr>
              <w:t>121,6</w:t>
            </w:r>
          </w:p>
        </w:tc>
      </w:tr>
      <w:tr w:rsidR="003E62EC" w:rsidRPr="00C26E3B" w:rsidTr="00D53685">
        <w:tc>
          <w:tcPr>
            <w:tcW w:w="2836" w:type="dxa"/>
          </w:tcPr>
          <w:p w:rsidR="003E62EC" w:rsidRPr="00CA4610" w:rsidRDefault="003E62EC" w:rsidP="003E62EC">
            <w:pPr>
              <w:rPr>
                <w:rFonts w:ascii="Times New Roman" w:eastAsia="Times New Roman" w:hAnsi="Times New Roman" w:cs="Times New Roman"/>
                <w:lang w:eastAsia="ru-RU"/>
              </w:rPr>
            </w:pPr>
            <w:r w:rsidRPr="00CA4610">
              <w:rPr>
                <w:rFonts w:ascii="Times New Roman" w:eastAsia="Times New Roman" w:hAnsi="Times New Roman" w:cs="Times New Roman"/>
                <w:lang w:eastAsia="ru-RU"/>
              </w:rPr>
              <w:t>Bunuri și servicii</w:t>
            </w:r>
          </w:p>
        </w:tc>
        <w:tc>
          <w:tcPr>
            <w:tcW w:w="992" w:type="dxa"/>
            <w:vAlign w:val="center"/>
          </w:tcPr>
          <w:p w:rsidR="003E62EC" w:rsidRPr="00F13ACF" w:rsidRDefault="003E62EC" w:rsidP="00864C4E">
            <w:pPr>
              <w:ind w:left="-109"/>
              <w:jc w:val="center"/>
              <w:rPr>
                <w:rFonts w:ascii="Times New Roman" w:eastAsia="Times New Roman" w:hAnsi="Times New Roman" w:cs="Times New Roman"/>
                <w:sz w:val="20"/>
                <w:szCs w:val="20"/>
                <w:lang w:eastAsia="ru-RU"/>
              </w:rPr>
            </w:pPr>
            <w:r w:rsidRPr="00F13ACF">
              <w:rPr>
                <w:rFonts w:ascii="Times New Roman" w:eastAsia="Times New Roman" w:hAnsi="Times New Roman" w:cs="Times New Roman"/>
                <w:sz w:val="20"/>
                <w:szCs w:val="20"/>
                <w:lang w:eastAsia="ru-RU"/>
              </w:rPr>
              <w:t>2149</w:t>
            </w:r>
            <w:r>
              <w:rPr>
                <w:rFonts w:ascii="Times New Roman" w:eastAsia="Times New Roman" w:hAnsi="Times New Roman" w:cs="Times New Roman"/>
                <w:sz w:val="20"/>
                <w:szCs w:val="20"/>
                <w:lang w:eastAsia="ru-RU"/>
              </w:rPr>
              <w:t>,</w:t>
            </w:r>
            <w:r w:rsidRPr="00F13ACF">
              <w:rPr>
                <w:rFonts w:ascii="Times New Roman" w:eastAsia="Times New Roman" w:hAnsi="Times New Roman" w:cs="Times New Roman"/>
                <w:sz w:val="20"/>
                <w:szCs w:val="20"/>
                <w:lang w:eastAsia="ru-RU"/>
              </w:rPr>
              <w:t>2</w:t>
            </w:r>
          </w:p>
        </w:tc>
        <w:tc>
          <w:tcPr>
            <w:tcW w:w="844" w:type="dxa"/>
            <w:shd w:val="clear" w:color="auto" w:fill="auto"/>
            <w:vAlign w:val="center"/>
          </w:tcPr>
          <w:p w:rsidR="003E62EC" w:rsidRPr="00F13ACF" w:rsidRDefault="003E62EC" w:rsidP="00864C4E">
            <w:pPr>
              <w:ind w:left="-100"/>
              <w:jc w:val="center"/>
              <w:rPr>
                <w:rFonts w:ascii="Times New Roman" w:eastAsia="Times New Roman" w:hAnsi="Times New Roman" w:cs="Times New Roman"/>
                <w:color w:val="000000"/>
                <w:sz w:val="20"/>
                <w:szCs w:val="20"/>
                <w:lang w:eastAsia="ru-RU"/>
              </w:rPr>
            </w:pPr>
            <w:r w:rsidRPr="00F13ACF">
              <w:rPr>
                <w:rFonts w:ascii="Times New Roman" w:eastAsia="Times New Roman" w:hAnsi="Times New Roman" w:cs="Times New Roman"/>
                <w:sz w:val="20"/>
                <w:szCs w:val="20"/>
                <w:lang w:eastAsia="ru-RU"/>
              </w:rPr>
              <w:t>2048</w:t>
            </w:r>
            <w:r>
              <w:rPr>
                <w:rFonts w:ascii="Times New Roman" w:eastAsia="Times New Roman" w:hAnsi="Times New Roman" w:cs="Times New Roman"/>
                <w:sz w:val="20"/>
                <w:szCs w:val="20"/>
                <w:lang w:eastAsia="ru-RU"/>
              </w:rPr>
              <w:t>,8</w:t>
            </w:r>
          </w:p>
        </w:tc>
        <w:tc>
          <w:tcPr>
            <w:tcW w:w="968" w:type="dxa"/>
            <w:shd w:val="clear" w:color="auto" w:fill="auto"/>
            <w:vAlign w:val="center"/>
          </w:tcPr>
          <w:p w:rsidR="003E62EC" w:rsidRPr="00F13ACF" w:rsidRDefault="003E62EC" w:rsidP="00864C4E">
            <w:pPr>
              <w:ind w:left="-98" w:right="-2"/>
              <w:jc w:val="center"/>
              <w:rPr>
                <w:rFonts w:ascii="Times New Roman" w:eastAsia="Times New Roman" w:hAnsi="Times New Roman" w:cs="Times New Roman"/>
                <w:sz w:val="20"/>
                <w:szCs w:val="20"/>
                <w:lang w:eastAsia="ru-RU"/>
              </w:rPr>
            </w:pPr>
            <w:r w:rsidRPr="00F13ACF">
              <w:rPr>
                <w:rFonts w:ascii="Times New Roman" w:eastAsia="Times New Roman" w:hAnsi="Times New Roman" w:cs="Times New Roman"/>
                <w:sz w:val="20"/>
                <w:szCs w:val="20"/>
                <w:lang w:eastAsia="ru-RU"/>
              </w:rPr>
              <w:t>1689</w:t>
            </w:r>
            <w:r>
              <w:rPr>
                <w:rFonts w:ascii="Times New Roman" w:eastAsia="Times New Roman" w:hAnsi="Times New Roman" w:cs="Times New Roman"/>
                <w:sz w:val="20"/>
                <w:szCs w:val="20"/>
                <w:lang w:eastAsia="ru-RU"/>
              </w:rPr>
              <w:t>,</w:t>
            </w:r>
            <w:r w:rsidRPr="00F13ACF">
              <w:rPr>
                <w:rFonts w:ascii="Times New Roman" w:eastAsia="Times New Roman" w:hAnsi="Times New Roman" w:cs="Times New Roman"/>
                <w:sz w:val="20"/>
                <w:szCs w:val="20"/>
                <w:lang w:eastAsia="ru-RU"/>
              </w:rPr>
              <w:t>1</w:t>
            </w:r>
          </w:p>
        </w:tc>
        <w:tc>
          <w:tcPr>
            <w:tcW w:w="881" w:type="dxa"/>
            <w:shd w:val="clear" w:color="auto" w:fill="auto"/>
            <w:vAlign w:val="center"/>
          </w:tcPr>
          <w:p w:rsidR="003E62EC" w:rsidRPr="00F13ACF" w:rsidRDefault="003E62EC" w:rsidP="00424A4A">
            <w:pPr>
              <w:ind w:left="-80" w:right="-109"/>
              <w:jc w:val="center"/>
              <w:rPr>
                <w:rFonts w:ascii="Times New Roman" w:eastAsia="Times New Roman" w:hAnsi="Times New Roman" w:cs="Times New Roman"/>
                <w:bCs/>
                <w:color w:val="000000"/>
                <w:sz w:val="20"/>
                <w:szCs w:val="20"/>
                <w:lang w:eastAsia="ru-RU"/>
              </w:rPr>
            </w:pPr>
            <w:r w:rsidRPr="00F13ACF">
              <w:rPr>
                <w:rFonts w:ascii="Times New Roman" w:eastAsia="Times New Roman" w:hAnsi="Times New Roman" w:cs="Times New Roman"/>
                <w:sz w:val="20"/>
                <w:szCs w:val="20"/>
                <w:lang w:eastAsia="ru-RU"/>
              </w:rPr>
              <w:t>-359</w:t>
            </w:r>
            <w:r>
              <w:rPr>
                <w:rFonts w:ascii="Times New Roman" w:eastAsia="Times New Roman" w:hAnsi="Times New Roman" w:cs="Times New Roman"/>
                <w:sz w:val="20"/>
                <w:szCs w:val="20"/>
                <w:lang w:eastAsia="ru-RU"/>
              </w:rPr>
              <w:t>,7</w:t>
            </w:r>
          </w:p>
        </w:tc>
        <w:tc>
          <w:tcPr>
            <w:tcW w:w="709" w:type="dxa"/>
            <w:shd w:val="clear" w:color="auto" w:fill="auto"/>
            <w:vAlign w:val="center"/>
          </w:tcPr>
          <w:p w:rsidR="003E62EC" w:rsidRPr="00F13ACF" w:rsidRDefault="003E62EC" w:rsidP="00864C4E">
            <w:pPr>
              <w:ind w:left="-89"/>
              <w:jc w:val="center"/>
              <w:rPr>
                <w:rFonts w:ascii="Times New Roman" w:eastAsia="Times New Roman" w:hAnsi="Times New Roman" w:cs="Times New Roman"/>
                <w:bCs/>
                <w:color w:val="000000"/>
                <w:sz w:val="20"/>
                <w:szCs w:val="20"/>
                <w:lang w:eastAsia="ru-RU"/>
              </w:rPr>
            </w:pPr>
            <w:r w:rsidRPr="00F13ACF">
              <w:rPr>
                <w:rFonts w:ascii="Times New Roman" w:eastAsia="Times New Roman" w:hAnsi="Times New Roman" w:cs="Times New Roman"/>
                <w:sz w:val="20"/>
                <w:szCs w:val="20"/>
                <w:lang w:eastAsia="ru-RU"/>
              </w:rPr>
              <w:t>82.4</w:t>
            </w:r>
          </w:p>
        </w:tc>
        <w:tc>
          <w:tcPr>
            <w:tcW w:w="992" w:type="dxa"/>
            <w:vAlign w:val="center"/>
          </w:tcPr>
          <w:p w:rsidR="003E62EC" w:rsidRPr="003D798B" w:rsidRDefault="003E62EC" w:rsidP="00864C4E">
            <w:pPr>
              <w:jc w:val="center"/>
              <w:rPr>
                <w:rFonts w:ascii="Times New Roman" w:eastAsia="Times New Roman" w:hAnsi="Times New Roman" w:cs="Times New Roman"/>
                <w:color w:val="000000"/>
                <w:sz w:val="20"/>
                <w:szCs w:val="20"/>
                <w:lang w:eastAsia="ru-RU"/>
              </w:rPr>
            </w:pPr>
            <w:r w:rsidRPr="003D798B">
              <w:rPr>
                <w:rFonts w:ascii="Times New Roman" w:eastAsia="Times New Roman" w:hAnsi="Times New Roman" w:cs="Times New Roman"/>
                <w:color w:val="000000"/>
                <w:sz w:val="20"/>
                <w:szCs w:val="20"/>
                <w:lang w:eastAsia="ru-RU"/>
              </w:rPr>
              <w:t>1690,3</w:t>
            </w:r>
          </w:p>
        </w:tc>
        <w:tc>
          <w:tcPr>
            <w:tcW w:w="851" w:type="dxa"/>
            <w:vAlign w:val="center"/>
          </w:tcPr>
          <w:p w:rsidR="003E62EC" w:rsidRPr="00686F32" w:rsidRDefault="003E62EC" w:rsidP="00864C4E">
            <w:pPr>
              <w:jc w:val="center"/>
              <w:rPr>
                <w:rFonts w:ascii="Times New Roman" w:eastAsia="Times New Roman" w:hAnsi="Times New Roman" w:cs="Times New Roman"/>
                <w:color w:val="000000"/>
                <w:sz w:val="20"/>
                <w:szCs w:val="20"/>
                <w:lang w:eastAsia="ru-RU"/>
              </w:rPr>
            </w:pPr>
            <w:r w:rsidRPr="00686F32">
              <w:rPr>
                <w:rFonts w:ascii="Times New Roman" w:eastAsia="Times New Roman" w:hAnsi="Times New Roman" w:cs="Times New Roman"/>
                <w:color w:val="000000"/>
                <w:sz w:val="20"/>
                <w:szCs w:val="20"/>
                <w:lang w:eastAsia="ru-RU"/>
              </w:rPr>
              <w:t>-1,2</w:t>
            </w:r>
          </w:p>
        </w:tc>
        <w:tc>
          <w:tcPr>
            <w:tcW w:w="708" w:type="dxa"/>
            <w:vAlign w:val="center"/>
          </w:tcPr>
          <w:p w:rsidR="003E62EC" w:rsidRPr="00686F32" w:rsidRDefault="003E62EC" w:rsidP="00864C4E">
            <w:pPr>
              <w:jc w:val="center"/>
              <w:rPr>
                <w:rFonts w:ascii="Times New Roman" w:eastAsia="Times New Roman" w:hAnsi="Times New Roman" w:cs="Times New Roman"/>
                <w:color w:val="000000"/>
                <w:sz w:val="20"/>
                <w:szCs w:val="20"/>
                <w:lang w:eastAsia="ru-RU"/>
              </w:rPr>
            </w:pPr>
            <w:r w:rsidRPr="00686F32">
              <w:rPr>
                <w:rFonts w:ascii="Times New Roman" w:eastAsia="Times New Roman" w:hAnsi="Times New Roman" w:cs="Times New Roman"/>
                <w:color w:val="000000"/>
                <w:sz w:val="20"/>
                <w:szCs w:val="20"/>
                <w:lang w:eastAsia="ru-RU"/>
              </w:rPr>
              <w:t>99,9</w:t>
            </w:r>
          </w:p>
        </w:tc>
      </w:tr>
      <w:tr w:rsidR="003E62EC" w:rsidRPr="00C26E3B" w:rsidTr="00D53685">
        <w:tc>
          <w:tcPr>
            <w:tcW w:w="2836" w:type="dxa"/>
          </w:tcPr>
          <w:p w:rsidR="003E62EC" w:rsidRPr="00C26E3B" w:rsidRDefault="003E62EC" w:rsidP="003E62EC">
            <w:pPr>
              <w:rPr>
                <w:rFonts w:ascii="Times New Roman" w:eastAsia="Times New Roman" w:hAnsi="Times New Roman" w:cs="Times New Roman"/>
                <w:lang w:eastAsia="ru-RU"/>
              </w:rPr>
            </w:pPr>
            <w:r>
              <w:rPr>
                <w:rFonts w:ascii="Times New Roman" w:eastAsia="Times New Roman" w:hAnsi="Times New Roman" w:cs="Times New Roman"/>
                <w:lang w:eastAsia="ru-RU"/>
              </w:rPr>
              <w:t>Dobânzi</w:t>
            </w:r>
          </w:p>
        </w:tc>
        <w:tc>
          <w:tcPr>
            <w:tcW w:w="992" w:type="dxa"/>
            <w:vAlign w:val="center"/>
          </w:tcPr>
          <w:p w:rsidR="003E62EC" w:rsidRPr="00F13ACF" w:rsidRDefault="003E62EC" w:rsidP="00864C4E">
            <w:pPr>
              <w:jc w:val="center"/>
              <w:rPr>
                <w:rFonts w:ascii="Times New Roman" w:eastAsia="Times New Roman" w:hAnsi="Times New Roman" w:cs="Times New Roman"/>
                <w:sz w:val="20"/>
                <w:szCs w:val="20"/>
                <w:lang w:eastAsia="ru-RU"/>
              </w:rPr>
            </w:pPr>
            <w:r w:rsidRPr="00F13ACF">
              <w:rPr>
                <w:rFonts w:ascii="Times New Roman" w:eastAsia="Times New Roman" w:hAnsi="Times New Roman" w:cs="Times New Roman"/>
                <w:sz w:val="20"/>
                <w:szCs w:val="20"/>
                <w:lang w:eastAsia="ru-RU"/>
              </w:rPr>
              <w:t>1933,6</w:t>
            </w:r>
          </w:p>
        </w:tc>
        <w:tc>
          <w:tcPr>
            <w:tcW w:w="844" w:type="dxa"/>
            <w:shd w:val="clear" w:color="auto" w:fill="auto"/>
            <w:vAlign w:val="center"/>
          </w:tcPr>
          <w:p w:rsidR="003E62EC" w:rsidRPr="00F13ACF" w:rsidRDefault="003E62EC" w:rsidP="00864C4E">
            <w:pPr>
              <w:jc w:val="center"/>
              <w:rPr>
                <w:rFonts w:ascii="Times New Roman" w:eastAsia="Times New Roman" w:hAnsi="Times New Roman" w:cs="Times New Roman"/>
                <w:color w:val="000000"/>
                <w:sz w:val="20"/>
                <w:szCs w:val="20"/>
                <w:lang w:eastAsia="ru-RU"/>
              </w:rPr>
            </w:pPr>
            <w:r w:rsidRPr="00F13ACF">
              <w:rPr>
                <w:rFonts w:ascii="Times New Roman" w:eastAsia="Times New Roman" w:hAnsi="Times New Roman" w:cs="Times New Roman"/>
                <w:color w:val="000000"/>
                <w:sz w:val="20"/>
                <w:szCs w:val="20"/>
                <w:lang w:eastAsia="ru-RU"/>
              </w:rPr>
              <w:t>1990,3</w:t>
            </w:r>
          </w:p>
        </w:tc>
        <w:tc>
          <w:tcPr>
            <w:tcW w:w="968" w:type="dxa"/>
            <w:shd w:val="clear" w:color="auto" w:fill="auto"/>
            <w:vAlign w:val="center"/>
          </w:tcPr>
          <w:p w:rsidR="003E62EC" w:rsidRPr="00F13ACF" w:rsidRDefault="003E62EC" w:rsidP="00864C4E">
            <w:pPr>
              <w:jc w:val="center"/>
              <w:rPr>
                <w:rFonts w:ascii="Times New Roman" w:eastAsia="Times New Roman" w:hAnsi="Times New Roman" w:cs="Times New Roman"/>
                <w:sz w:val="20"/>
                <w:szCs w:val="20"/>
                <w:lang w:eastAsia="ru-RU"/>
              </w:rPr>
            </w:pPr>
            <w:r w:rsidRPr="00F13ACF">
              <w:rPr>
                <w:rFonts w:ascii="Times New Roman" w:eastAsia="Times New Roman" w:hAnsi="Times New Roman" w:cs="Times New Roman"/>
                <w:sz w:val="20"/>
                <w:szCs w:val="20"/>
                <w:lang w:eastAsia="ru-RU"/>
              </w:rPr>
              <w:t>1929,1</w:t>
            </w:r>
          </w:p>
        </w:tc>
        <w:tc>
          <w:tcPr>
            <w:tcW w:w="881" w:type="dxa"/>
            <w:shd w:val="clear" w:color="auto" w:fill="auto"/>
            <w:vAlign w:val="center"/>
          </w:tcPr>
          <w:p w:rsidR="003E62EC" w:rsidRPr="00F13ACF" w:rsidRDefault="003E62EC" w:rsidP="00864C4E">
            <w:pPr>
              <w:jc w:val="center"/>
              <w:rPr>
                <w:rFonts w:ascii="Times New Roman" w:eastAsia="Times New Roman" w:hAnsi="Times New Roman" w:cs="Times New Roman"/>
                <w:bCs/>
                <w:color w:val="000000"/>
                <w:sz w:val="20"/>
                <w:szCs w:val="20"/>
                <w:lang w:eastAsia="ru-RU"/>
              </w:rPr>
            </w:pPr>
            <w:r w:rsidRPr="00F13ACF">
              <w:rPr>
                <w:rFonts w:ascii="Times New Roman" w:eastAsia="Times New Roman" w:hAnsi="Times New Roman" w:cs="Times New Roman"/>
                <w:bCs/>
                <w:color w:val="000000"/>
                <w:sz w:val="20"/>
                <w:szCs w:val="20"/>
                <w:lang w:eastAsia="ru-RU"/>
              </w:rPr>
              <w:t>-61,2</w:t>
            </w:r>
          </w:p>
        </w:tc>
        <w:tc>
          <w:tcPr>
            <w:tcW w:w="709" w:type="dxa"/>
            <w:shd w:val="clear" w:color="auto" w:fill="auto"/>
            <w:vAlign w:val="center"/>
          </w:tcPr>
          <w:p w:rsidR="003E62EC" w:rsidRPr="00F13ACF" w:rsidRDefault="003E62EC" w:rsidP="00864C4E">
            <w:pPr>
              <w:ind w:left="-89"/>
              <w:jc w:val="center"/>
              <w:rPr>
                <w:rFonts w:ascii="Times New Roman" w:eastAsia="Times New Roman" w:hAnsi="Times New Roman" w:cs="Times New Roman"/>
                <w:bCs/>
                <w:color w:val="000000"/>
                <w:sz w:val="20"/>
                <w:szCs w:val="20"/>
                <w:lang w:eastAsia="ru-RU"/>
              </w:rPr>
            </w:pPr>
            <w:r w:rsidRPr="00F13ACF">
              <w:rPr>
                <w:rFonts w:ascii="Times New Roman" w:eastAsia="Times New Roman" w:hAnsi="Times New Roman" w:cs="Times New Roman"/>
                <w:bCs/>
                <w:color w:val="000000"/>
                <w:sz w:val="20"/>
                <w:szCs w:val="20"/>
                <w:lang w:eastAsia="ru-RU"/>
              </w:rPr>
              <w:t>96,9</w:t>
            </w:r>
          </w:p>
        </w:tc>
        <w:tc>
          <w:tcPr>
            <w:tcW w:w="992" w:type="dxa"/>
            <w:vAlign w:val="center"/>
          </w:tcPr>
          <w:p w:rsidR="003E62EC" w:rsidRPr="00F13ACF" w:rsidRDefault="003E62EC" w:rsidP="00864C4E">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1747,2</w:t>
            </w:r>
          </w:p>
        </w:tc>
        <w:tc>
          <w:tcPr>
            <w:tcW w:w="851" w:type="dxa"/>
            <w:vAlign w:val="center"/>
          </w:tcPr>
          <w:p w:rsidR="003E62EC" w:rsidRPr="00686F32" w:rsidRDefault="003E62EC" w:rsidP="00864C4E">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181,9</w:t>
            </w:r>
          </w:p>
        </w:tc>
        <w:tc>
          <w:tcPr>
            <w:tcW w:w="708" w:type="dxa"/>
            <w:vAlign w:val="center"/>
          </w:tcPr>
          <w:p w:rsidR="003E62EC" w:rsidRPr="00F13ACF" w:rsidRDefault="003E62EC" w:rsidP="00864C4E">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110,4</w:t>
            </w:r>
          </w:p>
        </w:tc>
      </w:tr>
      <w:tr w:rsidR="003E62EC" w:rsidRPr="00C26E3B" w:rsidTr="00D53685">
        <w:tc>
          <w:tcPr>
            <w:tcW w:w="2836" w:type="dxa"/>
          </w:tcPr>
          <w:p w:rsidR="003E62EC" w:rsidRPr="00C26E3B" w:rsidRDefault="003E62EC" w:rsidP="003E62EC">
            <w:pPr>
              <w:rPr>
                <w:rFonts w:ascii="Times New Roman" w:eastAsia="Times New Roman" w:hAnsi="Times New Roman" w:cs="Times New Roman"/>
                <w:lang w:eastAsia="ru-RU"/>
              </w:rPr>
            </w:pPr>
            <w:r>
              <w:rPr>
                <w:rFonts w:ascii="Times New Roman" w:eastAsia="Times New Roman" w:hAnsi="Times New Roman" w:cs="Times New Roman"/>
                <w:lang w:eastAsia="ru-RU"/>
              </w:rPr>
              <w:t>Subsidii</w:t>
            </w:r>
          </w:p>
        </w:tc>
        <w:tc>
          <w:tcPr>
            <w:tcW w:w="992" w:type="dxa"/>
            <w:vAlign w:val="center"/>
          </w:tcPr>
          <w:p w:rsidR="003E62EC" w:rsidRPr="00F13ACF" w:rsidRDefault="003E62EC" w:rsidP="00864C4E">
            <w:pPr>
              <w:jc w:val="center"/>
              <w:rPr>
                <w:rFonts w:ascii="Times New Roman" w:eastAsia="Times New Roman" w:hAnsi="Times New Roman" w:cs="Times New Roman"/>
                <w:sz w:val="20"/>
                <w:szCs w:val="20"/>
                <w:lang w:eastAsia="ru-RU"/>
              </w:rPr>
            </w:pPr>
            <w:r w:rsidRPr="00F13ACF">
              <w:rPr>
                <w:rFonts w:ascii="Times New Roman" w:eastAsia="Times New Roman" w:hAnsi="Times New Roman" w:cs="Times New Roman"/>
                <w:sz w:val="20"/>
                <w:szCs w:val="20"/>
                <w:lang w:eastAsia="ru-RU"/>
              </w:rPr>
              <w:t>3297,8</w:t>
            </w:r>
          </w:p>
        </w:tc>
        <w:tc>
          <w:tcPr>
            <w:tcW w:w="844" w:type="dxa"/>
            <w:shd w:val="clear" w:color="auto" w:fill="auto"/>
            <w:vAlign w:val="center"/>
          </w:tcPr>
          <w:p w:rsidR="003E62EC" w:rsidRPr="00F13ACF" w:rsidRDefault="003E62EC" w:rsidP="00864C4E">
            <w:pPr>
              <w:jc w:val="center"/>
              <w:rPr>
                <w:rFonts w:ascii="Times New Roman" w:eastAsia="Times New Roman" w:hAnsi="Times New Roman" w:cs="Times New Roman"/>
                <w:color w:val="000000"/>
                <w:sz w:val="20"/>
                <w:szCs w:val="20"/>
                <w:lang w:eastAsia="ru-RU"/>
              </w:rPr>
            </w:pPr>
            <w:r w:rsidRPr="00F13ACF">
              <w:rPr>
                <w:rFonts w:ascii="Times New Roman" w:eastAsia="Times New Roman" w:hAnsi="Times New Roman" w:cs="Times New Roman"/>
                <w:color w:val="000000"/>
                <w:sz w:val="20"/>
                <w:szCs w:val="20"/>
                <w:lang w:eastAsia="ru-RU"/>
              </w:rPr>
              <w:t>3134,4</w:t>
            </w:r>
          </w:p>
        </w:tc>
        <w:tc>
          <w:tcPr>
            <w:tcW w:w="968" w:type="dxa"/>
            <w:shd w:val="clear" w:color="auto" w:fill="auto"/>
            <w:vAlign w:val="center"/>
          </w:tcPr>
          <w:p w:rsidR="003E62EC" w:rsidRPr="00F13ACF" w:rsidRDefault="003E62EC" w:rsidP="00864C4E">
            <w:pPr>
              <w:jc w:val="center"/>
              <w:rPr>
                <w:rFonts w:ascii="Times New Roman" w:eastAsia="Times New Roman" w:hAnsi="Times New Roman" w:cs="Times New Roman"/>
                <w:sz w:val="20"/>
                <w:szCs w:val="20"/>
                <w:lang w:eastAsia="ru-RU"/>
              </w:rPr>
            </w:pPr>
            <w:r w:rsidRPr="00F13ACF">
              <w:rPr>
                <w:rFonts w:ascii="Times New Roman" w:eastAsia="Times New Roman" w:hAnsi="Times New Roman" w:cs="Times New Roman"/>
                <w:sz w:val="20"/>
                <w:szCs w:val="20"/>
                <w:lang w:eastAsia="ru-RU"/>
              </w:rPr>
              <w:t>3035,5</w:t>
            </w:r>
          </w:p>
        </w:tc>
        <w:tc>
          <w:tcPr>
            <w:tcW w:w="881" w:type="dxa"/>
            <w:shd w:val="clear" w:color="auto" w:fill="auto"/>
            <w:vAlign w:val="center"/>
          </w:tcPr>
          <w:p w:rsidR="003E62EC" w:rsidRPr="00F13ACF" w:rsidRDefault="003E62EC" w:rsidP="00864C4E">
            <w:pPr>
              <w:jc w:val="center"/>
              <w:rPr>
                <w:rFonts w:ascii="Times New Roman" w:eastAsia="Times New Roman" w:hAnsi="Times New Roman" w:cs="Times New Roman"/>
                <w:bCs/>
                <w:color w:val="000000"/>
                <w:sz w:val="20"/>
                <w:szCs w:val="20"/>
                <w:lang w:eastAsia="ru-RU"/>
              </w:rPr>
            </w:pPr>
            <w:r w:rsidRPr="00F13ACF">
              <w:rPr>
                <w:rFonts w:ascii="Times New Roman" w:eastAsia="Times New Roman" w:hAnsi="Times New Roman" w:cs="Times New Roman"/>
                <w:bCs/>
                <w:color w:val="000000"/>
                <w:sz w:val="20"/>
                <w:szCs w:val="20"/>
                <w:lang w:eastAsia="ru-RU"/>
              </w:rPr>
              <w:t>98,4</w:t>
            </w:r>
          </w:p>
        </w:tc>
        <w:tc>
          <w:tcPr>
            <w:tcW w:w="709" w:type="dxa"/>
            <w:shd w:val="clear" w:color="auto" w:fill="auto"/>
            <w:vAlign w:val="center"/>
          </w:tcPr>
          <w:p w:rsidR="003E62EC" w:rsidRPr="00F13ACF" w:rsidRDefault="003E62EC" w:rsidP="00864C4E">
            <w:pPr>
              <w:ind w:left="-89"/>
              <w:jc w:val="center"/>
              <w:rPr>
                <w:rFonts w:ascii="Times New Roman" w:eastAsia="Times New Roman" w:hAnsi="Times New Roman" w:cs="Times New Roman"/>
                <w:bCs/>
                <w:color w:val="000000"/>
                <w:sz w:val="20"/>
                <w:szCs w:val="20"/>
                <w:lang w:eastAsia="ru-RU"/>
              </w:rPr>
            </w:pPr>
            <w:r w:rsidRPr="00F13ACF">
              <w:rPr>
                <w:rFonts w:ascii="Times New Roman" w:eastAsia="Times New Roman" w:hAnsi="Times New Roman" w:cs="Times New Roman"/>
                <w:bCs/>
                <w:color w:val="000000"/>
                <w:sz w:val="20"/>
                <w:szCs w:val="20"/>
                <w:lang w:eastAsia="ru-RU"/>
              </w:rPr>
              <w:t>96,9</w:t>
            </w:r>
          </w:p>
        </w:tc>
        <w:tc>
          <w:tcPr>
            <w:tcW w:w="992" w:type="dxa"/>
            <w:vAlign w:val="center"/>
          </w:tcPr>
          <w:p w:rsidR="003E62EC" w:rsidRPr="00F13ACF" w:rsidRDefault="003E62EC" w:rsidP="00864C4E">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2382,1</w:t>
            </w:r>
          </w:p>
        </w:tc>
        <w:tc>
          <w:tcPr>
            <w:tcW w:w="851" w:type="dxa"/>
            <w:vAlign w:val="center"/>
          </w:tcPr>
          <w:p w:rsidR="003E62EC" w:rsidRPr="00686F32" w:rsidRDefault="003E62EC" w:rsidP="00864C4E">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653,4</w:t>
            </w:r>
          </w:p>
        </w:tc>
        <w:tc>
          <w:tcPr>
            <w:tcW w:w="708" w:type="dxa"/>
            <w:vAlign w:val="center"/>
          </w:tcPr>
          <w:p w:rsidR="003E62EC" w:rsidRPr="00F13ACF" w:rsidRDefault="003E62EC" w:rsidP="00864C4E">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127,4</w:t>
            </w:r>
          </w:p>
        </w:tc>
      </w:tr>
      <w:tr w:rsidR="003E62EC" w:rsidRPr="00C26E3B" w:rsidTr="00D53685">
        <w:tc>
          <w:tcPr>
            <w:tcW w:w="2836" w:type="dxa"/>
          </w:tcPr>
          <w:p w:rsidR="003E62EC" w:rsidRPr="00CA4610" w:rsidRDefault="003E62EC" w:rsidP="003E62EC">
            <w:pPr>
              <w:rPr>
                <w:rFonts w:ascii="Times New Roman" w:eastAsia="Times New Roman" w:hAnsi="Times New Roman" w:cs="Times New Roman"/>
                <w:lang w:eastAsia="ru-RU"/>
              </w:rPr>
            </w:pPr>
            <w:r w:rsidRPr="00CA4610">
              <w:rPr>
                <w:rFonts w:ascii="Times New Roman" w:eastAsia="Times New Roman" w:hAnsi="Times New Roman" w:cs="Times New Roman"/>
                <w:lang w:eastAsia="ru-RU"/>
              </w:rPr>
              <w:t>Granturi acordate</w:t>
            </w:r>
          </w:p>
        </w:tc>
        <w:tc>
          <w:tcPr>
            <w:tcW w:w="992" w:type="dxa"/>
            <w:vAlign w:val="center"/>
          </w:tcPr>
          <w:p w:rsidR="003E62EC" w:rsidRPr="00F13ACF" w:rsidRDefault="003E62EC" w:rsidP="00864C4E">
            <w:pPr>
              <w:jc w:val="center"/>
              <w:rPr>
                <w:rFonts w:ascii="Times New Roman" w:eastAsia="Times New Roman" w:hAnsi="Times New Roman" w:cs="Times New Roman"/>
                <w:sz w:val="20"/>
                <w:szCs w:val="20"/>
                <w:lang w:eastAsia="ru-RU"/>
              </w:rPr>
            </w:pPr>
            <w:r w:rsidRPr="00F13ACF">
              <w:rPr>
                <w:rFonts w:ascii="Times New Roman" w:eastAsia="Times New Roman" w:hAnsi="Times New Roman" w:cs="Times New Roman"/>
                <w:sz w:val="20"/>
                <w:szCs w:val="20"/>
                <w:lang w:eastAsia="ru-RU"/>
              </w:rPr>
              <w:t>52,3</w:t>
            </w:r>
          </w:p>
        </w:tc>
        <w:tc>
          <w:tcPr>
            <w:tcW w:w="844" w:type="dxa"/>
            <w:shd w:val="clear" w:color="auto" w:fill="auto"/>
            <w:vAlign w:val="center"/>
          </w:tcPr>
          <w:p w:rsidR="003E62EC" w:rsidRPr="00F13ACF" w:rsidRDefault="003E62EC" w:rsidP="00864C4E">
            <w:pPr>
              <w:jc w:val="center"/>
              <w:rPr>
                <w:rFonts w:ascii="Times New Roman" w:eastAsia="Times New Roman" w:hAnsi="Times New Roman" w:cs="Times New Roman"/>
                <w:color w:val="000000"/>
                <w:sz w:val="20"/>
                <w:szCs w:val="20"/>
                <w:lang w:eastAsia="ru-RU"/>
              </w:rPr>
            </w:pPr>
            <w:r w:rsidRPr="00F13ACF">
              <w:rPr>
                <w:rFonts w:ascii="Times New Roman" w:eastAsia="Times New Roman" w:hAnsi="Times New Roman" w:cs="Times New Roman"/>
                <w:color w:val="000000"/>
                <w:sz w:val="20"/>
                <w:szCs w:val="20"/>
                <w:lang w:eastAsia="ru-RU"/>
              </w:rPr>
              <w:t>32,8</w:t>
            </w:r>
          </w:p>
        </w:tc>
        <w:tc>
          <w:tcPr>
            <w:tcW w:w="968" w:type="dxa"/>
            <w:shd w:val="clear" w:color="auto" w:fill="auto"/>
            <w:vAlign w:val="center"/>
          </w:tcPr>
          <w:p w:rsidR="003E62EC" w:rsidRPr="00F13ACF" w:rsidRDefault="003E62EC" w:rsidP="00864C4E">
            <w:pPr>
              <w:jc w:val="center"/>
              <w:rPr>
                <w:rFonts w:ascii="Times New Roman" w:eastAsia="Times New Roman" w:hAnsi="Times New Roman" w:cs="Times New Roman"/>
                <w:sz w:val="20"/>
                <w:szCs w:val="20"/>
                <w:lang w:eastAsia="ru-RU"/>
              </w:rPr>
            </w:pPr>
            <w:r w:rsidRPr="00F13ACF">
              <w:rPr>
                <w:rFonts w:ascii="Times New Roman" w:eastAsia="Times New Roman" w:hAnsi="Times New Roman" w:cs="Times New Roman"/>
                <w:sz w:val="20"/>
                <w:szCs w:val="20"/>
                <w:lang w:eastAsia="ru-RU"/>
              </w:rPr>
              <w:t>27</w:t>
            </w:r>
            <w:r w:rsidR="00864C4E">
              <w:rPr>
                <w:rFonts w:ascii="Times New Roman" w:eastAsia="Times New Roman" w:hAnsi="Times New Roman" w:cs="Times New Roman"/>
                <w:sz w:val="20"/>
                <w:szCs w:val="20"/>
                <w:lang w:eastAsia="ru-RU"/>
              </w:rPr>
              <w:t>,</w:t>
            </w:r>
            <w:r w:rsidRPr="00F13ACF">
              <w:rPr>
                <w:rFonts w:ascii="Times New Roman" w:eastAsia="Times New Roman" w:hAnsi="Times New Roman" w:cs="Times New Roman"/>
                <w:sz w:val="20"/>
                <w:szCs w:val="20"/>
                <w:lang w:eastAsia="ru-RU"/>
              </w:rPr>
              <w:t>6</w:t>
            </w:r>
          </w:p>
        </w:tc>
        <w:tc>
          <w:tcPr>
            <w:tcW w:w="881" w:type="dxa"/>
            <w:shd w:val="clear" w:color="auto" w:fill="auto"/>
            <w:vAlign w:val="center"/>
          </w:tcPr>
          <w:p w:rsidR="003E62EC" w:rsidRPr="00F13ACF" w:rsidRDefault="003E62EC" w:rsidP="00864C4E">
            <w:pPr>
              <w:jc w:val="center"/>
              <w:rPr>
                <w:rFonts w:ascii="Times New Roman" w:eastAsia="Times New Roman" w:hAnsi="Times New Roman" w:cs="Times New Roman"/>
                <w:bCs/>
                <w:color w:val="000000"/>
                <w:sz w:val="20"/>
                <w:szCs w:val="20"/>
                <w:lang w:eastAsia="ru-RU"/>
              </w:rPr>
            </w:pPr>
            <w:r w:rsidRPr="00F13ACF">
              <w:rPr>
                <w:rFonts w:ascii="Times New Roman" w:eastAsia="Times New Roman" w:hAnsi="Times New Roman" w:cs="Times New Roman"/>
                <w:bCs/>
                <w:color w:val="000000"/>
                <w:sz w:val="20"/>
                <w:szCs w:val="20"/>
                <w:lang w:eastAsia="ru-RU"/>
              </w:rPr>
              <w:t>-5,2</w:t>
            </w:r>
          </w:p>
        </w:tc>
        <w:tc>
          <w:tcPr>
            <w:tcW w:w="709" w:type="dxa"/>
            <w:shd w:val="clear" w:color="auto" w:fill="auto"/>
            <w:vAlign w:val="center"/>
          </w:tcPr>
          <w:p w:rsidR="003E62EC" w:rsidRPr="00F13ACF" w:rsidRDefault="003E62EC" w:rsidP="00864C4E">
            <w:pPr>
              <w:ind w:left="-89"/>
              <w:jc w:val="center"/>
              <w:rPr>
                <w:rFonts w:ascii="Times New Roman" w:eastAsia="Times New Roman" w:hAnsi="Times New Roman" w:cs="Times New Roman"/>
                <w:bCs/>
                <w:color w:val="000000"/>
                <w:sz w:val="20"/>
                <w:szCs w:val="20"/>
                <w:lang w:eastAsia="ru-RU"/>
              </w:rPr>
            </w:pPr>
            <w:r w:rsidRPr="00F13ACF">
              <w:rPr>
                <w:rFonts w:ascii="Times New Roman" w:eastAsia="Times New Roman" w:hAnsi="Times New Roman" w:cs="Times New Roman"/>
                <w:bCs/>
                <w:color w:val="000000"/>
                <w:sz w:val="20"/>
                <w:szCs w:val="20"/>
                <w:lang w:eastAsia="ru-RU"/>
              </w:rPr>
              <w:t>84,0</w:t>
            </w:r>
          </w:p>
        </w:tc>
        <w:tc>
          <w:tcPr>
            <w:tcW w:w="992" w:type="dxa"/>
            <w:vAlign w:val="center"/>
          </w:tcPr>
          <w:p w:rsidR="003E62EC" w:rsidRPr="003D798B" w:rsidRDefault="003E62EC" w:rsidP="00864C4E">
            <w:pPr>
              <w:jc w:val="center"/>
              <w:rPr>
                <w:rFonts w:ascii="Times New Roman" w:eastAsia="Times New Roman" w:hAnsi="Times New Roman" w:cs="Times New Roman"/>
                <w:color w:val="000000"/>
                <w:sz w:val="20"/>
                <w:szCs w:val="20"/>
                <w:lang w:eastAsia="ru-RU"/>
              </w:rPr>
            </w:pPr>
            <w:r w:rsidRPr="003D798B">
              <w:rPr>
                <w:rFonts w:ascii="Times New Roman" w:eastAsia="Times New Roman" w:hAnsi="Times New Roman" w:cs="Times New Roman"/>
                <w:color w:val="000000"/>
                <w:sz w:val="20"/>
                <w:szCs w:val="20"/>
                <w:lang w:eastAsia="ru-RU"/>
              </w:rPr>
              <w:t>26,8</w:t>
            </w:r>
          </w:p>
        </w:tc>
        <w:tc>
          <w:tcPr>
            <w:tcW w:w="851" w:type="dxa"/>
            <w:vAlign w:val="center"/>
          </w:tcPr>
          <w:p w:rsidR="003E62EC" w:rsidRPr="00686F32" w:rsidRDefault="003E62EC" w:rsidP="00864C4E">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w:t>
            </w:r>
          </w:p>
        </w:tc>
        <w:tc>
          <w:tcPr>
            <w:tcW w:w="708" w:type="dxa"/>
            <w:vAlign w:val="center"/>
          </w:tcPr>
          <w:p w:rsidR="003E62EC" w:rsidRPr="003B021E" w:rsidRDefault="003E62EC" w:rsidP="00864C4E">
            <w:pPr>
              <w:jc w:val="center"/>
              <w:rPr>
                <w:rFonts w:ascii="Times New Roman" w:eastAsia="Times New Roman" w:hAnsi="Times New Roman" w:cs="Times New Roman"/>
                <w:color w:val="000000"/>
                <w:sz w:val="20"/>
                <w:szCs w:val="20"/>
                <w:lang w:eastAsia="ru-RU"/>
              </w:rPr>
            </w:pPr>
            <w:r w:rsidRPr="003B021E">
              <w:rPr>
                <w:rFonts w:ascii="Times New Roman" w:eastAsia="Times New Roman" w:hAnsi="Times New Roman" w:cs="Times New Roman"/>
                <w:color w:val="000000"/>
                <w:sz w:val="20"/>
                <w:szCs w:val="20"/>
                <w:lang w:eastAsia="ru-RU"/>
              </w:rPr>
              <w:t>102,9</w:t>
            </w:r>
          </w:p>
        </w:tc>
      </w:tr>
      <w:tr w:rsidR="003E62EC" w:rsidRPr="00C26E3B" w:rsidTr="00D53685">
        <w:tc>
          <w:tcPr>
            <w:tcW w:w="2836" w:type="dxa"/>
          </w:tcPr>
          <w:p w:rsidR="003E62EC" w:rsidRPr="00C26E3B" w:rsidRDefault="003E62EC" w:rsidP="003E62EC">
            <w:pPr>
              <w:rPr>
                <w:rFonts w:ascii="Times New Roman" w:eastAsia="Times New Roman" w:hAnsi="Times New Roman" w:cs="Times New Roman"/>
                <w:lang w:eastAsia="ru-RU"/>
              </w:rPr>
            </w:pPr>
            <w:r>
              <w:rPr>
                <w:rFonts w:ascii="Times New Roman" w:eastAsia="Times New Roman" w:hAnsi="Times New Roman" w:cs="Times New Roman"/>
                <w:lang w:eastAsia="ru-RU"/>
              </w:rPr>
              <w:t>Prestații sociale</w:t>
            </w:r>
          </w:p>
        </w:tc>
        <w:tc>
          <w:tcPr>
            <w:tcW w:w="992" w:type="dxa"/>
            <w:vAlign w:val="center"/>
          </w:tcPr>
          <w:p w:rsidR="003E62EC" w:rsidRPr="00F13ACF" w:rsidRDefault="003E62EC" w:rsidP="00864C4E">
            <w:pPr>
              <w:jc w:val="center"/>
              <w:rPr>
                <w:rFonts w:ascii="Times New Roman" w:eastAsia="Times New Roman" w:hAnsi="Times New Roman" w:cs="Times New Roman"/>
                <w:sz w:val="20"/>
                <w:szCs w:val="20"/>
                <w:lang w:eastAsia="ru-RU"/>
              </w:rPr>
            </w:pPr>
            <w:r w:rsidRPr="00F13ACF">
              <w:rPr>
                <w:rFonts w:ascii="Times New Roman" w:eastAsia="Times New Roman" w:hAnsi="Times New Roman" w:cs="Times New Roman"/>
                <w:sz w:val="20"/>
                <w:szCs w:val="20"/>
                <w:lang w:eastAsia="ru-RU"/>
              </w:rPr>
              <w:t>313,4</w:t>
            </w:r>
          </w:p>
        </w:tc>
        <w:tc>
          <w:tcPr>
            <w:tcW w:w="844" w:type="dxa"/>
            <w:shd w:val="clear" w:color="auto" w:fill="auto"/>
            <w:vAlign w:val="center"/>
          </w:tcPr>
          <w:p w:rsidR="003E62EC" w:rsidRPr="00F13ACF" w:rsidRDefault="003E62EC" w:rsidP="00864C4E">
            <w:pPr>
              <w:jc w:val="center"/>
              <w:rPr>
                <w:rFonts w:ascii="Times New Roman" w:eastAsia="Times New Roman" w:hAnsi="Times New Roman" w:cs="Times New Roman"/>
                <w:color w:val="000000"/>
                <w:sz w:val="20"/>
                <w:szCs w:val="20"/>
                <w:lang w:eastAsia="ru-RU"/>
              </w:rPr>
            </w:pPr>
            <w:r w:rsidRPr="00F13ACF">
              <w:rPr>
                <w:rFonts w:ascii="Times New Roman" w:eastAsia="Times New Roman" w:hAnsi="Times New Roman" w:cs="Times New Roman"/>
                <w:color w:val="000000"/>
                <w:sz w:val="20"/>
                <w:szCs w:val="20"/>
                <w:lang w:eastAsia="ru-RU"/>
              </w:rPr>
              <w:t>321,3</w:t>
            </w:r>
          </w:p>
        </w:tc>
        <w:tc>
          <w:tcPr>
            <w:tcW w:w="968" w:type="dxa"/>
            <w:shd w:val="clear" w:color="auto" w:fill="auto"/>
            <w:vAlign w:val="center"/>
          </w:tcPr>
          <w:p w:rsidR="003E62EC" w:rsidRPr="00F13ACF" w:rsidRDefault="003E62EC" w:rsidP="00864C4E">
            <w:pPr>
              <w:jc w:val="center"/>
              <w:rPr>
                <w:rFonts w:ascii="Times New Roman" w:eastAsia="Times New Roman" w:hAnsi="Times New Roman" w:cs="Times New Roman"/>
                <w:sz w:val="20"/>
                <w:szCs w:val="20"/>
                <w:lang w:eastAsia="ru-RU"/>
              </w:rPr>
            </w:pPr>
            <w:r w:rsidRPr="00F13ACF">
              <w:rPr>
                <w:rFonts w:ascii="Times New Roman" w:eastAsia="Times New Roman" w:hAnsi="Times New Roman" w:cs="Times New Roman"/>
                <w:sz w:val="20"/>
                <w:szCs w:val="20"/>
                <w:lang w:eastAsia="ru-RU"/>
              </w:rPr>
              <w:t>275,0</w:t>
            </w:r>
          </w:p>
        </w:tc>
        <w:tc>
          <w:tcPr>
            <w:tcW w:w="881" w:type="dxa"/>
            <w:shd w:val="clear" w:color="auto" w:fill="auto"/>
            <w:vAlign w:val="center"/>
          </w:tcPr>
          <w:p w:rsidR="003E62EC" w:rsidRPr="00F13ACF" w:rsidRDefault="003E62EC" w:rsidP="00864C4E">
            <w:pPr>
              <w:jc w:val="center"/>
              <w:rPr>
                <w:rFonts w:ascii="Times New Roman" w:eastAsia="Times New Roman" w:hAnsi="Times New Roman" w:cs="Times New Roman"/>
                <w:bCs/>
                <w:color w:val="000000"/>
                <w:sz w:val="20"/>
                <w:szCs w:val="20"/>
                <w:lang w:eastAsia="ru-RU"/>
              </w:rPr>
            </w:pPr>
            <w:r w:rsidRPr="00F13ACF">
              <w:rPr>
                <w:rFonts w:ascii="Times New Roman" w:eastAsia="Times New Roman" w:hAnsi="Times New Roman" w:cs="Times New Roman"/>
                <w:bCs/>
                <w:color w:val="000000"/>
                <w:sz w:val="20"/>
                <w:szCs w:val="20"/>
                <w:lang w:eastAsia="ru-RU"/>
              </w:rPr>
              <w:t>-46,3</w:t>
            </w:r>
          </w:p>
        </w:tc>
        <w:tc>
          <w:tcPr>
            <w:tcW w:w="709" w:type="dxa"/>
            <w:shd w:val="clear" w:color="auto" w:fill="auto"/>
            <w:vAlign w:val="center"/>
          </w:tcPr>
          <w:p w:rsidR="003E62EC" w:rsidRPr="00F13ACF" w:rsidRDefault="003E62EC" w:rsidP="00864C4E">
            <w:pPr>
              <w:ind w:left="-89"/>
              <w:jc w:val="center"/>
              <w:rPr>
                <w:rFonts w:ascii="Times New Roman" w:eastAsia="Times New Roman" w:hAnsi="Times New Roman" w:cs="Times New Roman"/>
                <w:bCs/>
                <w:color w:val="000000"/>
                <w:sz w:val="20"/>
                <w:szCs w:val="20"/>
                <w:lang w:eastAsia="ru-RU"/>
              </w:rPr>
            </w:pPr>
            <w:r w:rsidRPr="00F13ACF">
              <w:rPr>
                <w:rFonts w:ascii="Times New Roman" w:eastAsia="Times New Roman" w:hAnsi="Times New Roman" w:cs="Times New Roman"/>
                <w:bCs/>
                <w:color w:val="000000"/>
                <w:sz w:val="20"/>
                <w:szCs w:val="20"/>
                <w:lang w:eastAsia="ru-RU"/>
              </w:rPr>
              <w:t>85,6</w:t>
            </w:r>
          </w:p>
        </w:tc>
        <w:tc>
          <w:tcPr>
            <w:tcW w:w="992" w:type="dxa"/>
            <w:vAlign w:val="center"/>
          </w:tcPr>
          <w:p w:rsidR="003E62EC" w:rsidRPr="00F13ACF" w:rsidRDefault="003E62EC" w:rsidP="00864C4E">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1282,0</w:t>
            </w:r>
          </w:p>
        </w:tc>
        <w:tc>
          <w:tcPr>
            <w:tcW w:w="851" w:type="dxa"/>
            <w:vAlign w:val="center"/>
          </w:tcPr>
          <w:p w:rsidR="003E62EC" w:rsidRPr="00686F32" w:rsidRDefault="003E62EC" w:rsidP="00864C4E">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-1007,0</w:t>
            </w:r>
          </w:p>
        </w:tc>
        <w:tc>
          <w:tcPr>
            <w:tcW w:w="708" w:type="dxa"/>
            <w:vAlign w:val="center"/>
          </w:tcPr>
          <w:p w:rsidR="003E62EC" w:rsidRPr="00F13ACF" w:rsidRDefault="003E62EC" w:rsidP="00864C4E">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21,5</w:t>
            </w:r>
          </w:p>
        </w:tc>
      </w:tr>
      <w:tr w:rsidR="003E62EC" w:rsidRPr="00C26E3B" w:rsidTr="00D53685">
        <w:tc>
          <w:tcPr>
            <w:tcW w:w="2836" w:type="dxa"/>
          </w:tcPr>
          <w:p w:rsidR="003E62EC" w:rsidRPr="00C26E3B" w:rsidRDefault="003E62EC" w:rsidP="003E62EC">
            <w:pPr>
              <w:rPr>
                <w:rFonts w:ascii="Times New Roman" w:eastAsia="Times New Roman" w:hAnsi="Times New Roman" w:cs="Times New Roman"/>
                <w:lang w:eastAsia="ru-RU"/>
              </w:rPr>
            </w:pPr>
            <w:r>
              <w:rPr>
                <w:rFonts w:ascii="Times New Roman" w:eastAsia="Times New Roman" w:hAnsi="Times New Roman" w:cs="Times New Roman"/>
                <w:lang w:eastAsia="ru-RU"/>
              </w:rPr>
              <w:t>Alte cheltuieli</w:t>
            </w:r>
          </w:p>
        </w:tc>
        <w:tc>
          <w:tcPr>
            <w:tcW w:w="992" w:type="dxa"/>
            <w:vAlign w:val="center"/>
          </w:tcPr>
          <w:p w:rsidR="003E62EC" w:rsidRPr="00F13ACF" w:rsidRDefault="003E62EC" w:rsidP="00864C4E">
            <w:pPr>
              <w:jc w:val="center"/>
              <w:rPr>
                <w:rFonts w:ascii="Times New Roman" w:eastAsia="Times New Roman" w:hAnsi="Times New Roman" w:cs="Times New Roman"/>
                <w:sz w:val="20"/>
                <w:szCs w:val="20"/>
                <w:lang w:eastAsia="ru-RU"/>
              </w:rPr>
            </w:pPr>
            <w:r w:rsidRPr="00F13ACF">
              <w:rPr>
                <w:rFonts w:ascii="Times New Roman" w:eastAsia="Times New Roman" w:hAnsi="Times New Roman" w:cs="Times New Roman"/>
                <w:sz w:val="20"/>
                <w:szCs w:val="20"/>
                <w:lang w:eastAsia="ru-RU"/>
              </w:rPr>
              <w:t>2043,4</w:t>
            </w:r>
          </w:p>
        </w:tc>
        <w:tc>
          <w:tcPr>
            <w:tcW w:w="844" w:type="dxa"/>
            <w:shd w:val="clear" w:color="auto" w:fill="auto"/>
            <w:vAlign w:val="center"/>
          </w:tcPr>
          <w:p w:rsidR="003E62EC" w:rsidRPr="00F13ACF" w:rsidRDefault="003E62EC" w:rsidP="00864C4E">
            <w:pPr>
              <w:jc w:val="center"/>
              <w:rPr>
                <w:rFonts w:ascii="Times New Roman" w:eastAsia="Times New Roman" w:hAnsi="Times New Roman" w:cs="Times New Roman"/>
                <w:color w:val="000000"/>
                <w:sz w:val="20"/>
                <w:szCs w:val="20"/>
                <w:lang w:eastAsia="ru-RU"/>
              </w:rPr>
            </w:pPr>
            <w:r w:rsidRPr="00F13ACF">
              <w:rPr>
                <w:rFonts w:ascii="Times New Roman" w:eastAsia="Times New Roman" w:hAnsi="Times New Roman" w:cs="Times New Roman"/>
                <w:color w:val="000000"/>
                <w:sz w:val="20"/>
                <w:szCs w:val="20"/>
                <w:lang w:eastAsia="ru-RU"/>
              </w:rPr>
              <w:t>2002,6</w:t>
            </w:r>
          </w:p>
        </w:tc>
        <w:tc>
          <w:tcPr>
            <w:tcW w:w="968" w:type="dxa"/>
            <w:shd w:val="clear" w:color="auto" w:fill="auto"/>
            <w:vAlign w:val="center"/>
          </w:tcPr>
          <w:p w:rsidR="003E62EC" w:rsidRPr="00F13ACF" w:rsidRDefault="003E62EC" w:rsidP="00864C4E">
            <w:pPr>
              <w:jc w:val="center"/>
              <w:rPr>
                <w:rFonts w:ascii="Times New Roman" w:eastAsia="Times New Roman" w:hAnsi="Times New Roman" w:cs="Times New Roman"/>
                <w:sz w:val="20"/>
                <w:szCs w:val="20"/>
                <w:lang w:eastAsia="ru-RU"/>
              </w:rPr>
            </w:pPr>
            <w:r w:rsidRPr="00F13ACF">
              <w:rPr>
                <w:rFonts w:ascii="Times New Roman" w:eastAsia="Times New Roman" w:hAnsi="Times New Roman" w:cs="Times New Roman"/>
                <w:sz w:val="20"/>
                <w:szCs w:val="20"/>
                <w:lang w:eastAsia="ru-RU"/>
              </w:rPr>
              <w:t>1515,2</w:t>
            </w:r>
          </w:p>
        </w:tc>
        <w:tc>
          <w:tcPr>
            <w:tcW w:w="881" w:type="dxa"/>
            <w:shd w:val="clear" w:color="auto" w:fill="auto"/>
            <w:vAlign w:val="center"/>
          </w:tcPr>
          <w:p w:rsidR="003E62EC" w:rsidRPr="00F13ACF" w:rsidRDefault="003E62EC" w:rsidP="00864C4E">
            <w:pPr>
              <w:jc w:val="center"/>
              <w:rPr>
                <w:rFonts w:ascii="Times New Roman" w:eastAsia="Times New Roman" w:hAnsi="Times New Roman" w:cs="Times New Roman"/>
                <w:bCs/>
                <w:color w:val="000000"/>
                <w:sz w:val="20"/>
                <w:szCs w:val="20"/>
                <w:lang w:eastAsia="ru-RU"/>
              </w:rPr>
            </w:pPr>
            <w:r w:rsidRPr="00F13ACF">
              <w:rPr>
                <w:rFonts w:ascii="Times New Roman" w:eastAsia="Times New Roman" w:hAnsi="Times New Roman" w:cs="Times New Roman"/>
                <w:bCs/>
                <w:color w:val="000000"/>
                <w:sz w:val="20"/>
                <w:szCs w:val="20"/>
                <w:lang w:eastAsia="ru-RU"/>
              </w:rPr>
              <w:t>-487,4</w:t>
            </w:r>
          </w:p>
        </w:tc>
        <w:tc>
          <w:tcPr>
            <w:tcW w:w="709" w:type="dxa"/>
            <w:shd w:val="clear" w:color="auto" w:fill="auto"/>
            <w:vAlign w:val="center"/>
          </w:tcPr>
          <w:p w:rsidR="003E62EC" w:rsidRPr="00F13ACF" w:rsidRDefault="003E62EC" w:rsidP="00864C4E">
            <w:pPr>
              <w:ind w:left="-89"/>
              <w:jc w:val="center"/>
              <w:rPr>
                <w:rFonts w:ascii="Times New Roman" w:eastAsia="Times New Roman" w:hAnsi="Times New Roman" w:cs="Times New Roman"/>
                <w:bCs/>
                <w:color w:val="000000"/>
                <w:sz w:val="20"/>
                <w:szCs w:val="20"/>
                <w:lang w:eastAsia="ru-RU"/>
              </w:rPr>
            </w:pPr>
            <w:r w:rsidRPr="00F13ACF">
              <w:rPr>
                <w:rFonts w:ascii="Times New Roman" w:eastAsia="Times New Roman" w:hAnsi="Times New Roman" w:cs="Times New Roman"/>
                <w:bCs/>
                <w:color w:val="000000"/>
                <w:sz w:val="20"/>
                <w:szCs w:val="20"/>
                <w:lang w:eastAsia="ru-RU"/>
              </w:rPr>
              <w:t>75,7</w:t>
            </w:r>
          </w:p>
        </w:tc>
        <w:tc>
          <w:tcPr>
            <w:tcW w:w="992" w:type="dxa"/>
            <w:vAlign w:val="center"/>
          </w:tcPr>
          <w:p w:rsidR="003E62EC" w:rsidRPr="00F13ACF" w:rsidRDefault="003E62EC" w:rsidP="00864C4E">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1422,7</w:t>
            </w:r>
          </w:p>
        </w:tc>
        <w:tc>
          <w:tcPr>
            <w:tcW w:w="851" w:type="dxa"/>
            <w:vAlign w:val="center"/>
          </w:tcPr>
          <w:p w:rsidR="003E62EC" w:rsidRPr="00686F32" w:rsidRDefault="003E62EC" w:rsidP="00864C4E">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92,5</w:t>
            </w:r>
          </w:p>
        </w:tc>
        <w:tc>
          <w:tcPr>
            <w:tcW w:w="708" w:type="dxa"/>
            <w:vAlign w:val="center"/>
          </w:tcPr>
          <w:p w:rsidR="003E62EC" w:rsidRPr="00F13ACF" w:rsidRDefault="003E62EC" w:rsidP="00864C4E">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106,5</w:t>
            </w:r>
          </w:p>
        </w:tc>
      </w:tr>
      <w:tr w:rsidR="003E62EC" w:rsidRPr="00C26E3B" w:rsidTr="00D53685">
        <w:tc>
          <w:tcPr>
            <w:tcW w:w="2836" w:type="dxa"/>
          </w:tcPr>
          <w:p w:rsidR="003E62EC" w:rsidRPr="00CA4610" w:rsidRDefault="003E62EC" w:rsidP="003E62EC">
            <w:pPr>
              <w:rPr>
                <w:rFonts w:ascii="Times New Roman" w:eastAsia="Times New Roman" w:hAnsi="Times New Roman" w:cs="Times New Roman"/>
                <w:lang w:eastAsia="ru-RU"/>
              </w:rPr>
            </w:pPr>
            <w:r w:rsidRPr="00CA4610">
              <w:rPr>
                <w:rFonts w:ascii="Times New Roman" w:eastAsia="Times New Roman" w:hAnsi="Times New Roman" w:cs="Times New Roman"/>
                <w:lang w:eastAsia="ru-RU"/>
              </w:rPr>
              <w:t>Transferuri acordate în cadrul BPN</w:t>
            </w:r>
          </w:p>
        </w:tc>
        <w:tc>
          <w:tcPr>
            <w:tcW w:w="992" w:type="dxa"/>
            <w:vAlign w:val="center"/>
          </w:tcPr>
          <w:p w:rsidR="003E62EC" w:rsidRPr="00F13ACF" w:rsidRDefault="003E62EC" w:rsidP="00864C4E">
            <w:pPr>
              <w:jc w:val="center"/>
              <w:rPr>
                <w:rFonts w:ascii="Times New Roman" w:eastAsia="Times New Roman" w:hAnsi="Times New Roman" w:cs="Times New Roman"/>
                <w:sz w:val="20"/>
                <w:szCs w:val="20"/>
                <w:lang w:eastAsia="ru-RU"/>
              </w:rPr>
            </w:pPr>
            <w:r w:rsidRPr="00F13ACF">
              <w:rPr>
                <w:rFonts w:ascii="Times New Roman" w:eastAsia="Times New Roman" w:hAnsi="Times New Roman" w:cs="Times New Roman"/>
                <w:sz w:val="20"/>
                <w:szCs w:val="20"/>
                <w:lang w:eastAsia="ru-RU"/>
              </w:rPr>
              <w:t>17009,1</w:t>
            </w:r>
          </w:p>
        </w:tc>
        <w:tc>
          <w:tcPr>
            <w:tcW w:w="844" w:type="dxa"/>
            <w:shd w:val="clear" w:color="auto" w:fill="auto"/>
            <w:vAlign w:val="center"/>
          </w:tcPr>
          <w:p w:rsidR="003E62EC" w:rsidRPr="00F13ACF" w:rsidRDefault="003E62EC" w:rsidP="00424A4A">
            <w:pPr>
              <w:ind w:right="-111"/>
              <w:jc w:val="center"/>
              <w:rPr>
                <w:rFonts w:ascii="Times New Roman" w:eastAsia="Times New Roman" w:hAnsi="Times New Roman" w:cs="Times New Roman"/>
                <w:color w:val="000000"/>
                <w:sz w:val="20"/>
                <w:szCs w:val="20"/>
                <w:lang w:eastAsia="ru-RU"/>
              </w:rPr>
            </w:pPr>
            <w:r w:rsidRPr="00F13ACF">
              <w:rPr>
                <w:rFonts w:ascii="Times New Roman" w:eastAsia="Times New Roman" w:hAnsi="Times New Roman" w:cs="Times New Roman"/>
                <w:color w:val="000000"/>
                <w:sz w:val="20"/>
                <w:szCs w:val="20"/>
                <w:lang w:eastAsia="ru-RU"/>
              </w:rPr>
              <w:t>18320,2</w:t>
            </w:r>
          </w:p>
        </w:tc>
        <w:tc>
          <w:tcPr>
            <w:tcW w:w="968" w:type="dxa"/>
            <w:shd w:val="clear" w:color="auto" w:fill="auto"/>
            <w:vAlign w:val="center"/>
          </w:tcPr>
          <w:p w:rsidR="003E62EC" w:rsidRPr="00F13ACF" w:rsidRDefault="003E62EC" w:rsidP="00864C4E">
            <w:pPr>
              <w:jc w:val="center"/>
              <w:rPr>
                <w:rFonts w:ascii="Times New Roman" w:eastAsia="Times New Roman" w:hAnsi="Times New Roman" w:cs="Times New Roman"/>
                <w:sz w:val="20"/>
                <w:szCs w:val="20"/>
                <w:lang w:eastAsia="ru-RU"/>
              </w:rPr>
            </w:pPr>
            <w:r w:rsidRPr="00F13ACF">
              <w:rPr>
                <w:rFonts w:ascii="Times New Roman" w:eastAsia="Times New Roman" w:hAnsi="Times New Roman" w:cs="Times New Roman"/>
                <w:sz w:val="20"/>
                <w:szCs w:val="20"/>
                <w:lang w:eastAsia="ru-RU"/>
              </w:rPr>
              <w:t>18086,5</w:t>
            </w:r>
          </w:p>
        </w:tc>
        <w:tc>
          <w:tcPr>
            <w:tcW w:w="881" w:type="dxa"/>
            <w:shd w:val="clear" w:color="auto" w:fill="auto"/>
            <w:vAlign w:val="center"/>
          </w:tcPr>
          <w:p w:rsidR="003E62EC" w:rsidRPr="00F13ACF" w:rsidRDefault="003E62EC" w:rsidP="00864C4E">
            <w:pPr>
              <w:jc w:val="center"/>
              <w:rPr>
                <w:rFonts w:ascii="Times New Roman" w:eastAsia="Times New Roman" w:hAnsi="Times New Roman" w:cs="Times New Roman"/>
                <w:bCs/>
                <w:color w:val="000000"/>
                <w:sz w:val="20"/>
                <w:szCs w:val="20"/>
                <w:lang w:eastAsia="ru-RU"/>
              </w:rPr>
            </w:pPr>
            <w:r w:rsidRPr="00F13ACF">
              <w:rPr>
                <w:rFonts w:ascii="Times New Roman" w:eastAsia="Times New Roman" w:hAnsi="Times New Roman" w:cs="Times New Roman"/>
                <w:bCs/>
                <w:color w:val="000000"/>
                <w:sz w:val="20"/>
                <w:szCs w:val="20"/>
                <w:lang w:eastAsia="ru-RU"/>
              </w:rPr>
              <w:t>-233,7</w:t>
            </w:r>
          </w:p>
        </w:tc>
        <w:tc>
          <w:tcPr>
            <w:tcW w:w="709" w:type="dxa"/>
            <w:shd w:val="clear" w:color="auto" w:fill="auto"/>
            <w:vAlign w:val="center"/>
          </w:tcPr>
          <w:p w:rsidR="003E62EC" w:rsidRPr="00F13ACF" w:rsidRDefault="003E62EC" w:rsidP="00864C4E">
            <w:pPr>
              <w:ind w:left="-89"/>
              <w:jc w:val="center"/>
              <w:rPr>
                <w:rFonts w:ascii="Times New Roman" w:eastAsia="Times New Roman" w:hAnsi="Times New Roman" w:cs="Times New Roman"/>
                <w:bCs/>
                <w:color w:val="000000"/>
                <w:sz w:val="20"/>
                <w:szCs w:val="20"/>
                <w:lang w:eastAsia="ru-RU"/>
              </w:rPr>
            </w:pPr>
            <w:r w:rsidRPr="00F13ACF">
              <w:rPr>
                <w:rFonts w:ascii="Times New Roman" w:eastAsia="Times New Roman" w:hAnsi="Times New Roman" w:cs="Times New Roman"/>
                <w:bCs/>
                <w:color w:val="000000"/>
                <w:sz w:val="20"/>
                <w:szCs w:val="20"/>
                <w:lang w:eastAsia="ru-RU"/>
              </w:rPr>
              <w:t>98,7</w:t>
            </w:r>
          </w:p>
        </w:tc>
        <w:tc>
          <w:tcPr>
            <w:tcW w:w="992" w:type="dxa"/>
            <w:vAlign w:val="center"/>
          </w:tcPr>
          <w:p w:rsidR="003E62EC" w:rsidRPr="003D798B" w:rsidRDefault="003E62EC" w:rsidP="00864C4E">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15792,4</w:t>
            </w:r>
          </w:p>
        </w:tc>
        <w:tc>
          <w:tcPr>
            <w:tcW w:w="851" w:type="dxa"/>
            <w:vAlign w:val="center"/>
          </w:tcPr>
          <w:p w:rsidR="003E62EC" w:rsidRPr="00686F32" w:rsidRDefault="003E62EC" w:rsidP="00864C4E">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2294,1</w:t>
            </w:r>
          </w:p>
        </w:tc>
        <w:tc>
          <w:tcPr>
            <w:tcW w:w="708" w:type="dxa"/>
            <w:vAlign w:val="center"/>
          </w:tcPr>
          <w:p w:rsidR="003E62EC" w:rsidRPr="003B021E" w:rsidRDefault="003E62EC" w:rsidP="00864C4E">
            <w:pPr>
              <w:jc w:val="center"/>
              <w:rPr>
                <w:rFonts w:ascii="Times New Roman" w:eastAsia="Times New Roman" w:hAnsi="Times New Roman" w:cs="Times New Roman"/>
                <w:color w:val="000000"/>
                <w:sz w:val="20"/>
                <w:szCs w:val="20"/>
                <w:lang w:eastAsia="ru-RU"/>
              </w:rPr>
            </w:pPr>
            <w:r w:rsidRPr="003B021E">
              <w:rPr>
                <w:rFonts w:ascii="Times New Roman" w:eastAsia="Times New Roman" w:hAnsi="Times New Roman" w:cs="Times New Roman"/>
                <w:color w:val="000000"/>
                <w:sz w:val="20"/>
                <w:szCs w:val="20"/>
                <w:lang w:eastAsia="ru-RU"/>
              </w:rPr>
              <w:t>114,5</w:t>
            </w:r>
          </w:p>
        </w:tc>
      </w:tr>
      <w:tr w:rsidR="003E62EC" w:rsidRPr="00C26E3B" w:rsidTr="00D53685">
        <w:tc>
          <w:tcPr>
            <w:tcW w:w="2836" w:type="dxa"/>
            <w:tcBorders>
              <w:bottom w:val="single" w:sz="4" w:space="0" w:color="auto"/>
            </w:tcBorders>
            <w:shd w:val="clear" w:color="auto" w:fill="D9E2F3" w:themeFill="accent5" w:themeFillTint="33"/>
          </w:tcPr>
          <w:p w:rsidR="003E62EC" w:rsidRDefault="003E62EC" w:rsidP="003E62EC">
            <w:pPr>
              <w:ind w:right="-115"/>
              <w:rPr>
                <w:rFonts w:ascii="Times New Roman" w:eastAsia="Times New Roman" w:hAnsi="Times New Roman" w:cs="Times New Roman"/>
                <w:b/>
                <w:lang w:eastAsia="ru-RU"/>
              </w:rPr>
            </w:pPr>
            <w:r>
              <w:rPr>
                <w:rFonts w:ascii="Times New Roman" w:eastAsia="Times New Roman" w:hAnsi="Times New Roman" w:cs="Times New Roman"/>
                <w:b/>
                <w:lang w:eastAsia="ru-RU"/>
              </w:rPr>
              <w:t>ACTIVE NEFINANCIARE</w:t>
            </w:r>
            <w:r w:rsidR="00424A4A">
              <w:rPr>
                <w:rFonts w:ascii="Times New Roman" w:eastAsia="Times New Roman" w:hAnsi="Times New Roman" w:cs="Times New Roman"/>
                <w:b/>
                <w:lang w:eastAsia="ru-RU"/>
              </w:rPr>
              <w:t>,</w:t>
            </w:r>
            <w:r>
              <w:rPr>
                <w:rFonts w:ascii="Times New Roman" w:eastAsia="Times New Roman" w:hAnsi="Times New Roman" w:cs="Times New Roman"/>
                <w:b/>
                <w:lang w:eastAsia="ru-RU"/>
              </w:rPr>
              <w:t xml:space="preserve"> </w:t>
            </w:r>
          </w:p>
          <w:p w:rsidR="003E62EC" w:rsidRPr="00032A2E" w:rsidRDefault="003E62EC" w:rsidP="003E62EC">
            <w:pPr>
              <w:ind w:right="-115"/>
              <w:rPr>
                <w:rFonts w:ascii="Times New Roman" w:eastAsia="Times New Roman" w:hAnsi="Times New Roman" w:cs="Times New Roman"/>
                <w:b/>
                <w:i/>
                <w:lang w:eastAsia="ru-RU"/>
              </w:rPr>
            </w:pPr>
            <w:r w:rsidRPr="00032A2E">
              <w:rPr>
                <w:rFonts w:ascii="Times New Roman" w:eastAsia="Times New Roman" w:hAnsi="Times New Roman" w:cs="Times New Roman"/>
                <w:b/>
                <w:i/>
                <w:lang w:eastAsia="ru-RU"/>
              </w:rPr>
              <w:t>din care:</w:t>
            </w:r>
          </w:p>
        </w:tc>
        <w:tc>
          <w:tcPr>
            <w:tcW w:w="992" w:type="dxa"/>
            <w:shd w:val="clear" w:color="auto" w:fill="D9E2F3" w:themeFill="accent5" w:themeFillTint="33"/>
            <w:vAlign w:val="center"/>
          </w:tcPr>
          <w:p w:rsidR="003E62EC" w:rsidRPr="00F13ACF" w:rsidRDefault="003E62EC" w:rsidP="00864C4E">
            <w:pPr>
              <w:jc w:val="center"/>
              <w:rPr>
                <w:rFonts w:ascii="Times New Roman" w:eastAsia="Times New Roman" w:hAnsi="Times New Roman" w:cs="Times New Roman"/>
                <w:b/>
                <w:sz w:val="20"/>
                <w:szCs w:val="20"/>
                <w:lang w:eastAsia="ru-RU"/>
              </w:rPr>
            </w:pPr>
            <w:r w:rsidRPr="00F13ACF">
              <w:rPr>
                <w:rFonts w:ascii="Times New Roman" w:eastAsia="Times New Roman" w:hAnsi="Times New Roman" w:cs="Times New Roman"/>
                <w:b/>
                <w:sz w:val="20"/>
                <w:szCs w:val="20"/>
                <w:lang w:eastAsia="ru-RU"/>
              </w:rPr>
              <w:t>4006,3</w:t>
            </w:r>
          </w:p>
        </w:tc>
        <w:tc>
          <w:tcPr>
            <w:tcW w:w="844" w:type="dxa"/>
            <w:shd w:val="clear" w:color="auto" w:fill="D9E2F3" w:themeFill="accent5" w:themeFillTint="33"/>
            <w:vAlign w:val="center"/>
          </w:tcPr>
          <w:p w:rsidR="003E62EC" w:rsidRPr="00F13ACF" w:rsidRDefault="003E62EC" w:rsidP="00864C4E">
            <w:pPr>
              <w:jc w:val="center"/>
              <w:rPr>
                <w:rFonts w:ascii="Times New Roman" w:eastAsia="Times New Roman" w:hAnsi="Times New Roman" w:cs="Times New Roman"/>
                <w:b/>
                <w:color w:val="000000"/>
                <w:sz w:val="20"/>
                <w:szCs w:val="20"/>
                <w:lang w:eastAsia="ru-RU"/>
              </w:rPr>
            </w:pPr>
            <w:r w:rsidRPr="00F13ACF">
              <w:rPr>
                <w:rFonts w:ascii="Times New Roman" w:eastAsia="Times New Roman" w:hAnsi="Times New Roman" w:cs="Times New Roman"/>
                <w:b/>
                <w:color w:val="000000"/>
                <w:sz w:val="20"/>
                <w:szCs w:val="20"/>
                <w:lang w:eastAsia="ru-RU"/>
              </w:rPr>
              <w:t>3739,4</w:t>
            </w:r>
          </w:p>
        </w:tc>
        <w:tc>
          <w:tcPr>
            <w:tcW w:w="968" w:type="dxa"/>
            <w:shd w:val="clear" w:color="auto" w:fill="D9E2F3" w:themeFill="accent5" w:themeFillTint="33"/>
            <w:vAlign w:val="center"/>
          </w:tcPr>
          <w:p w:rsidR="003E62EC" w:rsidRPr="00F13ACF" w:rsidRDefault="003E62EC" w:rsidP="00864C4E">
            <w:pPr>
              <w:jc w:val="center"/>
              <w:rPr>
                <w:rFonts w:ascii="Times New Roman" w:eastAsia="Times New Roman" w:hAnsi="Times New Roman" w:cs="Times New Roman"/>
                <w:b/>
                <w:sz w:val="20"/>
                <w:szCs w:val="20"/>
                <w:lang w:eastAsia="ru-RU"/>
              </w:rPr>
            </w:pPr>
            <w:r w:rsidRPr="00F13ACF">
              <w:rPr>
                <w:rFonts w:ascii="Times New Roman" w:eastAsia="Times New Roman" w:hAnsi="Times New Roman" w:cs="Times New Roman"/>
                <w:b/>
                <w:sz w:val="20"/>
                <w:szCs w:val="20"/>
                <w:lang w:eastAsia="ru-RU"/>
              </w:rPr>
              <w:t>2843,0</w:t>
            </w:r>
          </w:p>
        </w:tc>
        <w:tc>
          <w:tcPr>
            <w:tcW w:w="881" w:type="dxa"/>
            <w:shd w:val="clear" w:color="auto" w:fill="D9E2F3" w:themeFill="accent5" w:themeFillTint="33"/>
            <w:vAlign w:val="center"/>
          </w:tcPr>
          <w:p w:rsidR="003E62EC" w:rsidRPr="00F13ACF" w:rsidRDefault="003E62EC" w:rsidP="00864C4E">
            <w:pPr>
              <w:jc w:val="center"/>
              <w:rPr>
                <w:rFonts w:ascii="Times New Roman" w:eastAsia="Times New Roman" w:hAnsi="Times New Roman" w:cs="Times New Roman"/>
                <w:b/>
                <w:bCs/>
                <w:color w:val="000000"/>
                <w:sz w:val="20"/>
                <w:szCs w:val="20"/>
                <w:lang w:eastAsia="ru-RU"/>
              </w:rPr>
            </w:pPr>
            <w:r w:rsidRPr="00F13ACF">
              <w:rPr>
                <w:rFonts w:ascii="Times New Roman" w:eastAsia="Times New Roman" w:hAnsi="Times New Roman" w:cs="Times New Roman"/>
                <w:b/>
                <w:bCs/>
                <w:color w:val="000000"/>
                <w:sz w:val="20"/>
                <w:szCs w:val="20"/>
                <w:lang w:eastAsia="ru-RU"/>
              </w:rPr>
              <w:t>-896,4</w:t>
            </w:r>
          </w:p>
        </w:tc>
        <w:tc>
          <w:tcPr>
            <w:tcW w:w="709" w:type="dxa"/>
            <w:shd w:val="clear" w:color="auto" w:fill="D9E2F3" w:themeFill="accent5" w:themeFillTint="33"/>
            <w:vAlign w:val="center"/>
          </w:tcPr>
          <w:p w:rsidR="003E62EC" w:rsidRPr="00F13ACF" w:rsidRDefault="003E62EC" w:rsidP="00864C4E">
            <w:pPr>
              <w:ind w:left="-89"/>
              <w:jc w:val="center"/>
              <w:rPr>
                <w:rFonts w:ascii="Times New Roman" w:eastAsia="Times New Roman" w:hAnsi="Times New Roman" w:cs="Times New Roman"/>
                <w:b/>
                <w:bCs/>
                <w:color w:val="000000"/>
                <w:sz w:val="20"/>
                <w:szCs w:val="20"/>
                <w:lang w:eastAsia="ru-RU"/>
              </w:rPr>
            </w:pPr>
            <w:r w:rsidRPr="00F13ACF">
              <w:rPr>
                <w:rFonts w:ascii="Times New Roman" w:eastAsia="Times New Roman" w:hAnsi="Times New Roman" w:cs="Times New Roman"/>
                <w:b/>
                <w:bCs/>
                <w:color w:val="000000"/>
                <w:sz w:val="20"/>
                <w:szCs w:val="20"/>
                <w:lang w:eastAsia="ru-RU"/>
              </w:rPr>
              <w:t>76,0</w:t>
            </w:r>
          </w:p>
        </w:tc>
        <w:tc>
          <w:tcPr>
            <w:tcW w:w="992" w:type="dxa"/>
            <w:shd w:val="clear" w:color="auto" w:fill="D9E2F3" w:themeFill="accent5" w:themeFillTint="33"/>
            <w:vAlign w:val="center"/>
          </w:tcPr>
          <w:p w:rsidR="003E62EC" w:rsidRPr="00F13ACF" w:rsidRDefault="003E62EC" w:rsidP="00864C4E">
            <w:pPr>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2972,8</w:t>
            </w:r>
          </w:p>
        </w:tc>
        <w:tc>
          <w:tcPr>
            <w:tcW w:w="851" w:type="dxa"/>
            <w:shd w:val="clear" w:color="auto" w:fill="D9E2F3" w:themeFill="accent5" w:themeFillTint="33"/>
            <w:vAlign w:val="center"/>
          </w:tcPr>
          <w:p w:rsidR="003E62EC" w:rsidRPr="00F13ACF" w:rsidRDefault="003E62EC" w:rsidP="00864C4E">
            <w:pPr>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-129,8</w:t>
            </w:r>
          </w:p>
        </w:tc>
        <w:tc>
          <w:tcPr>
            <w:tcW w:w="708" w:type="dxa"/>
            <w:shd w:val="clear" w:color="auto" w:fill="D9E2F3" w:themeFill="accent5" w:themeFillTint="33"/>
            <w:vAlign w:val="center"/>
          </w:tcPr>
          <w:p w:rsidR="003E62EC" w:rsidRPr="00F13ACF" w:rsidRDefault="003E62EC" w:rsidP="00864C4E">
            <w:pPr>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95,6</w:t>
            </w:r>
          </w:p>
        </w:tc>
      </w:tr>
      <w:tr w:rsidR="003E62EC" w:rsidRPr="00C26E3B" w:rsidTr="00D53685">
        <w:tc>
          <w:tcPr>
            <w:tcW w:w="2836" w:type="dxa"/>
            <w:tcBorders>
              <w:bottom w:val="nil"/>
            </w:tcBorders>
          </w:tcPr>
          <w:p w:rsidR="003E62EC" w:rsidRPr="00A660C9" w:rsidRDefault="003E62EC" w:rsidP="003E62EC">
            <w:pPr>
              <w:rPr>
                <w:rFonts w:ascii="Times New Roman" w:eastAsia="Times New Roman" w:hAnsi="Times New Roman" w:cs="Times New Roman"/>
                <w:lang w:eastAsia="ru-RU"/>
              </w:rPr>
            </w:pPr>
            <w:r w:rsidRPr="00A660C9">
              <w:rPr>
                <w:rFonts w:ascii="Times New Roman" w:eastAsia="Times New Roman" w:hAnsi="Times New Roman" w:cs="Times New Roman"/>
                <w:lang w:eastAsia="ru-RU"/>
              </w:rPr>
              <w:t>Mijloace fixe</w:t>
            </w:r>
            <w:r>
              <w:rPr>
                <w:rFonts w:ascii="Times New Roman" w:eastAsia="Times New Roman" w:hAnsi="Times New Roman" w:cs="Times New Roman"/>
                <w:lang w:eastAsia="ru-RU"/>
              </w:rPr>
              <w:t xml:space="preserve">, </w:t>
            </w:r>
            <w:r w:rsidRPr="00E727F5">
              <w:rPr>
                <w:rFonts w:ascii="Times New Roman" w:eastAsia="Times New Roman" w:hAnsi="Times New Roman" w:cs="Times New Roman"/>
                <w:i/>
                <w:lang w:eastAsia="ru-RU"/>
              </w:rPr>
              <w:t>inclusiv:</w:t>
            </w:r>
          </w:p>
        </w:tc>
        <w:tc>
          <w:tcPr>
            <w:tcW w:w="992" w:type="dxa"/>
            <w:vAlign w:val="center"/>
          </w:tcPr>
          <w:p w:rsidR="003E62EC" w:rsidRPr="00F13ACF" w:rsidRDefault="003E62EC" w:rsidP="00864C4E">
            <w:pPr>
              <w:jc w:val="center"/>
              <w:rPr>
                <w:rFonts w:ascii="Times New Roman" w:eastAsia="Times New Roman" w:hAnsi="Times New Roman" w:cs="Times New Roman"/>
                <w:sz w:val="20"/>
                <w:szCs w:val="20"/>
                <w:lang w:eastAsia="ru-RU"/>
              </w:rPr>
            </w:pPr>
            <w:r w:rsidRPr="00F13ACF">
              <w:rPr>
                <w:rFonts w:ascii="Times New Roman" w:eastAsia="Times New Roman" w:hAnsi="Times New Roman" w:cs="Times New Roman"/>
                <w:sz w:val="20"/>
                <w:szCs w:val="20"/>
                <w:lang w:eastAsia="ru-RU"/>
              </w:rPr>
              <w:t>2921,1</w:t>
            </w:r>
          </w:p>
        </w:tc>
        <w:tc>
          <w:tcPr>
            <w:tcW w:w="844" w:type="dxa"/>
            <w:shd w:val="clear" w:color="auto" w:fill="auto"/>
            <w:vAlign w:val="center"/>
          </w:tcPr>
          <w:p w:rsidR="003E62EC" w:rsidRPr="00F13ACF" w:rsidRDefault="003E62EC" w:rsidP="00864C4E">
            <w:pPr>
              <w:jc w:val="center"/>
              <w:rPr>
                <w:rFonts w:ascii="Times New Roman" w:eastAsia="Times New Roman" w:hAnsi="Times New Roman" w:cs="Times New Roman"/>
                <w:color w:val="000000"/>
                <w:sz w:val="20"/>
                <w:szCs w:val="20"/>
                <w:lang w:eastAsia="ru-RU"/>
              </w:rPr>
            </w:pPr>
            <w:r w:rsidRPr="00F13ACF">
              <w:rPr>
                <w:rFonts w:ascii="Times New Roman" w:eastAsia="Times New Roman" w:hAnsi="Times New Roman" w:cs="Times New Roman"/>
                <w:color w:val="000000"/>
                <w:sz w:val="20"/>
                <w:szCs w:val="20"/>
                <w:lang w:eastAsia="ru-RU"/>
              </w:rPr>
              <w:t>2686,0</w:t>
            </w:r>
          </w:p>
        </w:tc>
        <w:tc>
          <w:tcPr>
            <w:tcW w:w="968" w:type="dxa"/>
            <w:shd w:val="clear" w:color="auto" w:fill="auto"/>
            <w:vAlign w:val="center"/>
          </w:tcPr>
          <w:p w:rsidR="003E62EC" w:rsidRPr="00F13ACF" w:rsidRDefault="003E62EC" w:rsidP="00864C4E">
            <w:pPr>
              <w:jc w:val="center"/>
              <w:rPr>
                <w:rFonts w:ascii="Times New Roman" w:eastAsia="Times New Roman" w:hAnsi="Times New Roman" w:cs="Times New Roman"/>
                <w:sz w:val="20"/>
                <w:szCs w:val="20"/>
                <w:lang w:eastAsia="ru-RU"/>
              </w:rPr>
            </w:pPr>
            <w:r w:rsidRPr="00F13ACF">
              <w:rPr>
                <w:rFonts w:ascii="Times New Roman" w:eastAsia="Times New Roman" w:hAnsi="Times New Roman" w:cs="Times New Roman"/>
                <w:sz w:val="20"/>
                <w:szCs w:val="20"/>
                <w:lang w:eastAsia="ru-RU"/>
              </w:rPr>
              <w:t>1876,4</w:t>
            </w:r>
          </w:p>
        </w:tc>
        <w:tc>
          <w:tcPr>
            <w:tcW w:w="881" w:type="dxa"/>
            <w:shd w:val="clear" w:color="auto" w:fill="auto"/>
            <w:vAlign w:val="center"/>
          </w:tcPr>
          <w:p w:rsidR="003E62EC" w:rsidRPr="00F13ACF" w:rsidRDefault="003E62EC" w:rsidP="00864C4E">
            <w:pPr>
              <w:jc w:val="center"/>
              <w:rPr>
                <w:rFonts w:ascii="Times New Roman" w:eastAsia="Times New Roman" w:hAnsi="Times New Roman" w:cs="Times New Roman"/>
                <w:bCs/>
                <w:color w:val="000000"/>
                <w:sz w:val="20"/>
                <w:szCs w:val="20"/>
                <w:lang w:eastAsia="ru-RU"/>
              </w:rPr>
            </w:pPr>
            <w:r w:rsidRPr="00F13ACF">
              <w:rPr>
                <w:rFonts w:ascii="Times New Roman" w:eastAsia="Times New Roman" w:hAnsi="Times New Roman" w:cs="Times New Roman"/>
                <w:bCs/>
                <w:color w:val="000000"/>
                <w:sz w:val="20"/>
                <w:szCs w:val="20"/>
                <w:lang w:eastAsia="ru-RU"/>
              </w:rPr>
              <w:t>-809,6</w:t>
            </w:r>
          </w:p>
        </w:tc>
        <w:tc>
          <w:tcPr>
            <w:tcW w:w="709" w:type="dxa"/>
            <w:shd w:val="clear" w:color="auto" w:fill="auto"/>
            <w:vAlign w:val="center"/>
          </w:tcPr>
          <w:p w:rsidR="003E62EC" w:rsidRPr="00F13ACF" w:rsidRDefault="003E62EC" w:rsidP="00864C4E">
            <w:pPr>
              <w:ind w:left="-89"/>
              <w:jc w:val="center"/>
              <w:rPr>
                <w:rFonts w:ascii="Times New Roman" w:eastAsia="Times New Roman" w:hAnsi="Times New Roman" w:cs="Times New Roman"/>
                <w:bCs/>
                <w:color w:val="000000"/>
                <w:sz w:val="20"/>
                <w:szCs w:val="20"/>
                <w:lang w:eastAsia="ru-RU"/>
              </w:rPr>
            </w:pPr>
            <w:r w:rsidRPr="00F13ACF">
              <w:rPr>
                <w:rFonts w:ascii="Times New Roman" w:eastAsia="Times New Roman" w:hAnsi="Times New Roman" w:cs="Times New Roman"/>
                <w:bCs/>
                <w:color w:val="000000"/>
                <w:sz w:val="20"/>
                <w:szCs w:val="20"/>
                <w:lang w:eastAsia="ru-RU"/>
              </w:rPr>
              <w:t>69,9</w:t>
            </w:r>
          </w:p>
        </w:tc>
        <w:tc>
          <w:tcPr>
            <w:tcW w:w="992" w:type="dxa"/>
            <w:vAlign w:val="center"/>
          </w:tcPr>
          <w:p w:rsidR="003E62EC" w:rsidRPr="00F13ACF" w:rsidRDefault="003E62EC" w:rsidP="00864C4E">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1977,8</w:t>
            </w:r>
          </w:p>
        </w:tc>
        <w:tc>
          <w:tcPr>
            <w:tcW w:w="851" w:type="dxa"/>
            <w:vAlign w:val="center"/>
          </w:tcPr>
          <w:p w:rsidR="003E62EC" w:rsidRPr="00F13ACF" w:rsidRDefault="003E62EC" w:rsidP="00864C4E">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-101,4</w:t>
            </w:r>
          </w:p>
        </w:tc>
        <w:tc>
          <w:tcPr>
            <w:tcW w:w="708" w:type="dxa"/>
            <w:vAlign w:val="center"/>
          </w:tcPr>
          <w:p w:rsidR="003E62EC" w:rsidRPr="00F13ACF" w:rsidRDefault="003E62EC" w:rsidP="00864C4E">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94,9</w:t>
            </w:r>
          </w:p>
        </w:tc>
      </w:tr>
      <w:tr w:rsidR="003E62EC" w:rsidRPr="00C26E3B" w:rsidTr="00D53685">
        <w:tc>
          <w:tcPr>
            <w:tcW w:w="2836" w:type="dxa"/>
            <w:tcBorders>
              <w:top w:val="nil"/>
            </w:tcBorders>
          </w:tcPr>
          <w:p w:rsidR="003E62EC" w:rsidRPr="00E727F5" w:rsidRDefault="00424A4A" w:rsidP="003E62EC">
            <w:pPr>
              <w:ind w:left="456" w:right="-114"/>
              <w:rPr>
                <w:rFonts w:ascii="Times New Roman" w:eastAsia="Times New Roman" w:hAnsi="Times New Roman" w:cs="Times New Roman"/>
                <w:i/>
                <w:lang w:eastAsia="ru-RU"/>
              </w:rPr>
            </w:pPr>
            <w:r>
              <w:rPr>
                <w:rFonts w:ascii="Times New Roman" w:eastAsia="Times New Roman" w:hAnsi="Times New Roman" w:cs="Times New Roman"/>
                <w:i/>
                <w:lang w:eastAsia="ru-RU"/>
              </w:rPr>
              <w:t>i</w:t>
            </w:r>
            <w:r w:rsidR="003E62EC" w:rsidRPr="00E727F5">
              <w:rPr>
                <w:rFonts w:ascii="Times New Roman" w:eastAsia="Times New Roman" w:hAnsi="Times New Roman" w:cs="Times New Roman"/>
                <w:i/>
                <w:lang w:eastAsia="ru-RU"/>
              </w:rPr>
              <w:t>nvestiții capitale în active în curs de execuție</w:t>
            </w:r>
          </w:p>
        </w:tc>
        <w:tc>
          <w:tcPr>
            <w:tcW w:w="992" w:type="dxa"/>
            <w:vAlign w:val="center"/>
          </w:tcPr>
          <w:p w:rsidR="003E62EC" w:rsidRPr="00E727F5" w:rsidRDefault="003E62EC" w:rsidP="00864C4E">
            <w:pPr>
              <w:jc w:val="center"/>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1802,8</w:t>
            </w:r>
          </w:p>
        </w:tc>
        <w:tc>
          <w:tcPr>
            <w:tcW w:w="844" w:type="dxa"/>
            <w:shd w:val="clear" w:color="auto" w:fill="auto"/>
            <w:vAlign w:val="center"/>
          </w:tcPr>
          <w:p w:rsidR="003E62EC" w:rsidRPr="00E727F5" w:rsidRDefault="003E62EC" w:rsidP="00864C4E">
            <w:pPr>
              <w:jc w:val="center"/>
              <w:rPr>
                <w:rFonts w:ascii="Times New Roman" w:eastAsia="Times New Roman" w:hAnsi="Times New Roman" w:cs="Times New Roman"/>
                <w:i/>
                <w:color w:val="000000"/>
                <w:sz w:val="20"/>
                <w:szCs w:val="20"/>
                <w:lang w:eastAsia="ru-RU"/>
              </w:rPr>
            </w:pPr>
            <w:r>
              <w:rPr>
                <w:rFonts w:ascii="Times New Roman" w:eastAsia="Times New Roman" w:hAnsi="Times New Roman" w:cs="Times New Roman"/>
                <w:i/>
                <w:color w:val="000000"/>
                <w:sz w:val="20"/>
                <w:szCs w:val="20"/>
                <w:lang w:eastAsia="ru-RU"/>
              </w:rPr>
              <w:t>1363,2</w:t>
            </w:r>
          </w:p>
        </w:tc>
        <w:tc>
          <w:tcPr>
            <w:tcW w:w="968" w:type="dxa"/>
            <w:shd w:val="clear" w:color="auto" w:fill="auto"/>
            <w:vAlign w:val="center"/>
          </w:tcPr>
          <w:p w:rsidR="003E62EC" w:rsidRPr="00E727F5" w:rsidRDefault="003E62EC" w:rsidP="00864C4E">
            <w:pPr>
              <w:jc w:val="center"/>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824,4</w:t>
            </w:r>
          </w:p>
        </w:tc>
        <w:tc>
          <w:tcPr>
            <w:tcW w:w="881" w:type="dxa"/>
            <w:shd w:val="clear" w:color="auto" w:fill="auto"/>
            <w:vAlign w:val="center"/>
          </w:tcPr>
          <w:p w:rsidR="003E62EC" w:rsidRPr="00E727F5" w:rsidRDefault="003E62EC" w:rsidP="00864C4E">
            <w:pPr>
              <w:jc w:val="center"/>
              <w:rPr>
                <w:rFonts w:ascii="Times New Roman" w:eastAsia="Times New Roman" w:hAnsi="Times New Roman" w:cs="Times New Roman"/>
                <w:bCs/>
                <w:i/>
                <w:color w:val="000000"/>
                <w:sz w:val="20"/>
                <w:szCs w:val="20"/>
                <w:lang w:eastAsia="ru-RU"/>
              </w:rPr>
            </w:pPr>
            <w:r>
              <w:rPr>
                <w:rFonts w:ascii="Times New Roman" w:eastAsia="Times New Roman" w:hAnsi="Times New Roman" w:cs="Times New Roman"/>
                <w:bCs/>
                <w:i/>
                <w:color w:val="000000"/>
                <w:sz w:val="20"/>
                <w:szCs w:val="20"/>
                <w:lang w:eastAsia="ru-RU"/>
              </w:rPr>
              <w:t>-538,8</w:t>
            </w:r>
          </w:p>
        </w:tc>
        <w:tc>
          <w:tcPr>
            <w:tcW w:w="709" w:type="dxa"/>
            <w:shd w:val="clear" w:color="auto" w:fill="auto"/>
            <w:vAlign w:val="center"/>
          </w:tcPr>
          <w:p w:rsidR="003E62EC" w:rsidRPr="00E727F5" w:rsidRDefault="003E62EC" w:rsidP="00864C4E">
            <w:pPr>
              <w:ind w:left="-89"/>
              <w:jc w:val="center"/>
              <w:rPr>
                <w:rFonts w:ascii="Times New Roman" w:eastAsia="Times New Roman" w:hAnsi="Times New Roman" w:cs="Times New Roman"/>
                <w:bCs/>
                <w:i/>
                <w:color w:val="000000"/>
                <w:sz w:val="20"/>
                <w:szCs w:val="20"/>
                <w:lang w:eastAsia="ru-RU"/>
              </w:rPr>
            </w:pPr>
            <w:r>
              <w:rPr>
                <w:rFonts w:ascii="Times New Roman" w:eastAsia="Times New Roman" w:hAnsi="Times New Roman" w:cs="Times New Roman"/>
                <w:bCs/>
                <w:i/>
                <w:color w:val="000000"/>
                <w:sz w:val="20"/>
                <w:szCs w:val="20"/>
                <w:lang w:eastAsia="ru-RU"/>
              </w:rPr>
              <w:t>60,5</w:t>
            </w:r>
          </w:p>
        </w:tc>
        <w:tc>
          <w:tcPr>
            <w:tcW w:w="992" w:type="dxa"/>
            <w:vAlign w:val="center"/>
          </w:tcPr>
          <w:p w:rsidR="003E62EC" w:rsidRPr="00E727F5" w:rsidRDefault="003E62EC" w:rsidP="00864C4E">
            <w:pPr>
              <w:jc w:val="center"/>
              <w:rPr>
                <w:rFonts w:ascii="Times New Roman" w:eastAsia="Times New Roman" w:hAnsi="Times New Roman" w:cs="Times New Roman"/>
                <w:i/>
                <w:color w:val="000000"/>
                <w:sz w:val="20"/>
                <w:szCs w:val="20"/>
                <w:lang w:eastAsia="ru-RU"/>
              </w:rPr>
            </w:pPr>
            <w:r>
              <w:rPr>
                <w:rFonts w:ascii="Times New Roman" w:eastAsia="Times New Roman" w:hAnsi="Times New Roman" w:cs="Times New Roman"/>
                <w:i/>
                <w:color w:val="000000"/>
                <w:sz w:val="20"/>
                <w:szCs w:val="20"/>
                <w:lang w:eastAsia="ru-RU"/>
              </w:rPr>
              <w:t>959,9</w:t>
            </w:r>
          </w:p>
        </w:tc>
        <w:tc>
          <w:tcPr>
            <w:tcW w:w="851" w:type="dxa"/>
            <w:vAlign w:val="center"/>
          </w:tcPr>
          <w:p w:rsidR="003E62EC" w:rsidRPr="00E727F5" w:rsidRDefault="003E62EC" w:rsidP="00864C4E">
            <w:pPr>
              <w:jc w:val="center"/>
              <w:rPr>
                <w:rFonts w:ascii="Times New Roman" w:eastAsia="Times New Roman" w:hAnsi="Times New Roman" w:cs="Times New Roman"/>
                <w:i/>
                <w:color w:val="000000"/>
                <w:sz w:val="20"/>
                <w:szCs w:val="20"/>
                <w:lang w:eastAsia="ru-RU"/>
              </w:rPr>
            </w:pPr>
            <w:r>
              <w:rPr>
                <w:rFonts w:ascii="Times New Roman" w:eastAsia="Times New Roman" w:hAnsi="Times New Roman" w:cs="Times New Roman"/>
                <w:i/>
                <w:color w:val="000000"/>
                <w:sz w:val="20"/>
                <w:szCs w:val="20"/>
                <w:lang w:eastAsia="ru-RU"/>
              </w:rPr>
              <w:t>-135,5</w:t>
            </w:r>
          </w:p>
        </w:tc>
        <w:tc>
          <w:tcPr>
            <w:tcW w:w="708" w:type="dxa"/>
            <w:vAlign w:val="center"/>
          </w:tcPr>
          <w:p w:rsidR="003E62EC" w:rsidRPr="00E727F5" w:rsidRDefault="003E62EC" w:rsidP="00864C4E">
            <w:pPr>
              <w:jc w:val="center"/>
              <w:rPr>
                <w:rFonts w:ascii="Times New Roman" w:eastAsia="Times New Roman" w:hAnsi="Times New Roman" w:cs="Times New Roman"/>
                <w:i/>
                <w:color w:val="000000"/>
                <w:sz w:val="20"/>
                <w:szCs w:val="20"/>
                <w:lang w:eastAsia="ru-RU"/>
              </w:rPr>
            </w:pPr>
            <w:r>
              <w:rPr>
                <w:rFonts w:ascii="Times New Roman" w:eastAsia="Times New Roman" w:hAnsi="Times New Roman" w:cs="Times New Roman"/>
                <w:i/>
                <w:color w:val="000000"/>
                <w:sz w:val="20"/>
                <w:szCs w:val="20"/>
                <w:lang w:eastAsia="ru-RU"/>
              </w:rPr>
              <w:t>85,9</w:t>
            </w:r>
          </w:p>
        </w:tc>
      </w:tr>
      <w:tr w:rsidR="00AC3673" w:rsidRPr="00C26E3B" w:rsidTr="00D53685">
        <w:tc>
          <w:tcPr>
            <w:tcW w:w="2836" w:type="dxa"/>
          </w:tcPr>
          <w:p w:rsidR="00AC3673" w:rsidRPr="00C26E3B" w:rsidRDefault="00AC3673" w:rsidP="00AC3673">
            <w:pPr>
              <w:rPr>
                <w:rFonts w:ascii="Times New Roman" w:eastAsia="Times New Roman" w:hAnsi="Times New Roman" w:cs="Times New Roman"/>
                <w:lang w:eastAsia="ru-RU"/>
              </w:rPr>
            </w:pPr>
            <w:r w:rsidRPr="003B0CCA">
              <w:rPr>
                <w:rFonts w:ascii="Times New Roman" w:eastAsia="Times New Roman" w:hAnsi="Times New Roman" w:cs="Times New Roman"/>
                <w:lang w:eastAsia="ru-RU"/>
              </w:rPr>
              <w:t>Stocuri de materiale</w:t>
            </w:r>
          </w:p>
        </w:tc>
        <w:tc>
          <w:tcPr>
            <w:tcW w:w="992" w:type="dxa"/>
            <w:vAlign w:val="center"/>
          </w:tcPr>
          <w:p w:rsidR="00AC3673" w:rsidRPr="00F13ACF" w:rsidRDefault="00AC3673" w:rsidP="00AC3673">
            <w:pPr>
              <w:jc w:val="center"/>
              <w:rPr>
                <w:rFonts w:ascii="Times New Roman" w:eastAsia="Times New Roman" w:hAnsi="Times New Roman" w:cs="Times New Roman"/>
                <w:sz w:val="20"/>
                <w:szCs w:val="20"/>
                <w:lang w:eastAsia="ru-RU"/>
              </w:rPr>
            </w:pPr>
            <w:r w:rsidRPr="00F13ACF">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1</w:t>
            </w:r>
            <w:r w:rsidRPr="00F13ACF">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6</w:t>
            </w:r>
            <w:r w:rsidRPr="00F13ACF">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5</w:t>
            </w:r>
          </w:p>
        </w:tc>
        <w:tc>
          <w:tcPr>
            <w:tcW w:w="844" w:type="dxa"/>
            <w:shd w:val="clear" w:color="auto" w:fill="auto"/>
            <w:vAlign w:val="center"/>
          </w:tcPr>
          <w:p w:rsidR="00AC3673" w:rsidRPr="00F13ACF" w:rsidRDefault="00AC3673" w:rsidP="00AC3673">
            <w:pPr>
              <w:jc w:val="center"/>
              <w:rPr>
                <w:rFonts w:ascii="Times New Roman" w:eastAsia="Times New Roman" w:hAnsi="Times New Roman" w:cs="Times New Roman"/>
                <w:color w:val="000000"/>
                <w:sz w:val="20"/>
                <w:szCs w:val="20"/>
                <w:lang w:eastAsia="ru-RU"/>
              </w:rPr>
            </w:pPr>
            <w:r w:rsidRPr="00F13ACF">
              <w:rPr>
                <w:rFonts w:ascii="Times New Roman" w:eastAsia="Times New Roman" w:hAnsi="Times New Roman" w:cs="Times New Roman"/>
                <w:color w:val="000000"/>
                <w:sz w:val="20"/>
                <w:szCs w:val="20"/>
                <w:lang w:eastAsia="ru-RU"/>
              </w:rPr>
              <w:t>1</w:t>
            </w:r>
            <w:r>
              <w:rPr>
                <w:rFonts w:ascii="Times New Roman" w:eastAsia="Times New Roman" w:hAnsi="Times New Roman" w:cs="Times New Roman"/>
                <w:color w:val="000000"/>
                <w:sz w:val="20"/>
                <w:szCs w:val="20"/>
                <w:lang w:eastAsia="ru-RU"/>
              </w:rPr>
              <w:t>1</w:t>
            </w:r>
            <w:r w:rsidRPr="00F13ACF">
              <w:rPr>
                <w:rFonts w:ascii="Times New Roman" w:eastAsia="Times New Roman" w:hAnsi="Times New Roman" w:cs="Times New Roman"/>
                <w:color w:val="000000"/>
                <w:sz w:val="20"/>
                <w:szCs w:val="20"/>
                <w:lang w:eastAsia="ru-RU"/>
              </w:rPr>
              <w:t>0</w:t>
            </w:r>
            <w:r>
              <w:rPr>
                <w:rFonts w:ascii="Times New Roman" w:eastAsia="Times New Roman" w:hAnsi="Times New Roman" w:cs="Times New Roman"/>
                <w:color w:val="000000"/>
                <w:sz w:val="20"/>
                <w:szCs w:val="20"/>
                <w:lang w:eastAsia="ru-RU"/>
              </w:rPr>
              <w:t>5</w:t>
            </w:r>
            <w:r w:rsidRPr="00F13ACF">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1</w:t>
            </w:r>
          </w:p>
        </w:tc>
        <w:tc>
          <w:tcPr>
            <w:tcW w:w="968" w:type="dxa"/>
            <w:shd w:val="clear" w:color="auto" w:fill="auto"/>
            <w:vAlign w:val="center"/>
          </w:tcPr>
          <w:p w:rsidR="00AC3673" w:rsidRPr="00F13ACF" w:rsidRDefault="00AC3673" w:rsidP="00AC3673">
            <w:pPr>
              <w:jc w:val="center"/>
              <w:rPr>
                <w:rFonts w:ascii="Times New Roman" w:eastAsia="Times New Roman" w:hAnsi="Times New Roman" w:cs="Times New Roman"/>
                <w:sz w:val="20"/>
                <w:szCs w:val="20"/>
                <w:lang w:eastAsia="ru-RU"/>
              </w:rPr>
            </w:pPr>
            <w:r w:rsidRPr="00F13ACF">
              <w:rPr>
                <w:rFonts w:ascii="Times New Roman" w:eastAsia="Times New Roman" w:hAnsi="Times New Roman" w:cs="Times New Roman"/>
                <w:sz w:val="20"/>
                <w:szCs w:val="20"/>
                <w:lang w:eastAsia="ru-RU"/>
              </w:rPr>
              <w:t>9</w:t>
            </w:r>
            <w:r>
              <w:rPr>
                <w:rFonts w:ascii="Times New Roman" w:eastAsia="Times New Roman" w:hAnsi="Times New Roman" w:cs="Times New Roman"/>
                <w:sz w:val="20"/>
                <w:szCs w:val="20"/>
                <w:lang w:eastAsia="ru-RU"/>
              </w:rPr>
              <w:t>97</w:t>
            </w:r>
            <w:r w:rsidRPr="00F13ACF">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3</w:t>
            </w:r>
          </w:p>
        </w:tc>
        <w:tc>
          <w:tcPr>
            <w:tcW w:w="881" w:type="dxa"/>
            <w:shd w:val="clear" w:color="auto" w:fill="auto"/>
            <w:vAlign w:val="center"/>
          </w:tcPr>
          <w:p w:rsidR="00AC3673" w:rsidRPr="00F13ACF" w:rsidRDefault="00AC3673" w:rsidP="00AC3673">
            <w:pPr>
              <w:jc w:val="center"/>
              <w:rPr>
                <w:rFonts w:ascii="Times New Roman" w:eastAsia="Times New Roman" w:hAnsi="Times New Roman" w:cs="Times New Roman"/>
                <w:bCs/>
                <w:color w:val="000000"/>
                <w:sz w:val="20"/>
                <w:szCs w:val="20"/>
                <w:lang w:eastAsia="ru-RU"/>
              </w:rPr>
            </w:pPr>
            <w:r w:rsidRPr="00F13ACF">
              <w:rPr>
                <w:rFonts w:ascii="Times New Roman" w:eastAsia="Times New Roman" w:hAnsi="Times New Roman" w:cs="Times New Roman"/>
                <w:bCs/>
                <w:color w:val="000000"/>
                <w:sz w:val="20"/>
                <w:szCs w:val="20"/>
                <w:lang w:eastAsia="ru-RU"/>
              </w:rPr>
              <w:t>-</w:t>
            </w:r>
            <w:r>
              <w:rPr>
                <w:rFonts w:ascii="Times New Roman" w:eastAsia="Times New Roman" w:hAnsi="Times New Roman" w:cs="Times New Roman"/>
                <w:bCs/>
                <w:color w:val="000000"/>
                <w:sz w:val="20"/>
                <w:szCs w:val="20"/>
                <w:lang w:eastAsia="ru-RU"/>
              </w:rPr>
              <w:t>107</w:t>
            </w:r>
            <w:r w:rsidRPr="00F13ACF">
              <w:rPr>
                <w:rFonts w:ascii="Times New Roman" w:eastAsia="Times New Roman" w:hAnsi="Times New Roman" w:cs="Times New Roman"/>
                <w:bCs/>
                <w:color w:val="000000"/>
                <w:sz w:val="20"/>
                <w:szCs w:val="20"/>
                <w:lang w:eastAsia="ru-RU"/>
              </w:rPr>
              <w:t>,</w:t>
            </w:r>
            <w:r>
              <w:rPr>
                <w:rFonts w:ascii="Times New Roman" w:eastAsia="Times New Roman" w:hAnsi="Times New Roman" w:cs="Times New Roman"/>
                <w:bCs/>
                <w:color w:val="000000"/>
                <w:sz w:val="20"/>
                <w:szCs w:val="20"/>
                <w:lang w:eastAsia="ru-RU"/>
              </w:rPr>
              <w:t>8</w:t>
            </w:r>
          </w:p>
        </w:tc>
        <w:tc>
          <w:tcPr>
            <w:tcW w:w="709" w:type="dxa"/>
            <w:shd w:val="clear" w:color="auto" w:fill="auto"/>
            <w:vAlign w:val="center"/>
          </w:tcPr>
          <w:p w:rsidR="00AC3673" w:rsidRPr="00F13ACF" w:rsidRDefault="00AC3673" w:rsidP="00AC3673">
            <w:pPr>
              <w:ind w:left="-89"/>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90</w:t>
            </w:r>
            <w:r w:rsidRPr="00F13ACF">
              <w:rPr>
                <w:rFonts w:ascii="Times New Roman" w:eastAsia="Times New Roman" w:hAnsi="Times New Roman" w:cs="Times New Roman"/>
                <w:bCs/>
                <w:color w:val="000000"/>
                <w:sz w:val="20"/>
                <w:szCs w:val="20"/>
                <w:lang w:eastAsia="ru-RU"/>
              </w:rPr>
              <w:t>,</w:t>
            </w:r>
            <w:r>
              <w:rPr>
                <w:rFonts w:ascii="Times New Roman" w:eastAsia="Times New Roman" w:hAnsi="Times New Roman" w:cs="Times New Roman"/>
                <w:bCs/>
                <w:color w:val="000000"/>
                <w:sz w:val="20"/>
                <w:szCs w:val="20"/>
                <w:lang w:eastAsia="ru-RU"/>
              </w:rPr>
              <w:t>2</w:t>
            </w:r>
          </w:p>
        </w:tc>
        <w:tc>
          <w:tcPr>
            <w:tcW w:w="992" w:type="dxa"/>
            <w:vAlign w:val="center"/>
          </w:tcPr>
          <w:p w:rsidR="00AC3673" w:rsidRPr="00F13ACF" w:rsidRDefault="00AC3673" w:rsidP="00AC3673">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987,7</w:t>
            </w:r>
          </w:p>
        </w:tc>
        <w:tc>
          <w:tcPr>
            <w:tcW w:w="851" w:type="dxa"/>
            <w:vAlign w:val="center"/>
          </w:tcPr>
          <w:p w:rsidR="00AC3673" w:rsidRPr="00F13ACF" w:rsidRDefault="00AC3673" w:rsidP="00AC3673">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9,6</w:t>
            </w:r>
          </w:p>
        </w:tc>
        <w:tc>
          <w:tcPr>
            <w:tcW w:w="708" w:type="dxa"/>
            <w:vAlign w:val="center"/>
          </w:tcPr>
          <w:p w:rsidR="00AC3673" w:rsidRPr="00F13ACF" w:rsidRDefault="00AC3673" w:rsidP="00AC3673">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101,0</w:t>
            </w:r>
          </w:p>
        </w:tc>
      </w:tr>
      <w:tr w:rsidR="003E62EC" w:rsidRPr="00A660C9" w:rsidTr="00D53685">
        <w:tc>
          <w:tcPr>
            <w:tcW w:w="2836" w:type="dxa"/>
          </w:tcPr>
          <w:p w:rsidR="003E62EC" w:rsidRPr="00A660C9" w:rsidRDefault="003E62EC" w:rsidP="003E62EC">
            <w:pP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Producție în curs de execuție, produse și producție finită, animale tinere de îngrășat</w:t>
            </w:r>
          </w:p>
        </w:tc>
        <w:tc>
          <w:tcPr>
            <w:tcW w:w="992" w:type="dxa"/>
            <w:vAlign w:val="center"/>
          </w:tcPr>
          <w:p w:rsidR="003E62EC" w:rsidRPr="00F13ACF" w:rsidRDefault="003E62EC" w:rsidP="00864C4E">
            <w:pPr>
              <w:jc w:val="center"/>
              <w:rPr>
                <w:rFonts w:ascii="Times New Roman" w:eastAsia="Times New Roman" w:hAnsi="Times New Roman" w:cs="Times New Roman"/>
                <w:sz w:val="20"/>
                <w:szCs w:val="20"/>
                <w:lang w:eastAsia="ru-RU"/>
              </w:rPr>
            </w:pPr>
            <w:r w:rsidRPr="00F13ACF">
              <w:rPr>
                <w:rFonts w:ascii="Times New Roman" w:eastAsia="Times New Roman" w:hAnsi="Times New Roman" w:cs="Times New Roman"/>
                <w:sz w:val="20"/>
                <w:szCs w:val="20"/>
                <w:lang w:eastAsia="ru-RU"/>
              </w:rPr>
              <w:t>-20,5</w:t>
            </w:r>
          </w:p>
        </w:tc>
        <w:tc>
          <w:tcPr>
            <w:tcW w:w="844" w:type="dxa"/>
            <w:shd w:val="clear" w:color="auto" w:fill="auto"/>
            <w:vAlign w:val="center"/>
          </w:tcPr>
          <w:p w:rsidR="003E62EC" w:rsidRPr="00F13ACF" w:rsidRDefault="003E62EC" w:rsidP="00864C4E">
            <w:pPr>
              <w:jc w:val="center"/>
              <w:rPr>
                <w:rFonts w:ascii="Times New Roman" w:eastAsia="Times New Roman" w:hAnsi="Times New Roman" w:cs="Times New Roman"/>
                <w:color w:val="000000"/>
                <w:sz w:val="20"/>
                <w:szCs w:val="20"/>
                <w:lang w:eastAsia="ru-RU"/>
              </w:rPr>
            </w:pPr>
            <w:r w:rsidRPr="00F13ACF">
              <w:rPr>
                <w:rFonts w:ascii="Times New Roman" w:eastAsia="Times New Roman" w:hAnsi="Times New Roman" w:cs="Times New Roman"/>
                <w:color w:val="000000"/>
                <w:sz w:val="20"/>
                <w:szCs w:val="20"/>
                <w:lang w:eastAsia="ru-RU"/>
              </w:rPr>
              <w:t>-22,4</w:t>
            </w:r>
          </w:p>
        </w:tc>
        <w:tc>
          <w:tcPr>
            <w:tcW w:w="968" w:type="dxa"/>
            <w:shd w:val="clear" w:color="auto" w:fill="auto"/>
            <w:vAlign w:val="center"/>
          </w:tcPr>
          <w:p w:rsidR="003E62EC" w:rsidRPr="00F13ACF" w:rsidRDefault="003E62EC" w:rsidP="00864C4E">
            <w:pPr>
              <w:jc w:val="center"/>
              <w:rPr>
                <w:rFonts w:ascii="Times New Roman" w:eastAsia="Times New Roman" w:hAnsi="Times New Roman" w:cs="Times New Roman"/>
                <w:sz w:val="20"/>
                <w:szCs w:val="20"/>
                <w:lang w:eastAsia="ru-RU"/>
              </w:rPr>
            </w:pPr>
            <w:r w:rsidRPr="00F13ACF">
              <w:rPr>
                <w:rFonts w:ascii="Times New Roman" w:eastAsia="Times New Roman" w:hAnsi="Times New Roman" w:cs="Times New Roman"/>
                <w:sz w:val="20"/>
                <w:szCs w:val="20"/>
                <w:lang w:eastAsia="ru-RU"/>
              </w:rPr>
              <w:t>-16,6</w:t>
            </w:r>
          </w:p>
        </w:tc>
        <w:tc>
          <w:tcPr>
            <w:tcW w:w="881" w:type="dxa"/>
            <w:shd w:val="clear" w:color="auto" w:fill="auto"/>
            <w:vAlign w:val="center"/>
          </w:tcPr>
          <w:p w:rsidR="003E62EC" w:rsidRPr="00F13ACF" w:rsidRDefault="003E62EC" w:rsidP="00864C4E">
            <w:pPr>
              <w:ind w:left="-100"/>
              <w:jc w:val="center"/>
              <w:rPr>
                <w:rFonts w:ascii="Times New Roman" w:eastAsia="Times New Roman" w:hAnsi="Times New Roman" w:cs="Times New Roman"/>
                <w:bCs/>
                <w:color w:val="000000"/>
                <w:sz w:val="20"/>
                <w:szCs w:val="20"/>
                <w:lang w:eastAsia="ru-RU"/>
              </w:rPr>
            </w:pPr>
            <w:r w:rsidRPr="00F13ACF">
              <w:rPr>
                <w:rFonts w:ascii="Times New Roman" w:eastAsia="Times New Roman" w:hAnsi="Times New Roman" w:cs="Times New Roman"/>
                <w:bCs/>
                <w:color w:val="000000"/>
                <w:sz w:val="20"/>
                <w:szCs w:val="20"/>
                <w:lang w:eastAsia="ru-RU"/>
              </w:rPr>
              <w:t>5,9</w:t>
            </w:r>
          </w:p>
        </w:tc>
        <w:tc>
          <w:tcPr>
            <w:tcW w:w="709" w:type="dxa"/>
            <w:shd w:val="clear" w:color="auto" w:fill="auto"/>
            <w:vAlign w:val="center"/>
          </w:tcPr>
          <w:p w:rsidR="003E62EC" w:rsidRPr="00F13ACF" w:rsidRDefault="003E62EC" w:rsidP="00864C4E">
            <w:pPr>
              <w:ind w:left="-89"/>
              <w:jc w:val="center"/>
              <w:rPr>
                <w:rFonts w:ascii="Times New Roman" w:eastAsia="Times New Roman" w:hAnsi="Times New Roman" w:cs="Times New Roman"/>
                <w:bCs/>
                <w:color w:val="000000"/>
                <w:sz w:val="20"/>
                <w:szCs w:val="20"/>
                <w:lang w:eastAsia="ru-RU"/>
              </w:rPr>
            </w:pPr>
            <w:r w:rsidRPr="00F13ACF">
              <w:rPr>
                <w:rFonts w:ascii="Times New Roman" w:eastAsia="Times New Roman" w:hAnsi="Times New Roman" w:cs="Times New Roman"/>
                <w:bCs/>
                <w:color w:val="000000"/>
                <w:sz w:val="20"/>
                <w:szCs w:val="20"/>
                <w:lang w:eastAsia="ru-RU"/>
              </w:rPr>
              <w:t>73,9</w:t>
            </w:r>
          </w:p>
        </w:tc>
        <w:tc>
          <w:tcPr>
            <w:tcW w:w="992" w:type="dxa"/>
            <w:vAlign w:val="center"/>
          </w:tcPr>
          <w:p w:rsidR="003E62EC" w:rsidRPr="00F13ACF" w:rsidRDefault="003E62EC" w:rsidP="00864C4E">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-0,5</w:t>
            </w:r>
          </w:p>
        </w:tc>
        <w:tc>
          <w:tcPr>
            <w:tcW w:w="851" w:type="dxa"/>
            <w:vAlign w:val="center"/>
          </w:tcPr>
          <w:p w:rsidR="003E62EC" w:rsidRPr="00F13ACF" w:rsidRDefault="003E62EC" w:rsidP="00864C4E">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-16,1</w:t>
            </w:r>
          </w:p>
        </w:tc>
        <w:tc>
          <w:tcPr>
            <w:tcW w:w="708" w:type="dxa"/>
            <w:vAlign w:val="center"/>
          </w:tcPr>
          <w:p w:rsidR="003E62EC" w:rsidRPr="00F13ACF" w:rsidRDefault="003E62EC" w:rsidP="00864C4E">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&gt;200</w:t>
            </w:r>
          </w:p>
        </w:tc>
      </w:tr>
      <w:tr w:rsidR="003E62EC" w:rsidRPr="00C26E3B" w:rsidTr="00D53685">
        <w:tc>
          <w:tcPr>
            <w:tcW w:w="2836" w:type="dxa"/>
          </w:tcPr>
          <w:p w:rsidR="003E62EC" w:rsidRPr="009210B8" w:rsidRDefault="003E62EC" w:rsidP="003E62EC">
            <w:pPr>
              <w:rPr>
                <w:rFonts w:ascii="Times New Roman" w:eastAsia="Times New Roman" w:hAnsi="Times New Roman" w:cs="Times New Roman"/>
                <w:lang w:eastAsia="ru-RU"/>
              </w:rPr>
            </w:pPr>
            <w:r w:rsidRPr="009210B8">
              <w:rPr>
                <w:rFonts w:ascii="Times New Roman" w:eastAsia="Times New Roman" w:hAnsi="Times New Roman" w:cs="Times New Roman"/>
                <w:lang w:eastAsia="ru-RU"/>
              </w:rPr>
              <w:t>Mărfuri</w:t>
            </w:r>
          </w:p>
        </w:tc>
        <w:tc>
          <w:tcPr>
            <w:tcW w:w="992" w:type="dxa"/>
            <w:vAlign w:val="center"/>
          </w:tcPr>
          <w:p w:rsidR="003E62EC" w:rsidRPr="00F13ACF" w:rsidRDefault="003E62EC" w:rsidP="00864C4E">
            <w:pPr>
              <w:jc w:val="center"/>
              <w:rPr>
                <w:rFonts w:ascii="Times New Roman" w:eastAsia="Times New Roman" w:hAnsi="Times New Roman" w:cs="Times New Roman"/>
                <w:sz w:val="20"/>
                <w:szCs w:val="20"/>
                <w:lang w:eastAsia="ru-RU"/>
              </w:rPr>
            </w:pPr>
            <w:r w:rsidRPr="00F13ACF">
              <w:rPr>
                <w:rFonts w:ascii="Times New Roman" w:eastAsia="Times New Roman" w:hAnsi="Times New Roman" w:cs="Times New Roman"/>
                <w:sz w:val="20"/>
                <w:szCs w:val="20"/>
                <w:lang w:eastAsia="ru-RU"/>
              </w:rPr>
              <w:t>8,0</w:t>
            </w:r>
          </w:p>
        </w:tc>
        <w:tc>
          <w:tcPr>
            <w:tcW w:w="844" w:type="dxa"/>
            <w:shd w:val="clear" w:color="auto" w:fill="auto"/>
            <w:vAlign w:val="center"/>
          </w:tcPr>
          <w:p w:rsidR="003E62EC" w:rsidRPr="00F13ACF" w:rsidRDefault="003E62EC" w:rsidP="00864C4E">
            <w:pPr>
              <w:jc w:val="center"/>
              <w:rPr>
                <w:rFonts w:ascii="Times New Roman" w:eastAsia="Times New Roman" w:hAnsi="Times New Roman" w:cs="Times New Roman"/>
                <w:color w:val="000000"/>
                <w:sz w:val="20"/>
                <w:szCs w:val="20"/>
                <w:lang w:eastAsia="ru-RU"/>
              </w:rPr>
            </w:pPr>
            <w:r w:rsidRPr="00F13ACF">
              <w:rPr>
                <w:rFonts w:ascii="Times New Roman" w:eastAsia="Times New Roman" w:hAnsi="Times New Roman" w:cs="Times New Roman"/>
                <w:color w:val="000000"/>
                <w:sz w:val="20"/>
                <w:szCs w:val="20"/>
                <w:lang w:eastAsia="ru-RU"/>
              </w:rPr>
              <w:t>8,0</w:t>
            </w:r>
          </w:p>
        </w:tc>
        <w:tc>
          <w:tcPr>
            <w:tcW w:w="968" w:type="dxa"/>
            <w:shd w:val="clear" w:color="auto" w:fill="auto"/>
            <w:vAlign w:val="center"/>
          </w:tcPr>
          <w:p w:rsidR="003E62EC" w:rsidRPr="00F13ACF" w:rsidRDefault="003E62EC" w:rsidP="00864C4E">
            <w:pPr>
              <w:jc w:val="center"/>
              <w:rPr>
                <w:rFonts w:ascii="Times New Roman" w:eastAsia="Times New Roman" w:hAnsi="Times New Roman" w:cs="Times New Roman"/>
                <w:sz w:val="20"/>
                <w:szCs w:val="20"/>
                <w:lang w:eastAsia="ru-RU"/>
              </w:rPr>
            </w:pPr>
            <w:r w:rsidRPr="00F13ACF">
              <w:rPr>
                <w:rFonts w:ascii="Times New Roman" w:eastAsia="Times New Roman" w:hAnsi="Times New Roman" w:cs="Times New Roman"/>
                <w:sz w:val="20"/>
                <w:szCs w:val="20"/>
                <w:lang w:eastAsia="ru-RU"/>
              </w:rPr>
              <w:t>0,0</w:t>
            </w:r>
          </w:p>
        </w:tc>
        <w:tc>
          <w:tcPr>
            <w:tcW w:w="881" w:type="dxa"/>
            <w:shd w:val="clear" w:color="auto" w:fill="auto"/>
            <w:vAlign w:val="center"/>
          </w:tcPr>
          <w:p w:rsidR="003E62EC" w:rsidRPr="00F13ACF" w:rsidRDefault="003E62EC" w:rsidP="00864C4E">
            <w:pPr>
              <w:jc w:val="center"/>
              <w:rPr>
                <w:rFonts w:ascii="Times New Roman" w:eastAsia="Times New Roman" w:hAnsi="Times New Roman" w:cs="Times New Roman"/>
                <w:bCs/>
                <w:color w:val="000000"/>
                <w:sz w:val="20"/>
                <w:szCs w:val="20"/>
                <w:lang w:eastAsia="ru-RU"/>
              </w:rPr>
            </w:pPr>
            <w:r w:rsidRPr="00F13ACF">
              <w:rPr>
                <w:rFonts w:ascii="Times New Roman" w:eastAsia="Times New Roman" w:hAnsi="Times New Roman" w:cs="Times New Roman"/>
                <w:bCs/>
                <w:color w:val="000000"/>
                <w:sz w:val="20"/>
                <w:szCs w:val="20"/>
                <w:lang w:eastAsia="ru-RU"/>
              </w:rPr>
              <w:t>-8,0</w:t>
            </w:r>
          </w:p>
        </w:tc>
        <w:tc>
          <w:tcPr>
            <w:tcW w:w="709" w:type="dxa"/>
            <w:shd w:val="clear" w:color="auto" w:fill="auto"/>
            <w:vAlign w:val="center"/>
          </w:tcPr>
          <w:p w:rsidR="003E62EC" w:rsidRPr="00F13ACF" w:rsidRDefault="003E62EC" w:rsidP="003C6EFB">
            <w:pPr>
              <w:ind w:left="-89"/>
              <w:jc w:val="center"/>
              <w:rPr>
                <w:rFonts w:ascii="Times New Roman" w:eastAsia="Times New Roman" w:hAnsi="Times New Roman" w:cs="Times New Roman"/>
                <w:bCs/>
                <w:color w:val="000000"/>
                <w:sz w:val="20"/>
                <w:szCs w:val="20"/>
                <w:lang w:eastAsia="ru-RU"/>
              </w:rPr>
            </w:pPr>
            <w:r w:rsidRPr="00F13ACF">
              <w:rPr>
                <w:rFonts w:ascii="Times New Roman" w:eastAsia="Times New Roman" w:hAnsi="Times New Roman" w:cs="Times New Roman"/>
                <w:bCs/>
                <w:color w:val="000000"/>
                <w:sz w:val="20"/>
                <w:szCs w:val="20"/>
                <w:lang w:eastAsia="ru-RU"/>
              </w:rPr>
              <w:t>-</w:t>
            </w:r>
          </w:p>
        </w:tc>
        <w:tc>
          <w:tcPr>
            <w:tcW w:w="992" w:type="dxa"/>
            <w:vAlign w:val="center"/>
          </w:tcPr>
          <w:p w:rsidR="003E62EC" w:rsidRPr="00F13ACF" w:rsidRDefault="003E62EC" w:rsidP="00864C4E">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6,7</w:t>
            </w:r>
          </w:p>
        </w:tc>
        <w:tc>
          <w:tcPr>
            <w:tcW w:w="851" w:type="dxa"/>
            <w:vAlign w:val="center"/>
          </w:tcPr>
          <w:p w:rsidR="003E62EC" w:rsidRPr="00F13ACF" w:rsidRDefault="003E62EC" w:rsidP="00864C4E">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-6,7</w:t>
            </w:r>
          </w:p>
        </w:tc>
        <w:tc>
          <w:tcPr>
            <w:tcW w:w="708" w:type="dxa"/>
            <w:vAlign w:val="center"/>
          </w:tcPr>
          <w:p w:rsidR="003E62EC" w:rsidRPr="00F13ACF" w:rsidRDefault="003E62EC" w:rsidP="003C6EFB">
            <w:pPr>
              <w:ind w:left="-89"/>
              <w:jc w:val="center"/>
              <w:rPr>
                <w:rFonts w:ascii="Times New Roman" w:eastAsia="Times New Roman" w:hAnsi="Times New Roman" w:cs="Times New Roman"/>
                <w:bCs/>
                <w:color w:val="000000"/>
                <w:sz w:val="20"/>
                <w:szCs w:val="20"/>
                <w:lang w:eastAsia="ru-RU"/>
              </w:rPr>
            </w:pPr>
            <w:r w:rsidRPr="00F13ACF">
              <w:rPr>
                <w:rFonts w:ascii="Times New Roman" w:eastAsia="Times New Roman" w:hAnsi="Times New Roman" w:cs="Times New Roman"/>
                <w:bCs/>
                <w:color w:val="000000"/>
                <w:sz w:val="20"/>
                <w:szCs w:val="20"/>
                <w:lang w:eastAsia="ru-RU"/>
              </w:rPr>
              <w:t>-</w:t>
            </w:r>
          </w:p>
        </w:tc>
      </w:tr>
      <w:tr w:rsidR="003E62EC" w:rsidRPr="00C26E3B" w:rsidTr="00D53685">
        <w:tc>
          <w:tcPr>
            <w:tcW w:w="2836" w:type="dxa"/>
          </w:tcPr>
          <w:p w:rsidR="003E62EC" w:rsidRPr="009210B8" w:rsidRDefault="003E62EC" w:rsidP="003E62EC">
            <w:pPr>
              <w:rPr>
                <w:rFonts w:ascii="Times New Roman" w:eastAsia="Times New Roman" w:hAnsi="Times New Roman" w:cs="Times New Roman"/>
                <w:lang w:eastAsia="ru-RU"/>
              </w:rPr>
            </w:pPr>
            <w:r w:rsidRPr="009210B8">
              <w:rPr>
                <w:rFonts w:ascii="Times New Roman" w:eastAsia="Times New Roman" w:hAnsi="Times New Roman" w:cs="Times New Roman"/>
                <w:lang w:eastAsia="ru-RU"/>
              </w:rPr>
              <w:t>Valori</w:t>
            </w:r>
          </w:p>
        </w:tc>
        <w:tc>
          <w:tcPr>
            <w:tcW w:w="992" w:type="dxa"/>
            <w:vAlign w:val="center"/>
          </w:tcPr>
          <w:p w:rsidR="003E62EC" w:rsidRPr="00F13ACF" w:rsidRDefault="003E62EC" w:rsidP="00864C4E">
            <w:pPr>
              <w:jc w:val="center"/>
              <w:rPr>
                <w:rFonts w:ascii="Times New Roman" w:eastAsia="Times New Roman" w:hAnsi="Times New Roman" w:cs="Times New Roman"/>
                <w:sz w:val="20"/>
                <w:szCs w:val="20"/>
                <w:lang w:eastAsia="ru-RU"/>
              </w:rPr>
            </w:pPr>
            <w:r w:rsidRPr="00F13ACF">
              <w:rPr>
                <w:rFonts w:ascii="Times New Roman" w:eastAsia="Times New Roman" w:hAnsi="Times New Roman" w:cs="Times New Roman"/>
                <w:sz w:val="20"/>
                <w:szCs w:val="20"/>
                <w:lang w:eastAsia="ru-RU"/>
              </w:rPr>
              <w:t>0,1</w:t>
            </w:r>
          </w:p>
        </w:tc>
        <w:tc>
          <w:tcPr>
            <w:tcW w:w="844" w:type="dxa"/>
            <w:shd w:val="clear" w:color="auto" w:fill="auto"/>
            <w:vAlign w:val="center"/>
          </w:tcPr>
          <w:p w:rsidR="003E62EC" w:rsidRPr="00F13ACF" w:rsidRDefault="003E62EC" w:rsidP="00864C4E">
            <w:pPr>
              <w:jc w:val="center"/>
              <w:rPr>
                <w:rFonts w:ascii="Times New Roman" w:eastAsia="Times New Roman" w:hAnsi="Times New Roman" w:cs="Times New Roman"/>
                <w:color w:val="000000"/>
                <w:sz w:val="20"/>
                <w:szCs w:val="20"/>
                <w:lang w:eastAsia="ru-RU"/>
              </w:rPr>
            </w:pPr>
            <w:r w:rsidRPr="00F13ACF">
              <w:rPr>
                <w:rFonts w:ascii="Times New Roman" w:eastAsia="Times New Roman" w:hAnsi="Times New Roman" w:cs="Times New Roman"/>
                <w:color w:val="000000"/>
                <w:sz w:val="20"/>
                <w:szCs w:val="20"/>
                <w:lang w:eastAsia="ru-RU"/>
              </w:rPr>
              <w:t>0,0</w:t>
            </w:r>
          </w:p>
        </w:tc>
        <w:tc>
          <w:tcPr>
            <w:tcW w:w="968" w:type="dxa"/>
            <w:shd w:val="clear" w:color="auto" w:fill="auto"/>
            <w:vAlign w:val="center"/>
          </w:tcPr>
          <w:p w:rsidR="003E62EC" w:rsidRPr="00F13ACF" w:rsidRDefault="003E62EC" w:rsidP="00864C4E">
            <w:pPr>
              <w:jc w:val="center"/>
              <w:rPr>
                <w:rFonts w:ascii="Times New Roman" w:eastAsia="Times New Roman" w:hAnsi="Times New Roman" w:cs="Times New Roman"/>
                <w:sz w:val="20"/>
                <w:szCs w:val="20"/>
                <w:lang w:eastAsia="ru-RU"/>
              </w:rPr>
            </w:pPr>
            <w:r w:rsidRPr="00F13ACF">
              <w:rPr>
                <w:rFonts w:ascii="Times New Roman" w:eastAsia="Times New Roman" w:hAnsi="Times New Roman" w:cs="Times New Roman"/>
                <w:sz w:val="20"/>
                <w:szCs w:val="20"/>
                <w:lang w:eastAsia="ru-RU"/>
              </w:rPr>
              <w:t>0,0</w:t>
            </w:r>
          </w:p>
        </w:tc>
        <w:tc>
          <w:tcPr>
            <w:tcW w:w="881" w:type="dxa"/>
            <w:shd w:val="clear" w:color="auto" w:fill="auto"/>
            <w:vAlign w:val="center"/>
          </w:tcPr>
          <w:p w:rsidR="003E62EC" w:rsidRPr="00F13ACF" w:rsidRDefault="003E62EC" w:rsidP="003C6EFB">
            <w:pPr>
              <w:jc w:val="center"/>
              <w:rPr>
                <w:rFonts w:ascii="Times New Roman" w:eastAsia="Times New Roman" w:hAnsi="Times New Roman" w:cs="Times New Roman"/>
                <w:bCs/>
                <w:color w:val="000000"/>
                <w:sz w:val="20"/>
                <w:szCs w:val="20"/>
                <w:lang w:eastAsia="ru-RU"/>
              </w:rPr>
            </w:pPr>
            <w:r w:rsidRPr="00F13ACF">
              <w:rPr>
                <w:rFonts w:ascii="Times New Roman" w:eastAsia="Times New Roman" w:hAnsi="Times New Roman" w:cs="Times New Roman"/>
                <w:bCs/>
                <w:color w:val="000000"/>
                <w:sz w:val="20"/>
                <w:szCs w:val="20"/>
                <w:lang w:eastAsia="ru-RU"/>
              </w:rPr>
              <w:t>-</w:t>
            </w:r>
          </w:p>
        </w:tc>
        <w:tc>
          <w:tcPr>
            <w:tcW w:w="709" w:type="dxa"/>
            <w:shd w:val="clear" w:color="auto" w:fill="auto"/>
            <w:vAlign w:val="center"/>
          </w:tcPr>
          <w:p w:rsidR="003E62EC" w:rsidRPr="00F13ACF" w:rsidRDefault="003E62EC" w:rsidP="001043A7">
            <w:pPr>
              <w:ind w:left="-89"/>
              <w:jc w:val="center"/>
              <w:rPr>
                <w:rFonts w:ascii="Times New Roman" w:eastAsia="Times New Roman" w:hAnsi="Times New Roman" w:cs="Times New Roman"/>
                <w:bCs/>
                <w:color w:val="000000"/>
                <w:sz w:val="20"/>
                <w:szCs w:val="20"/>
                <w:lang w:eastAsia="ru-RU"/>
              </w:rPr>
            </w:pPr>
            <w:r w:rsidRPr="00F13ACF">
              <w:rPr>
                <w:rFonts w:ascii="Times New Roman" w:eastAsia="Times New Roman" w:hAnsi="Times New Roman" w:cs="Times New Roman"/>
                <w:bCs/>
                <w:color w:val="000000"/>
                <w:sz w:val="20"/>
                <w:szCs w:val="20"/>
                <w:lang w:eastAsia="ru-RU"/>
              </w:rPr>
              <w:t>-</w:t>
            </w:r>
          </w:p>
        </w:tc>
        <w:tc>
          <w:tcPr>
            <w:tcW w:w="992" w:type="dxa"/>
            <w:vAlign w:val="center"/>
          </w:tcPr>
          <w:p w:rsidR="003E62EC" w:rsidRPr="00F13ACF" w:rsidRDefault="003E62EC" w:rsidP="00864C4E">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1" w:type="dxa"/>
            <w:vAlign w:val="center"/>
          </w:tcPr>
          <w:p w:rsidR="003E62EC" w:rsidRPr="00F13ACF" w:rsidRDefault="003E62EC" w:rsidP="00864C4E">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708" w:type="dxa"/>
            <w:vAlign w:val="center"/>
          </w:tcPr>
          <w:p w:rsidR="003E62EC" w:rsidRPr="00F13ACF" w:rsidRDefault="003E62EC" w:rsidP="003C6EFB">
            <w:pPr>
              <w:ind w:left="-89"/>
              <w:jc w:val="center"/>
              <w:rPr>
                <w:rFonts w:ascii="Times New Roman" w:eastAsia="Times New Roman" w:hAnsi="Times New Roman" w:cs="Times New Roman"/>
                <w:bCs/>
                <w:color w:val="000000"/>
                <w:sz w:val="20"/>
                <w:szCs w:val="20"/>
                <w:lang w:eastAsia="ru-RU"/>
              </w:rPr>
            </w:pPr>
            <w:r w:rsidRPr="00F13ACF">
              <w:rPr>
                <w:rFonts w:ascii="Times New Roman" w:eastAsia="Times New Roman" w:hAnsi="Times New Roman" w:cs="Times New Roman"/>
                <w:bCs/>
                <w:color w:val="000000"/>
                <w:sz w:val="20"/>
                <w:szCs w:val="20"/>
                <w:lang w:eastAsia="ru-RU"/>
              </w:rPr>
              <w:t>-</w:t>
            </w:r>
          </w:p>
        </w:tc>
      </w:tr>
      <w:tr w:rsidR="003E62EC" w:rsidRPr="00C26E3B" w:rsidTr="00D53685">
        <w:tc>
          <w:tcPr>
            <w:tcW w:w="2836" w:type="dxa"/>
          </w:tcPr>
          <w:p w:rsidR="003E62EC" w:rsidRPr="009210B8" w:rsidRDefault="003E62EC" w:rsidP="003E62EC">
            <w:pPr>
              <w:rPr>
                <w:rFonts w:ascii="Times New Roman" w:eastAsia="Times New Roman" w:hAnsi="Times New Roman" w:cs="Times New Roman"/>
                <w:lang w:eastAsia="ru-RU"/>
              </w:rPr>
            </w:pPr>
            <w:r w:rsidRPr="009210B8">
              <w:rPr>
                <w:rFonts w:ascii="Times New Roman" w:eastAsia="Times New Roman" w:hAnsi="Times New Roman" w:cs="Times New Roman"/>
                <w:lang w:eastAsia="ru-RU"/>
              </w:rPr>
              <w:t>Active neproductive</w:t>
            </w:r>
          </w:p>
        </w:tc>
        <w:tc>
          <w:tcPr>
            <w:tcW w:w="992" w:type="dxa"/>
            <w:vAlign w:val="center"/>
          </w:tcPr>
          <w:p w:rsidR="003E62EC" w:rsidRPr="00F13ACF" w:rsidRDefault="003E62EC" w:rsidP="00864C4E">
            <w:pPr>
              <w:jc w:val="center"/>
              <w:rPr>
                <w:rFonts w:ascii="Times New Roman" w:eastAsia="Times New Roman" w:hAnsi="Times New Roman" w:cs="Times New Roman"/>
                <w:sz w:val="20"/>
                <w:szCs w:val="20"/>
                <w:lang w:eastAsia="ru-RU"/>
              </w:rPr>
            </w:pPr>
            <w:r w:rsidRPr="00F13ACF">
              <w:rPr>
                <w:rFonts w:ascii="Times New Roman" w:eastAsia="Times New Roman" w:hAnsi="Times New Roman" w:cs="Times New Roman"/>
                <w:sz w:val="20"/>
                <w:szCs w:val="20"/>
                <w:lang w:eastAsia="ru-RU"/>
              </w:rPr>
              <w:t>6,3</w:t>
            </w:r>
          </w:p>
        </w:tc>
        <w:tc>
          <w:tcPr>
            <w:tcW w:w="844" w:type="dxa"/>
            <w:shd w:val="clear" w:color="auto" w:fill="auto"/>
            <w:vAlign w:val="center"/>
          </w:tcPr>
          <w:p w:rsidR="003E62EC" w:rsidRPr="00F13ACF" w:rsidRDefault="003E62EC" w:rsidP="00864C4E">
            <w:pPr>
              <w:jc w:val="center"/>
              <w:rPr>
                <w:rFonts w:ascii="Times New Roman" w:eastAsia="Times New Roman" w:hAnsi="Times New Roman" w:cs="Times New Roman"/>
                <w:color w:val="000000"/>
                <w:sz w:val="20"/>
                <w:szCs w:val="20"/>
                <w:lang w:eastAsia="ru-RU"/>
              </w:rPr>
            </w:pPr>
            <w:r w:rsidRPr="00F13ACF">
              <w:rPr>
                <w:rFonts w:ascii="Times New Roman" w:eastAsia="Times New Roman" w:hAnsi="Times New Roman" w:cs="Times New Roman"/>
                <w:color w:val="000000"/>
                <w:sz w:val="20"/>
                <w:szCs w:val="20"/>
                <w:lang w:eastAsia="ru-RU"/>
              </w:rPr>
              <w:t>0,0</w:t>
            </w:r>
          </w:p>
        </w:tc>
        <w:tc>
          <w:tcPr>
            <w:tcW w:w="968" w:type="dxa"/>
            <w:shd w:val="clear" w:color="auto" w:fill="auto"/>
            <w:vAlign w:val="center"/>
          </w:tcPr>
          <w:p w:rsidR="003E62EC" w:rsidRPr="00F13ACF" w:rsidRDefault="003E62EC" w:rsidP="00864C4E">
            <w:pPr>
              <w:jc w:val="center"/>
              <w:rPr>
                <w:rFonts w:ascii="Times New Roman" w:eastAsia="Times New Roman" w:hAnsi="Times New Roman" w:cs="Times New Roman"/>
                <w:sz w:val="20"/>
                <w:szCs w:val="20"/>
                <w:lang w:eastAsia="ru-RU"/>
              </w:rPr>
            </w:pPr>
            <w:r w:rsidRPr="00F13ACF">
              <w:rPr>
                <w:rFonts w:ascii="Times New Roman" w:eastAsia="Times New Roman" w:hAnsi="Times New Roman" w:cs="Times New Roman"/>
                <w:sz w:val="20"/>
                <w:szCs w:val="20"/>
                <w:lang w:eastAsia="ru-RU"/>
              </w:rPr>
              <w:t>0,0</w:t>
            </w:r>
          </w:p>
        </w:tc>
        <w:tc>
          <w:tcPr>
            <w:tcW w:w="881" w:type="dxa"/>
            <w:shd w:val="clear" w:color="auto" w:fill="auto"/>
            <w:vAlign w:val="center"/>
          </w:tcPr>
          <w:p w:rsidR="003E62EC" w:rsidRPr="00F13ACF" w:rsidRDefault="003E62EC" w:rsidP="003C6EFB">
            <w:pPr>
              <w:ind w:left="-100" w:right="-15"/>
              <w:jc w:val="center"/>
              <w:rPr>
                <w:rFonts w:ascii="Times New Roman" w:eastAsia="Times New Roman" w:hAnsi="Times New Roman" w:cs="Times New Roman"/>
                <w:bCs/>
                <w:color w:val="000000"/>
                <w:sz w:val="20"/>
                <w:szCs w:val="20"/>
                <w:lang w:eastAsia="ru-RU"/>
              </w:rPr>
            </w:pPr>
            <w:r w:rsidRPr="00F13ACF">
              <w:rPr>
                <w:rFonts w:ascii="Times New Roman" w:eastAsia="Times New Roman" w:hAnsi="Times New Roman" w:cs="Times New Roman"/>
                <w:bCs/>
                <w:color w:val="000000"/>
                <w:sz w:val="20"/>
                <w:szCs w:val="20"/>
                <w:lang w:eastAsia="ru-RU"/>
              </w:rPr>
              <w:t>-</w:t>
            </w:r>
          </w:p>
        </w:tc>
        <w:tc>
          <w:tcPr>
            <w:tcW w:w="709" w:type="dxa"/>
            <w:shd w:val="clear" w:color="auto" w:fill="auto"/>
            <w:vAlign w:val="center"/>
          </w:tcPr>
          <w:p w:rsidR="003E62EC" w:rsidRPr="00F13ACF" w:rsidRDefault="003E62EC" w:rsidP="001043A7">
            <w:pPr>
              <w:ind w:left="-89"/>
              <w:jc w:val="center"/>
              <w:rPr>
                <w:rFonts w:ascii="Times New Roman" w:eastAsia="Times New Roman" w:hAnsi="Times New Roman" w:cs="Times New Roman"/>
                <w:bCs/>
                <w:color w:val="000000"/>
                <w:sz w:val="20"/>
                <w:szCs w:val="20"/>
                <w:lang w:eastAsia="ru-RU"/>
              </w:rPr>
            </w:pPr>
            <w:r w:rsidRPr="00F13ACF">
              <w:rPr>
                <w:rFonts w:ascii="Times New Roman" w:eastAsia="Times New Roman" w:hAnsi="Times New Roman" w:cs="Times New Roman"/>
                <w:bCs/>
                <w:color w:val="000000"/>
                <w:sz w:val="20"/>
                <w:szCs w:val="20"/>
                <w:lang w:eastAsia="ru-RU"/>
              </w:rPr>
              <w:t>-</w:t>
            </w:r>
          </w:p>
        </w:tc>
        <w:tc>
          <w:tcPr>
            <w:tcW w:w="992" w:type="dxa"/>
            <w:vAlign w:val="center"/>
          </w:tcPr>
          <w:p w:rsidR="003E62EC" w:rsidRPr="00F13ACF" w:rsidRDefault="003E62EC" w:rsidP="00864C4E">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w:t>
            </w:r>
          </w:p>
        </w:tc>
        <w:tc>
          <w:tcPr>
            <w:tcW w:w="851" w:type="dxa"/>
            <w:vAlign w:val="center"/>
          </w:tcPr>
          <w:p w:rsidR="003E62EC" w:rsidRPr="00F13ACF" w:rsidRDefault="003E62EC" w:rsidP="00864C4E">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w:t>
            </w:r>
          </w:p>
        </w:tc>
        <w:tc>
          <w:tcPr>
            <w:tcW w:w="708" w:type="dxa"/>
            <w:vAlign w:val="center"/>
          </w:tcPr>
          <w:p w:rsidR="003E62EC" w:rsidRPr="00F13ACF" w:rsidRDefault="003E62EC" w:rsidP="003C6EFB">
            <w:pPr>
              <w:ind w:left="-89"/>
              <w:jc w:val="center"/>
              <w:rPr>
                <w:rFonts w:ascii="Times New Roman" w:eastAsia="Times New Roman" w:hAnsi="Times New Roman" w:cs="Times New Roman"/>
                <w:bCs/>
                <w:color w:val="000000"/>
                <w:sz w:val="20"/>
                <w:szCs w:val="20"/>
                <w:lang w:eastAsia="ru-RU"/>
              </w:rPr>
            </w:pPr>
            <w:r w:rsidRPr="00F13ACF">
              <w:rPr>
                <w:rFonts w:ascii="Times New Roman" w:eastAsia="Times New Roman" w:hAnsi="Times New Roman" w:cs="Times New Roman"/>
                <w:bCs/>
                <w:color w:val="000000"/>
                <w:sz w:val="20"/>
                <w:szCs w:val="20"/>
                <w:lang w:eastAsia="ru-RU"/>
              </w:rPr>
              <w:t>-</w:t>
            </w:r>
          </w:p>
        </w:tc>
      </w:tr>
    </w:tbl>
    <w:p w:rsidR="003E62EC" w:rsidRPr="00AE1750" w:rsidRDefault="003E62EC" w:rsidP="003947E3">
      <w:pPr>
        <w:spacing w:after="0" w:line="276" w:lineRule="auto"/>
        <w:ind w:left="-142"/>
        <w:jc w:val="both"/>
        <w:rPr>
          <w:rFonts w:ascii="Times New Roman" w:eastAsia="Times New Roman" w:hAnsi="Times New Roman" w:cs="Times New Roman"/>
          <w:szCs w:val="24"/>
          <w:lang w:eastAsia="ru-RU"/>
        </w:rPr>
      </w:pPr>
      <w:r w:rsidRPr="00AE1750">
        <w:rPr>
          <w:rFonts w:ascii="Times New Roman" w:eastAsia="Times New Roman" w:hAnsi="Times New Roman" w:cs="Times New Roman"/>
          <w:b/>
          <w:i/>
          <w:sz w:val="20"/>
          <w:szCs w:val="24"/>
          <w:lang w:eastAsia="ru-RU"/>
        </w:rPr>
        <w:t>Surs</w:t>
      </w:r>
      <w:r w:rsidR="003C6EFB">
        <w:rPr>
          <w:rFonts w:ascii="Times New Roman" w:eastAsia="Times New Roman" w:hAnsi="Times New Roman" w:cs="Times New Roman"/>
          <w:b/>
          <w:i/>
          <w:sz w:val="20"/>
          <w:szCs w:val="24"/>
          <w:lang w:eastAsia="ru-RU"/>
        </w:rPr>
        <w:t>ă</w:t>
      </w:r>
      <w:r w:rsidRPr="00AE1750">
        <w:rPr>
          <w:rFonts w:ascii="Times New Roman" w:eastAsia="Times New Roman" w:hAnsi="Times New Roman" w:cs="Times New Roman"/>
          <w:b/>
          <w:i/>
          <w:sz w:val="20"/>
          <w:szCs w:val="24"/>
          <w:lang w:eastAsia="ru-RU"/>
        </w:rPr>
        <w:t>:</w:t>
      </w:r>
      <w:r w:rsidRPr="00AE1750">
        <w:rPr>
          <w:rFonts w:ascii="Times New Roman" w:eastAsia="Times New Roman" w:hAnsi="Times New Roman" w:cs="Times New Roman"/>
          <w:i/>
          <w:sz w:val="20"/>
          <w:szCs w:val="24"/>
          <w:lang w:eastAsia="ru-RU"/>
        </w:rPr>
        <w:t xml:space="preserve"> </w:t>
      </w:r>
      <w:r>
        <w:rPr>
          <w:rFonts w:ascii="Times New Roman" w:eastAsia="Times New Roman" w:hAnsi="Times New Roman" w:cs="Times New Roman"/>
          <w:i/>
          <w:sz w:val="20"/>
          <w:szCs w:val="24"/>
          <w:lang w:eastAsia="ru-RU"/>
        </w:rPr>
        <w:t xml:space="preserve">Date generalizate de </w:t>
      </w:r>
      <w:r w:rsidR="003C6EFB">
        <w:rPr>
          <w:rFonts w:ascii="Times New Roman" w:eastAsia="Times New Roman" w:hAnsi="Times New Roman" w:cs="Times New Roman"/>
          <w:i/>
          <w:sz w:val="20"/>
          <w:szCs w:val="24"/>
          <w:lang w:eastAsia="ru-RU"/>
        </w:rPr>
        <w:t xml:space="preserve">echipa de </w:t>
      </w:r>
      <w:r>
        <w:rPr>
          <w:rFonts w:ascii="Times New Roman" w:eastAsia="Times New Roman" w:hAnsi="Times New Roman" w:cs="Times New Roman"/>
          <w:i/>
          <w:sz w:val="20"/>
          <w:szCs w:val="24"/>
          <w:lang w:eastAsia="ru-RU"/>
        </w:rPr>
        <w:t xml:space="preserve">audit conform Raportului privind executarea bugetului de stat </w:t>
      </w:r>
      <w:r w:rsidRPr="00AE1750">
        <w:rPr>
          <w:rFonts w:ascii="Times New Roman" w:eastAsia="Times New Roman" w:hAnsi="Times New Roman" w:cs="Times New Roman"/>
          <w:i/>
          <w:sz w:val="20"/>
          <w:szCs w:val="24"/>
          <w:lang w:eastAsia="ru-RU"/>
        </w:rPr>
        <w:t>pe anul 2017</w:t>
      </w:r>
      <w:r>
        <w:rPr>
          <w:rFonts w:ascii="Times New Roman" w:eastAsia="Times New Roman" w:hAnsi="Times New Roman" w:cs="Times New Roman"/>
          <w:i/>
          <w:sz w:val="20"/>
          <w:szCs w:val="24"/>
          <w:lang w:eastAsia="ru-RU"/>
        </w:rPr>
        <w:t>, For</w:t>
      </w:r>
      <w:r w:rsidRPr="00FA6D69">
        <w:rPr>
          <w:rFonts w:ascii="Times New Roman" w:eastAsia="Times New Roman" w:hAnsi="Times New Roman" w:cs="Times New Roman"/>
          <w:i/>
          <w:sz w:val="20"/>
          <w:szCs w:val="24"/>
          <w:lang w:eastAsia="ru-RU"/>
        </w:rPr>
        <w:t>mularul</w:t>
      </w:r>
      <w:r>
        <w:rPr>
          <w:rFonts w:ascii="Times New Roman" w:eastAsia="Times New Roman" w:hAnsi="Times New Roman" w:cs="Times New Roman"/>
          <w:i/>
          <w:sz w:val="20"/>
          <w:szCs w:val="24"/>
          <w:lang w:eastAsia="ru-RU"/>
        </w:rPr>
        <w:t xml:space="preserve"> nr.6.</w:t>
      </w:r>
    </w:p>
    <w:p w:rsidR="003E62EC" w:rsidRDefault="003E62EC" w:rsidP="003E62EC">
      <w:pPr>
        <w:spacing w:line="276" w:lineRule="auto"/>
        <w:ind w:firstLine="709"/>
        <w:contextualSpacing/>
        <w:jc w:val="both"/>
        <w:rPr>
          <w:rFonts w:ascii="Times New Roman" w:eastAsiaTheme="minorEastAsia" w:hAnsi="Times New Roman" w:cs="Times New Roman"/>
          <w:bCs/>
          <w:iCs/>
          <w:sz w:val="28"/>
          <w:szCs w:val="28"/>
          <w:lang w:eastAsia="ru-RU"/>
        </w:rPr>
      </w:pPr>
      <w:r>
        <w:rPr>
          <w:rFonts w:ascii="Times New Roman" w:eastAsiaTheme="minorEastAsia" w:hAnsi="Times New Roman" w:cs="Times New Roman"/>
          <w:bCs/>
          <w:iCs/>
          <w:sz w:val="28"/>
          <w:szCs w:val="28"/>
          <w:lang w:eastAsia="ru-RU"/>
        </w:rPr>
        <w:t xml:space="preserve">Auditul atestă că cele mai semnificative creșteri de cheltuieli executate în anul 2017, față de anul 2016, s-au înregistrat la: </w:t>
      </w:r>
      <w:r w:rsidRPr="0060048E">
        <w:rPr>
          <w:rFonts w:ascii="Times New Roman" w:eastAsiaTheme="minorEastAsia" w:hAnsi="Times New Roman" w:cs="Times New Roman"/>
          <w:bCs/>
          <w:i/>
          <w:iCs/>
          <w:sz w:val="28"/>
          <w:szCs w:val="28"/>
          <w:lang w:eastAsia="ru-RU"/>
        </w:rPr>
        <w:t>i</w:t>
      </w:r>
      <w:r w:rsidRPr="000546A4">
        <w:rPr>
          <w:rFonts w:ascii="Times New Roman" w:eastAsiaTheme="minorEastAsia" w:hAnsi="Times New Roman" w:cs="Times New Roman"/>
          <w:bCs/>
          <w:i/>
          <w:iCs/>
          <w:sz w:val="28"/>
          <w:szCs w:val="28"/>
          <w:lang w:eastAsia="ru-RU"/>
        </w:rPr>
        <w:t>)</w:t>
      </w:r>
      <w:r>
        <w:rPr>
          <w:rFonts w:ascii="Times New Roman" w:eastAsiaTheme="minorEastAsia" w:hAnsi="Times New Roman" w:cs="Times New Roman"/>
          <w:bCs/>
          <w:iCs/>
          <w:sz w:val="28"/>
          <w:szCs w:val="28"/>
          <w:lang w:eastAsia="ru-RU"/>
        </w:rPr>
        <w:t xml:space="preserve"> „Subsidii” – cu 27,4%</w:t>
      </w:r>
      <w:r w:rsidR="003C6EFB">
        <w:rPr>
          <w:rFonts w:ascii="Times New Roman" w:eastAsiaTheme="minorEastAsia" w:hAnsi="Times New Roman" w:cs="Times New Roman"/>
          <w:bCs/>
          <w:iCs/>
          <w:sz w:val="28"/>
          <w:szCs w:val="28"/>
          <w:lang w:eastAsia="ru-RU"/>
        </w:rPr>
        <w:t>,</w:t>
      </w:r>
      <w:r>
        <w:rPr>
          <w:rFonts w:ascii="Times New Roman" w:eastAsiaTheme="minorEastAsia" w:hAnsi="Times New Roman" w:cs="Times New Roman"/>
          <w:bCs/>
          <w:iCs/>
          <w:sz w:val="28"/>
          <w:szCs w:val="28"/>
          <w:lang w:eastAsia="ru-RU"/>
        </w:rPr>
        <w:t xml:space="preserve"> sau </w:t>
      </w:r>
      <w:r w:rsidR="003C6EFB">
        <w:rPr>
          <w:rFonts w:ascii="Times New Roman" w:eastAsiaTheme="minorEastAsia" w:hAnsi="Times New Roman" w:cs="Times New Roman"/>
          <w:bCs/>
          <w:iCs/>
          <w:sz w:val="28"/>
          <w:szCs w:val="28"/>
          <w:lang w:eastAsia="ru-RU"/>
        </w:rPr>
        <w:t xml:space="preserve">cu </w:t>
      </w:r>
      <w:r>
        <w:rPr>
          <w:rFonts w:ascii="Times New Roman" w:eastAsiaTheme="minorEastAsia" w:hAnsi="Times New Roman" w:cs="Times New Roman"/>
          <w:bCs/>
          <w:iCs/>
          <w:sz w:val="28"/>
          <w:szCs w:val="28"/>
          <w:lang w:eastAsia="ru-RU"/>
        </w:rPr>
        <w:t xml:space="preserve">653,4 mil.lei mai mult, </w:t>
      </w:r>
      <w:r w:rsidRPr="00314CB9">
        <w:rPr>
          <w:rFonts w:ascii="Times New Roman" w:eastAsiaTheme="minorEastAsia" w:hAnsi="Times New Roman" w:cs="Times New Roman"/>
          <w:bCs/>
          <w:i/>
          <w:iCs/>
          <w:sz w:val="28"/>
          <w:szCs w:val="28"/>
          <w:lang w:eastAsia="ru-RU"/>
        </w:rPr>
        <w:t>ii)</w:t>
      </w:r>
      <w:r>
        <w:rPr>
          <w:rFonts w:ascii="Times New Roman" w:eastAsiaTheme="minorEastAsia" w:hAnsi="Times New Roman" w:cs="Times New Roman"/>
          <w:bCs/>
          <w:iCs/>
          <w:sz w:val="28"/>
          <w:szCs w:val="28"/>
          <w:lang w:eastAsia="ru-RU"/>
        </w:rPr>
        <w:t xml:space="preserve"> „Cheltuieli de personal” – cu 21,6%</w:t>
      </w:r>
      <w:r w:rsidR="003C6EFB">
        <w:rPr>
          <w:rFonts w:ascii="Times New Roman" w:eastAsiaTheme="minorEastAsia" w:hAnsi="Times New Roman" w:cs="Times New Roman"/>
          <w:bCs/>
          <w:iCs/>
          <w:sz w:val="28"/>
          <w:szCs w:val="28"/>
          <w:lang w:eastAsia="ru-RU"/>
        </w:rPr>
        <w:t>,</w:t>
      </w:r>
      <w:r>
        <w:rPr>
          <w:rFonts w:ascii="Times New Roman" w:eastAsiaTheme="minorEastAsia" w:hAnsi="Times New Roman" w:cs="Times New Roman"/>
          <w:bCs/>
          <w:iCs/>
          <w:sz w:val="28"/>
          <w:szCs w:val="28"/>
          <w:lang w:eastAsia="ru-RU"/>
        </w:rPr>
        <w:t xml:space="preserve"> sau </w:t>
      </w:r>
      <w:r w:rsidR="003C6EFB">
        <w:rPr>
          <w:rFonts w:ascii="Times New Roman" w:eastAsiaTheme="minorEastAsia" w:hAnsi="Times New Roman" w:cs="Times New Roman"/>
          <w:bCs/>
          <w:iCs/>
          <w:sz w:val="28"/>
          <w:szCs w:val="28"/>
          <w:lang w:eastAsia="ru-RU"/>
        </w:rPr>
        <w:t xml:space="preserve">cu </w:t>
      </w:r>
      <w:r>
        <w:rPr>
          <w:rFonts w:ascii="Times New Roman" w:eastAsiaTheme="minorEastAsia" w:hAnsi="Times New Roman" w:cs="Times New Roman"/>
          <w:bCs/>
          <w:iCs/>
          <w:sz w:val="28"/>
          <w:szCs w:val="28"/>
          <w:lang w:eastAsia="ru-RU"/>
        </w:rPr>
        <w:t xml:space="preserve">1080,7 mil.lei mai mult, precum și </w:t>
      </w:r>
      <w:r w:rsidRPr="00314CB9">
        <w:rPr>
          <w:rFonts w:ascii="Times New Roman" w:eastAsiaTheme="minorEastAsia" w:hAnsi="Times New Roman" w:cs="Times New Roman"/>
          <w:bCs/>
          <w:i/>
          <w:iCs/>
          <w:sz w:val="28"/>
          <w:szCs w:val="28"/>
          <w:lang w:eastAsia="ru-RU"/>
        </w:rPr>
        <w:t>iii)</w:t>
      </w:r>
      <w:r w:rsidR="003C6EFB">
        <w:rPr>
          <w:rFonts w:ascii="Times New Roman" w:eastAsiaTheme="minorEastAsia" w:hAnsi="Times New Roman" w:cs="Times New Roman"/>
          <w:bCs/>
          <w:i/>
          <w:iCs/>
          <w:sz w:val="28"/>
          <w:szCs w:val="28"/>
          <w:lang w:eastAsia="ru-RU"/>
        </w:rPr>
        <w:t xml:space="preserve"> </w:t>
      </w:r>
      <w:r>
        <w:rPr>
          <w:rFonts w:ascii="Times New Roman" w:eastAsiaTheme="minorEastAsia" w:hAnsi="Times New Roman" w:cs="Times New Roman"/>
          <w:bCs/>
          <w:iCs/>
          <w:sz w:val="28"/>
          <w:szCs w:val="28"/>
          <w:lang w:eastAsia="ru-RU"/>
        </w:rPr>
        <w:t>„Transferuri acordate în cadrul BPN” – cu 14,5%</w:t>
      </w:r>
      <w:r w:rsidR="003C6EFB">
        <w:rPr>
          <w:rFonts w:ascii="Times New Roman" w:eastAsiaTheme="minorEastAsia" w:hAnsi="Times New Roman" w:cs="Times New Roman"/>
          <w:bCs/>
          <w:iCs/>
          <w:sz w:val="28"/>
          <w:szCs w:val="28"/>
          <w:lang w:eastAsia="ru-RU"/>
        </w:rPr>
        <w:t>,</w:t>
      </w:r>
      <w:r>
        <w:rPr>
          <w:rFonts w:ascii="Times New Roman" w:eastAsiaTheme="minorEastAsia" w:hAnsi="Times New Roman" w:cs="Times New Roman"/>
          <w:bCs/>
          <w:iCs/>
          <w:sz w:val="28"/>
          <w:szCs w:val="28"/>
          <w:lang w:eastAsia="ru-RU"/>
        </w:rPr>
        <w:t xml:space="preserve"> sau </w:t>
      </w:r>
      <w:r w:rsidR="003C6EFB">
        <w:rPr>
          <w:rFonts w:ascii="Times New Roman" w:eastAsiaTheme="minorEastAsia" w:hAnsi="Times New Roman" w:cs="Times New Roman"/>
          <w:bCs/>
          <w:iCs/>
          <w:sz w:val="28"/>
          <w:szCs w:val="28"/>
          <w:lang w:eastAsia="ru-RU"/>
        </w:rPr>
        <w:t xml:space="preserve">cu </w:t>
      </w:r>
      <w:r>
        <w:rPr>
          <w:rFonts w:ascii="Times New Roman" w:eastAsiaTheme="minorEastAsia" w:hAnsi="Times New Roman" w:cs="Times New Roman"/>
          <w:bCs/>
          <w:iCs/>
          <w:sz w:val="28"/>
          <w:szCs w:val="28"/>
          <w:lang w:eastAsia="ru-RU"/>
        </w:rPr>
        <w:t xml:space="preserve">2294,1 mil.lei mai mult. Totodată, se atestă descreșterea unor cheltuieli, din care la: </w:t>
      </w:r>
      <w:r w:rsidRPr="00314CB9">
        <w:rPr>
          <w:rFonts w:ascii="Times New Roman" w:eastAsiaTheme="minorEastAsia" w:hAnsi="Times New Roman" w:cs="Times New Roman"/>
          <w:bCs/>
          <w:i/>
          <w:iCs/>
          <w:sz w:val="28"/>
          <w:szCs w:val="28"/>
          <w:lang w:eastAsia="ru-RU"/>
        </w:rPr>
        <w:t>i)</w:t>
      </w:r>
      <w:r>
        <w:rPr>
          <w:rFonts w:ascii="Times New Roman" w:eastAsiaTheme="minorEastAsia" w:hAnsi="Times New Roman" w:cs="Times New Roman"/>
          <w:bCs/>
          <w:iCs/>
          <w:sz w:val="28"/>
          <w:szCs w:val="28"/>
          <w:lang w:eastAsia="ru-RU"/>
        </w:rPr>
        <w:t xml:space="preserve"> „Prestații sociale” – cu 78,5%, sau (-1007,0 mil.lei);</w:t>
      </w:r>
      <w:r w:rsidR="00764D6E">
        <w:rPr>
          <w:rFonts w:ascii="Times New Roman" w:eastAsiaTheme="minorEastAsia" w:hAnsi="Times New Roman" w:cs="Times New Roman"/>
          <w:bCs/>
          <w:iCs/>
          <w:sz w:val="28"/>
          <w:szCs w:val="28"/>
          <w:lang w:eastAsia="ru-RU"/>
        </w:rPr>
        <w:t xml:space="preserve"> </w:t>
      </w:r>
      <w:r w:rsidRPr="00314CB9">
        <w:rPr>
          <w:rFonts w:ascii="Times New Roman" w:eastAsiaTheme="minorEastAsia" w:hAnsi="Times New Roman" w:cs="Times New Roman"/>
          <w:bCs/>
          <w:i/>
          <w:iCs/>
          <w:sz w:val="28"/>
          <w:szCs w:val="28"/>
          <w:lang w:eastAsia="ru-RU"/>
        </w:rPr>
        <w:t>ii)</w:t>
      </w:r>
      <w:r>
        <w:rPr>
          <w:rFonts w:ascii="Times New Roman" w:eastAsiaTheme="minorEastAsia" w:hAnsi="Times New Roman" w:cs="Times New Roman"/>
          <w:bCs/>
          <w:iCs/>
          <w:sz w:val="28"/>
          <w:szCs w:val="28"/>
          <w:lang w:eastAsia="ru-RU"/>
        </w:rPr>
        <w:t xml:space="preserve"> „Investiții capitale în active în curs de execuție” – cu 14,1%</w:t>
      </w:r>
      <w:r w:rsidR="003C6EFB">
        <w:rPr>
          <w:rFonts w:ascii="Times New Roman" w:eastAsiaTheme="minorEastAsia" w:hAnsi="Times New Roman" w:cs="Times New Roman"/>
          <w:bCs/>
          <w:iCs/>
          <w:sz w:val="28"/>
          <w:szCs w:val="28"/>
          <w:lang w:eastAsia="ru-RU"/>
        </w:rPr>
        <w:t>,</w:t>
      </w:r>
      <w:r>
        <w:rPr>
          <w:rFonts w:ascii="Times New Roman" w:eastAsiaTheme="minorEastAsia" w:hAnsi="Times New Roman" w:cs="Times New Roman"/>
          <w:bCs/>
          <w:iCs/>
          <w:sz w:val="28"/>
          <w:szCs w:val="28"/>
          <w:lang w:eastAsia="ru-RU"/>
        </w:rPr>
        <w:t xml:space="preserve"> sau (-135,5 mil.lei).</w:t>
      </w:r>
    </w:p>
    <w:p w:rsidR="003E62EC" w:rsidRDefault="003E62EC" w:rsidP="003E62EC">
      <w:pPr>
        <w:spacing w:line="276" w:lineRule="auto"/>
        <w:ind w:firstLine="709"/>
        <w:contextualSpacing/>
        <w:jc w:val="both"/>
        <w:rPr>
          <w:rFonts w:ascii="Times New Roman" w:hAnsi="Times New Roman" w:cs="Times New Roman"/>
          <w:b/>
          <w:sz w:val="28"/>
          <w:szCs w:val="28"/>
        </w:rPr>
      </w:pPr>
      <w:r>
        <w:rPr>
          <w:rFonts w:ascii="Times New Roman" w:eastAsiaTheme="minorEastAsia" w:hAnsi="Times New Roman" w:cs="Times New Roman"/>
          <w:bCs/>
          <w:iCs/>
          <w:sz w:val="28"/>
          <w:szCs w:val="28"/>
          <w:lang w:eastAsia="ru-RU"/>
        </w:rPr>
        <w:t xml:space="preserve">Analiza cheltuielilor, în </w:t>
      </w:r>
      <w:r>
        <w:rPr>
          <w:rFonts w:ascii="Times New Roman" w:hAnsi="Times New Roman" w:cs="Times New Roman"/>
          <w:sz w:val="28"/>
          <w:szCs w:val="28"/>
        </w:rPr>
        <w:t>aspectul clasificației funcționale,</w:t>
      </w:r>
      <w:r>
        <w:rPr>
          <w:rFonts w:ascii="Times New Roman" w:eastAsiaTheme="minorEastAsia" w:hAnsi="Times New Roman" w:cs="Times New Roman"/>
          <w:bCs/>
          <w:iCs/>
          <w:sz w:val="28"/>
          <w:szCs w:val="28"/>
          <w:lang w:eastAsia="ru-RU"/>
        </w:rPr>
        <w:t xml:space="preserve"> denotă că limitele alocațiilor precizate pe an pentru executarea cheltuielilor nu au fost valorificate integral la niciuna din grupele principale de cheltuieli. </w:t>
      </w:r>
      <w:r w:rsidRPr="00FA6D69">
        <w:rPr>
          <w:rFonts w:ascii="Times New Roman" w:eastAsiaTheme="minorEastAsia" w:hAnsi="Times New Roman" w:cs="Times New Roman"/>
          <w:bCs/>
          <w:i/>
          <w:iCs/>
          <w:sz w:val="28"/>
          <w:szCs w:val="28"/>
          <w:lang w:eastAsia="ru-RU"/>
        </w:rPr>
        <w:t xml:space="preserve">Situația analizată este prezentată </w:t>
      </w:r>
      <w:r w:rsidRPr="00FA6D69">
        <w:rPr>
          <w:rFonts w:ascii="Times New Roman" w:hAnsi="Times New Roman" w:cs="Times New Roman"/>
          <w:i/>
          <w:sz w:val="28"/>
          <w:szCs w:val="28"/>
        </w:rPr>
        <w:t>în</w:t>
      </w:r>
      <w:r>
        <w:rPr>
          <w:rFonts w:ascii="Times New Roman" w:hAnsi="Times New Roman" w:cs="Times New Roman"/>
          <w:sz w:val="28"/>
          <w:szCs w:val="28"/>
        </w:rPr>
        <w:t xml:space="preserve"> </w:t>
      </w:r>
      <w:r w:rsidRPr="00AE1750">
        <w:rPr>
          <w:rFonts w:ascii="Times New Roman" w:hAnsi="Times New Roman" w:cs="Times New Roman"/>
          <w:i/>
          <w:sz w:val="28"/>
          <w:szCs w:val="28"/>
        </w:rPr>
        <w:t>Tabelul nr.</w:t>
      </w:r>
      <w:r>
        <w:rPr>
          <w:rFonts w:ascii="Times New Roman" w:hAnsi="Times New Roman" w:cs="Times New Roman"/>
          <w:i/>
          <w:sz w:val="28"/>
          <w:szCs w:val="28"/>
        </w:rPr>
        <w:t>1</w:t>
      </w:r>
      <w:r w:rsidR="003B4CAE">
        <w:rPr>
          <w:rFonts w:ascii="Times New Roman" w:hAnsi="Times New Roman" w:cs="Times New Roman"/>
          <w:i/>
          <w:sz w:val="28"/>
          <w:szCs w:val="28"/>
        </w:rPr>
        <w:t>1</w:t>
      </w:r>
      <w:r w:rsidRPr="00AE1750">
        <w:rPr>
          <w:rFonts w:ascii="Times New Roman" w:hAnsi="Times New Roman" w:cs="Times New Roman"/>
          <w:sz w:val="28"/>
          <w:szCs w:val="28"/>
        </w:rPr>
        <w:t>.</w:t>
      </w:r>
    </w:p>
    <w:p w:rsidR="003E62EC" w:rsidRPr="00AE1750" w:rsidRDefault="003E62EC" w:rsidP="003E62EC">
      <w:pPr>
        <w:spacing w:after="0" w:line="276" w:lineRule="auto"/>
        <w:ind w:firstLine="709"/>
        <w:jc w:val="right"/>
        <w:rPr>
          <w:rFonts w:ascii="Times New Roman" w:eastAsia="Times New Roman" w:hAnsi="Times New Roman" w:cs="Times New Roman"/>
          <w:i/>
          <w:sz w:val="28"/>
          <w:szCs w:val="24"/>
          <w:lang w:eastAsia="ru-RU"/>
        </w:rPr>
      </w:pPr>
      <w:r w:rsidRPr="00AE1750">
        <w:rPr>
          <w:rFonts w:ascii="Times New Roman" w:eastAsia="Times New Roman" w:hAnsi="Times New Roman" w:cs="Times New Roman"/>
          <w:i/>
          <w:sz w:val="28"/>
          <w:szCs w:val="24"/>
          <w:lang w:eastAsia="ru-RU"/>
        </w:rPr>
        <w:t>Tabelul nr.</w:t>
      </w:r>
      <w:r>
        <w:rPr>
          <w:rFonts w:ascii="Times New Roman" w:eastAsia="Times New Roman" w:hAnsi="Times New Roman" w:cs="Times New Roman"/>
          <w:i/>
          <w:sz w:val="28"/>
          <w:szCs w:val="24"/>
          <w:lang w:eastAsia="ru-RU"/>
        </w:rPr>
        <w:t>1</w:t>
      </w:r>
      <w:r w:rsidR="003B4CAE">
        <w:rPr>
          <w:rFonts w:ascii="Times New Roman" w:eastAsia="Times New Roman" w:hAnsi="Times New Roman" w:cs="Times New Roman"/>
          <w:i/>
          <w:sz w:val="28"/>
          <w:szCs w:val="24"/>
          <w:lang w:eastAsia="ru-RU"/>
        </w:rPr>
        <w:t>1</w:t>
      </w:r>
    </w:p>
    <w:p w:rsidR="003E62EC" w:rsidRPr="00AE1750" w:rsidRDefault="003E62EC" w:rsidP="003E62EC">
      <w:pPr>
        <w:spacing w:after="0" w:line="276" w:lineRule="auto"/>
        <w:jc w:val="center"/>
        <w:rPr>
          <w:rFonts w:ascii="Times New Roman" w:eastAsia="Times New Roman" w:hAnsi="Times New Roman" w:cs="Times New Roman"/>
          <w:b/>
          <w:szCs w:val="24"/>
          <w:lang w:eastAsia="ru-RU"/>
        </w:rPr>
      </w:pPr>
      <w:r w:rsidRPr="00AE1750">
        <w:rPr>
          <w:rFonts w:ascii="Times New Roman" w:eastAsia="Times New Roman" w:hAnsi="Times New Roman" w:cs="Times New Roman"/>
          <w:b/>
          <w:sz w:val="24"/>
          <w:szCs w:val="24"/>
          <w:lang w:eastAsia="ru-RU"/>
        </w:rPr>
        <w:t>Analiza executării cheltuielilor bugetului de stat în aspectul funcțional pe anul 2017, comparativ cu anul 2016</w:t>
      </w:r>
    </w:p>
    <w:p w:rsidR="003E62EC" w:rsidRPr="00C26E3B" w:rsidRDefault="003E62EC" w:rsidP="003E62EC">
      <w:pPr>
        <w:spacing w:after="0" w:line="240" w:lineRule="auto"/>
        <w:jc w:val="right"/>
        <w:rPr>
          <w:rFonts w:ascii="Times New Roman" w:eastAsia="Times New Roman" w:hAnsi="Times New Roman" w:cs="Times New Roman"/>
          <w:sz w:val="24"/>
          <w:szCs w:val="24"/>
          <w:lang w:eastAsia="ru-RU"/>
        </w:rPr>
      </w:pPr>
      <w:r w:rsidRPr="00C26E3B">
        <w:rPr>
          <w:rFonts w:ascii="Times New Roman" w:eastAsia="Times New Roman" w:hAnsi="Times New Roman" w:cs="Times New Roman"/>
          <w:i/>
          <w:sz w:val="24"/>
          <w:szCs w:val="24"/>
          <w:lang w:eastAsia="ru-RU"/>
        </w:rPr>
        <w:t>(mil.lei)</w:t>
      </w:r>
    </w:p>
    <w:tbl>
      <w:tblPr>
        <w:tblStyle w:val="TableGrid2"/>
        <w:tblW w:w="9780" w:type="dxa"/>
        <w:tblInd w:w="-147" w:type="dxa"/>
        <w:tblLayout w:type="fixed"/>
        <w:tblLook w:val="04A0" w:firstRow="1" w:lastRow="0" w:firstColumn="1" w:lastColumn="0" w:noHBand="0" w:noVBand="1"/>
      </w:tblPr>
      <w:tblGrid>
        <w:gridCol w:w="3686"/>
        <w:gridCol w:w="844"/>
        <w:gridCol w:w="968"/>
        <w:gridCol w:w="992"/>
        <w:gridCol w:w="739"/>
        <w:gridCol w:w="992"/>
        <w:gridCol w:w="851"/>
        <w:gridCol w:w="708"/>
      </w:tblGrid>
      <w:tr w:rsidR="003E62EC" w:rsidRPr="00C26E3B" w:rsidTr="003E62EC">
        <w:tc>
          <w:tcPr>
            <w:tcW w:w="3686" w:type="dxa"/>
            <w:vMerge w:val="restart"/>
            <w:shd w:val="clear" w:color="auto" w:fill="002060"/>
            <w:vAlign w:val="center"/>
          </w:tcPr>
          <w:p w:rsidR="003E62EC" w:rsidRPr="00C26E3B" w:rsidRDefault="003E62EC" w:rsidP="003E62EC">
            <w:pPr>
              <w:jc w:val="center"/>
              <w:rPr>
                <w:rFonts w:ascii="Times New Roman" w:eastAsia="Times New Roman" w:hAnsi="Times New Roman" w:cs="Times New Roman"/>
                <w:b/>
                <w:lang w:eastAsia="ru-RU"/>
              </w:rPr>
            </w:pPr>
            <w:r w:rsidRPr="00C26E3B">
              <w:rPr>
                <w:rFonts w:ascii="Times New Roman" w:eastAsia="Times New Roman" w:hAnsi="Times New Roman" w:cs="Times New Roman"/>
                <w:lang w:eastAsia="ru-RU"/>
              </w:rPr>
              <w:br w:type="page"/>
            </w:r>
            <w:r w:rsidRPr="00C26E3B">
              <w:rPr>
                <w:rFonts w:ascii="Times New Roman" w:eastAsia="Times New Roman" w:hAnsi="Times New Roman" w:cs="Times New Roman"/>
                <w:b/>
                <w:lang w:eastAsia="ru-RU"/>
              </w:rPr>
              <w:t>Indicatori</w:t>
            </w:r>
          </w:p>
        </w:tc>
        <w:tc>
          <w:tcPr>
            <w:tcW w:w="844" w:type="dxa"/>
            <w:vMerge w:val="restart"/>
            <w:shd w:val="clear" w:color="auto" w:fill="002060"/>
            <w:vAlign w:val="center"/>
          </w:tcPr>
          <w:p w:rsidR="003E62EC" w:rsidRPr="00C26E3B" w:rsidRDefault="003E62EC" w:rsidP="003E62EC">
            <w:pPr>
              <w:ind w:left="-108" w:right="-111"/>
              <w:jc w:val="center"/>
              <w:rPr>
                <w:rFonts w:ascii="Times New Roman" w:eastAsia="Times New Roman" w:hAnsi="Times New Roman" w:cs="Times New Roman"/>
                <w:b/>
                <w:lang w:eastAsia="ru-RU"/>
              </w:rPr>
            </w:pPr>
            <w:r w:rsidRPr="00C26E3B">
              <w:rPr>
                <w:rFonts w:ascii="Times New Roman" w:eastAsia="Times New Roman" w:hAnsi="Times New Roman" w:cs="Times New Roman"/>
                <w:b/>
                <w:lang w:eastAsia="ru-RU"/>
              </w:rPr>
              <w:t>Precizat pe an</w:t>
            </w:r>
          </w:p>
        </w:tc>
        <w:tc>
          <w:tcPr>
            <w:tcW w:w="968" w:type="dxa"/>
            <w:vMerge w:val="restart"/>
            <w:shd w:val="clear" w:color="auto" w:fill="002060"/>
            <w:vAlign w:val="center"/>
          </w:tcPr>
          <w:p w:rsidR="003E62EC" w:rsidRPr="00C26E3B" w:rsidRDefault="003E62EC" w:rsidP="003E62EC">
            <w:pPr>
              <w:ind w:left="-117" w:right="-124"/>
              <w:jc w:val="center"/>
              <w:rPr>
                <w:rFonts w:ascii="Times New Roman" w:eastAsia="Times New Roman" w:hAnsi="Times New Roman" w:cs="Times New Roman"/>
                <w:b/>
                <w:lang w:eastAsia="ru-RU"/>
              </w:rPr>
            </w:pPr>
            <w:r w:rsidRPr="00C26E3B">
              <w:rPr>
                <w:rFonts w:ascii="Times New Roman" w:eastAsia="Times New Roman" w:hAnsi="Times New Roman" w:cs="Times New Roman"/>
                <w:b/>
                <w:lang w:eastAsia="ru-RU"/>
              </w:rPr>
              <w:t>Executat</w:t>
            </w:r>
            <w:r>
              <w:rPr>
                <w:rFonts w:ascii="Times New Roman" w:eastAsia="Times New Roman" w:hAnsi="Times New Roman" w:cs="Times New Roman"/>
                <w:b/>
                <w:lang w:eastAsia="ru-RU"/>
              </w:rPr>
              <w:t xml:space="preserve"> anul curent</w:t>
            </w:r>
          </w:p>
        </w:tc>
        <w:tc>
          <w:tcPr>
            <w:tcW w:w="1731" w:type="dxa"/>
            <w:gridSpan w:val="2"/>
            <w:shd w:val="clear" w:color="auto" w:fill="002060"/>
            <w:vAlign w:val="center"/>
          </w:tcPr>
          <w:p w:rsidR="003E62EC" w:rsidRPr="00C26E3B" w:rsidRDefault="003E62EC" w:rsidP="003E62EC">
            <w:pPr>
              <w:ind w:left="-80" w:right="-106"/>
              <w:jc w:val="center"/>
              <w:rPr>
                <w:rFonts w:ascii="Times New Roman" w:eastAsia="Times New Roman" w:hAnsi="Times New Roman" w:cs="Times New Roman"/>
                <w:b/>
                <w:lang w:eastAsia="ru-RU"/>
              </w:rPr>
            </w:pPr>
            <w:r w:rsidRPr="00C26E3B">
              <w:rPr>
                <w:rFonts w:ascii="Times New Roman" w:eastAsia="Times New Roman" w:hAnsi="Times New Roman" w:cs="Times New Roman"/>
                <w:b/>
                <w:lang w:eastAsia="ru-RU"/>
              </w:rPr>
              <w:t>Executat față de precizat pe an</w:t>
            </w:r>
          </w:p>
        </w:tc>
        <w:tc>
          <w:tcPr>
            <w:tcW w:w="992" w:type="dxa"/>
            <w:vMerge w:val="restart"/>
            <w:shd w:val="clear" w:color="auto" w:fill="002060"/>
            <w:vAlign w:val="center"/>
          </w:tcPr>
          <w:p w:rsidR="003E62EC" w:rsidRPr="00C26E3B" w:rsidRDefault="003E62EC" w:rsidP="003E62EC">
            <w:pPr>
              <w:ind w:left="-98" w:right="-114"/>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Executat în anul precedent</w:t>
            </w:r>
          </w:p>
        </w:tc>
        <w:tc>
          <w:tcPr>
            <w:tcW w:w="1559" w:type="dxa"/>
            <w:gridSpan w:val="2"/>
            <w:shd w:val="clear" w:color="auto" w:fill="002060"/>
            <w:vAlign w:val="center"/>
          </w:tcPr>
          <w:p w:rsidR="003E62EC" w:rsidRPr="00C26E3B" w:rsidRDefault="003E62EC" w:rsidP="003E62EC">
            <w:pPr>
              <w:jc w:val="center"/>
              <w:rPr>
                <w:rFonts w:ascii="Times New Roman" w:eastAsia="Times New Roman" w:hAnsi="Times New Roman" w:cs="Times New Roman"/>
                <w:b/>
                <w:lang w:eastAsia="ru-RU"/>
              </w:rPr>
            </w:pPr>
            <w:r w:rsidRPr="00C26E3B">
              <w:rPr>
                <w:rFonts w:ascii="Times New Roman" w:eastAsia="Times New Roman" w:hAnsi="Times New Roman" w:cs="Times New Roman"/>
                <w:b/>
                <w:lang w:eastAsia="ru-RU"/>
              </w:rPr>
              <w:t xml:space="preserve">Executat </w:t>
            </w:r>
            <w:r>
              <w:rPr>
                <w:rFonts w:ascii="Times New Roman" w:eastAsia="Times New Roman" w:hAnsi="Times New Roman" w:cs="Times New Roman"/>
                <w:b/>
                <w:lang w:eastAsia="ru-RU"/>
              </w:rPr>
              <w:t xml:space="preserve">anul curent </w:t>
            </w:r>
            <w:r w:rsidRPr="00C26E3B">
              <w:rPr>
                <w:rFonts w:ascii="Times New Roman" w:eastAsia="Times New Roman" w:hAnsi="Times New Roman" w:cs="Times New Roman"/>
                <w:b/>
                <w:lang w:eastAsia="ru-RU"/>
              </w:rPr>
              <w:t>față de pre</w:t>
            </w:r>
            <w:r>
              <w:rPr>
                <w:rFonts w:ascii="Times New Roman" w:eastAsia="Times New Roman" w:hAnsi="Times New Roman" w:cs="Times New Roman"/>
                <w:b/>
                <w:lang w:eastAsia="ru-RU"/>
              </w:rPr>
              <w:t>cedent</w:t>
            </w:r>
          </w:p>
        </w:tc>
      </w:tr>
      <w:tr w:rsidR="003E62EC" w:rsidRPr="00C26E3B" w:rsidTr="003E62EC">
        <w:tc>
          <w:tcPr>
            <w:tcW w:w="3686" w:type="dxa"/>
            <w:vMerge/>
            <w:shd w:val="clear" w:color="auto" w:fill="002060"/>
            <w:vAlign w:val="center"/>
          </w:tcPr>
          <w:p w:rsidR="003E62EC" w:rsidRPr="00C26E3B" w:rsidRDefault="003E62EC" w:rsidP="003E62EC">
            <w:pPr>
              <w:jc w:val="center"/>
              <w:rPr>
                <w:rFonts w:ascii="Times New Roman" w:eastAsia="Times New Roman" w:hAnsi="Times New Roman" w:cs="Times New Roman"/>
                <w:lang w:eastAsia="ru-RU"/>
              </w:rPr>
            </w:pPr>
          </w:p>
        </w:tc>
        <w:tc>
          <w:tcPr>
            <w:tcW w:w="844" w:type="dxa"/>
            <w:vMerge/>
            <w:shd w:val="clear" w:color="auto" w:fill="002060"/>
            <w:vAlign w:val="center"/>
          </w:tcPr>
          <w:p w:rsidR="003E62EC" w:rsidRPr="00C26E3B" w:rsidRDefault="003E62EC" w:rsidP="003E62EC">
            <w:pPr>
              <w:jc w:val="center"/>
              <w:rPr>
                <w:rFonts w:ascii="Times New Roman" w:eastAsia="Times New Roman" w:hAnsi="Times New Roman" w:cs="Times New Roman"/>
                <w:b/>
                <w:lang w:eastAsia="ru-RU"/>
              </w:rPr>
            </w:pPr>
          </w:p>
        </w:tc>
        <w:tc>
          <w:tcPr>
            <w:tcW w:w="968" w:type="dxa"/>
            <w:vMerge/>
            <w:shd w:val="clear" w:color="auto" w:fill="002060"/>
            <w:vAlign w:val="center"/>
          </w:tcPr>
          <w:p w:rsidR="003E62EC" w:rsidRPr="00C26E3B" w:rsidRDefault="003E62EC" w:rsidP="003E62EC">
            <w:pPr>
              <w:jc w:val="center"/>
              <w:rPr>
                <w:rFonts w:ascii="Times New Roman" w:eastAsia="Times New Roman" w:hAnsi="Times New Roman" w:cs="Times New Roman"/>
                <w:b/>
                <w:lang w:eastAsia="ru-RU"/>
              </w:rPr>
            </w:pPr>
          </w:p>
        </w:tc>
        <w:tc>
          <w:tcPr>
            <w:tcW w:w="992" w:type="dxa"/>
            <w:shd w:val="clear" w:color="auto" w:fill="002060"/>
            <w:vAlign w:val="center"/>
          </w:tcPr>
          <w:p w:rsidR="003E62EC" w:rsidRPr="00C26E3B" w:rsidRDefault="005C009C" w:rsidP="003E62EC">
            <w:pPr>
              <w:ind w:left="-113" w:right="-113"/>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d</w:t>
            </w:r>
            <w:r w:rsidR="003E62EC" w:rsidRPr="00C26E3B">
              <w:rPr>
                <w:rFonts w:ascii="Times New Roman" w:eastAsia="Times New Roman" w:hAnsi="Times New Roman" w:cs="Times New Roman"/>
                <w:b/>
                <w:lang w:eastAsia="ru-RU"/>
              </w:rPr>
              <w:t>evieri (+/-)</w:t>
            </w:r>
          </w:p>
        </w:tc>
        <w:tc>
          <w:tcPr>
            <w:tcW w:w="739" w:type="dxa"/>
            <w:shd w:val="clear" w:color="auto" w:fill="002060"/>
            <w:vAlign w:val="center"/>
          </w:tcPr>
          <w:p w:rsidR="003E62EC" w:rsidRPr="00C26E3B" w:rsidRDefault="003E62EC" w:rsidP="003E62EC">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în </w:t>
            </w:r>
            <w:r w:rsidRPr="00C26E3B">
              <w:rPr>
                <w:rFonts w:ascii="Times New Roman" w:eastAsia="Times New Roman" w:hAnsi="Times New Roman" w:cs="Times New Roman"/>
                <w:b/>
                <w:lang w:eastAsia="ru-RU"/>
              </w:rPr>
              <w:t>%</w:t>
            </w:r>
          </w:p>
        </w:tc>
        <w:tc>
          <w:tcPr>
            <w:tcW w:w="992" w:type="dxa"/>
            <w:vMerge/>
            <w:shd w:val="clear" w:color="auto" w:fill="002060"/>
          </w:tcPr>
          <w:p w:rsidR="003E62EC" w:rsidRPr="00C26E3B" w:rsidRDefault="003E62EC" w:rsidP="003E62EC">
            <w:pPr>
              <w:ind w:left="-113" w:right="-113"/>
              <w:jc w:val="center"/>
              <w:rPr>
                <w:rFonts w:ascii="Times New Roman" w:eastAsia="Times New Roman" w:hAnsi="Times New Roman" w:cs="Times New Roman"/>
                <w:b/>
                <w:lang w:eastAsia="ru-RU"/>
              </w:rPr>
            </w:pPr>
          </w:p>
        </w:tc>
        <w:tc>
          <w:tcPr>
            <w:tcW w:w="851" w:type="dxa"/>
            <w:shd w:val="clear" w:color="auto" w:fill="002060"/>
            <w:vAlign w:val="center"/>
          </w:tcPr>
          <w:p w:rsidR="003E62EC" w:rsidRPr="00C26E3B" w:rsidRDefault="005C009C" w:rsidP="003E62EC">
            <w:pPr>
              <w:ind w:left="-113" w:right="-113"/>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d</w:t>
            </w:r>
            <w:r w:rsidR="003E62EC" w:rsidRPr="00C26E3B">
              <w:rPr>
                <w:rFonts w:ascii="Times New Roman" w:eastAsia="Times New Roman" w:hAnsi="Times New Roman" w:cs="Times New Roman"/>
                <w:b/>
                <w:lang w:eastAsia="ru-RU"/>
              </w:rPr>
              <w:t>evieri (+/-)</w:t>
            </w:r>
          </w:p>
        </w:tc>
        <w:tc>
          <w:tcPr>
            <w:tcW w:w="708" w:type="dxa"/>
            <w:shd w:val="clear" w:color="auto" w:fill="002060"/>
            <w:vAlign w:val="center"/>
          </w:tcPr>
          <w:p w:rsidR="003E62EC" w:rsidRPr="00C26E3B" w:rsidRDefault="003E62EC" w:rsidP="003E62EC">
            <w:pPr>
              <w:jc w:val="center"/>
              <w:rPr>
                <w:rFonts w:ascii="Times New Roman" w:eastAsia="Times New Roman" w:hAnsi="Times New Roman" w:cs="Times New Roman"/>
                <w:b/>
                <w:lang w:eastAsia="ru-RU"/>
              </w:rPr>
            </w:pPr>
            <w:r w:rsidRPr="00C26E3B">
              <w:rPr>
                <w:rFonts w:ascii="Times New Roman" w:eastAsia="Times New Roman" w:hAnsi="Times New Roman" w:cs="Times New Roman"/>
                <w:b/>
                <w:lang w:eastAsia="ru-RU"/>
              </w:rPr>
              <w:t>în %</w:t>
            </w:r>
          </w:p>
        </w:tc>
      </w:tr>
      <w:tr w:rsidR="003E62EC" w:rsidRPr="00C26E3B" w:rsidTr="003947E3">
        <w:tc>
          <w:tcPr>
            <w:tcW w:w="3686" w:type="dxa"/>
            <w:shd w:val="clear" w:color="auto" w:fill="DEEAF6" w:themeFill="accent1" w:themeFillTint="33"/>
            <w:vAlign w:val="center"/>
          </w:tcPr>
          <w:p w:rsidR="003E62EC" w:rsidRPr="00FA228A" w:rsidRDefault="003E62EC" w:rsidP="003E62EC">
            <w:pPr>
              <w:ind w:right="-105"/>
              <w:jc w:val="center"/>
              <w:rPr>
                <w:rFonts w:ascii="Times New Roman" w:eastAsia="Times New Roman" w:hAnsi="Times New Roman" w:cs="Times New Roman"/>
                <w:b/>
                <w:lang w:eastAsia="ru-RU"/>
              </w:rPr>
            </w:pPr>
            <w:r w:rsidRPr="00032A2E">
              <w:rPr>
                <w:rFonts w:ascii="Times New Roman" w:eastAsia="Times New Roman" w:hAnsi="Times New Roman" w:cs="Times New Roman"/>
                <w:b/>
                <w:sz w:val="20"/>
                <w:lang w:eastAsia="ru-RU"/>
              </w:rPr>
              <w:t>1</w:t>
            </w:r>
          </w:p>
        </w:tc>
        <w:tc>
          <w:tcPr>
            <w:tcW w:w="844" w:type="dxa"/>
            <w:shd w:val="clear" w:color="auto" w:fill="DEEAF6" w:themeFill="accent1" w:themeFillTint="33"/>
            <w:vAlign w:val="center"/>
          </w:tcPr>
          <w:p w:rsidR="003E62EC" w:rsidRPr="00FA228A" w:rsidRDefault="003E62EC" w:rsidP="003E62EC">
            <w:pPr>
              <w:jc w:val="center"/>
              <w:rPr>
                <w:rFonts w:ascii="Times New Roman" w:eastAsia="Times New Roman" w:hAnsi="Times New Roman" w:cs="Times New Roman"/>
                <w:b/>
                <w:color w:val="000000"/>
                <w:sz w:val="20"/>
                <w:szCs w:val="20"/>
                <w:lang w:val="en-US"/>
              </w:rPr>
            </w:pPr>
            <w:r>
              <w:rPr>
                <w:rFonts w:ascii="Times New Roman" w:eastAsia="Times New Roman" w:hAnsi="Times New Roman" w:cs="Times New Roman"/>
                <w:b/>
                <w:color w:val="000000"/>
                <w:sz w:val="20"/>
                <w:szCs w:val="20"/>
                <w:lang w:val="en-US"/>
              </w:rPr>
              <w:t>2</w:t>
            </w:r>
          </w:p>
        </w:tc>
        <w:tc>
          <w:tcPr>
            <w:tcW w:w="968" w:type="dxa"/>
            <w:shd w:val="clear" w:color="auto" w:fill="DEEAF6" w:themeFill="accent1" w:themeFillTint="33"/>
            <w:vAlign w:val="center"/>
          </w:tcPr>
          <w:p w:rsidR="003E62EC" w:rsidRPr="00FA228A" w:rsidRDefault="003E62EC" w:rsidP="003E62EC">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p>
        </w:tc>
        <w:tc>
          <w:tcPr>
            <w:tcW w:w="992" w:type="dxa"/>
            <w:shd w:val="clear" w:color="auto" w:fill="DEEAF6" w:themeFill="accent1" w:themeFillTint="33"/>
            <w:vAlign w:val="center"/>
          </w:tcPr>
          <w:p w:rsidR="003E62EC" w:rsidRPr="00FA228A" w:rsidRDefault="003E62EC" w:rsidP="003E62EC">
            <w:pPr>
              <w:ind w:left="-97" w:right="-30"/>
              <w:jc w:val="center"/>
              <w:rPr>
                <w:rFonts w:ascii="Times New Roman" w:eastAsia="Times New Roman" w:hAnsi="Times New Roman" w:cs="Times New Roman"/>
                <w:b/>
                <w:bCs/>
                <w:color w:val="000000"/>
                <w:sz w:val="20"/>
                <w:szCs w:val="20"/>
                <w:lang w:val="en-US"/>
              </w:rPr>
            </w:pPr>
            <w:r>
              <w:rPr>
                <w:rFonts w:ascii="Times New Roman" w:eastAsia="Times New Roman" w:hAnsi="Times New Roman" w:cs="Times New Roman"/>
                <w:b/>
                <w:bCs/>
                <w:color w:val="000000"/>
                <w:sz w:val="20"/>
                <w:szCs w:val="20"/>
                <w:lang w:val="en-US"/>
              </w:rPr>
              <w:t>4=3-2</w:t>
            </w:r>
          </w:p>
        </w:tc>
        <w:tc>
          <w:tcPr>
            <w:tcW w:w="739" w:type="dxa"/>
            <w:shd w:val="clear" w:color="auto" w:fill="DEEAF6" w:themeFill="accent1" w:themeFillTint="33"/>
            <w:vAlign w:val="center"/>
          </w:tcPr>
          <w:p w:rsidR="003E62EC" w:rsidRPr="00FA228A" w:rsidRDefault="003E62EC" w:rsidP="003E62EC">
            <w:pPr>
              <w:jc w:val="center"/>
              <w:rPr>
                <w:rFonts w:ascii="Times New Roman" w:hAnsi="Times New Roman" w:cs="Times New Roman"/>
                <w:b/>
                <w:sz w:val="20"/>
              </w:rPr>
            </w:pPr>
            <w:r>
              <w:rPr>
                <w:rFonts w:ascii="Times New Roman" w:hAnsi="Times New Roman" w:cs="Times New Roman"/>
                <w:b/>
                <w:sz w:val="20"/>
              </w:rPr>
              <w:t>5</w:t>
            </w:r>
            <w:r w:rsidRPr="00FA228A">
              <w:rPr>
                <w:rFonts w:ascii="Times New Roman" w:hAnsi="Times New Roman" w:cs="Times New Roman"/>
                <w:b/>
                <w:sz w:val="20"/>
              </w:rPr>
              <w:t>=</w:t>
            </w:r>
            <w:r>
              <w:rPr>
                <w:rFonts w:ascii="Times New Roman" w:hAnsi="Times New Roman" w:cs="Times New Roman"/>
                <w:b/>
                <w:sz w:val="20"/>
              </w:rPr>
              <w:t>3/2</w:t>
            </w:r>
            <w:r w:rsidRPr="00FA228A">
              <w:rPr>
                <w:rFonts w:ascii="Times New Roman" w:hAnsi="Times New Roman" w:cs="Times New Roman"/>
                <w:b/>
                <w:sz w:val="20"/>
              </w:rPr>
              <w:t>*100</w:t>
            </w:r>
          </w:p>
        </w:tc>
        <w:tc>
          <w:tcPr>
            <w:tcW w:w="992" w:type="dxa"/>
            <w:shd w:val="clear" w:color="auto" w:fill="DEEAF6" w:themeFill="accent1" w:themeFillTint="33"/>
            <w:vAlign w:val="center"/>
          </w:tcPr>
          <w:p w:rsidR="003E62EC" w:rsidRPr="00FA228A" w:rsidRDefault="003E62EC" w:rsidP="003E62EC">
            <w:pPr>
              <w:ind w:left="-113" w:right="-113"/>
              <w:jc w:val="center"/>
              <w:rPr>
                <w:rFonts w:ascii="Times New Roman" w:hAnsi="Times New Roman" w:cs="Times New Roman"/>
                <w:b/>
                <w:sz w:val="20"/>
              </w:rPr>
            </w:pPr>
            <w:r>
              <w:rPr>
                <w:rFonts w:ascii="Times New Roman" w:hAnsi="Times New Roman" w:cs="Times New Roman"/>
                <w:b/>
                <w:sz w:val="20"/>
              </w:rPr>
              <w:t>6</w:t>
            </w:r>
          </w:p>
        </w:tc>
        <w:tc>
          <w:tcPr>
            <w:tcW w:w="851" w:type="dxa"/>
            <w:shd w:val="clear" w:color="auto" w:fill="DEEAF6" w:themeFill="accent1" w:themeFillTint="33"/>
            <w:vAlign w:val="center"/>
          </w:tcPr>
          <w:p w:rsidR="003E62EC" w:rsidRPr="00FA228A" w:rsidRDefault="003E62EC" w:rsidP="003E62EC">
            <w:pPr>
              <w:ind w:left="-113" w:right="-113"/>
              <w:jc w:val="center"/>
              <w:rPr>
                <w:rFonts w:ascii="Times New Roman" w:hAnsi="Times New Roman" w:cs="Times New Roman"/>
                <w:b/>
                <w:sz w:val="20"/>
              </w:rPr>
            </w:pPr>
            <w:r>
              <w:rPr>
                <w:rFonts w:ascii="Times New Roman" w:hAnsi="Times New Roman" w:cs="Times New Roman"/>
                <w:b/>
                <w:sz w:val="20"/>
              </w:rPr>
              <w:t>7</w:t>
            </w:r>
            <w:r w:rsidRPr="00FA228A">
              <w:rPr>
                <w:rFonts w:ascii="Times New Roman" w:hAnsi="Times New Roman" w:cs="Times New Roman"/>
                <w:b/>
                <w:sz w:val="20"/>
              </w:rPr>
              <w:t>=</w:t>
            </w:r>
            <w:r>
              <w:rPr>
                <w:rFonts w:ascii="Times New Roman" w:hAnsi="Times New Roman" w:cs="Times New Roman"/>
                <w:b/>
                <w:sz w:val="20"/>
              </w:rPr>
              <w:t>3</w:t>
            </w:r>
            <w:r w:rsidRPr="00FA228A">
              <w:rPr>
                <w:rFonts w:ascii="Times New Roman" w:hAnsi="Times New Roman" w:cs="Times New Roman"/>
                <w:b/>
                <w:sz w:val="20"/>
              </w:rPr>
              <w:t>-</w:t>
            </w:r>
            <w:r>
              <w:rPr>
                <w:rFonts w:ascii="Times New Roman" w:hAnsi="Times New Roman" w:cs="Times New Roman"/>
                <w:b/>
                <w:sz w:val="20"/>
              </w:rPr>
              <w:t>6</w:t>
            </w:r>
          </w:p>
        </w:tc>
        <w:tc>
          <w:tcPr>
            <w:tcW w:w="708" w:type="dxa"/>
            <w:shd w:val="clear" w:color="auto" w:fill="DEEAF6" w:themeFill="accent1" w:themeFillTint="33"/>
            <w:vAlign w:val="center"/>
          </w:tcPr>
          <w:p w:rsidR="003E62EC" w:rsidRPr="00FA228A" w:rsidRDefault="003E62EC" w:rsidP="003E62EC">
            <w:pPr>
              <w:jc w:val="center"/>
              <w:rPr>
                <w:rFonts w:ascii="Times New Roman" w:hAnsi="Times New Roman" w:cs="Times New Roman"/>
                <w:b/>
                <w:sz w:val="20"/>
              </w:rPr>
            </w:pPr>
            <w:r>
              <w:rPr>
                <w:rFonts w:ascii="Times New Roman" w:hAnsi="Times New Roman" w:cs="Times New Roman"/>
                <w:b/>
                <w:sz w:val="20"/>
              </w:rPr>
              <w:t>8</w:t>
            </w:r>
            <w:r w:rsidRPr="00FA228A">
              <w:rPr>
                <w:rFonts w:ascii="Times New Roman" w:hAnsi="Times New Roman" w:cs="Times New Roman"/>
                <w:b/>
                <w:sz w:val="20"/>
              </w:rPr>
              <w:t>=</w:t>
            </w:r>
            <w:r>
              <w:rPr>
                <w:rFonts w:ascii="Times New Roman" w:hAnsi="Times New Roman" w:cs="Times New Roman"/>
                <w:b/>
                <w:sz w:val="20"/>
              </w:rPr>
              <w:t>3</w:t>
            </w:r>
            <w:r w:rsidRPr="00FA228A">
              <w:rPr>
                <w:rFonts w:ascii="Times New Roman" w:hAnsi="Times New Roman" w:cs="Times New Roman"/>
                <w:b/>
                <w:sz w:val="20"/>
              </w:rPr>
              <w:t>/</w:t>
            </w:r>
            <w:r>
              <w:rPr>
                <w:rFonts w:ascii="Times New Roman" w:hAnsi="Times New Roman" w:cs="Times New Roman"/>
                <w:b/>
                <w:sz w:val="20"/>
              </w:rPr>
              <w:t>6</w:t>
            </w:r>
            <w:r w:rsidRPr="00FA228A">
              <w:rPr>
                <w:rFonts w:ascii="Times New Roman" w:hAnsi="Times New Roman" w:cs="Times New Roman"/>
                <w:b/>
                <w:sz w:val="20"/>
              </w:rPr>
              <w:t>*100</w:t>
            </w:r>
          </w:p>
        </w:tc>
      </w:tr>
      <w:tr w:rsidR="003E62EC" w:rsidRPr="00C26E3B" w:rsidTr="003947E3">
        <w:tc>
          <w:tcPr>
            <w:tcW w:w="3686" w:type="dxa"/>
            <w:shd w:val="clear" w:color="auto" w:fill="B4C6E7" w:themeFill="accent5" w:themeFillTint="66"/>
          </w:tcPr>
          <w:p w:rsidR="003E62EC" w:rsidRPr="00C26E3B" w:rsidRDefault="003E62EC" w:rsidP="003E62EC">
            <w:pPr>
              <w:ind w:right="-105"/>
              <w:rPr>
                <w:rFonts w:ascii="Times New Roman" w:eastAsia="Times New Roman" w:hAnsi="Times New Roman" w:cs="Times New Roman"/>
                <w:b/>
                <w:lang w:eastAsia="ru-RU"/>
              </w:rPr>
            </w:pPr>
            <w:r>
              <w:rPr>
                <w:rFonts w:ascii="Times New Roman" w:eastAsia="Times New Roman" w:hAnsi="Times New Roman" w:cs="Times New Roman"/>
                <w:b/>
                <w:lang w:eastAsia="ru-RU"/>
              </w:rPr>
              <w:t>CHELTUIELI, total:</w:t>
            </w:r>
          </w:p>
        </w:tc>
        <w:tc>
          <w:tcPr>
            <w:tcW w:w="844" w:type="dxa"/>
            <w:shd w:val="clear" w:color="auto" w:fill="B4C6E7" w:themeFill="accent5" w:themeFillTint="66"/>
            <w:vAlign w:val="center"/>
          </w:tcPr>
          <w:p w:rsidR="003E62EC" w:rsidRPr="00F13ACF" w:rsidRDefault="003E62EC" w:rsidP="007564D7">
            <w:pPr>
              <w:ind w:left="-108" w:right="-111"/>
              <w:jc w:val="center"/>
              <w:rPr>
                <w:rFonts w:ascii="Times New Roman" w:eastAsia="Times New Roman" w:hAnsi="Times New Roman" w:cs="Times New Roman"/>
                <w:b/>
                <w:color w:val="000000"/>
                <w:sz w:val="20"/>
                <w:szCs w:val="20"/>
                <w:lang w:val="en-US"/>
              </w:rPr>
            </w:pPr>
            <w:r w:rsidRPr="00F13ACF">
              <w:rPr>
                <w:rFonts w:ascii="Times New Roman" w:eastAsia="Times New Roman" w:hAnsi="Times New Roman" w:cs="Times New Roman"/>
                <w:b/>
                <w:color w:val="000000"/>
                <w:sz w:val="20"/>
                <w:szCs w:val="20"/>
                <w:lang w:val="en-US"/>
              </w:rPr>
              <w:t>37802,</w:t>
            </w:r>
            <w:r w:rsidR="007564D7">
              <w:rPr>
                <w:rFonts w:ascii="Times New Roman" w:eastAsia="Times New Roman" w:hAnsi="Times New Roman" w:cs="Times New Roman"/>
                <w:b/>
                <w:color w:val="000000"/>
                <w:sz w:val="20"/>
                <w:szCs w:val="20"/>
                <w:lang w:val="en-US"/>
              </w:rPr>
              <w:t>5</w:t>
            </w:r>
          </w:p>
        </w:tc>
        <w:tc>
          <w:tcPr>
            <w:tcW w:w="968" w:type="dxa"/>
            <w:shd w:val="clear" w:color="auto" w:fill="B4C6E7" w:themeFill="accent5" w:themeFillTint="66"/>
            <w:vAlign w:val="center"/>
          </w:tcPr>
          <w:p w:rsidR="003E62EC" w:rsidRPr="00F13ACF" w:rsidRDefault="003E62EC" w:rsidP="00AC3673">
            <w:pPr>
              <w:jc w:val="center"/>
              <w:rPr>
                <w:rFonts w:ascii="Times New Roman" w:eastAsia="Times New Roman" w:hAnsi="Times New Roman" w:cs="Times New Roman"/>
                <w:b/>
                <w:sz w:val="20"/>
                <w:szCs w:val="20"/>
                <w:lang w:eastAsia="ru-RU"/>
              </w:rPr>
            </w:pPr>
            <w:r w:rsidRPr="00F13ACF">
              <w:rPr>
                <w:rFonts w:ascii="Times New Roman" w:eastAsia="Times New Roman" w:hAnsi="Times New Roman" w:cs="Times New Roman"/>
                <w:b/>
                <w:sz w:val="20"/>
                <w:szCs w:val="20"/>
                <w:lang w:eastAsia="ru-RU"/>
              </w:rPr>
              <w:t>35479,1</w:t>
            </w:r>
          </w:p>
        </w:tc>
        <w:tc>
          <w:tcPr>
            <w:tcW w:w="992" w:type="dxa"/>
            <w:shd w:val="clear" w:color="auto" w:fill="B4C6E7" w:themeFill="accent5" w:themeFillTint="66"/>
            <w:vAlign w:val="center"/>
          </w:tcPr>
          <w:p w:rsidR="003E62EC" w:rsidRPr="00F13ACF" w:rsidRDefault="003E62EC" w:rsidP="00AC3673">
            <w:pPr>
              <w:ind w:left="-97" w:right="-30"/>
              <w:jc w:val="center"/>
              <w:rPr>
                <w:rFonts w:ascii="Times New Roman" w:eastAsia="Times New Roman" w:hAnsi="Times New Roman" w:cs="Times New Roman"/>
                <w:b/>
                <w:bCs/>
                <w:color w:val="000000"/>
                <w:sz w:val="20"/>
                <w:szCs w:val="20"/>
                <w:lang w:val="en-US"/>
              </w:rPr>
            </w:pPr>
            <w:r w:rsidRPr="00F13ACF">
              <w:rPr>
                <w:rFonts w:ascii="Times New Roman" w:eastAsia="Times New Roman" w:hAnsi="Times New Roman" w:cs="Times New Roman"/>
                <w:b/>
                <w:bCs/>
                <w:color w:val="000000"/>
                <w:sz w:val="20"/>
                <w:szCs w:val="20"/>
                <w:lang w:val="en-US"/>
              </w:rPr>
              <w:t>-2323,4</w:t>
            </w:r>
          </w:p>
        </w:tc>
        <w:tc>
          <w:tcPr>
            <w:tcW w:w="739" w:type="dxa"/>
            <w:shd w:val="clear" w:color="auto" w:fill="B4C6E7" w:themeFill="accent5" w:themeFillTint="66"/>
            <w:vAlign w:val="center"/>
          </w:tcPr>
          <w:p w:rsidR="003E62EC" w:rsidRPr="00F13ACF" w:rsidRDefault="003E62EC" w:rsidP="00AC3673">
            <w:pPr>
              <w:ind w:left="-89"/>
              <w:jc w:val="center"/>
              <w:rPr>
                <w:rFonts w:ascii="Times New Roman" w:eastAsia="Times New Roman" w:hAnsi="Times New Roman" w:cs="Times New Roman"/>
                <w:b/>
                <w:bCs/>
                <w:color w:val="000000"/>
                <w:sz w:val="20"/>
                <w:szCs w:val="20"/>
                <w:lang w:val="en-US"/>
              </w:rPr>
            </w:pPr>
            <w:r w:rsidRPr="00F13ACF">
              <w:rPr>
                <w:rFonts w:ascii="Times New Roman" w:eastAsia="Times New Roman" w:hAnsi="Times New Roman" w:cs="Times New Roman"/>
                <w:b/>
                <w:bCs/>
                <w:color w:val="000000"/>
                <w:sz w:val="20"/>
                <w:szCs w:val="20"/>
                <w:lang w:val="en-US"/>
              </w:rPr>
              <w:t>93,9</w:t>
            </w:r>
          </w:p>
        </w:tc>
        <w:tc>
          <w:tcPr>
            <w:tcW w:w="992" w:type="dxa"/>
            <w:shd w:val="clear" w:color="auto" w:fill="B4C6E7" w:themeFill="accent5" w:themeFillTint="66"/>
            <w:vAlign w:val="center"/>
          </w:tcPr>
          <w:p w:rsidR="003E62EC" w:rsidRPr="00F13ACF" w:rsidRDefault="003E62EC" w:rsidP="00AC3673">
            <w:pPr>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32313,2</w:t>
            </w:r>
          </w:p>
        </w:tc>
        <w:tc>
          <w:tcPr>
            <w:tcW w:w="851" w:type="dxa"/>
            <w:shd w:val="clear" w:color="auto" w:fill="B4C6E7" w:themeFill="accent5" w:themeFillTint="66"/>
            <w:vAlign w:val="center"/>
          </w:tcPr>
          <w:p w:rsidR="003E62EC" w:rsidRPr="00F13ACF" w:rsidRDefault="003E62EC" w:rsidP="00AC3673">
            <w:pPr>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3165,9</w:t>
            </w:r>
          </w:p>
        </w:tc>
        <w:tc>
          <w:tcPr>
            <w:tcW w:w="708" w:type="dxa"/>
            <w:shd w:val="clear" w:color="auto" w:fill="B4C6E7" w:themeFill="accent5" w:themeFillTint="66"/>
            <w:vAlign w:val="center"/>
          </w:tcPr>
          <w:p w:rsidR="003E62EC" w:rsidRPr="00F13ACF" w:rsidRDefault="003E62EC" w:rsidP="00AC3673">
            <w:pPr>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109,8</w:t>
            </w:r>
          </w:p>
        </w:tc>
      </w:tr>
      <w:tr w:rsidR="003E62EC" w:rsidRPr="00C26E3B" w:rsidTr="003947E3">
        <w:tc>
          <w:tcPr>
            <w:tcW w:w="3686" w:type="dxa"/>
          </w:tcPr>
          <w:p w:rsidR="003E62EC" w:rsidRPr="00CA4610" w:rsidRDefault="003E62EC" w:rsidP="003E62EC">
            <w:pPr>
              <w:rPr>
                <w:rFonts w:ascii="Times New Roman" w:eastAsia="Times New Roman" w:hAnsi="Times New Roman" w:cs="Times New Roman"/>
                <w:lang w:eastAsia="ru-RU"/>
              </w:rPr>
            </w:pPr>
            <w:r>
              <w:rPr>
                <w:rFonts w:ascii="Times New Roman" w:eastAsia="Times New Roman" w:hAnsi="Times New Roman" w:cs="Times New Roman"/>
                <w:lang w:eastAsia="ru-RU"/>
              </w:rPr>
              <w:t>Servicii de stat cu destinație generală</w:t>
            </w:r>
          </w:p>
        </w:tc>
        <w:tc>
          <w:tcPr>
            <w:tcW w:w="844" w:type="dxa"/>
            <w:shd w:val="clear" w:color="auto" w:fill="auto"/>
            <w:vAlign w:val="center"/>
          </w:tcPr>
          <w:p w:rsidR="003E62EC" w:rsidRPr="00F13ACF" w:rsidRDefault="003E62EC" w:rsidP="00AC3673">
            <w:pPr>
              <w:ind w:left="-10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6450,9</w:t>
            </w:r>
          </w:p>
        </w:tc>
        <w:tc>
          <w:tcPr>
            <w:tcW w:w="968" w:type="dxa"/>
            <w:shd w:val="clear" w:color="auto" w:fill="auto"/>
            <w:vAlign w:val="center"/>
          </w:tcPr>
          <w:p w:rsidR="003E62EC" w:rsidRPr="00F13ACF" w:rsidRDefault="003E62EC" w:rsidP="00AC3673">
            <w:pPr>
              <w:ind w:left="-98" w:right="-2"/>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5896,5</w:t>
            </w:r>
          </w:p>
        </w:tc>
        <w:tc>
          <w:tcPr>
            <w:tcW w:w="992" w:type="dxa"/>
            <w:shd w:val="clear" w:color="auto" w:fill="auto"/>
            <w:vAlign w:val="center"/>
          </w:tcPr>
          <w:p w:rsidR="003E62EC" w:rsidRPr="00F13ACF" w:rsidRDefault="003E62EC" w:rsidP="00AC3673">
            <w:pPr>
              <w:ind w:left="-80"/>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-554,4</w:t>
            </w:r>
          </w:p>
        </w:tc>
        <w:tc>
          <w:tcPr>
            <w:tcW w:w="739" w:type="dxa"/>
            <w:shd w:val="clear" w:color="auto" w:fill="auto"/>
            <w:vAlign w:val="center"/>
          </w:tcPr>
          <w:p w:rsidR="003E62EC" w:rsidRPr="00F13ACF" w:rsidRDefault="003E62EC" w:rsidP="00AC3673">
            <w:pPr>
              <w:ind w:left="-89"/>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91,4</w:t>
            </w:r>
          </w:p>
        </w:tc>
        <w:tc>
          <w:tcPr>
            <w:tcW w:w="992" w:type="dxa"/>
            <w:vAlign w:val="center"/>
          </w:tcPr>
          <w:p w:rsidR="003E62EC" w:rsidRPr="003D798B" w:rsidRDefault="003E62EC" w:rsidP="00AC3673">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5313,4</w:t>
            </w:r>
          </w:p>
        </w:tc>
        <w:tc>
          <w:tcPr>
            <w:tcW w:w="851" w:type="dxa"/>
            <w:vAlign w:val="center"/>
          </w:tcPr>
          <w:p w:rsidR="003E62EC" w:rsidRPr="00686F32" w:rsidRDefault="003E62EC" w:rsidP="00AC3673">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583,1</w:t>
            </w:r>
          </w:p>
        </w:tc>
        <w:tc>
          <w:tcPr>
            <w:tcW w:w="708" w:type="dxa"/>
            <w:vAlign w:val="center"/>
          </w:tcPr>
          <w:p w:rsidR="003E62EC" w:rsidRPr="00686F32" w:rsidRDefault="003E62EC" w:rsidP="00AC3673">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111,0</w:t>
            </w:r>
          </w:p>
        </w:tc>
      </w:tr>
      <w:tr w:rsidR="003E62EC" w:rsidRPr="00C26E3B" w:rsidTr="003947E3">
        <w:tc>
          <w:tcPr>
            <w:tcW w:w="3686" w:type="dxa"/>
          </w:tcPr>
          <w:p w:rsidR="003E62EC" w:rsidRPr="00C26E3B" w:rsidRDefault="003E62EC" w:rsidP="003E62EC">
            <w:pPr>
              <w:rPr>
                <w:rFonts w:ascii="Times New Roman" w:eastAsia="Times New Roman" w:hAnsi="Times New Roman" w:cs="Times New Roman"/>
                <w:lang w:eastAsia="ru-RU"/>
              </w:rPr>
            </w:pPr>
            <w:r>
              <w:rPr>
                <w:rFonts w:ascii="Times New Roman" w:eastAsia="Times New Roman" w:hAnsi="Times New Roman" w:cs="Times New Roman"/>
                <w:lang w:eastAsia="ru-RU"/>
              </w:rPr>
              <w:t>Apărare națională</w:t>
            </w:r>
          </w:p>
        </w:tc>
        <w:tc>
          <w:tcPr>
            <w:tcW w:w="844" w:type="dxa"/>
            <w:shd w:val="clear" w:color="auto" w:fill="auto"/>
            <w:vAlign w:val="center"/>
          </w:tcPr>
          <w:p w:rsidR="003E62EC" w:rsidRPr="00F13ACF" w:rsidRDefault="003E62EC" w:rsidP="00AC3673">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567,5</w:t>
            </w:r>
          </w:p>
        </w:tc>
        <w:tc>
          <w:tcPr>
            <w:tcW w:w="968" w:type="dxa"/>
            <w:shd w:val="clear" w:color="auto" w:fill="auto"/>
            <w:vAlign w:val="center"/>
          </w:tcPr>
          <w:p w:rsidR="003E62EC" w:rsidRPr="00F13ACF" w:rsidRDefault="003E62EC" w:rsidP="00AC3673">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557,4</w:t>
            </w:r>
          </w:p>
        </w:tc>
        <w:tc>
          <w:tcPr>
            <w:tcW w:w="992" w:type="dxa"/>
            <w:shd w:val="clear" w:color="auto" w:fill="auto"/>
            <w:vAlign w:val="center"/>
          </w:tcPr>
          <w:p w:rsidR="003E62EC" w:rsidRPr="00F13ACF" w:rsidRDefault="003E62EC" w:rsidP="00AC3673">
            <w:pPr>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-10,1</w:t>
            </w:r>
          </w:p>
        </w:tc>
        <w:tc>
          <w:tcPr>
            <w:tcW w:w="739" w:type="dxa"/>
            <w:shd w:val="clear" w:color="auto" w:fill="auto"/>
            <w:vAlign w:val="center"/>
          </w:tcPr>
          <w:p w:rsidR="003E62EC" w:rsidRPr="00F13ACF" w:rsidRDefault="003E62EC" w:rsidP="00AC3673">
            <w:pPr>
              <w:ind w:left="-89"/>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98,2</w:t>
            </w:r>
          </w:p>
        </w:tc>
        <w:tc>
          <w:tcPr>
            <w:tcW w:w="992" w:type="dxa"/>
            <w:vAlign w:val="center"/>
          </w:tcPr>
          <w:p w:rsidR="003E62EC" w:rsidRPr="00F13ACF" w:rsidRDefault="003E62EC" w:rsidP="00AC3673">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538,4</w:t>
            </w:r>
          </w:p>
        </w:tc>
        <w:tc>
          <w:tcPr>
            <w:tcW w:w="851" w:type="dxa"/>
            <w:vAlign w:val="center"/>
          </w:tcPr>
          <w:p w:rsidR="003E62EC" w:rsidRPr="00686F32" w:rsidRDefault="003E62EC" w:rsidP="00AC3673">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19,0</w:t>
            </w:r>
          </w:p>
        </w:tc>
        <w:tc>
          <w:tcPr>
            <w:tcW w:w="708" w:type="dxa"/>
            <w:vAlign w:val="center"/>
          </w:tcPr>
          <w:p w:rsidR="003E62EC" w:rsidRPr="00F13ACF" w:rsidRDefault="003E62EC" w:rsidP="00AC3673">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103,5</w:t>
            </w:r>
          </w:p>
        </w:tc>
      </w:tr>
      <w:tr w:rsidR="003E62EC" w:rsidRPr="00C26E3B" w:rsidTr="003947E3">
        <w:tc>
          <w:tcPr>
            <w:tcW w:w="3686" w:type="dxa"/>
          </w:tcPr>
          <w:p w:rsidR="003E62EC" w:rsidRPr="00C26E3B" w:rsidRDefault="003E62EC" w:rsidP="003E62EC">
            <w:pPr>
              <w:rPr>
                <w:rFonts w:ascii="Times New Roman" w:eastAsia="Times New Roman" w:hAnsi="Times New Roman" w:cs="Times New Roman"/>
                <w:lang w:eastAsia="ru-RU"/>
              </w:rPr>
            </w:pPr>
            <w:r>
              <w:rPr>
                <w:rFonts w:ascii="Times New Roman" w:eastAsia="Times New Roman" w:hAnsi="Times New Roman" w:cs="Times New Roman"/>
                <w:lang w:eastAsia="ru-RU"/>
              </w:rPr>
              <w:t>Ordine publică și securitate națională</w:t>
            </w:r>
          </w:p>
        </w:tc>
        <w:tc>
          <w:tcPr>
            <w:tcW w:w="844" w:type="dxa"/>
            <w:shd w:val="clear" w:color="auto" w:fill="auto"/>
            <w:vAlign w:val="center"/>
          </w:tcPr>
          <w:p w:rsidR="003E62EC" w:rsidRPr="00F13ACF" w:rsidRDefault="003E62EC" w:rsidP="00AC3673">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4205,7</w:t>
            </w:r>
          </w:p>
        </w:tc>
        <w:tc>
          <w:tcPr>
            <w:tcW w:w="968" w:type="dxa"/>
            <w:shd w:val="clear" w:color="auto" w:fill="auto"/>
            <w:vAlign w:val="center"/>
          </w:tcPr>
          <w:p w:rsidR="003E62EC" w:rsidRPr="00F13ACF" w:rsidRDefault="003E62EC" w:rsidP="00AC3673">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4021,1</w:t>
            </w:r>
          </w:p>
        </w:tc>
        <w:tc>
          <w:tcPr>
            <w:tcW w:w="992" w:type="dxa"/>
            <w:shd w:val="clear" w:color="auto" w:fill="auto"/>
            <w:vAlign w:val="center"/>
          </w:tcPr>
          <w:p w:rsidR="003E62EC" w:rsidRPr="00F13ACF" w:rsidRDefault="003E62EC" w:rsidP="00AC3673">
            <w:pPr>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-184,6</w:t>
            </w:r>
          </w:p>
        </w:tc>
        <w:tc>
          <w:tcPr>
            <w:tcW w:w="739" w:type="dxa"/>
            <w:shd w:val="clear" w:color="auto" w:fill="auto"/>
            <w:vAlign w:val="center"/>
          </w:tcPr>
          <w:p w:rsidR="003E62EC" w:rsidRPr="00F13ACF" w:rsidRDefault="003E62EC" w:rsidP="00AC3673">
            <w:pPr>
              <w:ind w:left="-89"/>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95,6</w:t>
            </w:r>
          </w:p>
        </w:tc>
        <w:tc>
          <w:tcPr>
            <w:tcW w:w="992" w:type="dxa"/>
            <w:vAlign w:val="center"/>
          </w:tcPr>
          <w:p w:rsidR="003E62EC" w:rsidRPr="00F13ACF" w:rsidRDefault="003E62EC" w:rsidP="00AC3673">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3327,5</w:t>
            </w:r>
          </w:p>
        </w:tc>
        <w:tc>
          <w:tcPr>
            <w:tcW w:w="851" w:type="dxa"/>
            <w:vAlign w:val="center"/>
          </w:tcPr>
          <w:p w:rsidR="003E62EC" w:rsidRPr="00686F32" w:rsidRDefault="003E62EC" w:rsidP="00AC3673">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693,6</w:t>
            </w:r>
          </w:p>
        </w:tc>
        <w:tc>
          <w:tcPr>
            <w:tcW w:w="708" w:type="dxa"/>
            <w:vAlign w:val="center"/>
          </w:tcPr>
          <w:p w:rsidR="003E62EC" w:rsidRPr="00F13ACF" w:rsidRDefault="003E62EC" w:rsidP="00AC3673">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120,8</w:t>
            </w:r>
          </w:p>
        </w:tc>
      </w:tr>
      <w:tr w:rsidR="003E62EC" w:rsidRPr="00C26E3B" w:rsidTr="003947E3">
        <w:tc>
          <w:tcPr>
            <w:tcW w:w="3686" w:type="dxa"/>
          </w:tcPr>
          <w:p w:rsidR="003E62EC" w:rsidRPr="00CA4610" w:rsidRDefault="003E62EC" w:rsidP="003E62EC">
            <w:pPr>
              <w:rPr>
                <w:rFonts w:ascii="Times New Roman" w:eastAsia="Times New Roman" w:hAnsi="Times New Roman" w:cs="Times New Roman"/>
                <w:lang w:eastAsia="ru-RU"/>
              </w:rPr>
            </w:pPr>
            <w:r>
              <w:rPr>
                <w:rFonts w:ascii="Times New Roman" w:eastAsia="Times New Roman" w:hAnsi="Times New Roman" w:cs="Times New Roman"/>
                <w:lang w:eastAsia="ru-RU"/>
              </w:rPr>
              <w:t>Servicii în domeniul economiei</w:t>
            </w:r>
          </w:p>
        </w:tc>
        <w:tc>
          <w:tcPr>
            <w:tcW w:w="844" w:type="dxa"/>
            <w:shd w:val="clear" w:color="auto" w:fill="auto"/>
            <w:vAlign w:val="center"/>
          </w:tcPr>
          <w:p w:rsidR="003E62EC" w:rsidRPr="00F13ACF" w:rsidRDefault="003E62EC" w:rsidP="00AC3673">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5715,6</w:t>
            </w:r>
          </w:p>
        </w:tc>
        <w:tc>
          <w:tcPr>
            <w:tcW w:w="968" w:type="dxa"/>
            <w:shd w:val="clear" w:color="auto" w:fill="auto"/>
            <w:vAlign w:val="center"/>
          </w:tcPr>
          <w:p w:rsidR="003E62EC" w:rsidRPr="00F13ACF" w:rsidRDefault="003E62EC" w:rsidP="00AC3673">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4769,8</w:t>
            </w:r>
          </w:p>
        </w:tc>
        <w:tc>
          <w:tcPr>
            <w:tcW w:w="992" w:type="dxa"/>
            <w:shd w:val="clear" w:color="auto" w:fill="auto"/>
            <w:vAlign w:val="center"/>
          </w:tcPr>
          <w:p w:rsidR="003E62EC" w:rsidRPr="00F13ACF" w:rsidRDefault="003E62EC" w:rsidP="00AC3673">
            <w:pPr>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-945,8</w:t>
            </w:r>
          </w:p>
        </w:tc>
        <w:tc>
          <w:tcPr>
            <w:tcW w:w="739" w:type="dxa"/>
            <w:shd w:val="clear" w:color="auto" w:fill="auto"/>
            <w:vAlign w:val="center"/>
          </w:tcPr>
          <w:p w:rsidR="003E62EC" w:rsidRPr="00F13ACF" w:rsidRDefault="003E62EC" w:rsidP="00AC3673">
            <w:pPr>
              <w:ind w:left="-89"/>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83,6</w:t>
            </w:r>
          </w:p>
        </w:tc>
        <w:tc>
          <w:tcPr>
            <w:tcW w:w="992" w:type="dxa"/>
            <w:vAlign w:val="center"/>
          </w:tcPr>
          <w:p w:rsidR="003E62EC" w:rsidRPr="003D798B" w:rsidRDefault="003E62EC" w:rsidP="00AC3673">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3773,3</w:t>
            </w:r>
          </w:p>
        </w:tc>
        <w:tc>
          <w:tcPr>
            <w:tcW w:w="851" w:type="dxa"/>
            <w:vAlign w:val="center"/>
          </w:tcPr>
          <w:p w:rsidR="003E62EC" w:rsidRPr="00686F32" w:rsidRDefault="003E62EC" w:rsidP="00AC3673">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996,5</w:t>
            </w:r>
          </w:p>
        </w:tc>
        <w:tc>
          <w:tcPr>
            <w:tcW w:w="708" w:type="dxa"/>
            <w:vAlign w:val="center"/>
          </w:tcPr>
          <w:p w:rsidR="003E62EC" w:rsidRPr="003B021E" w:rsidRDefault="003E62EC" w:rsidP="00AC3673">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126,4</w:t>
            </w:r>
          </w:p>
        </w:tc>
      </w:tr>
      <w:tr w:rsidR="003E62EC" w:rsidRPr="00C26E3B" w:rsidTr="003947E3">
        <w:tc>
          <w:tcPr>
            <w:tcW w:w="3686" w:type="dxa"/>
          </w:tcPr>
          <w:p w:rsidR="003E62EC" w:rsidRPr="00C26E3B" w:rsidRDefault="003E62EC" w:rsidP="003E62EC">
            <w:pPr>
              <w:rPr>
                <w:rFonts w:ascii="Times New Roman" w:eastAsia="Times New Roman" w:hAnsi="Times New Roman" w:cs="Times New Roman"/>
                <w:lang w:eastAsia="ru-RU"/>
              </w:rPr>
            </w:pPr>
            <w:r>
              <w:rPr>
                <w:rFonts w:ascii="Times New Roman" w:eastAsia="Times New Roman" w:hAnsi="Times New Roman" w:cs="Times New Roman"/>
                <w:lang w:eastAsia="ru-RU"/>
              </w:rPr>
              <w:t>Protecția mediului</w:t>
            </w:r>
          </w:p>
        </w:tc>
        <w:tc>
          <w:tcPr>
            <w:tcW w:w="844" w:type="dxa"/>
            <w:shd w:val="clear" w:color="auto" w:fill="auto"/>
            <w:vAlign w:val="center"/>
          </w:tcPr>
          <w:p w:rsidR="003E62EC" w:rsidRPr="00F13ACF" w:rsidRDefault="003E62EC" w:rsidP="00AC3673">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119,7</w:t>
            </w:r>
          </w:p>
        </w:tc>
        <w:tc>
          <w:tcPr>
            <w:tcW w:w="968" w:type="dxa"/>
            <w:shd w:val="clear" w:color="auto" w:fill="auto"/>
            <w:vAlign w:val="center"/>
          </w:tcPr>
          <w:p w:rsidR="003E62EC" w:rsidRPr="00F13ACF" w:rsidRDefault="003E62EC" w:rsidP="00AC3673">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104,2</w:t>
            </w:r>
          </w:p>
        </w:tc>
        <w:tc>
          <w:tcPr>
            <w:tcW w:w="992" w:type="dxa"/>
            <w:shd w:val="clear" w:color="auto" w:fill="auto"/>
            <w:vAlign w:val="center"/>
          </w:tcPr>
          <w:p w:rsidR="003E62EC" w:rsidRPr="00F13ACF" w:rsidRDefault="003E62EC" w:rsidP="00AC3673">
            <w:pPr>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-15,5</w:t>
            </w:r>
          </w:p>
        </w:tc>
        <w:tc>
          <w:tcPr>
            <w:tcW w:w="739" w:type="dxa"/>
            <w:shd w:val="clear" w:color="auto" w:fill="auto"/>
            <w:vAlign w:val="center"/>
          </w:tcPr>
          <w:p w:rsidR="003E62EC" w:rsidRPr="00F13ACF" w:rsidRDefault="003E62EC" w:rsidP="00AC3673">
            <w:pPr>
              <w:ind w:left="-89"/>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87,1</w:t>
            </w:r>
          </w:p>
        </w:tc>
        <w:tc>
          <w:tcPr>
            <w:tcW w:w="992" w:type="dxa"/>
            <w:vAlign w:val="center"/>
          </w:tcPr>
          <w:p w:rsidR="003E62EC" w:rsidRPr="00F13ACF" w:rsidRDefault="003E62EC" w:rsidP="00AC3673">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162,2</w:t>
            </w:r>
          </w:p>
        </w:tc>
        <w:tc>
          <w:tcPr>
            <w:tcW w:w="851" w:type="dxa"/>
            <w:vAlign w:val="center"/>
          </w:tcPr>
          <w:p w:rsidR="003E62EC" w:rsidRPr="00686F32" w:rsidRDefault="003E62EC" w:rsidP="00AC3673">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-58,0</w:t>
            </w:r>
          </w:p>
        </w:tc>
        <w:tc>
          <w:tcPr>
            <w:tcW w:w="708" w:type="dxa"/>
            <w:vAlign w:val="center"/>
          </w:tcPr>
          <w:p w:rsidR="003E62EC" w:rsidRPr="00F13ACF" w:rsidRDefault="003E62EC" w:rsidP="00AC3673">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64,2</w:t>
            </w:r>
          </w:p>
        </w:tc>
      </w:tr>
      <w:tr w:rsidR="003E62EC" w:rsidRPr="00C26E3B" w:rsidTr="003947E3">
        <w:tc>
          <w:tcPr>
            <w:tcW w:w="3686" w:type="dxa"/>
          </w:tcPr>
          <w:p w:rsidR="003E62EC" w:rsidRPr="00C26E3B" w:rsidRDefault="003E62EC" w:rsidP="003E62EC">
            <w:pPr>
              <w:rPr>
                <w:rFonts w:ascii="Times New Roman" w:eastAsia="Times New Roman" w:hAnsi="Times New Roman" w:cs="Times New Roman"/>
                <w:lang w:eastAsia="ru-RU"/>
              </w:rPr>
            </w:pPr>
            <w:r>
              <w:rPr>
                <w:rFonts w:ascii="Times New Roman" w:eastAsia="Times New Roman" w:hAnsi="Times New Roman" w:cs="Times New Roman"/>
                <w:lang w:eastAsia="ru-RU"/>
              </w:rPr>
              <w:t>Gospodăria de locuințe și gospodăria serviciilor comunale</w:t>
            </w:r>
          </w:p>
        </w:tc>
        <w:tc>
          <w:tcPr>
            <w:tcW w:w="844" w:type="dxa"/>
            <w:shd w:val="clear" w:color="auto" w:fill="auto"/>
            <w:vAlign w:val="center"/>
          </w:tcPr>
          <w:p w:rsidR="003E62EC" w:rsidRPr="00F13ACF" w:rsidRDefault="003E62EC" w:rsidP="00AC3673">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444,9</w:t>
            </w:r>
          </w:p>
        </w:tc>
        <w:tc>
          <w:tcPr>
            <w:tcW w:w="968" w:type="dxa"/>
            <w:shd w:val="clear" w:color="auto" w:fill="auto"/>
            <w:vAlign w:val="center"/>
          </w:tcPr>
          <w:p w:rsidR="003E62EC" w:rsidRPr="00F13ACF" w:rsidRDefault="003E62EC" w:rsidP="00AC3673">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356,3</w:t>
            </w:r>
          </w:p>
        </w:tc>
        <w:tc>
          <w:tcPr>
            <w:tcW w:w="992" w:type="dxa"/>
            <w:shd w:val="clear" w:color="auto" w:fill="auto"/>
            <w:vAlign w:val="center"/>
          </w:tcPr>
          <w:p w:rsidR="003E62EC" w:rsidRPr="00F13ACF" w:rsidRDefault="003E62EC" w:rsidP="00AC3673">
            <w:pPr>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-88,6</w:t>
            </w:r>
          </w:p>
        </w:tc>
        <w:tc>
          <w:tcPr>
            <w:tcW w:w="739" w:type="dxa"/>
            <w:shd w:val="clear" w:color="auto" w:fill="auto"/>
            <w:vAlign w:val="center"/>
          </w:tcPr>
          <w:p w:rsidR="003E62EC" w:rsidRPr="00F13ACF" w:rsidRDefault="003E62EC" w:rsidP="00AC3673">
            <w:pPr>
              <w:ind w:left="-89"/>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80,1</w:t>
            </w:r>
          </w:p>
        </w:tc>
        <w:tc>
          <w:tcPr>
            <w:tcW w:w="992" w:type="dxa"/>
            <w:vAlign w:val="center"/>
          </w:tcPr>
          <w:p w:rsidR="003E62EC" w:rsidRPr="00F13ACF" w:rsidRDefault="003E62EC" w:rsidP="00AC3673">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381,2</w:t>
            </w:r>
          </w:p>
        </w:tc>
        <w:tc>
          <w:tcPr>
            <w:tcW w:w="851" w:type="dxa"/>
            <w:vAlign w:val="center"/>
          </w:tcPr>
          <w:p w:rsidR="003E62EC" w:rsidRPr="00686F32" w:rsidRDefault="003E62EC" w:rsidP="00AC3673">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-24,9</w:t>
            </w:r>
          </w:p>
        </w:tc>
        <w:tc>
          <w:tcPr>
            <w:tcW w:w="708" w:type="dxa"/>
            <w:vAlign w:val="center"/>
          </w:tcPr>
          <w:p w:rsidR="003E62EC" w:rsidRPr="00F13ACF" w:rsidRDefault="003E62EC" w:rsidP="00AC3673">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93,5</w:t>
            </w:r>
          </w:p>
        </w:tc>
      </w:tr>
      <w:tr w:rsidR="003E62EC" w:rsidRPr="00C26E3B" w:rsidTr="003947E3">
        <w:tc>
          <w:tcPr>
            <w:tcW w:w="3686" w:type="dxa"/>
          </w:tcPr>
          <w:p w:rsidR="003E62EC" w:rsidRPr="00CA4610" w:rsidRDefault="003E62EC" w:rsidP="003E62EC">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Ocrotirea sănătății </w:t>
            </w:r>
          </w:p>
        </w:tc>
        <w:tc>
          <w:tcPr>
            <w:tcW w:w="844" w:type="dxa"/>
            <w:shd w:val="clear" w:color="auto" w:fill="auto"/>
            <w:vAlign w:val="center"/>
          </w:tcPr>
          <w:p w:rsidR="003E62EC" w:rsidRPr="00F13ACF" w:rsidRDefault="003E62EC" w:rsidP="005C009C">
            <w:pPr>
              <w:ind w:right="-111"/>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3518,6</w:t>
            </w:r>
          </w:p>
        </w:tc>
        <w:tc>
          <w:tcPr>
            <w:tcW w:w="968" w:type="dxa"/>
            <w:shd w:val="clear" w:color="auto" w:fill="auto"/>
            <w:vAlign w:val="center"/>
          </w:tcPr>
          <w:p w:rsidR="003E62EC" w:rsidRPr="00F13ACF" w:rsidRDefault="003E62EC" w:rsidP="00AC3673">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3459,6</w:t>
            </w:r>
          </w:p>
        </w:tc>
        <w:tc>
          <w:tcPr>
            <w:tcW w:w="992" w:type="dxa"/>
            <w:shd w:val="clear" w:color="auto" w:fill="auto"/>
            <w:vAlign w:val="center"/>
          </w:tcPr>
          <w:p w:rsidR="003E62EC" w:rsidRPr="00F13ACF" w:rsidRDefault="003E62EC" w:rsidP="00AC3673">
            <w:pPr>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-59,0</w:t>
            </w:r>
          </w:p>
        </w:tc>
        <w:tc>
          <w:tcPr>
            <w:tcW w:w="739" w:type="dxa"/>
            <w:shd w:val="clear" w:color="auto" w:fill="auto"/>
            <w:vAlign w:val="center"/>
          </w:tcPr>
          <w:p w:rsidR="003E62EC" w:rsidRPr="00F13ACF" w:rsidRDefault="003E62EC" w:rsidP="00AC3673">
            <w:pPr>
              <w:ind w:left="-89"/>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98,3</w:t>
            </w:r>
          </w:p>
        </w:tc>
        <w:tc>
          <w:tcPr>
            <w:tcW w:w="992" w:type="dxa"/>
            <w:vAlign w:val="center"/>
          </w:tcPr>
          <w:p w:rsidR="003E62EC" w:rsidRPr="003D798B" w:rsidRDefault="003E62EC" w:rsidP="00AC3673">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3267,5</w:t>
            </w:r>
          </w:p>
        </w:tc>
        <w:tc>
          <w:tcPr>
            <w:tcW w:w="851" w:type="dxa"/>
            <w:vAlign w:val="center"/>
          </w:tcPr>
          <w:p w:rsidR="003E62EC" w:rsidRPr="00686F32" w:rsidRDefault="003E62EC" w:rsidP="00AC3673">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192,1</w:t>
            </w:r>
          </w:p>
        </w:tc>
        <w:tc>
          <w:tcPr>
            <w:tcW w:w="708" w:type="dxa"/>
            <w:vAlign w:val="center"/>
          </w:tcPr>
          <w:p w:rsidR="003E62EC" w:rsidRPr="003B021E" w:rsidRDefault="003E62EC" w:rsidP="00AC3673">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105,9</w:t>
            </w:r>
          </w:p>
        </w:tc>
      </w:tr>
      <w:tr w:rsidR="003E62EC" w:rsidRPr="00C26E3B" w:rsidTr="003947E3">
        <w:tc>
          <w:tcPr>
            <w:tcW w:w="3686" w:type="dxa"/>
          </w:tcPr>
          <w:p w:rsidR="003E62EC" w:rsidRDefault="003E62EC" w:rsidP="003E62EC">
            <w:pPr>
              <w:rPr>
                <w:rFonts w:ascii="Times New Roman" w:eastAsia="Times New Roman" w:hAnsi="Times New Roman" w:cs="Times New Roman"/>
                <w:lang w:eastAsia="ru-RU"/>
              </w:rPr>
            </w:pPr>
            <w:r>
              <w:rPr>
                <w:rFonts w:ascii="Times New Roman" w:eastAsia="Times New Roman" w:hAnsi="Times New Roman" w:cs="Times New Roman"/>
                <w:lang w:eastAsia="ru-RU"/>
              </w:rPr>
              <w:t>Cultur</w:t>
            </w:r>
            <w:r w:rsidR="005C009C">
              <w:rPr>
                <w:rFonts w:ascii="Times New Roman" w:eastAsia="Times New Roman" w:hAnsi="Times New Roman" w:cs="Times New Roman"/>
                <w:lang w:eastAsia="ru-RU"/>
              </w:rPr>
              <w:t>ă</w:t>
            </w:r>
            <w:r>
              <w:rPr>
                <w:rFonts w:ascii="Times New Roman" w:eastAsia="Times New Roman" w:hAnsi="Times New Roman" w:cs="Times New Roman"/>
                <w:lang w:eastAsia="ru-RU"/>
              </w:rPr>
              <w:t>, sport, tineret, culte și odihnă</w:t>
            </w:r>
          </w:p>
        </w:tc>
        <w:tc>
          <w:tcPr>
            <w:tcW w:w="844" w:type="dxa"/>
            <w:shd w:val="clear" w:color="auto" w:fill="auto"/>
            <w:vAlign w:val="center"/>
          </w:tcPr>
          <w:p w:rsidR="003E62EC" w:rsidRPr="00F13ACF" w:rsidRDefault="003E62EC" w:rsidP="005C009C">
            <w:pPr>
              <w:ind w:right="-111"/>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692,6</w:t>
            </w:r>
          </w:p>
        </w:tc>
        <w:tc>
          <w:tcPr>
            <w:tcW w:w="968" w:type="dxa"/>
            <w:shd w:val="clear" w:color="auto" w:fill="auto"/>
            <w:vAlign w:val="center"/>
          </w:tcPr>
          <w:p w:rsidR="003E62EC" w:rsidRPr="00F13ACF" w:rsidRDefault="003E62EC" w:rsidP="00AC3673">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658,8</w:t>
            </w:r>
          </w:p>
        </w:tc>
        <w:tc>
          <w:tcPr>
            <w:tcW w:w="992" w:type="dxa"/>
            <w:shd w:val="clear" w:color="auto" w:fill="auto"/>
            <w:vAlign w:val="center"/>
          </w:tcPr>
          <w:p w:rsidR="003E62EC" w:rsidRPr="00F13ACF" w:rsidRDefault="003E62EC" w:rsidP="00AC3673">
            <w:pPr>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-33,8</w:t>
            </w:r>
          </w:p>
        </w:tc>
        <w:tc>
          <w:tcPr>
            <w:tcW w:w="739" w:type="dxa"/>
            <w:shd w:val="clear" w:color="auto" w:fill="auto"/>
            <w:vAlign w:val="center"/>
          </w:tcPr>
          <w:p w:rsidR="003E62EC" w:rsidRPr="00F13ACF" w:rsidRDefault="003E62EC" w:rsidP="00AC3673">
            <w:pPr>
              <w:ind w:left="-89"/>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95,1</w:t>
            </w:r>
          </w:p>
        </w:tc>
        <w:tc>
          <w:tcPr>
            <w:tcW w:w="992" w:type="dxa"/>
            <w:vAlign w:val="center"/>
          </w:tcPr>
          <w:p w:rsidR="003E62EC" w:rsidRPr="003D798B" w:rsidRDefault="003E62EC" w:rsidP="00AC3673">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629,6</w:t>
            </w:r>
          </w:p>
        </w:tc>
        <w:tc>
          <w:tcPr>
            <w:tcW w:w="851" w:type="dxa"/>
            <w:vAlign w:val="center"/>
          </w:tcPr>
          <w:p w:rsidR="003E62EC" w:rsidRPr="00686F32" w:rsidRDefault="003E62EC" w:rsidP="00AC3673">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29,2</w:t>
            </w:r>
          </w:p>
        </w:tc>
        <w:tc>
          <w:tcPr>
            <w:tcW w:w="708" w:type="dxa"/>
            <w:vAlign w:val="center"/>
          </w:tcPr>
          <w:p w:rsidR="003E62EC" w:rsidRPr="003B021E" w:rsidRDefault="003E62EC" w:rsidP="00AC3673">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104,6</w:t>
            </w:r>
          </w:p>
        </w:tc>
      </w:tr>
      <w:tr w:rsidR="003E62EC" w:rsidRPr="00C26E3B" w:rsidTr="003947E3">
        <w:tc>
          <w:tcPr>
            <w:tcW w:w="3686" w:type="dxa"/>
          </w:tcPr>
          <w:p w:rsidR="003E62EC" w:rsidRDefault="003E62EC" w:rsidP="003E62EC">
            <w:pPr>
              <w:rPr>
                <w:rFonts w:ascii="Times New Roman" w:eastAsia="Times New Roman" w:hAnsi="Times New Roman" w:cs="Times New Roman"/>
                <w:lang w:eastAsia="ru-RU"/>
              </w:rPr>
            </w:pPr>
            <w:r>
              <w:rPr>
                <w:rFonts w:ascii="Times New Roman" w:eastAsia="Times New Roman" w:hAnsi="Times New Roman" w:cs="Times New Roman"/>
                <w:lang w:eastAsia="ru-RU"/>
              </w:rPr>
              <w:t>Învățământ</w:t>
            </w:r>
          </w:p>
        </w:tc>
        <w:tc>
          <w:tcPr>
            <w:tcW w:w="844" w:type="dxa"/>
            <w:shd w:val="clear" w:color="auto" w:fill="auto"/>
            <w:vAlign w:val="center"/>
          </w:tcPr>
          <w:p w:rsidR="003E62EC" w:rsidRPr="00F13ACF" w:rsidRDefault="003E62EC" w:rsidP="005C009C">
            <w:pPr>
              <w:ind w:right="-111"/>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9233,7</w:t>
            </w:r>
          </w:p>
        </w:tc>
        <w:tc>
          <w:tcPr>
            <w:tcW w:w="968" w:type="dxa"/>
            <w:shd w:val="clear" w:color="auto" w:fill="auto"/>
            <w:vAlign w:val="center"/>
          </w:tcPr>
          <w:p w:rsidR="003E62EC" w:rsidRPr="00F13ACF" w:rsidRDefault="003E62EC" w:rsidP="00AC3673">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9001,7</w:t>
            </w:r>
          </w:p>
        </w:tc>
        <w:tc>
          <w:tcPr>
            <w:tcW w:w="992" w:type="dxa"/>
            <w:shd w:val="clear" w:color="auto" w:fill="auto"/>
            <w:vAlign w:val="center"/>
          </w:tcPr>
          <w:p w:rsidR="003E62EC" w:rsidRPr="00F13ACF" w:rsidRDefault="003E62EC" w:rsidP="00AC3673">
            <w:pPr>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-232,0</w:t>
            </w:r>
          </w:p>
        </w:tc>
        <w:tc>
          <w:tcPr>
            <w:tcW w:w="739" w:type="dxa"/>
            <w:shd w:val="clear" w:color="auto" w:fill="auto"/>
            <w:vAlign w:val="center"/>
          </w:tcPr>
          <w:p w:rsidR="003E62EC" w:rsidRPr="00F13ACF" w:rsidRDefault="003E62EC" w:rsidP="00AC3673">
            <w:pPr>
              <w:ind w:left="-89"/>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97,5</w:t>
            </w:r>
          </w:p>
        </w:tc>
        <w:tc>
          <w:tcPr>
            <w:tcW w:w="992" w:type="dxa"/>
            <w:vAlign w:val="center"/>
          </w:tcPr>
          <w:p w:rsidR="003E62EC" w:rsidRPr="003D798B" w:rsidRDefault="003E62EC" w:rsidP="00AC3673">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8269,1</w:t>
            </w:r>
          </w:p>
        </w:tc>
        <w:tc>
          <w:tcPr>
            <w:tcW w:w="851" w:type="dxa"/>
            <w:vAlign w:val="center"/>
          </w:tcPr>
          <w:p w:rsidR="003E62EC" w:rsidRPr="00686F32" w:rsidRDefault="003E62EC" w:rsidP="00AC3673">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732,6</w:t>
            </w:r>
          </w:p>
        </w:tc>
        <w:tc>
          <w:tcPr>
            <w:tcW w:w="708" w:type="dxa"/>
            <w:vAlign w:val="center"/>
          </w:tcPr>
          <w:p w:rsidR="003E62EC" w:rsidRPr="003B021E" w:rsidRDefault="003E62EC" w:rsidP="00AC3673">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108,9</w:t>
            </w:r>
          </w:p>
        </w:tc>
      </w:tr>
      <w:tr w:rsidR="003E62EC" w:rsidRPr="00C26E3B" w:rsidTr="003947E3">
        <w:tc>
          <w:tcPr>
            <w:tcW w:w="3686" w:type="dxa"/>
          </w:tcPr>
          <w:p w:rsidR="003E62EC" w:rsidRDefault="003E62EC" w:rsidP="003E62EC">
            <w:pPr>
              <w:rPr>
                <w:rFonts w:ascii="Times New Roman" w:eastAsia="Times New Roman" w:hAnsi="Times New Roman" w:cs="Times New Roman"/>
                <w:lang w:eastAsia="ru-RU"/>
              </w:rPr>
            </w:pPr>
            <w:r>
              <w:rPr>
                <w:rFonts w:ascii="Times New Roman" w:eastAsia="Times New Roman" w:hAnsi="Times New Roman" w:cs="Times New Roman"/>
                <w:lang w:eastAsia="ru-RU"/>
              </w:rPr>
              <w:t>Protecție socială</w:t>
            </w:r>
          </w:p>
        </w:tc>
        <w:tc>
          <w:tcPr>
            <w:tcW w:w="844" w:type="dxa"/>
            <w:shd w:val="clear" w:color="auto" w:fill="auto"/>
            <w:vAlign w:val="center"/>
          </w:tcPr>
          <w:p w:rsidR="003E62EC" w:rsidRPr="00F13ACF" w:rsidRDefault="003E62EC" w:rsidP="005C009C">
            <w:pPr>
              <w:ind w:right="-111"/>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6853,3</w:t>
            </w:r>
          </w:p>
        </w:tc>
        <w:tc>
          <w:tcPr>
            <w:tcW w:w="968" w:type="dxa"/>
            <w:shd w:val="clear" w:color="auto" w:fill="auto"/>
            <w:vAlign w:val="center"/>
          </w:tcPr>
          <w:p w:rsidR="003E62EC" w:rsidRPr="00F13ACF" w:rsidRDefault="003E62EC" w:rsidP="00AC3673">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6653,7</w:t>
            </w:r>
          </w:p>
        </w:tc>
        <w:tc>
          <w:tcPr>
            <w:tcW w:w="992" w:type="dxa"/>
            <w:shd w:val="clear" w:color="auto" w:fill="auto"/>
            <w:vAlign w:val="center"/>
          </w:tcPr>
          <w:p w:rsidR="003E62EC" w:rsidRPr="00F13ACF" w:rsidRDefault="003E62EC" w:rsidP="00AC3673">
            <w:pPr>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-199,6</w:t>
            </w:r>
          </w:p>
        </w:tc>
        <w:tc>
          <w:tcPr>
            <w:tcW w:w="739" w:type="dxa"/>
            <w:shd w:val="clear" w:color="auto" w:fill="auto"/>
            <w:vAlign w:val="center"/>
          </w:tcPr>
          <w:p w:rsidR="003E62EC" w:rsidRPr="00F13ACF" w:rsidRDefault="003E62EC" w:rsidP="00AC3673">
            <w:pPr>
              <w:ind w:left="-89"/>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97,1</w:t>
            </w:r>
          </w:p>
        </w:tc>
        <w:tc>
          <w:tcPr>
            <w:tcW w:w="992" w:type="dxa"/>
            <w:vAlign w:val="center"/>
          </w:tcPr>
          <w:p w:rsidR="003E62EC" w:rsidRPr="003D798B" w:rsidRDefault="003E62EC" w:rsidP="00AC3673">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6651,0</w:t>
            </w:r>
          </w:p>
        </w:tc>
        <w:tc>
          <w:tcPr>
            <w:tcW w:w="851" w:type="dxa"/>
            <w:vAlign w:val="center"/>
          </w:tcPr>
          <w:p w:rsidR="003E62EC" w:rsidRPr="00686F32" w:rsidRDefault="003E62EC" w:rsidP="00AC3673">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w:t>
            </w:r>
          </w:p>
        </w:tc>
        <w:tc>
          <w:tcPr>
            <w:tcW w:w="708" w:type="dxa"/>
            <w:vAlign w:val="center"/>
          </w:tcPr>
          <w:p w:rsidR="003E62EC" w:rsidRPr="003B021E" w:rsidRDefault="003E62EC" w:rsidP="00AC3673">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bl>
    <w:p w:rsidR="003E62EC" w:rsidRPr="000546A4" w:rsidRDefault="003E62EC" w:rsidP="003E62EC">
      <w:pPr>
        <w:spacing w:after="120" w:line="240" w:lineRule="auto"/>
        <w:ind w:left="-142"/>
        <w:jc w:val="both"/>
        <w:rPr>
          <w:rFonts w:ascii="Times New Roman" w:eastAsia="Times New Roman" w:hAnsi="Times New Roman" w:cs="Times New Roman"/>
          <w:szCs w:val="24"/>
          <w:lang w:eastAsia="ru-RU"/>
        </w:rPr>
      </w:pPr>
      <w:r w:rsidRPr="000546A4">
        <w:rPr>
          <w:rFonts w:ascii="Times New Roman" w:eastAsia="Times New Roman" w:hAnsi="Times New Roman" w:cs="Times New Roman"/>
          <w:b/>
          <w:i/>
          <w:sz w:val="20"/>
          <w:szCs w:val="24"/>
          <w:lang w:eastAsia="ru-RU"/>
        </w:rPr>
        <w:t>Surs</w:t>
      </w:r>
      <w:r w:rsidR="005C009C">
        <w:rPr>
          <w:rFonts w:ascii="Times New Roman" w:eastAsia="Times New Roman" w:hAnsi="Times New Roman" w:cs="Times New Roman"/>
          <w:b/>
          <w:i/>
          <w:sz w:val="20"/>
          <w:szCs w:val="24"/>
          <w:lang w:eastAsia="ru-RU"/>
        </w:rPr>
        <w:t>ă</w:t>
      </w:r>
      <w:r w:rsidRPr="000546A4">
        <w:rPr>
          <w:rFonts w:ascii="Times New Roman" w:eastAsia="Times New Roman" w:hAnsi="Times New Roman" w:cs="Times New Roman"/>
          <w:b/>
          <w:i/>
          <w:sz w:val="20"/>
          <w:szCs w:val="24"/>
          <w:lang w:eastAsia="ru-RU"/>
        </w:rPr>
        <w:t>:</w:t>
      </w:r>
      <w:r w:rsidRPr="000546A4">
        <w:rPr>
          <w:rFonts w:ascii="Times New Roman" w:eastAsia="Times New Roman" w:hAnsi="Times New Roman" w:cs="Times New Roman"/>
          <w:i/>
          <w:sz w:val="20"/>
          <w:szCs w:val="24"/>
          <w:lang w:eastAsia="ru-RU"/>
        </w:rPr>
        <w:t xml:space="preserve"> </w:t>
      </w:r>
      <w:r>
        <w:rPr>
          <w:rFonts w:ascii="Times New Roman" w:eastAsia="Times New Roman" w:hAnsi="Times New Roman" w:cs="Times New Roman"/>
          <w:i/>
          <w:sz w:val="20"/>
          <w:szCs w:val="24"/>
          <w:lang w:eastAsia="ru-RU"/>
        </w:rPr>
        <w:t xml:space="preserve">Informații generalizate de </w:t>
      </w:r>
      <w:r w:rsidR="005C009C">
        <w:rPr>
          <w:rFonts w:ascii="Times New Roman" w:eastAsia="Times New Roman" w:hAnsi="Times New Roman" w:cs="Times New Roman"/>
          <w:i/>
          <w:sz w:val="20"/>
          <w:szCs w:val="24"/>
          <w:lang w:eastAsia="ru-RU"/>
        </w:rPr>
        <w:t>echipa de</w:t>
      </w:r>
      <w:r>
        <w:rPr>
          <w:rFonts w:ascii="Times New Roman" w:eastAsia="Times New Roman" w:hAnsi="Times New Roman" w:cs="Times New Roman"/>
          <w:i/>
          <w:sz w:val="20"/>
          <w:szCs w:val="24"/>
          <w:lang w:eastAsia="ru-RU"/>
        </w:rPr>
        <w:t xml:space="preserve"> audit conform </w:t>
      </w:r>
      <w:r w:rsidRPr="000546A4">
        <w:rPr>
          <w:rFonts w:ascii="Times New Roman" w:eastAsia="Times New Roman" w:hAnsi="Times New Roman" w:cs="Times New Roman"/>
          <w:i/>
          <w:sz w:val="20"/>
          <w:szCs w:val="24"/>
          <w:lang w:eastAsia="ru-RU"/>
        </w:rPr>
        <w:t>Raport</w:t>
      </w:r>
      <w:r>
        <w:rPr>
          <w:rFonts w:ascii="Times New Roman" w:eastAsia="Times New Roman" w:hAnsi="Times New Roman" w:cs="Times New Roman"/>
          <w:i/>
          <w:sz w:val="20"/>
          <w:szCs w:val="24"/>
          <w:lang w:eastAsia="ru-RU"/>
        </w:rPr>
        <w:t>ului</w:t>
      </w:r>
      <w:r w:rsidRPr="000546A4">
        <w:rPr>
          <w:rFonts w:ascii="Times New Roman" w:eastAsia="Times New Roman" w:hAnsi="Times New Roman" w:cs="Times New Roman"/>
          <w:i/>
          <w:sz w:val="20"/>
          <w:szCs w:val="24"/>
          <w:lang w:eastAsia="ru-RU"/>
        </w:rPr>
        <w:t xml:space="preserve"> privind executarea </w:t>
      </w:r>
      <w:r>
        <w:rPr>
          <w:rFonts w:ascii="Times New Roman" w:eastAsia="Times New Roman" w:hAnsi="Times New Roman" w:cs="Times New Roman"/>
          <w:i/>
          <w:sz w:val="20"/>
          <w:szCs w:val="24"/>
          <w:lang w:eastAsia="ru-RU"/>
        </w:rPr>
        <w:t>bugetului de stat</w:t>
      </w:r>
      <w:r w:rsidRPr="000546A4">
        <w:rPr>
          <w:rFonts w:ascii="Times New Roman" w:eastAsia="Times New Roman" w:hAnsi="Times New Roman" w:cs="Times New Roman"/>
          <w:i/>
          <w:sz w:val="20"/>
          <w:szCs w:val="24"/>
          <w:lang w:eastAsia="ru-RU"/>
        </w:rPr>
        <w:t xml:space="preserve"> pe anul 2017</w:t>
      </w:r>
      <w:r>
        <w:rPr>
          <w:rFonts w:ascii="Times New Roman" w:eastAsia="Times New Roman" w:hAnsi="Times New Roman" w:cs="Times New Roman"/>
          <w:i/>
          <w:sz w:val="20"/>
          <w:szCs w:val="24"/>
          <w:lang w:eastAsia="ru-RU"/>
        </w:rPr>
        <w:t>, Formularul nr.11.</w:t>
      </w:r>
    </w:p>
    <w:p w:rsidR="003E62EC" w:rsidRPr="00B837F0" w:rsidRDefault="003E62EC" w:rsidP="003E62EC">
      <w:pPr>
        <w:spacing w:line="276" w:lineRule="auto"/>
        <w:ind w:firstLine="709"/>
        <w:contextualSpacing/>
        <w:jc w:val="both"/>
        <w:rPr>
          <w:rFonts w:ascii="Times New Roman" w:eastAsiaTheme="minorEastAsia" w:hAnsi="Times New Roman" w:cs="Times New Roman"/>
          <w:bCs/>
          <w:iCs/>
          <w:sz w:val="28"/>
          <w:szCs w:val="28"/>
          <w:lang w:eastAsia="ru-RU"/>
        </w:rPr>
      </w:pPr>
      <w:r>
        <w:rPr>
          <w:rFonts w:ascii="Times New Roman" w:eastAsiaTheme="minorEastAsia" w:hAnsi="Times New Roman" w:cs="Times New Roman"/>
          <w:bCs/>
          <w:iCs/>
          <w:sz w:val="28"/>
          <w:szCs w:val="28"/>
          <w:lang w:eastAsia="ru-RU"/>
        </w:rPr>
        <w:t>Astfel, cel mai scăzut nivel de realizare a cheltuielilor precizate pe an se atestă la „</w:t>
      </w:r>
      <w:r w:rsidRPr="00C4164B">
        <w:rPr>
          <w:rFonts w:ascii="Times New Roman" w:eastAsiaTheme="minorEastAsia" w:hAnsi="Times New Roman" w:cs="Times New Roman"/>
          <w:bCs/>
          <w:iCs/>
          <w:sz w:val="28"/>
          <w:szCs w:val="28"/>
          <w:lang w:eastAsia="ru-RU"/>
        </w:rPr>
        <w:t>Gospodăria de locuințe și gospodăria serviciilor comunale</w:t>
      </w:r>
      <w:r>
        <w:rPr>
          <w:rFonts w:ascii="Times New Roman" w:eastAsiaTheme="minorEastAsia" w:hAnsi="Times New Roman" w:cs="Times New Roman"/>
          <w:bCs/>
          <w:iCs/>
          <w:sz w:val="28"/>
          <w:szCs w:val="28"/>
          <w:lang w:eastAsia="ru-RU"/>
        </w:rPr>
        <w:t>” (80,1%), „</w:t>
      </w:r>
      <w:r w:rsidRPr="00C4164B">
        <w:rPr>
          <w:rFonts w:ascii="Times New Roman" w:eastAsiaTheme="minorEastAsia" w:hAnsi="Times New Roman" w:cs="Times New Roman"/>
          <w:bCs/>
          <w:iCs/>
          <w:sz w:val="28"/>
          <w:szCs w:val="28"/>
          <w:lang w:eastAsia="ru-RU"/>
        </w:rPr>
        <w:t xml:space="preserve">Servicii în </w:t>
      </w:r>
      <w:r w:rsidRPr="00C4164B">
        <w:rPr>
          <w:rFonts w:ascii="Times New Roman" w:eastAsiaTheme="minorEastAsia" w:hAnsi="Times New Roman" w:cs="Times New Roman"/>
          <w:bCs/>
          <w:iCs/>
          <w:sz w:val="28"/>
          <w:szCs w:val="28"/>
          <w:lang w:eastAsia="ru-RU"/>
        </w:rPr>
        <w:lastRenderedPageBreak/>
        <w:t>domeniul economiei</w:t>
      </w:r>
      <w:r>
        <w:rPr>
          <w:rFonts w:ascii="Times New Roman" w:eastAsiaTheme="minorEastAsia" w:hAnsi="Times New Roman" w:cs="Times New Roman"/>
          <w:bCs/>
          <w:iCs/>
          <w:sz w:val="28"/>
          <w:szCs w:val="28"/>
          <w:lang w:eastAsia="ru-RU"/>
        </w:rPr>
        <w:t>” (83,6%), „</w:t>
      </w:r>
      <w:r w:rsidRPr="002571A1">
        <w:rPr>
          <w:rFonts w:ascii="Times New Roman" w:eastAsiaTheme="minorEastAsia" w:hAnsi="Times New Roman" w:cs="Times New Roman"/>
          <w:bCs/>
          <w:iCs/>
          <w:sz w:val="28"/>
          <w:szCs w:val="28"/>
          <w:lang w:eastAsia="ru-RU"/>
        </w:rPr>
        <w:t>Protecția mediului</w:t>
      </w:r>
      <w:r>
        <w:rPr>
          <w:rFonts w:ascii="Times New Roman" w:eastAsiaTheme="minorEastAsia" w:hAnsi="Times New Roman" w:cs="Times New Roman"/>
          <w:bCs/>
          <w:iCs/>
          <w:sz w:val="28"/>
          <w:szCs w:val="28"/>
          <w:lang w:eastAsia="ru-RU"/>
        </w:rPr>
        <w:t>” (87,1%) și „</w:t>
      </w:r>
      <w:r w:rsidRPr="002571A1">
        <w:rPr>
          <w:rFonts w:ascii="Times New Roman" w:eastAsiaTheme="minorEastAsia" w:hAnsi="Times New Roman" w:cs="Times New Roman"/>
          <w:bCs/>
          <w:iCs/>
          <w:sz w:val="28"/>
          <w:szCs w:val="28"/>
          <w:lang w:eastAsia="ru-RU"/>
        </w:rPr>
        <w:t>Servicii de stat cu destinație generală</w:t>
      </w:r>
      <w:r>
        <w:rPr>
          <w:rFonts w:ascii="Times New Roman" w:eastAsiaTheme="minorEastAsia" w:hAnsi="Times New Roman" w:cs="Times New Roman"/>
          <w:bCs/>
          <w:iCs/>
          <w:sz w:val="28"/>
          <w:szCs w:val="28"/>
          <w:lang w:eastAsia="ru-RU"/>
        </w:rPr>
        <w:t xml:space="preserve">” (91,4%). </w:t>
      </w:r>
      <w:r w:rsidRPr="00B837F0">
        <w:rPr>
          <w:rFonts w:ascii="Times New Roman" w:eastAsiaTheme="minorEastAsia" w:hAnsi="Times New Roman" w:cs="Times New Roman"/>
          <w:bCs/>
          <w:iCs/>
          <w:sz w:val="28"/>
          <w:szCs w:val="28"/>
          <w:lang w:eastAsia="ru-RU"/>
        </w:rPr>
        <w:t xml:space="preserve">Comparând </w:t>
      </w:r>
      <w:r>
        <w:rPr>
          <w:rFonts w:ascii="Times New Roman" w:eastAsiaTheme="minorEastAsia" w:hAnsi="Times New Roman" w:cs="Times New Roman"/>
          <w:bCs/>
          <w:iCs/>
          <w:sz w:val="28"/>
          <w:szCs w:val="28"/>
          <w:lang w:eastAsia="ru-RU"/>
        </w:rPr>
        <w:t xml:space="preserve">cheltuielile executate în </w:t>
      </w:r>
      <w:r w:rsidRPr="00B837F0">
        <w:rPr>
          <w:rFonts w:ascii="Times New Roman" w:eastAsiaTheme="minorEastAsia" w:hAnsi="Times New Roman" w:cs="Times New Roman"/>
          <w:bCs/>
          <w:iCs/>
          <w:sz w:val="28"/>
          <w:szCs w:val="28"/>
          <w:lang w:eastAsia="ru-RU"/>
        </w:rPr>
        <w:t>201</w:t>
      </w:r>
      <w:r>
        <w:rPr>
          <w:rFonts w:ascii="Times New Roman" w:eastAsiaTheme="minorEastAsia" w:hAnsi="Times New Roman" w:cs="Times New Roman"/>
          <w:bCs/>
          <w:iCs/>
          <w:sz w:val="28"/>
          <w:szCs w:val="28"/>
          <w:lang w:eastAsia="ru-RU"/>
        </w:rPr>
        <w:t>7</w:t>
      </w:r>
      <w:r w:rsidR="005C009C">
        <w:rPr>
          <w:rFonts w:ascii="Times New Roman" w:eastAsiaTheme="minorEastAsia" w:hAnsi="Times New Roman" w:cs="Times New Roman"/>
          <w:bCs/>
          <w:iCs/>
          <w:sz w:val="28"/>
          <w:szCs w:val="28"/>
          <w:lang w:eastAsia="ru-RU"/>
        </w:rPr>
        <w:t>,</w:t>
      </w:r>
      <w:r w:rsidRPr="00B837F0">
        <w:rPr>
          <w:rFonts w:ascii="Times New Roman" w:eastAsiaTheme="minorEastAsia" w:hAnsi="Times New Roman" w:cs="Times New Roman"/>
          <w:bCs/>
          <w:iCs/>
          <w:sz w:val="28"/>
          <w:szCs w:val="28"/>
          <w:lang w:eastAsia="ru-RU"/>
        </w:rPr>
        <w:t xml:space="preserve"> </w:t>
      </w:r>
      <w:r>
        <w:rPr>
          <w:rFonts w:ascii="Times New Roman" w:eastAsiaTheme="minorEastAsia" w:hAnsi="Times New Roman" w:cs="Times New Roman"/>
          <w:bCs/>
          <w:iCs/>
          <w:sz w:val="28"/>
          <w:szCs w:val="28"/>
          <w:lang w:eastAsia="ru-RU"/>
        </w:rPr>
        <w:t xml:space="preserve">față de </w:t>
      </w:r>
      <w:r w:rsidRPr="00B837F0">
        <w:rPr>
          <w:rFonts w:ascii="Times New Roman" w:eastAsiaTheme="minorEastAsia" w:hAnsi="Times New Roman" w:cs="Times New Roman"/>
          <w:bCs/>
          <w:iCs/>
          <w:sz w:val="28"/>
          <w:szCs w:val="28"/>
          <w:lang w:eastAsia="ru-RU"/>
        </w:rPr>
        <w:t>anul 201</w:t>
      </w:r>
      <w:r>
        <w:rPr>
          <w:rFonts w:ascii="Times New Roman" w:eastAsiaTheme="minorEastAsia" w:hAnsi="Times New Roman" w:cs="Times New Roman"/>
          <w:bCs/>
          <w:iCs/>
          <w:sz w:val="28"/>
          <w:szCs w:val="28"/>
          <w:lang w:eastAsia="ru-RU"/>
        </w:rPr>
        <w:t>6</w:t>
      </w:r>
      <w:r w:rsidRPr="00B837F0">
        <w:rPr>
          <w:rFonts w:ascii="Times New Roman" w:eastAsiaTheme="minorEastAsia" w:hAnsi="Times New Roman" w:cs="Times New Roman"/>
          <w:bCs/>
          <w:iCs/>
          <w:sz w:val="28"/>
          <w:szCs w:val="28"/>
          <w:lang w:eastAsia="ru-RU"/>
        </w:rPr>
        <w:t xml:space="preserve">, se observă că cele mai semnificative </w:t>
      </w:r>
      <w:r>
        <w:rPr>
          <w:rFonts w:ascii="Times New Roman" w:eastAsiaTheme="minorEastAsia" w:hAnsi="Times New Roman" w:cs="Times New Roman"/>
          <w:bCs/>
          <w:iCs/>
          <w:sz w:val="28"/>
          <w:szCs w:val="28"/>
          <w:lang w:eastAsia="ru-RU"/>
        </w:rPr>
        <w:t>crește</w:t>
      </w:r>
      <w:r w:rsidRPr="00B837F0">
        <w:rPr>
          <w:rFonts w:ascii="Times New Roman" w:eastAsiaTheme="minorEastAsia" w:hAnsi="Times New Roman" w:cs="Times New Roman"/>
          <w:bCs/>
          <w:iCs/>
          <w:sz w:val="28"/>
          <w:szCs w:val="28"/>
          <w:lang w:eastAsia="ru-RU"/>
        </w:rPr>
        <w:t xml:space="preserve">ri </w:t>
      </w:r>
      <w:r>
        <w:rPr>
          <w:rFonts w:ascii="Times New Roman" w:eastAsiaTheme="minorEastAsia" w:hAnsi="Times New Roman" w:cs="Times New Roman"/>
          <w:bCs/>
          <w:iCs/>
          <w:sz w:val="28"/>
          <w:szCs w:val="28"/>
          <w:lang w:eastAsia="ru-RU"/>
        </w:rPr>
        <w:t>au fost înregistrate la „</w:t>
      </w:r>
      <w:r w:rsidRPr="0018615A">
        <w:rPr>
          <w:rFonts w:ascii="Times New Roman" w:eastAsiaTheme="minorEastAsia" w:hAnsi="Times New Roman" w:cs="Times New Roman"/>
          <w:bCs/>
          <w:iCs/>
          <w:sz w:val="28"/>
          <w:szCs w:val="28"/>
          <w:lang w:eastAsia="ru-RU"/>
        </w:rPr>
        <w:t>Servicii în domeniul economiei</w:t>
      </w:r>
      <w:r>
        <w:rPr>
          <w:rFonts w:ascii="Times New Roman" w:eastAsiaTheme="minorEastAsia" w:hAnsi="Times New Roman" w:cs="Times New Roman"/>
          <w:bCs/>
          <w:iCs/>
          <w:sz w:val="28"/>
          <w:szCs w:val="28"/>
          <w:lang w:eastAsia="ru-RU"/>
        </w:rPr>
        <w:t>” – cu 26,4%, sau 996,5 mil.lei, urmate de cele executate la capitolele „</w:t>
      </w:r>
      <w:r w:rsidRPr="0018615A">
        <w:rPr>
          <w:rFonts w:ascii="Times New Roman" w:eastAsiaTheme="minorEastAsia" w:hAnsi="Times New Roman" w:cs="Times New Roman"/>
          <w:bCs/>
          <w:iCs/>
          <w:sz w:val="28"/>
          <w:szCs w:val="28"/>
          <w:lang w:eastAsia="ru-RU"/>
        </w:rPr>
        <w:t>Ordine publică și securitate națională</w:t>
      </w:r>
      <w:r>
        <w:rPr>
          <w:rFonts w:ascii="Times New Roman" w:eastAsiaTheme="minorEastAsia" w:hAnsi="Times New Roman" w:cs="Times New Roman"/>
          <w:bCs/>
          <w:iCs/>
          <w:sz w:val="28"/>
          <w:szCs w:val="28"/>
          <w:lang w:eastAsia="ru-RU"/>
        </w:rPr>
        <w:t>” – cu 20,8%, sau 693,6 mil.lei</w:t>
      </w:r>
      <w:r w:rsidR="005C009C">
        <w:rPr>
          <w:rFonts w:ascii="Times New Roman" w:eastAsiaTheme="minorEastAsia" w:hAnsi="Times New Roman" w:cs="Times New Roman"/>
          <w:bCs/>
          <w:iCs/>
          <w:sz w:val="28"/>
          <w:szCs w:val="28"/>
          <w:lang w:eastAsia="ru-RU"/>
        </w:rPr>
        <w:t>,</w:t>
      </w:r>
      <w:r>
        <w:rPr>
          <w:rFonts w:ascii="Times New Roman" w:eastAsiaTheme="minorEastAsia" w:hAnsi="Times New Roman" w:cs="Times New Roman"/>
          <w:bCs/>
          <w:iCs/>
          <w:sz w:val="28"/>
          <w:szCs w:val="28"/>
          <w:lang w:eastAsia="ru-RU"/>
        </w:rPr>
        <w:t xml:space="preserve"> și „</w:t>
      </w:r>
      <w:r w:rsidRPr="0018615A">
        <w:rPr>
          <w:rFonts w:ascii="Times New Roman" w:eastAsiaTheme="minorEastAsia" w:hAnsi="Times New Roman" w:cs="Times New Roman"/>
          <w:bCs/>
          <w:iCs/>
          <w:sz w:val="28"/>
          <w:szCs w:val="28"/>
          <w:lang w:eastAsia="ru-RU"/>
        </w:rPr>
        <w:t>Servicii de stat cu destinație generală</w:t>
      </w:r>
      <w:r>
        <w:rPr>
          <w:rFonts w:ascii="Times New Roman" w:eastAsiaTheme="minorEastAsia" w:hAnsi="Times New Roman" w:cs="Times New Roman"/>
          <w:bCs/>
          <w:iCs/>
          <w:sz w:val="28"/>
          <w:szCs w:val="28"/>
          <w:lang w:eastAsia="ru-RU"/>
        </w:rPr>
        <w:t>” – cu 11,0%, sau 583,0 mil.lei. Concomitent,</w:t>
      </w:r>
      <w:r w:rsidR="00764D6E">
        <w:rPr>
          <w:rFonts w:ascii="Times New Roman" w:eastAsiaTheme="minorEastAsia" w:hAnsi="Times New Roman" w:cs="Times New Roman"/>
          <w:bCs/>
          <w:iCs/>
          <w:sz w:val="28"/>
          <w:szCs w:val="28"/>
          <w:lang w:eastAsia="ru-RU"/>
        </w:rPr>
        <w:t xml:space="preserve"> </w:t>
      </w:r>
      <w:r>
        <w:rPr>
          <w:rFonts w:ascii="Times New Roman" w:eastAsiaTheme="minorEastAsia" w:hAnsi="Times New Roman" w:cs="Times New Roman"/>
          <w:bCs/>
          <w:iCs/>
          <w:sz w:val="28"/>
          <w:szCs w:val="28"/>
          <w:lang w:eastAsia="ru-RU"/>
        </w:rPr>
        <w:t>pentru „</w:t>
      </w:r>
      <w:r w:rsidRPr="0018615A">
        <w:rPr>
          <w:rFonts w:ascii="Times New Roman" w:eastAsiaTheme="minorEastAsia" w:hAnsi="Times New Roman" w:cs="Times New Roman"/>
          <w:bCs/>
          <w:iCs/>
          <w:sz w:val="28"/>
          <w:szCs w:val="28"/>
          <w:lang w:eastAsia="ru-RU"/>
        </w:rPr>
        <w:t>Protecția mediului</w:t>
      </w:r>
      <w:r>
        <w:rPr>
          <w:rFonts w:ascii="Times New Roman" w:eastAsiaTheme="minorEastAsia" w:hAnsi="Times New Roman" w:cs="Times New Roman"/>
          <w:bCs/>
          <w:iCs/>
          <w:sz w:val="28"/>
          <w:szCs w:val="28"/>
          <w:lang w:eastAsia="ru-RU"/>
        </w:rPr>
        <w:t>” și „</w:t>
      </w:r>
      <w:r w:rsidRPr="0018615A">
        <w:rPr>
          <w:rFonts w:ascii="Times New Roman" w:eastAsiaTheme="minorEastAsia" w:hAnsi="Times New Roman" w:cs="Times New Roman"/>
          <w:bCs/>
          <w:iCs/>
          <w:sz w:val="28"/>
          <w:szCs w:val="28"/>
          <w:lang w:eastAsia="ru-RU"/>
        </w:rPr>
        <w:t>Gospodăria de locuințe și gospodăria serviciilor comunale</w:t>
      </w:r>
      <w:r>
        <w:rPr>
          <w:rFonts w:ascii="Times New Roman" w:eastAsiaTheme="minorEastAsia" w:hAnsi="Times New Roman" w:cs="Times New Roman"/>
          <w:bCs/>
          <w:iCs/>
          <w:sz w:val="28"/>
          <w:szCs w:val="28"/>
          <w:lang w:eastAsia="ru-RU"/>
        </w:rPr>
        <w:t xml:space="preserve">” se înregistrează diminuări de (-35,8%), sau </w:t>
      </w:r>
      <w:r w:rsidR="005C009C">
        <w:rPr>
          <w:rFonts w:ascii="Times New Roman" w:eastAsiaTheme="minorEastAsia" w:hAnsi="Times New Roman" w:cs="Times New Roman"/>
          <w:bCs/>
          <w:iCs/>
          <w:sz w:val="28"/>
          <w:szCs w:val="28"/>
          <w:lang w:eastAsia="ru-RU"/>
        </w:rPr>
        <w:t xml:space="preserve">de </w:t>
      </w:r>
      <w:r>
        <w:rPr>
          <w:rFonts w:ascii="Times New Roman" w:eastAsiaTheme="minorEastAsia" w:hAnsi="Times New Roman" w:cs="Times New Roman"/>
          <w:bCs/>
          <w:iCs/>
          <w:sz w:val="28"/>
          <w:szCs w:val="28"/>
          <w:lang w:eastAsia="ru-RU"/>
        </w:rPr>
        <w:t>(-58,8 mil.lei)</w:t>
      </w:r>
      <w:r w:rsidR="00764D6E">
        <w:rPr>
          <w:rFonts w:ascii="Times New Roman" w:eastAsiaTheme="minorEastAsia" w:hAnsi="Times New Roman" w:cs="Times New Roman"/>
          <w:bCs/>
          <w:iCs/>
          <w:sz w:val="28"/>
          <w:szCs w:val="28"/>
          <w:lang w:eastAsia="ru-RU"/>
        </w:rPr>
        <w:t xml:space="preserve"> </w:t>
      </w:r>
      <w:r>
        <w:rPr>
          <w:rFonts w:ascii="Times New Roman" w:eastAsiaTheme="minorEastAsia" w:hAnsi="Times New Roman" w:cs="Times New Roman"/>
          <w:bCs/>
          <w:iCs/>
          <w:sz w:val="28"/>
          <w:szCs w:val="28"/>
          <w:lang w:eastAsia="ru-RU"/>
        </w:rPr>
        <w:t xml:space="preserve">și, respectiv, de (-6,5%), sau </w:t>
      </w:r>
      <w:r w:rsidR="005C009C">
        <w:rPr>
          <w:rFonts w:ascii="Times New Roman" w:eastAsiaTheme="minorEastAsia" w:hAnsi="Times New Roman" w:cs="Times New Roman"/>
          <w:bCs/>
          <w:iCs/>
          <w:sz w:val="28"/>
          <w:szCs w:val="28"/>
          <w:lang w:eastAsia="ru-RU"/>
        </w:rPr>
        <w:t xml:space="preserve">de </w:t>
      </w:r>
      <w:r>
        <w:rPr>
          <w:rFonts w:ascii="Times New Roman" w:eastAsiaTheme="minorEastAsia" w:hAnsi="Times New Roman" w:cs="Times New Roman"/>
          <w:bCs/>
          <w:iCs/>
          <w:sz w:val="28"/>
          <w:szCs w:val="28"/>
          <w:lang w:eastAsia="ru-RU"/>
        </w:rPr>
        <w:t>(-24,9 mil.lei).</w:t>
      </w:r>
    </w:p>
    <w:p w:rsidR="003E62EC" w:rsidRDefault="003E62EC" w:rsidP="003E62EC">
      <w:pPr>
        <w:spacing w:line="276" w:lineRule="auto"/>
        <w:ind w:firstLine="709"/>
        <w:contextualSpacing/>
        <w:jc w:val="both"/>
        <w:rPr>
          <w:rFonts w:ascii="Times New Roman" w:eastAsiaTheme="minorEastAsia" w:hAnsi="Times New Roman" w:cs="Times New Roman"/>
          <w:bCs/>
          <w:iCs/>
          <w:sz w:val="28"/>
          <w:szCs w:val="28"/>
          <w:lang w:eastAsia="ru-RU"/>
        </w:rPr>
      </w:pPr>
      <w:r w:rsidRPr="00C43DD1">
        <w:rPr>
          <w:rFonts w:ascii="Times New Roman" w:eastAsiaTheme="minorEastAsia" w:hAnsi="Times New Roman" w:cs="Times New Roman"/>
          <w:bCs/>
          <w:i/>
          <w:iCs/>
          <w:sz w:val="28"/>
          <w:szCs w:val="28"/>
          <w:lang w:eastAsia="ru-RU"/>
        </w:rPr>
        <w:t>Analiza auditului privind ponderea cheltuielilor bugetului de stat, în aspect funcțional, este prezentată în</w:t>
      </w:r>
      <w:r w:rsidR="00764D6E">
        <w:rPr>
          <w:rFonts w:ascii="Times New Roman" w:eastAsiaTheme="minorEastAsia" w:hAnsi="Times New Roman" w:cs="Times New Roman"/>
          <w:bCs/>
          <w:iCs/>
          <w:sz w:val="28"/>
          <w:szCs w:val="28"/>
          <w:lang w:eastAsia="ru-RU"/>
        </w:rPr>
        <w:t xml:space="preserve"> </w:t>
      </w:r>
      <w:r w:rsidRPr="00AE1750">
        <w:rPr>
          <w:rFonts w:ascii="Times New Roman" w:eastAsiaTheme="minorEastAsia" w:hAnsi="Times New Roman" w:cs="Times New Roman"/>
          <w:bCs/>
          <w:i/>
          <w:iCs/>
          <w:sz w:val="28"/>
          <w:szCs w:val="28"/>
          <w:lang w:eastAsia="ru-RU"/>
        </w:rPr>
        <w:t>Diagrama nr.</w:t>
      </w:r>
      <w:r w:rsidR="00824429">
        <w:rPr>
          <w:rFonts w:ascii="Times New Roman" w:eastAsiaTheme="minorEastAsia" w:hAnsi="Times New Roman" w:cs="Times New Roman"/>
          <w:bCs/>
          <w:i/>
          <w:iCs/>
          <w:sz w:val="28"/>
          <w:szCs w:val="28"/>
          <w:lang w:eastAsia="ru-RU"/>
        </w:rPr>
        <w:t>5</w:t>
      </w:r>
      <w:r>
        <w:rPr>
          <w:rFonts w:ascii="Times New Roman" w:eastAsiaTheme="minorEastAsia" w:hAnsi="Times New Roman" w:cs="Times New Roman"/>
          <w:bCs/>
          <w:iCs/>
          <w:sz w:val="28"/>
          <w:szCs w:val="28"/>
          <w:lang w:eastAsia="ru-RU"/>
        </w:rPr>
        <w:t xml:space="preserve">. </w:t>
      </w:r>
    </w:p>
    <w:p w:rsidR="003E62EC" w:rsidRPr="00AE1750" w:rsidRDefault="003E62EC" w:rsidP="003E62EC">
      <w:pPr>
        <w:spacing w:line="276" w:lineRule="auto"/>
        <w:ind w:firstLine="709"/>
        <w:contextualSpacing/>
        <w:jc w:val="right"/>
        <w:rPr>
          <w:rFonts w:ascii="Times New Roman" w:eastAsiaTheme="minorEastAsia" w:hAnsi="Times New Roman" w:cs="Times New Roman"/>
          <w:bCs/>
          <w:i/>
          <w:iCs/>
          <w:sz w:val="28"/>
          <w:szCs w:val="28"/>
          <w:lang w:eastAsia="ru-RU"/>
        </w:rPr>
      </w:pPr>
      <w:r w:rsidRPr="00AE1750">
        <w:rPr>
          <w:rFonts w:ascii="Times New Roman" w:eastAsiaTheme="minorEastAsia" w:hAnsi="Times New Roman" w:cs="Times New Roman"/>
          <w:bCs/>
          <w:i/>
          <w:iCs/>
          <w:sz w:val="28"/>
          <w:szCs w:val="28"/>
          <w:lang w:eastAsia="ru-RU"/>
        </w:rPr>
        <w:t>Diagrama nr.</w:t>
      </w:r>
      <w:r w:rsidR="00824429">
        <w:rPr>
          <w:rFonts w:ascii="Times New Roman" w:eastAsiaTheme="minorEastAsia" w:hAnsi="Times New Roman" w:cs="Times New Roman"/>
          <w:bCs/>
          <w:i/>
          <w:iCs/>
          <w:sz w:val="28"/>
          <w:szCs w:val="28"/>
          <w:lang w:eastAsia="ru-RU"/>
        </w:rPr>
        <w:t>5</w:t>
      </w:r>
    </w:p>
    <w:p w:rsidR="003E62EC" w:rsidRDefault="003E62EC" w:rsidP="003E62EC">
      <w:pPr>
        <w:spacing w:line="276" w:lineRule="auto"/>
        <w:ind w:firstLine="709"/>
        <w:contextualSpacing/>
        <w:jc w:val="both"/>
        <w:rPr>
          <w:rFonts w:ascii="Times New Roman" w:eastAsiaTheme="minorEastAsia" w:hAnsi="Times New Roman" w:cs="Times New Roman"/>
          <w:bCs/>
          <w:iCs/>
          <w:sz w:val="28"/>
          <w:szCs w:val="28"/>
          <w:lang w:eastAsia="ru-RU"/>
        </w:rPr>
      </w:pPr>
      <w:r>
        <w:rPr>
          <w:rFonts w:ascii="Times New Roman" w:eastAsiaTheme="minorEastAsia" w:hAnsi="Times New Roman" w:cs="Times New Roman"/>
          <w:bCs/>
          <w:iCs/>
          <w:noProof/>
          <w:sz w:val="28"/>
          <w:szCs w:val="28"/>
          <w:lang w:val="ru-RU" w:eastAsia="ru-RU"/>
        </w:rPr>
        <w:drawing>
          <wp:inline distT="0" distB="0" distL="0" distR="0" wp14:anchorId="04AD6F94" wp14:editId="0C9E41E2">
            <wp:extent cx="5486400" cy="3505200"/>
            <wp:effectExtent l="0" t="0" r="0"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E62EC" w:rsidRDefault="003E62EC" w:rsidP="00FD5765">
      <w:pPr>
        <w:spacing w:line="276" w:lineRule="auto"/>
        <w:ind w:left="709" w:right="283"/>
        <w:contextualSpacing/>
        <w:jc w:val="both"/>
        <w:rPr>
          <w:rFonts w:ascii="Times New Roman" w:eastAsiaTheme="minorEastAsia" w:hAnsi="Times New Roman" w:cs="Times New Roman"/>
          <w:bCs/>
          <w:iCs/>
          <w:sz w:val="28"/>
          <w:szCs w:val="28"/>
          <w:lang w:eastAsia="ru-RU"/>
        </w:rPr>
      </w:pPr>
      <w:r w:rsidRPr="000546A4">
        <w:rPr>
          <w:rFonts w:ascii="Times New Roman" w:eastAsia="Times New Roman" w:hAnsi="Times New Roman" w:cs="Times New Roman"/>
          <w:b/>
          <w:i/>
          <w:sz w:val="20"/>
          <w:szCs w:val="24"/>
          <w:lang w:eastAsia="ru-RU"/>
        </w:rPr>
        <w:t>Surs</w:t>
      </w:r>
      <w:r w:rsidR="005C009C">
        <w:rPr>
          <w:rFonts w:ascii="Times New Roman" w:eastAsia="Times New Roman" w:hAnsi="Times New Roman" w:cs="Times New Roman"/>
          <w:b/>
          <w:i/>
          <w:sz w:val="20"/>
          <w:szCs w:val="24"/>
          <w:lang w:eastAsia="ru-RU"/>
        </w:rPr>
        <w:t>ă</w:t>
      </w:r>
      <w:r w:rsidRPr="000546A4">
        <w:rPr>
          <w:rFonts w:ascii="Times New Roman" w:eastAsia="Times New Roman" w:hAnsi="Times New Roman" w:cs="Times New Roman"/>
          <w:b/>
          <w:i/>
          <w:sz w:val="20"/>
          <w:szCs w:val="24"/>
          <w:lang w:eastAsia="ru-RU"/>
        </w:rPr>
        <w:t>:</w:t>
      </w:r>
      <w:r w:rsidRPr="000546A4">
        <w:rPr>
          <w:rFonts w:ascii="Times New Roman" w:eastAsia="Times New Roman" w:hAnsi="Times New Roman" w:cs="Times New Roman"/>
          <w:i/>
          <w:sz w:val="20"/>
          <w:szCs w:val="24"/>
          <w:lang w:eastAsia="ru-RU"/>
        </w:rPr>
        <w:t xml:space="preserve"> </w:t>
      </w:r>
      <w:r>
        <w:rPr>
          <w:rFonts w:ascii="Times New Roman" w:eastAsia="Times New Roman" w:hAnsi="Times New Roman" w:cs="Times New Roman"/>
          <w:i/>
          <w:sz w:val="20"/>
          <w:szCs w:val="24"/>
          <w:lang w:eastAsia="ru-RU"/>
        </w:rPr>
        <w:t xml:space="preserve">Informație generalizată de echipa de audit conform </w:t>
      </w:r>
      <w:r w:rsidRPr="000546A4">
        <w:rPr>
          <w:rFonts w:ascii="Times New Roman" w:eastAsia="Times New Roman" w:hAnsi="Times New Roman" w:cs="Times New Roman"/>
          <w:i/>
          <w:sz w:val="20"/>
          <w:szCs w:val="24"/>
          <w:lang w:eastAsia="ru-RU"/>
        </w:rPr>
        <w:t>Raport</w:t>
      </w:r>
      <w:r>
        <w:rPr>
          <w:rFonts w:ascii="Times New Roman" w:eastAsia="Times New Roman" w:hAnsi="Times New Roman" w:cs="Times New Roman"/>
          <w:i/>
          <w:sz w:val="20"/>
          <w:szCs w:val="24"/>
          <w:lang w:eastAsia="ru-RU"/>
        </w:rPr>
        <w:t>ului</w:t>
      </w:r>
      <w:r w:rsidRPr="000546A4">
        <w:rPr>
          <w:rFonts w:ascii="Times New Roman" w:eastAsia="Times New Roman" w:hAnsi="Times New Roman" w:cs="Times New Roman"/>
          <w:i/>
          <w:sz w:val="20"/>
          <w:szCs w:val="24"/>
          <w:lang w:eastAsia="ru-RU"/>
        </w:rPr>
        <w:t xml:space="preserve"> privind executarea </w:t>
      </w:r>
      <w:r>
        <w:rPr>
          <w:rFonts w:ascii="Times New Roman" w:eastAsia="Times New Roman" w:hAnsi="Times New Roman" w:cs="Times New Roman"/>
          <w:i/>
          <w:sz w:val="20"/>
          <w:szCs w:val="24"/>
          <w:lang w:eastAsia="ru-RU"/>
        </w:rPr>
        <w:t>bugetului de stat</w:t>
      </w:r>
      <w:r w:rsidRPr="000546A4">
        <w:rPr>
          <w:rFonts w:ascii="Times New Roman" w:eastAsia="Times New Roman" w:hAnsi="Times New Roman" w:cs="Times New Roman"/>
          <w:i/>
          <w:sz w:val="20"/>
          <w:szCs w:val="24"/>
          <w:lang w:eastAsia="ru-RU"/>
        </w:rPr>
        <w:t xml:space="preserve"> pe anul 2017</w:t>
      </w:r>
      <w:r>
        <w:rPr>
          <w:rFonts w:ascii="Times New Roman" w:eastAsia="Times New Roman" w:hAnsi="Times New Roman" w:cs="Times New Roman"/>
          <w:i/>
          <w:sz w:val="20"/>
          <w:szCs w:val="24"/>
          <w:lang w:eastAsia="ru-RU"/>
        </w:rPr>
        <w:t>, Fo</w:t>
      </w:r>
      <w:r w:rsidRPr="00FA6D69">
        <w:rPr>
          <w:rFonts w:ascii="Times New Roman" w:eastAsia="Times New Roman" w:hAnsi="Times New Roman" w:cs="Times New Roman"/>
          <w:i/>
          <w:sz w:val="20"/>
          <w:szCs w:val="24"/>
          <w:lang w:eastAsia="ru-RU"/>
        </w:rPr>
        <w:t>rmularul</w:t>
      </w:r>
      <w:r>
        <w:rPr>
          <w:rFonts w:ascii="Times New Roman" w:eastAsia="Times New Roman" w:hAnsi="Times New Roman" w:cs="Times New Roman"/>
          <w:i/>
          <w:sz w:val="20"/>
          <w:szCs w:val="24"/>
          <w:lang w:eastAsia="ru-RU"/>
        </w:rPr>
        <w:t xml:space="preserve"> nr.11.</w:t>
      </w:r>
    </w:p>
    <w:p w:rsidR="003E62EC" w:rsidRPr="00FA6D69" w:rsidRDefault="003E62EC" w:rsidP="003E62EC">
      <w:pPr>
        <w:pStyle w:val="ad"/>
        <w:spacing w:line="276" w:lineRule="auto"/>
        <w:rPr>
          <w:rFonts w:eastAsiaTheme="minorEastAsia"/>
          <w:bCs/>
          <w:iCs/>
          <w:sz w:val="28"/>
          <w:szCs w:val="28"/>
          <w:lang w:val="ro-RO"/>
        </w:rPr>
      </w:pPr>
      <w:r w:rsidRPr="00FA6D69">
        <w:rPr>
          <w:rFonts w:eastAsiaTheme="minorEastAsia"/>
          <w:bCs/>
          <w:iCs/>
          <w:sz w:val="28"/>
          <w:szCs w:val="28"/>
          <w:lang w:val="ro-RO"/>
        </w:rPr>
        <w:t>Auditul relevă că ponderea majoră în totalul cheltuielilor BS revine cheltuielilor executate pentru „Învățământ” – 25,4%, sau 9001,7 mil.lei, fiind urmate de cele pentru „Protecție socială” – 18,8%, sau 6653,7 mil.lei, și „Servicii de stat cu destinație generală” – 16,6%, sau 5896,5 mil.lei.</w:t>
      </w:r>
    </w:p>
    <w:p w:rsidR="003E62EC" w:rsidRPr="00FA6D69" w:rsidRDefault="003E62EC" w:rsidP="003E62EC">
      <w:pPr>
        <w:pStyle w:val="ad"/>
        <w:spacing w:line="276" w:lineRule="auto"/>
        <w:rPr>
          <w:sz w:val="28"/>
          <w:lang w:val="en-US" w:eastAsia="en-US"/>
        </w:rPr>
      </w:pPr>
    </w:p>
    <w:p w:rsidR="003E62EC" w:rsidRPr="0001576D" w:rsidRDefault="0001576D" w:rsidP="003F12B5">
      <w:pPr>
        <w:pStyle w:val="a5"/>
        <w:numPr>
          <w:ilvl w:val="2"/>
          <w:numId w:val="3"/>
        </w:numPr>
        <w:spacing w:after="0" w:line="276" w:lineRule="auto"/>
        <w:ind w:left="0" w:firstLine="709"/>
        <w:jc w:val="both"/>
        <w:outlineLvl w:val="2"/>
        <w:rPr>
          <w:rFonts w:ascii="Times New Roman" w:hAnsi="Times New Roman" w:cs="Times New Roman"/>
          <w:b/>
          <w:i/>
          <w:sz w:val="28"/>
          <w:szCs w:val="28"/>
        </w:rPr>
      </w:pPr>
      <w:bookmarkStart w:id="21" w:name="_Toc515518994"/>
      <w:r w:rsidRPr="0001576D">
        <w:rPr>
          <w:rFonts w:ascii="Times New Roman" w:hAnsi="Times New Roman" w:cs="Times New Roman"/>
          <w:b/>
          <w:i/>
          <w:sz w:val="28"/>
          <w:szCs w:val="28"/>
        </w:rPr>
        <w:t>A</w:t>
      </w:r>
      <w:r w:rsidR="003E62EC" w:rsidRPr="0001576D">
        <w:rPr>
          <w:rFonts w:ascii="Times New Roman" w:hAnsi="Times New Roman" w:cs="Times New Roman"/>
          <w:b/>
          <w:i/>
          <w:sz w:val="28"/>
          <w:szCs w:val="28"/>
        </w:rPr>
        <w:t xml:space="preserve">chitarea documentelor executorii </w:t>
      </w:r>
      <w:r w:rsidRPr="0001576D">
        <w:rPr>
          <w:rFonts w:ascii="Times New Roman" w:hAnsi="Times New Roman" w:cs="Times New Roman"/>
          <w:b/>
          <w:i/>
          <w:sz w:val="28"/>
          <w:szCs w:val="28"/>
        </w:rPr>
        <w:t>a fost efectuată cu nerespectarea în unele cazuri a cadrului normativ</w:t>
      </w:r>
      <w:r w:rsidR="00324EA8">
        <w:rPr>
          <w:rFonts w:ascii="Times New Roman" w:hAnsi="Times New Roman" w:cs="Times New Roman"/>
          <w:b/>
          <w:i/>
          <w:sz w:val="28"/>
          <w:szCs w:val="28"/>
        </w:rPr>
        <w:t>.</w:t>
      </w:r>
      <w:bookmarkEnd w:id="21"/>
      <w:r w:rsidR="003E62EC" w:rsidRPr="0001576D">
        <w:rPr>
          <w:rFonts w:ascii="Times New Roman" w:hAnsi="Times New Roman" w:cs="Times New Roman"/>
          <w:b/>
          <w:i/>
          <w:sz w:val="28"/>
          <w:szCs w:val="28"/>
        </w:rPr>
        <w:t xml:space="preserve"> </w:t>
      </w:r>
    </w:p>
    <w:p w:rsidR="003E62EC" w:rsidRDefault="003E62EC" w:rsidP="003E62EC">
      <w:pPr>
        <w:spacing w:line="276" w:lineRule="auto"/>
        <w:ind w:firstLine="709"/>
        <w:contextualSpacing/>
        <w:jc w:val="both"/>
        <w:rPr>
          <w:rFonts w:ascii="Times New Roman" w:hAnsi="Times New Roman" w:cs="Times New Roman"/>
          <w:sz w:val="28"/>
          <w:szCs w:val="28"/>
          <w:lang w:eastAsia="ja-JP"/>
        </w:rPr>
      </w:pPr>
      <w:r>
        <w:rPr>
          <w:rFonts w:ascii="Times New Roman" w:eastAsiaTheme="minorEastAsia" w:hAnsi="Times New Roman" w:cs="Times New Roman"/>
          <w:bCs/>
          <w:iCs/>
          <w:sz w:val="28"/>
          <w:szCs w:val="28"/>
          <w:lang w:eastAsia="ru-RU"/>
        </w:rPr>
        <w:lastRenderedPageBreak/>
        <w:t>Conform prevederilor cadrului legal</w:t>
      </w:r>
      <w:r>
        <w:rPr>
          <w:rStyle w:val="a9"/>
          <w:rFonts w:ascii="Times New Roman" w:hAnsi="Times New Roman" w:cs="Times New Roman"/>
          <w:sz w:val="28"/>
          <w:szCs w:val="28"/>
          <w:lang w:eastAsia="ja-JP"/>
        </w:rPr>
        <w:footnoteReference w:id="49"/>
      </w:r>
      <w:r>
        <w:rPr>
          <w:rFonts w:ascii="Times New Roman" w:hAnsi="Times New Roman" w:cs="Times New Roman"/>
          <w:sz w:val="28"/>
          <w:szCs w:val="28"/>
          <w:lang w:eastAsia="ja-JP"/>
        </w:rPr>
        <w:t xml:space="preserve">, </w:t>
      </w:r>
      <w:r w:rsidRPr="00D978FA">
        <w:rPr>
          <w:rFonts w:ascii="Times New Roman" w:hAnsi="Times New Roman" w:cs="Times New Roman"/>
          <w:i/>
          <w:sz w:val="28"/>
          <w:szCs w:val="28"/>
          <w:lang w:eastAsia="ja-JP"/>
        </w:rPr>
        <w:t>„documentele executorii privind dezafectarea incontestabilă a mijloacelor bănești din contul bugetelor componente ale BPN, precum și din contul autorităților/instituțiilor bugetare se prezintă obligatoriu de către creditor direct administratorilor de bugete și/sau, după caz, autorităților/instituțiilor bugetare respective după rămânerea definitivă a hotărârii judecătorești”</w:t>
      </w:r>
      <w:r w:rsidR="00FC0E3D">
        <w:rPr>
          <w:rFonts w:ascii="Times New Roman" w:hAnsi="Times New Roman" w:cs="Times New Roman"/>
          <w:i/>
          <w:sz w:val="28"/>
          <w:szCs w:val="28"/>
          <w:lang w:eastAsia="ja-JP"/>
        </w:rPr>
        <w:t>.</w:t>
      </w:r>
      <w:r>
        <w:rPr>
          <w:rFonts w:ascii="Times New Roman" w:hAnsi="Times New Roman" w:cs="Times New Roman"/>
          <w:sz w:val="28"/>
          <w:szCs w:val="28"/>
          <w:lang w:eastAsia="ja-JP"/>
        </w:rPr>
        <w:t xml:space="preserve"> Astfel, documentele executorii ce țin de plățile din contul BS se transmit spre executare Ministerului Finanțelor.</w:t>
      </w:r>
    </w:p>
    <w:p w:rsidR="003E62EC" w:rsidRDefault="003E62EC" w:rsidP="003E62EC">
      <w:pPr>
        <w:spacing w:line="276" w:lineRule="auto"/>
        <w:ind w:firstLine="709"/>
        <w:contextualSpacing/>
        <w:jc w:val="both"/>
        <w:rPr>
          <w:rFonts w:ascii="Times New Roman" w:eastAsiaTheme="minorEastAsia" w:hAnsi="Times New Roman" w:cs="Times New Roman"/>
          <w:bCs/>
          <w:iCs/>
          <w:sz w:val="28"/>
          <w:szCs w:val="28"/>
          <w:lang w:eastAsia="ru-RU"/>
        </w:rPr>
      </w:pPr>
      <w:r>
        <w:rPr>
          <w:rFonts w:ascii="Times New Roman" w:eastAsiaTheme="minorEastAsia" w:hAnsi="Times New Roman" w:cs="Times New Roman"/>
          <w:bCs/>
          <w:iCs/>
          <w:sz w:val="28"/>
          <w:szCs w:val="28"/>
          <w:lang w:eastAsia="ru-RU"/>
        </w:rPr>
        <w:t>Analiza auditului atestă o diminuare în anul 2017 a cheltuielilor privind plățile aferente documentelor executorii, acestea</w:t>
      </w:r>
      <w:r w:rsidR="004A6919">
        <w:rPr>
          <w:rFonts w:ascii="Times New Roman" w:eastAsiaTheme="minorEastAsia" w:hAnsi="Times New Roman" w:cs="Times New Roman"/>
          <w:bCs/>
          <w:iCs/>
          <w:sz w:val="28"/>
          <w:szCs w:val="28"/>
          <w:lang w:eastAsia="ru-RU"/>
        </w:rPr>
        <w:t>,</w:t>
      </w:r>
      <w:r>
        <w:rPr>
          <w:rFonts w:ascii="Times New Roman" w:eastAsiaTheme="minorEastAsia" w:hAnsi="Times New Roman" w:cs="Times New Roman"/>
          <w:bCs/>
          <w:iCs/>
          <w:sz w:val="28"/>
          <w:szCs w:val="28"/>
          <w:lang w:eastAsia="ru-RU"/>
        </w:rPr>
        <w:t xml:space="preserve"> totuși, rămânând a fi semnificative. Limitele de cheltuieli de 13,1 mil.lei</w:t>
      </w:r>
      <w:r w:rsidR="00FC0E3D">
        <w:rPr>
          <w:rFonts w:ascii="Times New Roman" w:eastAsiaTheme="minorEastAsia" w:hAnsi="Times New Roman" w:cs="Times New Roman"/>
          <w:bCs/>
          <w:iCs/>
          <w:sz w:val="28"/>
          <w:szCs w:val="28"/>
          <w:lang w:eastAsia="ru-RU"/>
        </w:rPr>
        <w:t>,</w:t>
      </w:r>
      <w:r>
        <w:rPr>
          <w:rFonts w:ascii="Times New Roman" w:eastAsiaTheme="minorEastAsia" w:hAnsi="Times New Roman" w:cs="Times New Roman"/>
          <w:bCs/>
          <w:iCs/>
          <w:sz w:val="28"/>
          <w:szCs w:val="28"/>
          <w:lang w:eastAsia="ru-RU"/>
        </w:rPr>
        <w:t xml:space="preserve"> aprobate inițial pentru </w:t>
      </w:r>
      <w:r w:rsidR="00F62FA0">
        <w:rPr>
          <w:rFonts w:ascii="Times New Roman" w:eastAsiaTheme="minorEastAsia" w:hAnsi="Times New Roman" w:cs="Times New Roman"/>
          <w:bCs/>
          <w:iCs/>
          <w:sz w:val="28"/>
          <w:szCs w:val="28"/>
          <w:lang w:eastAsia="ru-RU"/>
        </w:rPr>
        <w:t>achitarea</w:t>
      </w:r>
      <w:r>
        <w:rPr>
          <w:rFonts w:ascii="Times New Roman" w:eastAsiaTheme="minorEastAsia" w:hAnsi="Times New Roman" w:cs="Times New Roman"/>
          <w:bCs/>
          <w:iCs/>
          <w:sz w:val="28"/>
          <w:szCs w:val="28"/>
          <w:lang w:eastAsia="ru-RU"/>
        </w:rPr>
        <w:t xml:space="preserve"> documentelor executorii</w:t>
      </w:r>
      <w:r w:rsidR="00FC0E3D">
        <w:rPr>
          <w:rFonts w:ascii="Times New Roman" w:eastAsiaTheme="minorEastAsia" w:hAnsi="Times New Roman" w:cs="Times New Roman"/>
          <w:bCs/>
          <w:iCs/>
          <w:sz w:val="28"/>
          <w:szCs w:val="28"/>
          <w:lang w:eastAsia="ru-RU"/>
        </w:rPr>
        <w:t>,</w:t>
      </w:r>
      <w:r>
        <w:rPr>
          <w:rFonts w:ascii="Times New Roman" w:eastAsiaTheme="minorEastAsia" w:hAnsi="Times New Roman" w:cs="Times New Roman"/>
          <w:bCs/>
          <w:iCs/>
          <w:sz w:val="28"/>
          <w:szCs w:val="28"/>
          <w:lang w:eastAsia="ru-RU"/>
        </w:rPr>
        <w:t xml:space="preserve"> s-au majorat urmare </w:t>
      </w:r>
      <w:r w:rsidR="004A6919">
        <w:rPr>
          <w:rFonts w:ascii="Times New Roman" w:eastAsiaTheme="minorEastAsia" w:hAnsi="Times New Roman" w:cs="Times New Roman"/>
          <w:bCs/>
          <w:iCs/>
          <w:sz w:val="28"/>
          <w:szCs w:val="28"/>
          <w:lang w:eastAsia="ru-RU"/>
        </w:rPr>
        <w:t xml:space="preserve">a </w:t>
      </w:r>
      <w:r>
        <w:rPr>
          <w:rFonts w:ascii="Times New Roman" w:eastAsiaTheme="minorEastAsia" w:hAnsi="Times New Roman" w:cs="Times New Roman"/>
          <w:bCs/>
          <w:iCs/>
          <w:sz w:val="28"/>
          <w:szCs w:val="28"/>
          <w:lang w:eastAsia="ru-RU"/>
        </w:rPr>
        <w:t xml:space="preserve">modificărilor operate </w:t>
      </w:r>
      <w:r w:rsidR="004A6919">
        <w:rPr>
          <w:rFonts w:ascii="Times New Roman" w:eastAsiaTheme="minorEastAsia" w:hAnsi="Times New Roman" w:cs="Times New Roman"/>
          <w:bCs/>
          <w:iCs/>
          <w:sz w:val="28"/>
          <w:szCs w:val="28"/>
          <w:lang w:eastAsia="ru-RU"/>
        </w:rPr>
        <w:t>în</w:t>
      </w:r>
      <w:r>
        <w:rPr>
          <w:rFonts w:ascii="Times New Roman" w:eastAsiaTheme="minorEastAsia" w:hAnsi="Times New Roman" w:cs="Times New Roman"/>
          <w:bCs/>
          <w:iCs/>
          <w:sz w:val="28"/>
          <w:szCs w:val="28"/>
          <w:lang w:eastAsia="ru-RU"/>
        </w:rPr>
        <w:t xml:space="preserve"> Legea </w:t>
      </w:r>
      <w:r w:rsidR="004A6919">
        <w:rPr>
          <w:rFonts w:ascii="Times New Roman" w:eastAsiaTheme="minorEastAsia" w:hAnsi="Times New Roman" w:cs="Times New Roman"/>
          <w:bCs/>
          <w:iCs/>
          <w:sz w:val="28"/>
          <w:szCs w:val="28"/>
          <w:lang w:eastAsia="ru-RU"/>
        </w:rPr>
        <w:t>bugetului de stat</w:t>
      </w:r>
      <w:r>
        <w:rPr>
          <w:rFonts w:ascii="Times New Roman" w:eastAsiaTheme="minorEastAsia" w:hAnsi="Times New Roman" w:cs="Times New Roman"/>
          <w:bCs/>
          <w:iCs/>
          <w:sz w:val="28"/>
          <w:szCs w:val="28"/>
          <w:lang w:eastAsia="ru-RU"/>
        </w:rPr>
        <w:t xml:space="preserve"> pe anul 2017 până la 27,4 mil.lei</w:t>
      </w:r>
      <w:r w:rsidR="004A6919">
        <w:rPr>
          <w:rFonts w:ascii="Times New Roman" w:eastAsiaTheme="minorEastAsia" w:hAnsi="Times New Roman" w:cs="Times New Roman"/>
          <w:bCs/>
          <w:iCs/>
          <w:sz w:val="28"/>
          <w:szCs w:val="28"/>
          <w:lang w:eastAsia="ru-RU"/>
        </w:rPr>
        <w:t>,</w:t>
      </w:r>
      <w:r>
        <w:rPr>
          <w:rFonts w:ascii="Times New Roman" w:eastAsiaTheme="minorEastAsia" w:hAnsi="Times New Roman" w:cs="Times New Roman"/>
          <w:bCs/>
          <w:iCs/>
          <w:sz w:val="28"/>
          <w:szCs w:val="28"/>
          <w:lang w:eastAsia="ru-RU"/>
        </w:rPr>
        <w:t xml:space="preserve"> sau (+109,9%), fiind executate la 31.12.2017 în volum de 26,5 mil.lei. </w:t>
      </w:r>
      <w:r w:rsidRPr="00DB6CBE">
        <w:rPr>
          <w:rFonts w:ascii="Times New Roman" w:eastAsiaTheme="minorEastAsia" w:hAnsi="Times New Roman" w:cs="Times New Roman"/>
          <w:bCs/>
          <w:i/>
          <w:iCs/>
          <w:sz w:val="28"/>
          <w:szCs w:val="28"/>
          <w:lang w:eastAsia="ru-RU"/>
        </w:rPr>
        <w:t xml:space="preserve">Analiza auditului privind evoluția cheltuielilor pentru </w:t>
      </w:r>
      <w:r w:rsidR="005B2659">
        <w:rPr>
          <w:rFonts w:ascii="Times New Roman" w:eastAsiaTheme="minorEastAsia" w:hAnsi="Times New Roman" w:cs="Times New Roman"/>
          <w:bCs/>
          <w:i/>
          <w:iCs/>
          <w:sz w:val="28"/>
          <w:szCs w:val="28"/>
          <w:lang w:eastAsia="ru-RU"/>
        </w:rPr>
        <w:t>documentele</w:t>
      </w:r>
      <w:r w:rsidRPr="00DB6CBE">
        <w:rPr>
          <w:rFonts w:ascii="Times New Roman" w:eastAsiaTheme="minorEastAsia" w:hAnsi="Times New Roman" w:cs="Times New Roman"/>
          <w:bCs/>
          <w:i/>
          <w:iCs/>
          <w:sz w:val="28"/>
          <w:szCs w:val="28"/>
          <w:lang w:eastAsia="ru-RU"/>
        </w:rPr>
        <w:t xml:space="preserve"> executorii în anul 2017, în comparație cu anii 2015</w:t>
      </w:r>
      <w:r w:rsidR="004A6919">
        <w:rPr>
          <w:rFonts w:ascii="Times New Roman" w:eastAsiaTheme="minorEastAsia" w:hAnsi="Times New Roman" w:cs="Times New Roman"/>
          <w:bCs/>
          <w:i/>
          <w:iCs/>
          <w:sz w:val="28"/>
          <w:szCs w:val="28"/>
          <w:lang w:eastAsia="ru-RU"/>
        </w:rPr>
        <w:t xml:space="preserve"> și </w:t>
      </w:r>
      <w:r w:rsidRPr="00DB6CBE">
        <w:rPr>
          <w:rFonts w:ascii="Times New Roman" w:eastAsiaTheme="minorEastAsia" w:hAnsi="Times New Roman" w:cs="Times New Roman"/>
          <w:bCs/>
          <w:i/>
          <w:iCs/>
          <w:sz w:val="28"/>
          <w:szCs w:val="28"/>
          <w:lang w:eastAsia="ru-RU"/>
        </w:rPr>
        <w:t>2016</w:t>
      </w:r>
      <w:r w:rsidR="004A6919">
        <w:rPr>
          <w:rFonts w:ascii="Times New Roman" w:eastAsiaTheme="minorEastAsia" w:hAnsi="Times New Roman" w:cs="Times New Roman"/>
          <w:bCs/>
          <w:i/>
          <w:iCs/>
          <w:sz w:val="28"/>
          <w:szCs w:val="28"/>
          <w:lang w:eastAsia="ru-RU"/>
        </w:rPr>
        <w:t>,</w:t>
      </w:r>
      <w:r w:rsidRPr="00DB6CBE">
        <w:rPr>
          <w:rFonts w:ascii="Times New Roman" w:eastAsiaTheme="minorEastAsia" w:hAnsi="Times New Roman" w:cs="Times New Roman"/>
          <w:bCs/>
          <w:i/>
          <w:iCs/>
          <w:sz w:val="28"/>
          <w:szCs w:val="28"/>
          <w:lang w:eastAsia="ru-RU"/>
        </w:rPr>
        <w:t xml:space="preserve"> este prezentată în</w:t>
      </w:r>
      <w:r>
        <w:rPr>
          <w:rFonts w:ascii="Times New Roman" w:eastAsiaTheme="minorEastAsia" w:hAnsi="Times New Roman" w:cs="Times New Roman"/>
          <w:bCs/>
          <w:iCs/>
          <w:sz w:val="28"/>
          <w:szCs w:val="28"/>
          <w:lang w:eastAsia="ru-RU"/>
        </w:rPr>
        <w:t xml:space="preserve"> </w:t>
      </w:r>
      <w:r w:rsidRPr="007B3164">
        <w:rPr>
          <w:rFonts w:ascii="Times New Roman" w:eastAsiaTheme="minorEastAsia" w:hAnsi="Times New Roman" w:cs="Times New Roman"/>
          <w:bCs/>
          <w:i/>
          <w:iCs/>
          <w:sz w:val="28"/>
          <w:szCs w:val="28"/>
          <w:lang w:eastAsia="ru-RU"/>
        </w:rPr>
        <w:t>Diagrama nr.</w:t>
      </w:r>
      <w:r w:rsidR="00824429">
        <w:rPr>
          <w:rFonts w:ascii="Times New Roman" w:eastAsiaTheme="minorEastAsia" w:hAnsi="Times New Roman" w:cs="Times New Roman"/>
          <w:bCs/>
          <w:i/>
          <w:iCs/>
          <w:sz w:val="28"/>
          <w:szCs w:val="28"/>
          <w:lang w:eastAsia="ru-RU"/>
        </w:rPr>
        <w:t>6</w:t>
      </w:r>
      <w:r>
        <w:rPr>
          <w:rFonts w:ascii="Times New Roman" w:eastAsiaTheme="minorEastAsia" w:hAnsi="Times New Roman" w:cs="Times New Roman"/>
          <w:bCs/>
          <w:iCs/>
          <w:sz w:val="28"/>
          <w:szCs w:val="28"/>
          <w:lang w:eastAsia="ru-RU"/>
        </w:rPr>
        <w:t>.</w:t>
      </w:r>
    </w:p>
    <w:p w:rsidR="003E62EC" w:rsidRPr="002E04F9" w:rsidRDefault="003E62EC" w:rsidP="003E62EC">
      <w:pPr>
        <w:spacing w:line="276" w:lineRule="auto"/>
        <w:ind w:firstLine="709"/>
        <w:contextualSpacing/>
        <w:jc w:val="right"/>
        <w:rPr>
          <w:rFonts w:ascii="Times New Roman" w:eastAsiaTheme="minorEastAsia" w:hAnsi="Times New Roman" w:cs="Times New Roman"/>
          <w:bCs/>
          <w:i/>
          <w:iCs/>
          <w:sz w:val="28"/>
          <w:szCs w:val="28"/>
          <w:lang w:eastAsia="ru-RU"/>
        </w:rPr>
      </w:pPr>
      <w:r w:rsidRPr="002E04F9">
        <w:rPr>
          <w:rFonts w:ascii="Times New Roman" w:eastAsiaTheme="minorEastAsia" w:hAnsi="Times New Roman" w:cs="Times New Roman"/>
          <w:bCs/>
          <w:i/>
          <w:iCs/>
          <w:sz w:val="28"/>
          <w:szCs w:val="28"/>
          <w:lang w:eastAsia="ru-RU"/>
        </w:rPr>
        <w:t>Diagrama nr.</w:t>
      </w:r>
      <w:r w:rsidR="00824429">
        <w:rPr>
          <w:rFonts w:ascii="Times New Roman" w:eastAsiaTheme="minorEastAsia" w:hAnsi="Times New Roman" w:cs="Times New Roman"/>
          <w:bCs/>
          <w:i/>
          <w:iCs/>
          <w:sz w:val="28"/>
          <w:szCs w:val="28"/>
          <w:lang w:eastAsia="ru-RU"/>
        </w:rPr>
        <w:t>6</w:t>
      </w:r>
    </w:p>
    <w:p w:rsidR="003E62EC" w:rsidRDefault="003E62EC" w:rsidP="003E62EC">
      <w:pPr>
        <w:spacing w:line="276" w:lineRule="auto"/>
        <w:contextualSpacing/>
        <w:jc w:val="center"/>
        <w:rPr>
          <w:rFonts w:ascii="Times New Roman" w:eastAsiaTheme="minorEastAsia" w:hAnsi="Times New Roman" w:cs="Times New Roman"/>
          <w:b/>
          <w:bCs/>
          <w:iCs/>
          <w:sz w:val="28"/>
          <w:szCs w:val="28"/>
          <w:lang w:eastAsia="ru-RU"/>
        </w:rPr>
      </w:pPr>
      <w:r w:rsidRPr="002B6034">
        <w:rPr>
          <w:rFonts w:ascii="Times New Roman" w:eastAsiaTheme="minorEastAsia" w:hAnsi="Times New Roman" w:cs="Times New Roman"/>
          <w:b/>
          <w:bCs/>
          <w:iCs/>
          <w:sz w:val="24"/>
          <w:szCs w:val="28"/>
          <w:lang w:eastAsia="ru-RU"/>
        </w:rPr>
        <w:t xml:space="preserve">Evoluția </w:t>
      </w:r>
      <w:r w:rsidR="005B2659">
        <w:rPr>
          <w:rFonts w:ascii="Times New Roman" w:eastAsiaTheme="minorEastAsia" w:hAnsi="Times New Roman" w:cs="Times New Roman"/>
          <w:b/>
          <w:bCs/>
          <w:iCs/>
          <w:sz w:val="24"/>
          <w:szCs w:val="28"/>
          <w:lang w:eastAsia="ru-RU"/>
        </w:rPr>
        <w:t xml:space="preserve">cheltuielilor </w:t>
      </w:r>
      <w:r w:rsidRPr="002B6034">
        <w:rPr>
          <w:rFonts w:ascii="Times New Roman" w:eastAsiaTheme="minorEastAsia" w:hAnsi="Times New Roman" w:cs="Times New Roman"/>
          <w:b/>
          <w:bCs/>
          <w:iCs/>
          <w:sz w:val="24"/>
          <w:szCs w:val="28"/>
          <w:lang w:eastAsia="ru-RU"/>
        </w:rPr>
        <w:t>aferente documentelor executorii în ani</w:t>
      </w:r>
      <w:r w:rsidR="004A6919">
        <w:rPr>
          <w:rFonts w:ascii="Times New Roman" w:eastAsiaTheme="minorEastAsia" w:hAnsi="Times New Roman" w:cs="Times New Roman"/>
          <w:b/>
          <w:bCs/>
          <w:iCs/>
          <w:sz w:val="24"/>
          <w:szCs w:val="28"/>
          <w:lang w:eastAsia="ru-RU"/>
        </w:rPr>
        <w:t>i</w:t>
      </w:r>
      <w:r w:rsidRPr="002B6034">
        <w:rPr>
          <w:rFonts w:ascii="Times New Roman" w:eastAsiaTheme="minorEastAsia" w:hAnsi="Times New Roman" w:cs="Times New Roman"/>
          <w:b/>
          <w:bCs/>
          <w:iCs/>
          <w:sz w:val="24"/>
          <w:szCs w:val="28"/>
          <w:lang w:eastAsia="ru-RU"/>
        </w:rPr>
        <w:t xml:space="preserve"> 2015-2017</w:t>
      </w:r>
    </w:p>
    <w:p w:rsidR="003E62EC" w:rsidRPr="002B6034" w:rsidRDefault="003E62EC" w:rsidP="003E62EC">
      <w:pPr>
        <w:spacing w:line="276" w:lineRule="auto"/>
        <w:contextualSpacing/>
        <w:jc w:val="right"/>
        <w:rPr>
          <w:rFonts w:ascii="Times New Roman" w:eastAsiaTheme="minorEastAsia" w:hAnsi="Times New Roman" w:cs="Times New Roman"/>
          <w:bCs/>
          <w:i/>
          <w:iCs/>
          <w:sz w:val="24"/>
          <w:szCs w:val="28"/>
          <w:lang w:eastAsia="ru-RU"/>
        </w:rPr>
      </w:pPr>
      <w:r w:rsidRPr="002B6034">
        <w:rPr>
          <w:rFonts w:ascii="Times New Roman" w:eastAsiaTheme="minorEastAsia" w:hAnsi="Times New Roman" w:cs="Times New Roman"/>
          <w:bCs/>
          <w:i/>
          <w:iCs/>
          <w:sz w:val="24"/>
          <w:szCs w:val="28"/>
          <w:lang w:eastAsia="ru-RU"/>
        </w:rPr>
        <w:t>(mil.lei)</w:t>
      </w:r>
    </w:p>
    <w:p w:rsidR="003E62EC" w:rsidRDefault="003E62EC" w:rsidP="003E62EC">
      <w:pPr>
        <w:spacing w:line="276" w:lineRule="auto"/>
        <w:contextualSpacing/>
        <w:jc w:val="center"/>
        <w:rPr>
          <w:rFonts w:ascii="Times New Roman" w:eastAsiaTheme="minorEastAsia" w:hAnsi="Times New Roman" w:cs="Times New Roman"/>
          <w:bCs/>
          <w:iCs/>
          <w:sz w:val="28"/>
          <w:szCs w:val="28"/>
          <w:lang w:eastAsia="ru-RU"/>
        </w:rPr>
      </w:pPr>
      <w:r>
        <w:rPr>
          <w:rFonts w:ascii="Times New Roman" w:eastAsiaTheme="minorEastAsia" w:hAnsi="Times New Roman" w:cs="Times New Roman"/>
          <w:bCs/>
          <w:iCs/>
          <w:noProof/>
          <w:sz w:val="28"/>
          <w:szCs w:val="28"/>
          <w:lang w:val="ru-RU" w:eastAsia="ru-RU"/>
        </w:rPr>
        <w:drawing>
          <wp:inline distT="0" distB="0" distL="0" distR="0" wp14:anchorId="2E5228A9" wp14:editId="20EE9FA8">
            <wp:extent cx="6076950" cy="2295525"/>
            <wp:effectExtent l="0" t="0" r="0" b="9525"/>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E62EC" w:rsidRPr="002E04F9" w:rsidRDefault="003E62EC" w:rsidP="00D40DB8">
      <w:pPr>
        <w:spacing w:line="276" w:lineRule="auto"/>
        <w:contextualSpacing/>
        <w:jc w:val="both"/>
        <w:rPr>
          <w:rFonts w:ascii="Times New Roman" w:eastAsiaTheme="minorEastAsia" w:hAnsi="Times New Roman" w:cs="Times New Roman"/>
          <w:bCs/>
          <w:i/>
          <w:iCs/>
          <w:sz w:val="28"/>
          <w:szCs w:val="28"/>
          <w:lang w:eastAsia="ru-RU"/>
        </w:rPr>
      </w:pPr>
      <w:r w:rsidRPr="002E04F9">
        <w:rPr>
          <w:rFonts w:ascii="Times New Roman" w:eastAsiaTheme="minorEastAsia" w:hAnsi="Times New Roman" w:cs="Times New Roman"/>
          <w:b/>
          <w:bCs/>
          <w:i/>
          <w:iCs/>
          <w:sz w:val="20"/>
          <w:szCs w:val="28"/>
          <w:lang w:eastAsia="ru-RU"/>
        </w:rPr>
        <w:t>Surs</w:t>
      </w:r>
      <w:r w:rsidR="004A6919">
        <w:rPr>
          <w:rFonts w:ascii="Times New Roman" w:eastAsiaTheme="minorEastAsia" w:hAnsi="Times New Roman" w:cs="Times New Roman"/>
          <w:b/>
          <w:bCs/>
          <w:i/>
          <w:iCs/>
          <w:sz w:val="20"/>
          <w:szCs w:val="28"/>
          <w:lang w:eastAsia="ru-RU"/>
        </w:rPr>
        <w:t>ă</w:t>
      </w:r>
      <w:r w:rsidRPr="002E04F9">
        <w:rPr>
          <w:rFonts w:ascii="Times New Roman" w:eastAsiaTheme="minorEastAsia" w:hAnsi="Times New Roman" w:cs="Times New Roman"/>
          <w:b/>
          <w:bCs/>
          <w:i/>
          <w:iCs/>
          <w:sz w:val="20"/>
          <w:szCs w:val="28"/>
          <w:lang w:eastAsia="ru-RU"/>
        </w:rPr>
        <w:t>:</w:t>
      </w:r>
      <w:r>
        <w:rPr>
          <w:rFonts w:ascii="Times New Roman" w:eastAsiaTheme="minorEastAsia" w:hAnsi="Times New Roman" w:cs="Times New Roman"/>
          <w:b/>
          <w:bCs/>
          <w:i/>
          <w:iCs/>
          <w:sz w:val="20"/>
          <w:szCs w:val="28"/>
          <w:lang w:eastAsia="ru-RU"/>
        </w:rPr>
        <w:t xml:space="preserve"> </w:t>
      </w:r>
      <w:r w:rsidRPr="00B1707E">
        <w:rPr>
          <w:rFonts w:ascii="Times New Roman" w:eastAsiaTheme="minorEastAsia" w:hAnsi="Times New Roman" w:cs="Times New Roman"/>
          <w:bCs/>
          <w:i/>
          <w:iCs/>
          <w:sz w:val="20"/>
          <w:szCs w:val="28"/>
          <w:lang w:eastAsia="ru-RU"/>
        </w:rPr>
        <w:t>Informații generalizate de</w:t>
      </w:r>
      <w:r>
        <w:rPr>
          <w:rFonts w:ascii="Times New Roman" w:eastAsiaTheme="minorEastAsia" w:hAnsi="Times New Roman" w:cs="Times New Roman"/>
          <w:bCs/>
          <w:i/>
          <w:iCs/>
          <w:sz w:val="20"/>
          <w:szCs w:val="28"/>
          <w:lang w:eastAsia="ru-RU"/>
        </w:rPr>
        <w:t xml:space="preserve"> echipa de</w:t>
      </w:r>
      <w:r w:rsidRPr="00B1707E">
        <w:rPr>
          <w:rFonts w:ascii="Times New Roman" w:eastAsiaTheme="minorEastAsia" w:hAnsi="Times New Roman" w:cs="Times New Roman"/>
          <w:bCs/>
          <w:i/>
          <w:iCs/>
          <w:sz w:val="20"/>
          <w:szCs w:val="28"/>
          <w:lang w:eastAsia="ru-RU"/>
        </w:rPr>
        <w:t xml:space="preserve"> audit conform</w:t>
      </w:r>
      <w:r>
        <w:rPr>
          <w:rFonts w:ascii="Times New Roman" w:eastAsiaTheme="minorEastAsia" w:hAnsi="Times New Roman" w:cs="Times New Roman"/>
          <w:b/>
          <w:bCs/>
          <w:i/>
          <w:iCs/>
          <w:sz w:val="20"/>
          <w:szCs w:val="28"/>
          <w:lang w:eastAsia="ru-RU"/>
        </w:rPr>
        <w:t xml:space="preserve"> </w:t>
      </w:r>
      <w:r w:rsidRPr="00BB5402">
        <w:rPr>
          <w:rFonts w:ascii="Times New Roman" w:hAnsi="Times New Roman" w:cs="Times New Roman"/>
          <w:i/>
          <w:sz w:val="20"/>
          <w:szCs w:val="24"/>
        </w:rPr>
        <w:t>Rapo</w:t>
      </w:r>
      <w:r>
        <w:rPr>
          <w:rFonts w:ascii="Times New Roman" w:hAnsi="Times New Roman" w:cs="Times New Roman"/>
          <w:i/>
          <w:sz w:val="20"/>
          <w:szCs w:val="24"/>
        </w:rPr>
        <w:t>a</w:t>
      </w:r>
      <w:r w:rsidRPr="00BB5402">
        <w:rPr>
          <w:rFonts w:ascii="Times New Roman" w:hAnsi="Times New Roman" w:cs="Times New Roman"/>
          <w:i/>
          <w:sz w:val="20"/>
          <w:szCs w:val="24"/>
        </w:rPr>
        <w:t>rt</w:t>
      </w:r>
      <w:r>
        <w:rPr>
          <w:rFonts w:ascii="Times New Roman" w:hAnsi="Times New Roman" w:cs="Times New Roman"/>
          <w:i/>
          <w:sz w:val="20"/>
          <w:szCs w:val="24"/>
        </w:rPr>
        <w:t>elor</w:t>
      </w:r>
      <w:r w:rsidRPr="00BB5402">
        <w:rPr>
          <w:rFonts w:ascii="Times New Roman" w:hAnsi="Times New Roman" w:cs="Times New Roman"/>
          <w:i/>
          <w:sz w:val="20"/>
          <w:szCs w:val="24"/>
        </w:rPr>
        <w:t xml:space="preserve"> privind executarea bugetului </w:t>
      </w:r>
      <w:r>
        <w:rPr>
          <w:rFonts w:ascii="Times New Roman" w:hAnsi="Times New Roman" w:cs="Times New Roman"/>
          <w:i/>
          <w:sz w:val="20"/>
          <w:szCs w:val="24"/>
        </w:rPr>
        <w:t>pentru anii 2015, 2016 și</w:t>
      </w:r>
      <w:r w:rsidR="007D3BFC">
        <w:rPr>
          <w:rFonts w:ascii="Times New Roman" w:hAnsi="Times New Roman" w:cs="Times New Roman"/>
          <w:i/>
          <w:sz w:val="20"/>
          <w:szCs w:val="24"/>
        </w:rPr>
        <w:t>, respectiv,</w:t>
      </w:r>
      <w:r>
        <w:rPr>
          <w:rFonts w:ascii="Times New Roman" w:hAnsi="Times New Roman" w:cs="Times New Roman"/>
          <w:i/>
          <w:sz w:val="20"/>
          <w:szCs w:val="24"/>
        </w:rPr>
        <w:t xml:space="preserve"> 2017</w:t>
      </w:r>
      <w:r w:rsidR="004A6919">
        <w:rPr>
          <w:rFonts w:ascii="Times New Roman" w:hAnsi="Times New Roman" w:cs="Times New Roman"/>
          <w:i/>
          <w:sz w:val="20"/>
          <w:szCs w:val="24"/>
        </w:rPr>
        <w:t>.</w:t>
      </w:r>
    </w:p>
    <w:p w:rsidR="003E62EC" w:rsidRDefault="003E62EC" w:rsidP="003E62EC">
      <w:pPr>
        <w:spacing w:line="276" w:lineRule="auto"/>
        <w:ind w:firstLine="709"/>
        <w:contextualSpacing/>
        <w:jc w:val="both"/>
        <w:rPr>
          <w:rFonts w:ascii="Times New Roman" w:eastAsiaTheme="minorEastAsia" w:hAnsi="Times New Roman" w:cs="Times New Roman"/>
          <w:bCs/>
          <w:iCs/>
          <w:sz w:val="28"/>
          <w:szCs w:val="28"/>
          <w:lang w:eastAsia="ru-RU"/>
        </w:rPr>
      </w:pPr>
      <w:r>
        <w:rPr>
          <w:rFonts w:ascii="Times New Roman" w:eastAsiaTheme="minorEastAsia" w:hAnsi="Times New Roman" w:cs="Times New Roman"/>
          <w:bCs/>
          <w:iCs/>
          <w:sz w:val="28"/>
          <w:szCs w:val="28"/>
          <w:lang w:eastAsia="ru-RU"/>
        </w:rPr>
        <w:t>În baza analizei datelor privind cheltuielile executate pentru plățile aferente documentelor executorii, auditul denotă o diminuare a acestora</w:t>
      </w:r>
      <w:r w:rsidRPr="00FF4958">
        <w:rPr>
          <w:rFonts w:ascii="Times New Roman" w:eastAsiaTheme="minorEastAsia" w:hAnsi="Times New Roman" w:cs="Times New Roman"/>
          <w:bCs/>
          <w:iCs/>
          <w:sz w:val="28"/>
          <w:szCs w:val="28"/>
          <w:lang w:eastAsia="ru-RU"/>
        </w:rPr>
        <w:t xml:space="preserve"> </w:t>
      </w:r>
      <w:r>
        <w:rPr>
          <w:rFonts w:ascii="Times New Roman" w:eastAsiaTheme="minorEastAsia" w:hAnsi="Times New Roman" w:cs="Times New Roman"/>
          <w:bCs/>
          <w:iCs/>
          <w:sz w:val="28"/>
          <w:szCs w:val="28"/>
          <w:lang w:eastAsia="ru-RU"/>
        </w:rPr>
        <w:t xml:space="preserve">cu </w:t>
      </w:r>
      <w:r w:rsidRPr="00FF4958">
        <w:rPr>
          <w:rFonts w:ascii="Times New Roman" w:eastAsiaTheme="minorEastAsia" w:hAnsi="Times New Roman" w:cs="Times New Roman"/>
          <w:bCs/>
          <w:iCs/>
          <w:sz w:val="28"/>
          <w:szCs w:val="28"/>
          <w:lang w:eastAsia="ru-RU"/>
        </w:rPr>
        <w:t>5,</w:t>
      </w:r>
      <w:r>
        <w:rPr>
          <w:rFonts w:ascii="Times New Roman" w:eastAsiaTheme="minorEastAsia" w:hAnsi="Times New Roman" w:cs="Times New Roman"/>
          <w:bCs/>
          <w:iCs/>
          <w:sz w:val="28"/>
          <w:szCs w:val="28"/>
          <w:lang w:eastAsia="ru-RU"/>
        </w:rPr>
        <w:t>8 mil.</w:t>
      </w:r>
      <w:r w:rsidRPr="00FF4958">
        <w:rPr>
          <w:rFonts w:ascii="Times New Roman" w:eastAsiaTheme="minorEastAsia" w:hAnsi="Times New Roman" w:cs="Times New Roman"/>
          <w:bCs/>
          <w:iCs/>
          <w:sz w:val="28"/>
          <w:szCs w:val="28"/>
          <w:lang w:eastAsia="ru-RU"/>
        </w:rPr>
        <w:t>lei</w:t>
      </w:r>
      <w:r w:rsidR="004A6919">
        <w:rPr>
          <w:rFonts w:ascii="Times New Roman" w:eastAsiaTheme="minorEastAsia" w:hAnsi="Times New Roman" w:cs="Times New Roman"/>
          <w:bCs/>
          <w:iCs/>
          <w:sz w:val="28"/>
          <w:szCs w:val="28"/>
          <w:lang w:eastAsia="ru-RU"/>
        </w:rPr>
        <w:t>,</w:t>
      </w:r>
      <w:r w:rsidRPr="00FF4958">
        <w:rPr>
          <w:rFonts w:ascii="Times New Roman" w:eastAsiaTheme="minorEastAsia" w:hAnsi="Times New Roman" w:cs="Times New Roman"/>
          <w:bCs/>
          <w:iCs/>
          <w:sz w:val="28"/>
          <w:szCs w:val="28"/>
          <w:lang w:eastAsia="ru-RU"/>
        </w:rPr>
        <w:t xml:space="preserve"> </w:t>
      </w:r>
      <w:r>
        <w:rPr>
          <w:rFonts w:ascii="Times New Roman" w:eastAsiaTheme="minorEastAsia" w:hAnsi="Times New Roman" w:cs="Times New Roman"/>
          <w:bCs/>
          <w:iCs/>
          <w:sz w:val="28"/>
          <w:szCs w:val="28"/>
          <w:lang w:eastAsia="ru-RU"/>
        </w:rPr>
        <w:t xml:space="preserve">sau cu 18,0% </w:t>
      </w:r>
      <w:r w:rsidRPr="00FF4958">
        <w:rPr>
          <w:rFonts w:ascii="Times New Roman" w:eastAsiaTheme="minorEastAsia" w:hAnsi="Times New Roman" w:cs="Times New Roman"/>
          <w:bCs/>
          <w:iCs/>
          <w:sz w:val="28"/>
          <w:szCs w:val="28"/>
          <w:lang w:eastAsia="ru-RU"/>
        </w:rPr>
        <w:t xml:space="preserve">mai puțin </w:t>
      </w:r>
      <w:r>
        <w:rPr>
          <w:rFonts w:ascii="Times New Roman" w:eastAsiaTheme="minorEastAsia" w:hAnsi="Times New Roman" w:cs="Times New Roman"/>
          <w:bCs/>
          <w:iCs/>
          <w:sz w:val="28"/>
          <w:szCs w:val="28"/>
          <w:lang w:eastAsia="ru-RU"/>
        </w:rPr>
        <w:t xml:space="preserve">în anul 2017 </w:t>
      </w:r>
      <w:r w:rsidRPr="00FF4958">
        <w:rPr>
          <w:rFonts w:ascii="Times New Roman" w:eastAsiaTheme="minorEastAsia" w:hAnsi="Times New Roman" w:cs="Times New Roman"/>
          <w:bCs/>
          <w:iCs/>
          <w:sz w:val="28"/>
          <w:szCs w:val="28"/>
          <w:lang w:eastAsia="ru-RU"/>
        </w:rPr>
        <w:t xml:space="preserve">față de </w:t>
      </w:r>
      <w:r>
        <w:rPr>
          <w:rFonts w:ascii="Times New Roman" w:eastAsiaTheme="minorEastAsia" w:hAnsi="Times New Roman" w:cs="Times New Roman"/>
          <w:bCs/>
          <w:iCs/>
          <w:sz w:val="28"/>
          <w:szCs w:val="28"/>
          <w:lang w:eastAsia="ru-RU"/>
        </w:rPr>
        <w:t xml:space="preserve">anul </w:t>
      </w:r>
      <w:r w:rsidRPr="00FF4958">
        <w:rPr>
          <w:rFonts w:ascii="Times New Roman" w:eastAsiaTheme="minorEastAsia" w:hAnsi="Times New Roman" w:cs="Times New Roman"/>
          <w:bCs/>
          <w:iCs/>
          <w:sz w:val="28"/>
          <w:szCs w:val="28"/>
          <w:lang w:eastAsia="ru-RU"/>
        </w:rPr>
        <w:t>201</w:t>
      </w:r>
      <w:r>
        <w:rPr>
          <w:rFonts w:ascii="Times New Roman" w:eastAsiaTheme="minorEastAsia" w:hAnsi="Times New Roman" w:cs="Times New Roman"/>
          <w:bCs/>
          <w:iCs/>
          <w:sz w:val="28"/>
          <w:szCs w:val="28"/>
          <w:lang w:eastAsia="ru-RU"/>
        </w:rPr>
        <w:t>6</w:t>
      </w:r>
      <w:r w:rsidR="004A6919">
        <w:rPr>
          <w:rFonts w:ascii="Times New Roman" w:eastAsiaTheme="minorEastAsia" w:hAnsi="Times New Roman" w:cs="Times New Roman"/>
          <w:bCs/>
          <w:iCs/>
          <w:sz w:val="28"/>
          <w:szCs w:val="28"/>
          <w:lang w:eastAsia="ru-RU"/>
        </w:rPr>
        <w:t>,</w:t>
      </w:r>
      <w:r w:rsidRPr="00FF4958">
        <w:rPr>
          <w:rFonts w:ascii="Times New Roman" w:eastAsiaTheme="minorEastAsia" w:hAnsi="Times New Roman" w:cs="Times New Roman"/>
          <w:bCs/>
          <w:iCs/>
          <w:sz w:val="28"/>
          <w:szCs w:val="28"/>
          <w:lang w:eastAsia="ru-RU"/>
        </w:rPr>
        <w:t xml:space="preserve"> și cu </w:t>
      </w:r>
      <w:r>
        <w:rPr>
          <w:rFonts w:ascii="Times New Roman" w:eastAsiaTheme="minorEastAsia" w:hAnsi="Times New Roman" w:cs="Times New Roman"/>
          <w:bCs/>
          <w:iCs/>
          <w:sz w:val="28"/>
          <w:szCs w:val="28"/>
          <w:lang w:eastAsia="ru-RU"/>
        </w:rPr>
        <w:t>59,3</w:t>
      </w:r>
      <w:r w:rsidRPr="00FF4958">
        <w:rPr>
          <w:rFonts w:ascii="Times New Roman" w:eastAsiaTheme="minorEastAsia" w:hAnsi="Times New Roman" w:cs="Times New Roman"/>
          <w:bCs/>
          <w:iCs/>
          <w:sz w:val="28"/>
          <w:szCs w:val="28"/>
          <w:lang w:eastAsia="ru-RU"/>
        </w:rPr>
        <w:t xml:space="preserve"> mil.</w:t>
      </w:r>
      <w:r>
        <w:rPr>
          <w:rFonts w:ascii="Times New Roman" w:eastAsiaTheme="minorEastAsia" w:hAnsi="Times New Roman" w:cs="Times New Roman"/>
          <w:bCs/>
          <w:iCs/>
          <w:sz w:val="28"/>
          <w:szCs w:val="28"/>
          <w:lang w:eastAsia="ru-RU"/>
        </w:rPr>
        <w:t>lei</w:t>
      </w:r>
      <w:r w:rsidR="004A6919">
        <w:rPr>
          <w:rFonts w:ascii="Times New Roman" w:eastAsiaTheme="minorEastAsia" w:hAnsi="Times New Roman" w:cs="Times New Roman"/>
          <w:bCs/>
          <w:iCs/>
          <w:sz w:val="28"/>
          <w:szCs w:val="28"/>
          <w:lang w:eastAsia="ru-RU"/>
        </w:rPr>
        <w:t>,</w:t>
      </w:r>
      <w:r>
        <w:rPr>
          <w:rFonts w:ascii="Times New Roman" w:eastAsiaTheme="minorEastAsia" w:hAnsi="Times New Roman" w:cs="Times New Roman"/>
          <w:bCs/>
          <w:iCs/>
          <w:sz w:val="28"/>
          <w:szCs w:val="28"/>
          <w:lang w:eastAsia="ru-RU"/>
        </w:rPr>
        <w:t xml:space="preserve"> sau cu 69,</w:t>
      </w:r>
      <w:r w:rsidRPr="00FF4958">
        <w:rPr>
          <w:rFonts w:ascii="Times New Roman" w:eastAsiaTheme="minorEastAsia" w:hAnsi="Times New Roman" w:cs="Times New Roman"/>
          <w:bCs/>
          <w:iCs/>
          <w:sz w:val="28"/>
          <w:szCs w:val="28"/>
          <w:lang w:eastAsia="ru-RU"/>
        </w:rPr>
        <w:t>1%</w:t>
      </w:r>
      <w:r>
        <w:rPr>
          <w:rFonts w:ascii="Times New Roman" w:eastAsiaTheme="minorEastAsia" w:hAnsi="Times New Roman" w:cs="Times New Roman"/>
          <w:bCs/>
          <w:iCs/>
          <w:sz w:val="28"/>
          <w:szCs w:val="28"/>
          <w:lang w:eastAsia="ru-RU"/>
        </w:rPr>
        <w:t xml:space="preserve"> mai puțin față de anul</w:t>
      </w:r>
      <w:r w:rsidRPr="00FF4958">
        <w:rPr>
          <w:rFonts w:ascii="Times New Roman" w:eastAsiaTheme="minorEastAsia" w:hAnsi="Times New Roman" w:cs="Times New Roman"/>
          <w:bCs/>
          <w:iCs/>
          <w:sz w:val="28"/>
          <w:szCs w:val="28"/>
          <w:lang w:eastAsia="ru-RU"/>
        </w:rPr>
        <w:t xml:space="preserve"> </w:t>
      </w:r>
      <w:r>
        <w:rPr>
          <w:rFonts w:ascii="Times New Roman" w:eastAsiaTheme="minorEastAsia" w:hAnsi="Times New Roman" w:cs="Times New Roman"/>
          <w:bCs/>
          <w:iCs/>
          <w:sz w:val="28"/>
          <w:szCs w:val="28"/>
          <w:lang w:eastAsia="ru-RU"/>
        </w:rPr>
        <w:t xml:space="preserve">2015. Se atestă că plățile </w:t>
      </w:r>
      <w:r w:rsidR="005B2659">
        <w:rPr>
          <w:rFonts w:ascii="Times New Roman" w:eastAsiaTheme="minorEastAsia" w:hAnsi="Times New Roman" w:cs="Times New Roman"/>
          <w:bCs/>
          <w:iCs/>
          <w:sz w:val="28"/>
          <w:szCs w:val="28"/>
          <w:lang w:eastAsia="ru-RU"/>
        </w:rPr>
        <w:t>respective, a</w:t>
      </w:r>
      <w:r>
        <w:rPr>
          <w:rFonts w:ascii="Times New Roman" w:eastAsiaTheme="minorEastAsia" w:hAnsi="Times New Roman" w:cs="Times New Roman"/>
          <w:bCs/>
          <w:iCs/>
          <w:sz w:val="28"/>
          <w:szCs w:val="28"/>
          <w:lang w:eastAsia="ru-RU"/>
        </w:rPr>
        <w:t xml:space="preserve">chitate </w:t>
      </w:r>
      <w:r w:rsidRPr="007E4DF8">
        <w:rPr>
          <w:rFonts w:ascii="Times New Roman" w:hAnsi="Times New Roman" w:cs="Times New Roman"/>
          <w:sz w:val="28"/>
          <w:szCs w:val="28"/>
        </w:rPr>
        <w:t>prin intermediul MF</w:t>
      </w:r>
      <w:r>
        <w:rPr>
          <w:rFonts w:ascii="Times New Roman" w:hAnsi="Times New Roman" w:cs="Times New Roman"/>
          <w:sz w:val="28"/>
          <w:szCs w:val="28"/>
        </w:rPr>
        <w:t xml:space="preserve"> în anul 2017 au fost în descreștere cu </w:t>
      </w:r>
      <w:r w:rsidRPr="00FF4958">
        <w:rPr>
          <w:rFonts w:ascii="Times New Roman" w:eastAsiaTheme="minorEastAsia" w:hAnsi="Times New Roman" w:cs="Times New Roman"/>
          <w:bCs/>
          <w:iCs/>
          <w:sz w:val="28"/>
          <w:szCs w:val="28"/>
          <w:lang w:eastAsia="ru-RU"/>
        </w:rPr>
        <w:t>(-</w:t>
      </w:r>
      <w:r>
        <w:rPr>
          <w:rFonts w:ascii="Times New Roman" w:eastAsiaTheme="minorEastAsia" w:hAnsi="Times New Roman" w:cs="Times New Roman"/>
          <w:bCs/>
          <w:iCs/>
          <w:sz w:val="28"/>
          <w:szCs w:val="28"/>
          <w:lang w:eastAsia="ru-RU"/>
        </w:rPr>
        <w:t>45</w:t>
      </w:r>
      <w:r w:rsidRPr="00FF4958">
        <w:rPr>
          <w:rFonts w:ascii="Times New Roman" w:eastAsiaTheme="minorEastAsia" w:hAnsi="Times New Roman" w:cs="Times New Roman"/>
          <w:bCs/>
          <w:iCs/>
          <w:sz w:val="28"/>
          <w:szCs w:val="28"/>
          <w:lang w:eastAsia="ru-RU"/>
        </w:rPr>
        <w:t>,</w:t>
      </w:r>
      <w:r>
        <w:rPr>
          <w:rFonts w:ascii="Times New Roman" w:eastAsiaTheme="minorEastAsia" w:hAnsi="Times New Roman" w:cs="Times New Roman"/>
          <w:bCs/>
          <w:iCs/>
          <w:sz w:val="28"/>
          <w:szCs w:val="28"/>
          <w:lang w:eastAsia="ru-RU"/>
        </w:rPr>
        <w:t>4</w:t>
      </w:r>
      <w:r w:rsidRPr="00FF4958">
        <w:rPr>
          <w:rFonts w:ascii="Times New Roman" w:eastAsiaTheme="minorEastAsia" w:hAnsi="Times New Roman" w:cs="Times New Roman"/>
          <w:bCs/>
          <w:iCs/>
          <w:sz w:val="28"/>
          <w:szCs w:val="28"/>
          <w:lang w:eastAsia="ru-RU"/>
        </w:rPr>
        <w:t>%)</w:t>
      </w:r>
      <w:r>
        <w:rPr>
          <w:rFonts w:ascii="Times New Roman" w:eastAsiaTheme="minorEastAsia" w:hAnsi="Times New Roman" w:cs="Times New Roman"/>
          <w:bCs/>
          <w:iCs/>
          <w:sz w:val="28"/>
          <w:szCs w:val="28"/>
          <w:lang w:eastAsia="ru-RU"/>
        </w:rPr>
        <w:t xml:space="preserve"> față de anul 2016, în timp ce </w:t>
      </w:r>
      <w:r>
        <w:rPr>
          <w:rFonts w:ascii="Times New Roman" w:hAnsi="Times New Roman" w:cs="Times New Roman"/>
          <w:sz w:val="28"/>
          <w:szCs w:val="28"/>
        </w:rPr>
        <w:t xml:space="preserve">achitările </w:t>
      </w:r>
      <w:r w:rsidRPr="007E4DF8">
        <w:rPr>
          <w:rFonts w:ascii="Times New Roman" w:hAnsi="Times New Roman" w:cs="Times New Roman"/>
          <w:sz w:val="28"/>
          <w:szCs w:val="28"/>
        </w:rPr>
        <w:t xml:space="preserve">prin intermediul </w:t>
      </w:r>
      <w:r w:rsidR="00925B6C">
        <w:rPr>
          <w:rFonts w:ascii="Times New Roman" w:hAnsi="Times New Roman" w:cs="Times New Roman"/>
          <w:sz w:val="28"/>
          <w:szCs w:val="28"/>
        </w:rPr>
        <w:t>autorităților/instituțiilor bugetare</w:t>
      </w:r>
      <w:r>
        <w:rPr>
          <w:rFonts w:ascii="Times New Roman" w:hAnsi="Times New Roman" w:cs="Times New Roman"/>
          <w:sz w:val="28"/>
          <w:szCs w:val="28"/>
        </w:rPr>
        <w:t xml:space="preserve"> </w:t>
      </w:r>
      <w:r w:rsidRPr="00FF4958">
        <w:rPr>
          <w:rFonts w:ascii="Times New Roman" w:eastAsiaTheme="minorEastAsia" w:hAnsi="Times New Roman" w:cs="Times New Roman"/>
          <w:bCs/>
          <w:iCs/>
          <w:sz w:val="28"/>
          <w:szCs w:val="28"/>
          <w:lang w:eastAsia="ru-RU"/>
        </w:rPr>
        <w:t xml:space="preserve">înregistrează o creștere </w:t>
      </w:r>
      <w:r>
        <w:rPr>
          <w:rFonts w:ascii="Times New Roman" w:eastAsiaTheme="minorEastAsia" w:hAnsi="Times New Roman" w:cs="Times New Roman"/>
          <w:bCs/>
          <w:iCs/>
          <w:sz w:val="28"/>
          <w:szCs w:val="28"/>
          <w:lang w:eastAsia="ru-RU"/>
        </w:rPr>
        <w:t>de</w:t>
      </w:r>
      <w:r w:rsidRPr="00FF4958">
        <w:rPr>
          <w:rFonts w:ascii="Times New Roman" w:eastAsiaTheme="minorEastAsia" w:hAnsi="Times New Roman" w:cs="Times New Roman"/>
          <w:bCs/>
          <w:iCs/>
          <w:sz w:val="28"/>
          <w:szCs w:val="28"/>
          <w:lang w:eastAsia="ru-RU"/>
        </w:rPr>
        <w:t xml:space="preserve"> </w:t>
      </w:r>
      <w:r>
        <w:rPr>
          <w:rFonts w:ascii="Times New Roman" w:eastAsiaTheme="minorEastAsia" w:hAnsi="Times New Roman" w:cs="Times New Roman"/>
          <w:bCs/>
          <w:iCs/>
          <w:sz w:val="28"/>
          <w:szCs w:val="28"/>
          <w:lang w:eastAsia="ru-RU"/>
        </w:rPr>
        <w:t>7</w:t>
      </w:r>
      <w:r w:rsidRPr="00FF4958">
        <w:rPr>
          <w:rFonts w:ascii="Times New Roman" w:eastAsiaTheme="minorEastAsia" w:hAnsi="Times New Roman" w:cs="Times New Roman"/>
          <w:bCs/>
          <w:iCs/>
          <w:sz w:val="28"/>
          <w:szCs w:val="28"/>
          <w:lang w:eastAsia="ru-RU"/>
        </w:rPr>
        <w:t>4,</w:t>
      </w:r>
      <w:r>
        <w:rPr>
          <w:rFonts w:ascii="Times New Roman" w:eastAsiaTheme="minorEastAsia" w:hAnsi="Times New Roman" w:cs="Times New Roman"/>
          <w:bCs/>
          <w:iCs/>
          <w:sz w:val="28"/>
          <w:szCs w:val="28"/>
          <w:lang w:eastAsia="ru-RU"/>
        </w:rPr>
        <w:t>3</w:t>
      </w:r>
      <w:r w:rsidRPr="00FF4958">
        <w:rPr>
          <w:rFonts w:ascii="Times New Roman" w:eastAsiaTheme="minorEastAsia" w:hAnsi="Times New Roman" w:cs="Times New Roman"/>
          <w:bCs/>
          <w:iCs/>
          <w:sz w:val="28"/>
          <w:szCs w:val="28"/>
          <w:lang w:eastAsia="ru-RU"/>
        </w:rPr>
        <w:t>%.</w:t>
      </w:r>
    </w:p>
    <w:p w:rsidR="003E62EC" w:rsidRDefault="003E62EC" w:rsidP="003E62EC">
      <w:pPr>
        <w:spacing w:after="0" w:line="276" w:lineRule="auto"/>
        <w:ind w:firstLine="709"/>
        <w:jc w:val="both"/>
        <w:rPr>
          <w:rFonts w:ascii="Times New Roman" w:eastAsiaTheme="minorEastAsia" w:hAnsi="Times New Roman" w:cs="Times New Roman"/>
          <w:bCs/>
          <w:iCs/>
          <w:sz w:val="28"/>
          <w:szCs w:val="28"/>
          <w:lang w:eastAsia="ru-RU"/>
        </w:rPr>
      </w:pPr>
      <w:r w:rsidRPr="008169DD">
        <w:rPr>
          <w:rFonts w:ascii="Times New Roman" w:hAnsi="Times New Roman" w:cs="Times New Roman"/>
          <w:sz w:val="28"/>
          <w:szCs w:val="28"/>
        </w:rPr>
        <w:lastRenderedPageBreak/>
        <w:t xml:space="preserve">Achitarea documentelor executorii prin intermediul </w:t>
      </w:r>
      <w:r w:rsidR="00925B6C">
        <w:rPr>
          <w:rFonts w:ascii="Times New Roman" w:hAnsi="Times New Roman" w:cs="Times New Roman"/>
          <w:sz w:val="28"/>
          <w:szCs w:val="28"/>
        </w:rPr>
        <w:t>autorităților/instituțiilor bugetare</w:t>
      </w:r>
      <w:r w:rsidRPr="008169DD">
        <w:rPr>
          <w:rFonts w:ascii="Times New Roman" w:hAnsi="Times New Roman" w:cs="Times New Roman"/>
          <w:b/>
          <w:sz w:val="28"/>
          <w:szCs w:val="28"/>
        </w:rPr>
        <w:t xml:space="preserve"> </w:t>
      </w:r>
      <w:r w:rsidRPr="008169DD">
        <w:rPr>
          <w:rFonts w:ascii="Times New Roman" w:hAnsi="Times New Roman" w:cs="Times New Roman"/>
          <w:sz w:val="28"/>
          <w:szCs w:val="28"/>
        </w:rPr>
        <w:t xml:space="preserve">în anul </w:t>
      </w:r>
      <w:r w:rsidRPr="00BF3E5D">
        <w:rPr>
          <w:rFonts w:ascii="Times New Roman" w:hAnsi="Times New Roman" w:cs="Times New Roman"/>
          <w:sz w:val="28"/>
          <w:szCs w:val="28"/>
        </w:rPr>
        <w:t>2017 a constituit 12,9 mil.lei, sau cu 5,5 mil.lei mai mult</w:t>
      </w:r>
      <w:r w:rsidR="004A6919" w:rsidRPr="00BF3E5D">
        <w:rPr>
          <w:rFonts w:ascii="Times New Roman" w:hAnsi="Times New Roman" w:cs="Times New Roman"/>
          <w:sz w:val="28"/>
          <w:szCs w:val="28"/>
        </w:rPr>
        <w:t>,</w:t>
      </w:r>
      <w:r w:rsidRPr="00A648C8">
        <w:rPr>
          <w:rFonts w:ascii="Times New Roman" w:hAnsi="Times New Roman" w:cs="Times New Roman"/>
          <w:sz w:val="28"/>
          <w:szCs w:val="28"/>
        </w:rPr>
        <w:t xml:space="preserve"> comparativ cu plățile achitate în anul 2016.</w:t>
      </w:r>
      <w:r w:rsidRPr="008169DD">
        <w:rPr>
          <w:rFonts w:ascii="Times New Roman" w:eastAsia="Times New Roman" w:hAnsi="Times New Roman" w:cs="Times New Roman"/>
          <w:sz w:val="28"/>
          <w:szCs w:val="28"/>
        </w:rPr>
        <w:t xml:space="preserve"> </w:t>
      </w:r>
      <w:r w:rsidRPr="008169DD">
        <w:rPr>
          <w:rFonts w:ascii="Times New Roman" w:hAnsi="Times New Roman" w:cs="Times New Roman"/>
          <w:sz w:val="28"/>
          <w:szCs w:val="28"/>
          <w:shd w:val="clear" w:color="auto" w:fill="FFFFFF" w:themeFill="background1"/>
        </w:rPr>
        <w:t xml:space="preserve">Analiza datoriilor aferente documentelor executorii raportate de către </w:t>
      </w:r>
      <w:r w:rsidR="005B2659">
        <w:rPr>
          <w:rFonts w:ascii="Times New Roman" w:hAnsi="Times New Roman" w:cs="Times New Roman"/>
          <w:sz w:val="28"/>
          <w:szCs w:val="28"/>
          <w:shd w:val="clear" w:color="auto" w:fill="FFFFFF" w:themeFill="background1"/>
        </w:rPr>
        <w:t>autoritățile/instituțiile bugetare</w:t>
      </w:r>
      <w:r w:rsidRPr="008169DD">
        <w:rPr>
          <w:rFonts w:ascii="Times New Roman" w:hAnsi="Times New Roman" w:cs="Times New Roman"/>
          <w:sz w:val="28"/>
          <w:szCs w:val="28"/>
          <w:shd w:val="clear" w:color="auto" w:fill="FFFFFF" w:themeFill="background1"/>
        </w:rPr>
        <w:t xml:space="preserve"> la CBE 28136 „Plăți aferente documentelor executorii” reflectă prezența creanțelor în valoare totală de 0,8 mil.lei și a datoriilor în valoare de 0,3 mil.lei.</w:t>
      </w:r>
      <w:r w:rsidRPr="007E4DF8">
        <w:rPr>
          <w:rFonts w:ascii="Times New Roman" w:hAnsi="Times New Roman" w:cs="Times New Roman"/>
          <w:sz w:val="28"/>
          <w:szCs w:val="28"/>
          <w:shd w:val="clear" w:color="auto" w:fill="FFFFFF" w:themeFill="background1"/>
        </w:rPr>
        <w:t xml:space="preserve"> </w:t>
      </w:r>
    </w:p>
    <w:p w:rsidR="003E62EC" w:rsidRDefault="003E62EC" w:rsidP="003E62EC">
      <w:pPr>
        <w:spacing w:line="276" w:lineRule="auto"/>
        <w:ind w:firstLine="709"/>
        <w:contextualSpacing/>
        <w:jc w:val="both"/>
        <w:rPr>
          <w:rFonts w:ascii="Times New Roman" w:hAnsi="Times New Roman" w:cs="Times New Roman"/>
          <w:i/>
          <w:sz w:val="28"/>
          <w:szCs w:val="28"/>
        </w:rPr>
      </w:pPr>
      <w:r>
        <w:rPr>
          <w:rFonts w:ascii="Times New Roman" w:hAnsi="Times New Roman" w:cs="Times New Roman"/>
          <w:sz w:val="28"/>
          <w:szCs w:val="28"/>
        </w:rPr>
        <w:t xml:space="preserve">Verificarea conformității </w:t>
      </w:r>
      <w:r w:rsidRPr="001851BA">
        <w:rPr>
          <w:rFonts w:ascii="Times New Roman" w:hAnsi="Times New Roman" w:cs="Times New Roman"/>
          <w:sz w:val="28"/>
          <w:szCs w:val="28"/>
        </w:rPr>
        <w:t>achitării documentelor executorii prin intermediul MF (</w:t>
      </w:r>
      <w:r>
        <w:rPr>
          <w:rFonts w:ascii="Times New Roman" w:hAnsi="Times New Roman" w:cs="Times New Roman"/>
          <w:sz w:val="28"/>
          <w:szCs w:val="28"/>
        </w:rPr>
        <w:t>13</w:t>
      </w:r>
      <w:r w:rsidRPr="001851BA">
        <w:rPr>
          <w:rFonts w:ascii="Times New Roman" w:hAnsi="Times New Roman" w:cs="Times New Roman"/>
          <w:sz w:val="28"/>
          <w:szCs w:val="28"/>
        </w:rPr>
        <w:t>,</w:t>
      </w:r>
      <w:r>
        <w:rPr>
          <w:rFonts w:ascii="Times New Roman" w:hAnsi="Times New Roman" w:cs="Times New Roman"/>
          <w:sz w:val="28"/>
          <w:szCs w:val="28"/>
        </w:rPr>
        <w:t>6</w:t>
      </w:r>
      <w:r w:rsidRPr="001851BA">
        <w:rPr>
          <w:rFonts w:ascii="Times New Roman" w:hAnsi="Times New Roman" w:cs="Times New Roman"/>
          <w:sz w:val="28"/>
          <w:szCs w:val="28"/>
        </w:rPr>
        <w:t xml:space="preserve"> mil.lei)</w:t>
      </w:r>
      <w:r w:rsidRPr="007E4DF8">
        <w:rPr>
          <w:rFonts w:ascii="Times New Roman" w:hAnsi="Times New Roman" w:cs="Times New Roman"/>
          <w:b/>
          <w:sz w:val="28"/>
          <w:szCs w:val="28"/>
        </w:rPr>
        <w:t xml:space="preserve"> </w:t>
      </w:r>
      <w:r>
        <w:rPr>
          <w:rFonts w:ascii="Times New Roman" w:hAnsi="Times New Roman" w:cs="Times New Roman"/>
          <w:sz w:val="28"/>
          <w:szCs w:val="28"/>
        </w:rPr>
        <w:t>relev</w:t>
      </w:r>
      <w:r w:rsidRPr="007E4DF8">
        <w:rPr>
          <w:rFonts w:ascii="Times New Roman" w:hAnsi="Times New Roman" w:cs="Times New Roman"/>
          <w:sz w:val="28"/>
          <w:szCs w:val="28"/>
        </w:rPr>
        <w:t>ă că</w:t>
      </w:r>
      <w:r w:rsidRPr="007E4DF8">
        <w:rPr>
          <w:rFonts w:ascii="Times New Roman" w:hAnsi="Times New Roman" w:cs="Times New Roman"/>
          <w:b/>
          <w:sz w:val="28"/>
          <w:szCs w:val="28"/>
        </w:rPr>
        <w:t xml:space="preserve"> </w:t>
      </w:r>
      <w:r w:rsidRPr="007E4DF8">
        <w:rPr>
          <w:rFonts w:ascii="Times New Roman" w:hAnsi="Times New Roman" w:cs="Times New Roman"/>
          <w:sz w:val="28"/>
          <w:szCs w:val="28"/>
        </w:rPr>
        <w:t>valoarea documentelor executorii achitate în urma deciziilor emise de CEDO și organele de drept ale RM au înregistrat o d</w:t>
      </w:r>
      <w:r>
        <w:rPr>
          <w:rFonts w:ascii="Times New Roman" w:hAnsi="Times New Roman" w:cs="Times New Roman"/>
          <w:sz w:val="28"/>
          <w:szCs w:val="28"/>
        </w:rPr>
        <w:t>iminuare</w:t>
      </w:r>
      <w:r w:rsidR="008169DD">
        <w:rPr>
          <w:rFonts w:ascii="Times New Roman" w:hAnsi="Times New Roman" w:cs="Times New Roman"/>
          <w:sz w:val="28"/>
          <w:szCs w:val="28"/>
        </w:rPr>
        <w:t>,</w:t>
      </w:r>
      <w:r>
        <w:rPr>
          <w:rFonts w:ascii="Times New Roman" w:hAnsi="Times New Roman" w:cs="Times New Roman"/>
          <w:sz w:val="28"/>
          <w:szCs w:val="28"/>
        </w:rPr>
        <w:t xml:space="preserve"> față de anul 2016</w:t>
      </w:r>
      <w:r w:rsidR="008169DD">
        <w:rPr>
          <w:rFonts w:ascii="Times New Roman" w:hAnsi="Times New Roman" w:cs="Times New Roman"/>
          <w:sz w:val="28"/>
          <w:szCs w:val="28"/>
        </w:rPr>
        <w:t>,</w:t>
      </w:r>
      <w:r w:rsidRPr="007E4DF8">
        <w:rPr>
          <w:rFonts w:ascii="Times New Roman" w:hAnsi="Times New Roman" w:cs="Times New Roman"/>
          <w:sz w:val="28"/>
          <w:szCs w:val="28"/>
        </w:rPr>
        <w:t xml:space="preserve"> cu </w:t>
      </w:r>
      <w:r>
        <w:rPr>
          <w:rFonts w:ascii="Times New Roman" w:hAnsi="Times New Roman" w:cs="Times New Roman"/>
          <w:sz w:val="28"/>
          <w:szCs w:val="28"/>
        </w:rPr>
        <w:t>1</w:t>
      </w:r>
      <w:r w:rsidRPr="007E4DF8">
        <w:rPr>
          <w:rFonts w:ascii="Times New Roman" w:hAnsi="Times New Roman" w:cs="Times New Roman"/>
          <w:sz w:val="28"/>
          <w:szCs w:val="28"/>
        </w:rPr>
        <w:t>,</w:t>
      </w:r>
      <w:r>
        <w:rPr>
          <w:rFonts w:ascii="Times New Roman" w:hAnsi="Times New Roman" w:cs="Times New Roman"/>
          <w:sz w:val="28"/>
          <w:szCs w:val="28"/>
        </w:rPr>
        <w:t>9</w:t>
      </w:r>
      <w:r w:rsidRPr="007E4DF8">
        <w:rPr>
          <w:rFonts w:ascii="Times New Roman" w:hAnsi="Times New Roman" w:cs="Times New Roman"/>
          <w:sz w:val="28"/>
          <w:szCs w:val="28"/>
        </w:rPr>
        <w:t xml:space="preserve"> mil.lei și</w:t>
      </w:r>
      <w:r>
        <w:rPr>
          <w:rFonts w:ascii="Times New Roman" w:hAnsi="Times New Roman" w:cs="Times New Roman"/>
          <w:sz w:val="28"/>
          <w:szCs w:val="28"/>
        </w:rPr>
        <w:t>,</w:t>
      </w:r>
      <w:r w:rsidRPr="007E4DF8">
        <w:rPr>
          <w:rFonts w:ascii="Times New Roman" w:hAnsi="Times New Roman" w:cs="Times New Roman"/>
          <w:sz w:val="28"/>
          <w:szCs w:val="28"/>
        </w:rPr>
        <w:t xml:space="preserve"> respectiv,</w:t>
      </w:r>
      <w:r>
        <w:rPr>
          <w:rFonts w:ascii="Times New Roman" w:hAnsi="Times New Roman" w:cs="Times New Roman"/>
          <w:sz w:val="28"/>
          <w:szCs w:val="28"/>
        </w:rPr>
        <w:t xml:space="preserve"> </w:t>
      </w:r>
      <w:r w:rsidRPr="007E4DF8">
        <w:rPr>
          <w:rFonts w:ascii="Times New Roman" w:hAnsi="Times New Roman" w:cs="Times New Roman"/>
          <w:sz w:val="28"/>
          <w:szCs w:val="28"/>
        </w:rPr>
        <w:t xml:space="preserve">cu </w:t>
      </w:r>
      <w:r>
        <w:rPr>
          <w:rFonts w:ascii="Times New Roman" w:hAnsi="Times New Roman" w:cs="Times New Roman"/>
          <w:sz w:val="28"/>
          <w:szCs w:val="28"/>
        </w:rPr>
        <w:t>9</w:t>
      </w:r>
      <w:r w:rsidRPr="007E4DF8">
        <w:rPr>
          <w:rFonts w:ascii="Times New Roman" w:hAnsi="Times New Roman" w:cs="Times New Roman"/>
          <w:sz w:val="28"/>
          <w:szCs w:val="28"/>
        </w:rPr>
        <w:t>,</w:t>
      </w:r>
      <w:r>
        <w:rPr>
          <w:rFonts w:ascii="Times New Roman" w:hAnsi="Times New Roman" w:cs="Times New Roman"/>
          <w:sz w:val="28"/>
          <w:szCs w:val="28"/>
        </w:rPr>
        <w:t>4</w:t>
      </w:r>
      <w:r w:rsidRPr="007E4DF8">
        <w:rPr>
          <w:rFonts w:ascii="Times New Roman" w:hAnsi="Times New Roman" w:cs="Times New Roman"/>
          <w:sz w:val="28"/>
          <w:szCs w:val="28"/>
        </w:rPr>
        <w:t xml:space="preserve"> mil.lei</w:t>
      </w:r>
      <w:r>
        <w:rPr>
          <w:rFonts w:ascii="Times New Roman" w:hAnsi="Times New Roman" w:cs="Times New Roman"/>
          <w:sz w:val="28"/>
          <w:szCs w:val="28"/>
        </w:rPr>
        <w:t xml:space="preserve">. </w:t>
      </w:r>
      <w:r w:rsidRPr="00DB6CBE">
        <w:rPr>
          <w:rFonts w:ascii="Times New Roman" w:hAnsi="Times New Roman" w:cs="Times New Roman"/>
          <w:i/>
          <w:sz w:val="28"/>
          <w:szCs w:val="28"/>
        </w:rPr>
        <w:t>Situația analizată este prezentată în</w:t>
      </w:r>
      <w:r w:rsidR="00764D6E">
        <w:rPr>
          <w:rFonts w:ascii="Times New Roman" w:hAnsi="Times New Roman" w:cs="Times New Roman"/>
          <w:sz w:val="28"/>
          <w:szCs w:val="28"/>
        </w:rPr>
        <w:t xml:space="preserve"> </w:t>
      </w:r>
      <w:r w:rsidRPr="002B6034">
        <w:rPr>
          <w:rFonts w:ascii="Times New Roman" w:hAnsi="Times New Roman" w:cs="Times New Roman"/>
          <w:i/>
          <w:sz w:val="28"/>
          <w:szCs w:val="28"/>
        </w:rPr>
        <w:t>Diagrama nr.</w:t>
      </w:r>
      <w:r w:rsidR="00824429">
        <w:rPr>
          <w:rFonts w:ascii="Times New Roman" w:hAnsi="Times New Roman" w:cs="Times New Roman"/>
          <w:i/>
          <w:sz w:val="28"/>
          <w:szCs w:val="28"/>
        </w:rPr>
        <w:t>7</w:t>
      </w:r>
      <w:r w:rsidRPr="002B6034">
        <w:rPr>
          <w:rFonts w:ascii="Times New Roman" w:hAnsi="Times New Roman" w:cs="Times New Roman"/>
          <w:i/>
          <w:sz w:val="28"/>
          <w:szCs w:val="28"/>
        </w:rPr>
        <w:t>.</w:t>
      </w:r>
    </w:p>
    <w:p w:rsidR="003E62EC" w:rsidRPr="002B6034" w:rsidRDefault="003E62EC" w:rsidP="003E62EC">
      <w:pPr>
        <w:spacing w:line="276" w:lineRule="auto"/>
        <w:ind w:right="49"/>
        <w:contextualSpacing/>
        <w:jc w:val="right"/>
        <w:rPr>
          <w:rFonts w:ascii="Times New Roman" w:eastAsiaTheme="minorEastAsia" w:hAnsi="Times New Roman" w:cs="Times New Roman"/>
          <w:bCs/>
          <w:i/>
          <w:iCs/>
          <w:sz w:val="28"/>
          <w:szCs w:val="28"/>
          <w:lang w:eastAsia="ru-RU"/>
        </w:rPr>
      </w:pPr>
      <w:r w:rsidRPr="002B6034">
        <w:rPr>
          <w:rFonts w:ascii="Times New Roman" w:eastAsiaTheme="minorEastAsia" w:hAnsi="Times New Roman" w:cs="Times New Roman"/>
          <w:bCs/>
          <w:i/>
          <w:iCs/>
          <w:sz w:val="28"/>
          <w:szCs w:val="28"/>
          <w:lang w:eastAsia="ru-RU"/>
        </w:rPr>
        <w:t>Diagrama nr.</w:t>
      </w:r>
      <w:r w:rsidR="00824429">
        <w:rPr>
          <w:rFonts w:ascii="Times New Roman" w:eastAsiaTheme="minorEastAsia" w:hAnsi="Times New Roman" w:cs="Times New Roman"/>
          <w:bCs/>
          <w:i/>
          <w:iCs/>
          <w:sz w:val="28"/>
          <w:szCs w:val="28"/>
          <w:lang w:eastAsia="ru-RU"/>
        </w:rPr>
        <w:t>7</w:t>
      </w:r>
    </w:p>
    <w:p w:rsidR="003E62EC" w:rsidRPr="002B6034" w:rsidRDefault="003E62EC" w:rsidP="003E62EC">
      <w:pPr>
        <w:spacing w:line="276" w:lineRule="auto"/>
        <w:ind w:right="49"/>
        <w:contextualSpacing/>
        <w:jc w:val="center"/>
        <w:rPr>
          <w:rFonts w:ascii="Times New Roman" w:eastAsiaTheme="minorEastAsia" w:hAnsi="Times New Roman" w:cs="Times New Roman"/>
          <w:b/>
          <w:bCs/>
          <w:iCs/>
          <w:sz w:val="24"/>
          <w:szCs w:val="28"/>
          <w:lang w:eastAsia="ru-RU"/>
        </w:rPr>
      </w:pPr>
      <w:r w:rsidRPr="002B6034">
        <w:rPr>
          <w:rFonts w:ascii="Times New Roman" w:eastAsiaTheme="minorEastAsia" w:hAnsi="Times New Roman" w:cs="Times New Roman"/>
          <w:b/>
          <w:bCs/>
          <w:iCs/>
          <w:sz w:val="24"/>
          <w:szCs w:val="28"/>
          <w:lang w:eastAsia="ru-RU"/>
        </w:rPr>
        <w:t>Analiza plăților aferente documentelor executorii achitate prin intermediul MF conform organelor emitente</w:t>
      </w:r>
    </w:p>
    <w:p w:rsidR="003E62EC" w:rsidRPr="002B6034" w:rsidRDefault="003E62EC" w:rsidP="003E62EC">
      <w:pPr>
        <w:spacing w:line="276" w:lineRule="auto"/>
        <w:ind w:right="49"/>
        <w:contextualSpacing/>
        <w:jc w:val="right"/>
        <w:rPr>
          <w:rFonts w:ascii="Times New Roman" w:eastAsiaTheme="minorEastAsia" w:hAnsi="Times New Roman" w:cs="Times New Roman"/>
          <w:b/>
          <w:bCs/>
          <w:iCs/>
          <w:sz w:val="24"/>
          <w:szCs w:val="28"/>
          <w:lang w:eastAsia="ru-RU"/>
        </w:rPr>
      </w:pPr>
      <w:r w:rsidRPr="002B6034">
        <w:rPr>
          <w:rFonts w:ascii="Times New Roman" w:eastAsiaTheme="minorEastAsia" w:hAnsi="Times New Roman" w:cs="Times New Roman"/>
          <w:b/>
          <w:bCs/>
          <w:i/>
          <w:iCs/>
          <w:sz w:val="24"/>
          <w:szCs w:val="28"/>
          <w:lang w:eastAsia="ru-RU"/>
        </w:rPr>
        <w:t>Anul 2016</w:t>
      </w:r>
      <w:r w:rsidRPr="002B6034">
        <w:rPr>
          <w:rFonts w:ascii="Times New Roman" w:eastAsiaTheme="minorEastAsia" w:hAnsi="Times New Roman" w:cs="Times New Roman"/>
          <w:b/>
          <w:bCs/>
          <w:iCs/>
          <w:sz w:val="24"/>
          <w:szCs w:val="28"/>
          <w:lang w:eastAsia="ru-RU"/>
        </w:rPr>
        <w:t xml:space="preserve">   </w:t>
      </w:r>
      <w:r>
        <w:rPr>
          <w:rFonts w:ascii="Times New Roman" w:eastAsiaTheme="minorEastAsia" w:hAnsi="Times New Roman" w:cs="Times New Roman"/>
          <w:b/>
          <w:bCs/>
          <w:iCs/>
          <w:sz w:val="24"/>
          <w:szCs w:val="28"/>
          <w:lang w:eastAsia="ru-RU"/>
        </w:rPr>
        <w:t xml:space="preserve">            </w:t>
      </w:r>
      <w:r w:rsidRPr="002B6034">
        <w:rPr>
          <w:rFonts w:ascii="Times New Roman" w:eastAsiaTheme="minorEastAsia" w:hAnsi="Times New Roman" w:cs="Times New Roman"/>
          <w:b/>
          <w:bCs/>
          <w:iCs/>
          <w:sz w:val="24"/>
          <w:szCs w:val="28"/>
          <w:lang w:eastAsia="ru-RU"/>
        </w:rPr>
        <w:t xml:space="preserve">                                                  </w:t>
      </w:r>
      <w:r w:rsidRPr="002B6034">
        <w:rPr>
          <w:rFonts w:ascii="Times New Roman" w:eastAsiaTheme="minorEastAsia" w:hAnsi="Times New Roman" w:cs="Times New Roman"/>
          <w:b/>
          <w:bCs/>
          <w:i/>
          <w:iCs/>
          <w:sz w:val="24"/>
          <w:szCs w:val="28"/>
          <w:lang w:eastAsia="ru-RU"/>
        </w:rPr>
        <w:t>Anul 2017</w:t>
      </w:r>
    </w:p>
    <w:p w:rsidR="003E62EC" w:rsidRDefault="003E62EC" w:rsidP="003E62EC">
      <w:pPr>
        <w:spacing w:line="276" w:lineRule="auto"/>
        <w:contextualSpacing/>
        <w:rPr>
          <w:rFonts w:ascii="Times New Roman" w:eastAsiaTheme="minorEastAsia" w:hAnsi="Times New Roman" w:cs="Times New Roman"/>
          <w:bCs/>
          <w:iCs/>
          <w:sz w:val="28"/>
          <w:szCs w:val="28"/>
          <w:lang w:eastAsia="ru-RU"/>
        </w:rPr>
      </w:pPr>
      <w:r w:rsidRPr="00C34233">
        <w:rPr>
          <w:rFonts w:ascii="Times New Roman" w:eastAsiaTheme="minorEastAsia" w:hAnsi="Times New Roman" w:cs="Times New Roman"/>
          <w:bCs/>
          <w:iCs/>
          <w:noProof/>
          <w:sz w:val="28"/>
          <w:szCs w:val="28"/>
          <w:lang w:val="ru-RU" w:eastAsia="ru-RU"/>
        </w:rPr>
        <w:drawing>
          <wp:inline distT="0" distB="0" distL="0" distR="0" wp14:anchorId="7D6FB5B6" wp14:editId="419B0479">
            <wp:extent cx="3038475" cy="2447925"/>
            <wp:effectExtent l="0" t="0" r="9525" b="9525"/>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Pr>
          <w:rFonts w:ascii="Times New Roman" w:eastAsiaTheme="minorEastAsia" w:hAnsi="Times New Roman" w:cs="Times New Roman"/>
          <w:bCs/>
          <w:iCs/>
          <w:sz w:val="28"/>
          <w:szCs w:val="28"/>
          <w:lang w:eastAsia="ru-RU"/>
        </w:rPr>
        <w:t xml:space="preserve"> </w:t>
      </w:r>
      <w:r w:rsidRPr="00C34233">
        <w:rPr>
          <w:rFonts w:ascii="Times New Roman" w:eastAsiaTheme="minorEastAsia" w:hAnsi="Times New Roman" w:cs="Times New Roman"/>
          <w:bCs/>
          <w:iCs/>
          <w:noProof/>
          <w:sz w:val="28"/>
          <w:szCs w:val="28"/>
          <w:lang w:val="ru-RU" w:eastAsia="ru-RU"/>
        </w:rPr>
        <w:drawing>
          <wp:inline distT="0" distB="0" distL="0" distR="0" wp14:anchorId="73076B73" wp14:editId="7EB1FE47">
            <wp:extent cx="3009900" cy="2457450"/>
            <wp:effectExtent l="0" t="0" r="0" b="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3E62EC" w:rsidRPr="008975E4" w:rsidRDefault="003E62EC" w:rsidP="003E62EC">
      <w:pPr>
        <w:shd w:val="clear" w:color="auto" w:fill="FFFFFF" w:themeFill="background1"/>
        <w:spacing w:after="120" w:line="240" w:lineRule="auto"/>
        <w:jc w:val="both"/>
        <w:rPr>
          <w:rFonts w:ascii="Times New Roman" w:eastAsiaTheme="minorEastAsia" w:hAnsi="Times New Roman" w:cs="Times New Roman"/>
          <w:bCs/>
          <w:i/>
          <w:iCs/>
          <w:sz w:val="28"/>
          <w:szCs w:val="28"/>
          <w:lang w:eastAsia="ru-RU"/>
        </w:rPr>
      </w:pPr>
      <w:r w:rsidRPr="008975E4">
        <w:rPr>
          <w:rFonts w:ascii="Times New Roman" w:eastAsiaTheme="minorEastAsia" w:hAnsi="Times New Roman" w:cs="Times New Roman"/>
          <w:b/>
          <w:bCs/>
          <w:i/>
          <w:iCs/>
          <w:sz w:val="20"/>
          <w:szCs w:val="28"/>
          <w:lang w:eastAsia="ru-RU"/>
        </w:rPr>
        <w:t>Surs</w:t>
      </w:r>
      <w:r w:rsidR="004A6919">
        <w:rPr>
          <w:rFonts w:ascii="Times New Roman" w:eastAsiaTheme="minorEastAsia" w:hAnsi="Times New Roman" w:cs="Times New Roman"/>
          <w:b/>
          <w:bCs/>
          <w:i/>
          <w:iCs/>
          <w:sz w:val="20"/>
          <w:szCs w:val="28"/>
          <w:lang w:eastAsia="ru-RU"/>
        </w:rPr>
        <w:t>ă</w:t>
      </w:r>
      <w:r w:rsidRPr="008975E4">
        <w:rPr>
          <w:rFonts w:ascii="Times New Roman" w:eastAsiaTheme="minorEastAsia" w:hAnsi="Times New Roman" w:cs="Times New Roman"/>
          <w:b/>
          <w:bCs/>
          <w:i/>
          <w:iCs/>
          <w:sz w:val="20"/>
          <w:szCs w:val="28"/>
          <w:lang w:eastAsia="ru-RU"/>
        </w:rPr>
        <w:t>:</w:t>
      </w:r>
      <w:r w:rsidRPr="008975E4">
        <w:rPr>
          <w:rFonts w:ascii="Times New Roman" w:eastAsiaTheme="minorEastAsia" w:hAnsi="Times New Roman" w:cs="Times New Roman"/>
          <w:bCs/>
          <w:i/>
          <w:iCs/>
          <w:sz w:val="20"/>
          <w:szCs w:val="28"/>
          <w:lang w:eastAsia="ru-RU"/>
        </w:rPr>
        <w:t xml:space="preserve"> </w:t>
      </w:r>
      <w:r>
        <w:rPr>
          <w:rFonts w:ascii="Times New Roman" w:eastAsiaTheme="minorEastAsia" w:hAnsi="Times New Roman" w:cs="Times New Roman"/>
          <w:bCs/>
          <w:i/>
          <w:iCs/>
          <w:sz w:val="20"/>
          <w:szCs w:val="28"/>
          <w:lang w:eastAsia="ru-RU"/>
        </w:rPr>
        <w:t>Date generalizate de echipa de audit conform i</w:t>
      </w:r>
      <w:r w:rsidRPr="008975E4">
        <w:rPr>
          <w:rFonts w:ascii="Times New Roman" w:eastAsiaTheme="minorEastAsia" w:hAnsi="Times New Roman" w:cs="Times New Roman"/>
          <w:bCs/>
          <w:i/>
          <w:iCs/>
          <w:sz w:val="20"/>
          <w:szCs w:val="28"/>
          <w:lang w:eastAsia="ru-RU"/>
        </w:rPr>
        <w:t>nformații</w:t>
      </w:r>
      <w:r>
        <w:rPr>
          <w:rFonts w:ascii="Times New Roman" w:eastAsiaTheme="minorEastAsia" w:hAnsi="Times New Roman" w:cs="Times New Roman"/>
          <w:bCs/>
          <w:i/>
          <w:iCs/>
          <w:sz w:val="20"/>
          <w:szCs w:val="28"/>
          <w:lang w:eastAsia="ru-RU"/>
        </w:rPr>
        <w:t>lor</w:t>
      </w:r>
      <w:r w:rsidRPr="008975E4">
        <w:rPr>
          <w:rFonts w:ascii="Times New Roman" w:eastAsiaTheme="minorEastAsia" w:hAnsi="Times New Roman" w:cs="Times New Roman"/>
          <w:bCs/>
          <w:i/>
          <w:iCs/>
          <w:sz w:val="20"/>
          <w:szCs w:val="28"/>
          <w:lang w:eastAsia="ru-RU"/>
        </w:rPr>
        <w:t xml:space="preserve"> privind achitarea documentelor executorii din contul bugetului de stat la situația din 31.12.2016 și </w:t>
      </w:r>
      <w:r w:rsidR="004A6919">
        <w:rPr>
          <w:rFonts w:ascii="Times New Roman" w:eastAsiaTheme="minorEastAsia" w:hAnsi="Times New Roman" w:cs="Times New Roman"/>
          <w:bCs/>
          <w:i/>
          <w:iCs/>
          <w:sz w:val="20"/>
          <w:szCs w:val="28"/>
          <w:lang w:eastAsia="ru-RU"/>
        </w:rPr>
        <w:t xml:space="preserve">din </w:t>
      </w:r>
      <w:r w:rsidRPr="008975E4">
        <w:rPr>
          <w:rFonts w:ascii="Times New Roman" w:eastAsiaTheme="minorEastAsia" w:hAnsi="Times New Roman" w:cs="Times New Roman"/>
          <w:bCs/>
          <w:i/>
          <w:iCs/>
          <w:sz w:val="20"/>
          <w:szCs w:val="28"/>
          <w:lang w:eastAsia="ru-RU"/>
        </w:rPr>
        <w:t>31.12.2017</w:t>
      </w:r>
      <w:r w:rsidR="004A6919">
        <w:rPr>
          <w:rFonts w:ascii="Times New Roman" w:eastAsiaTheme="minorEastAsia" w:hAnsi="Times New Roman" w:cs="Times New Roman"/>
          <w:bCs/>
          <w:i/>
          <w:iCs/>
          <w:sz w:val="20"/>
          <w:szCs w:val="28"/>
          <w:lang w:eastAsia="ru-RU"/>
        </w:rPr>
        <w:t>.</w:t>
      </w:r>
      <w:r w:rsidRPr="008975E4">
        <w:rPr>
          <w:rFonts w:ascii="Times New Roman" w:eastAsiaTheme="minorEastAsia" w:hAnsi="Times New Roman" w:cs="Times New Roman"/>
          <w:bCs/>
          <w:i/>
          <w:iCs/>
          <w:sz w:val="20"/>
          <w:szCs w:val="28"/>
          <w:lang w:eastAsia="ru-RU"/>
        </w:rPr>
        <w:t xml:space="preserve"> </w:t>
      </w:r>
    </w:p>
    <w:p w:rsidR="003E62EC" w:rsidRDefault="003E62EC" w:rsidP="003E62EC">
      <w:pPr>
        <w:spacing w:line="276" w:lineRule="auto"/>
        <w:ind w:firstLine="709"/>
        <w:contextualSpacing/>
        <w:jc w:val="both"/>
        <w:rPr>
          <w:rFonts w:ascii="Times New Roman" w:hAnsi="Times New Roman" w:cs="Times New Roman"/>
          <w:sz w:val="28"/>
          <w:szCs w:val="28"/>
          <w:lang w:eastAsia="ja-JP"/>
        </w:rPr>
      </w:pPr>
      <w:r w:rsidRPr="001E3B7D">
        <w:rPr>
          <w:rFonts w:ascii="Times New Roman" w:hAnsi="Times New Roman" w:cs="Times New Roman"/>
          <w:sz w:val="28"/>
          <w:szCs w:val="28"/>
          <w:lang w:eastAsia="ja-JP"/>
        </w:rPr>
        <w:t xml:space="preserve">Verificările auditului asupra unui eșantion reprezentativ </w:t>
      </w:r>
      <w:r>
        <w:rPr>
          <w:rFonts w:ascii="Times New Roman" w:hAnsi="Times New Roman" w:cs="Times New Roman"/>
          <w:sz w:val="28"/>
          <w:szCs w:val="28"/>
          <w:lang w:eastAsia="ja-JP"/>
        </w:rPr>
        <w:t>de 51,3</w:t>
      </w:r>
      <w:r w:rsidRPr="001E3B7D">
        <w:rPr>
          <w:rFonts w:ascii="Times New Roman" w:hAnsi="Times New Roman" w:cs="Times New Roman"/>
          <w:sz w:val="28"/>
          <w:szCs w:val="28"/>
          <w:lang w:eastAsia="ja-JP"/>
        </w:rPr>
        <w:t>% din valoarea totală</w:t>
      </w:r>
      <w:r>
        <w:rPr>
          <w:rFonts w:ascii="Times New Roman" w:hAnsi="Times New Roman" w:cs="Times New Roman"/>
          <w:sz w:val="28"/>
          <w:szCs w:val="28"/>
          <w:lang w:eastAsia="ja-JP"/>
        </w:rPr>
        <w:t xml:space="preserve"> a plăților în baza documentelor executorii și </w:t>
      </w:r>
      <w:r w:rsidR="00A01EC4">
        <w:rPr>
          <w:rFonts w:ascii="Times New Roman" w:hAnsi="Times New Roman" w:cs="Times New Roman"/>
          <w:sz w:val="28"/>
          <w:szCs w:val="28"/>
          <w:lang w:eastAsia="ja-JP"/>
        </w:rPr>
        <w:t xml:space="preserve">de </w:t>
      </w:r>
      <w:r>
        <w:rPr>
          <w:rFonts w:ascii="Times New Roman" w:hAnsi="Times New Roman" w:cs="Times New Roman"/>
          <w:sz w:val="28"/>
          <w:szCs w:val="28"/>
          <w:lang w:eastAsia="ja-JP"/>
        </w:rPr>
        <w:t>100% din valoarea documentelor executorii achitate de către MF</w:t>
      </w:r>
      <w:r w:rsidRPr="001E3B7D">
        <w:rPr>
          <w:rFonts w:ascii="Times New Roman" w:hAnsi="Times New Roman" w:cs="Times New Roman"/>
          <w:sz w:val="28"/>
          <w:szCs w:val="28"/>
          <w:lang w:eastAsia="ja-JP"/>
        </w:rPr>
        <w:t xml:space="preserve"> privind corectitudinea dezafectării mijloacelor bănești </w:t>
      </w:r>
      <w:r>
        <w:rPr>
          <w:rFonts w:ascii="Times New Roman" w:hAnsi="Times New Roman" w:cs="Times New Roman"/>
          <w:sz w:val="28"/>
          <w:szCs w:val="28"/>
          <w:lang w:eastAsia="ja-JP"/>
        </w:rPr>
        <w:t>din BS</w:t>
      </w:r>
      <w:r w:rsidRPr="001E3B7D">
        <w:rPr>
          <w:rFonts w:ascii="Times New Roman" w:hAnsi="Times New Roman" w:cs="Times New Roman"/>
          <w:sz w:val="28"/>
          <w:szCs w:val="28"/>
          <w:lang w:eastAsia="ja-JP"/>
        </w:rPr>
        <w:t xml:space="preserve"> pentru executarea documentelor executorii </w:t>
      </w:r>
      <w:r>
        <w:rPr>
          <w:rFonts w:ascii="Times New Roman" w:hAnsi="Times New Roman" w:cs="Times New Roman"/>
          <w:sz w:val="28"/>
          <w:szCs w:val="28"/>
          <w:lang w:eastAsia="ja-JP"/>
        </w:rPr>
        <w:t>prezentate</w:t>
      </w:r>
      <w:r w:rsidRPr="001E3B7D">
        <w:rPr>
          <w:rFonts w:ascii="Times New Roman" w:hAnsi="Times New Roman" w:cs="Times New Roman"/>
          <w:sz w:val="28"/>
          <w:szCs w:val="28"/>
          <w:lang w:eastAsia="ja-JP"/>
        </w:rPr>
        <w:t>, prin contrapunerea sumelor indicate în titlurile executorii cu ordinele de plată pentru achitarea acestora, n</w:t>
      </w:r>
      <w:r>
        <w:rPr>
          <w:rFonts w:ascii="Times New Roman" w:hAnsi="Times New Roman" w:cs="Times New Roman"/>
          <w:sz w:val="28"/>
          <w:szCs w:val="28"/>
          <w:lang w:eastAsia="ja-JP"/>
        </w:rPr>
        <w:t xml:space="preserve">u </w:t>
      </w:r>
      <w:r w:rsidRPr="001E3B7D">
        <w:rPr>
          <w:rFonts w:ascii="Times New Roman" w:hAnsi="Times New Roman" w:cs="Times New Roman"/>
          <w:sz w:val="28"/>
          <w:szCs w:val="28"/>
          <w:lang w:eastAsia="ja-JP"/>
        </w:rPr>
        <w:t xml:space="preserve">au </w:t>
      </w:r>
      <w:r>
        <w:rPr>
          <w:rFonts w:ascii="Times New Roman" w:hAnsi="Times New Roman" w:cs="Times New Roman"/>
          <w:sz w:val="28"/>
          <w:szCs w:val="28"/>
          <w:lang w:eastAsia="ja-JP"/>
        </w:rPr>
        <w:t>stabilit abateri</w:t>
      </w:r>
      <w:r w:rsidRPr="001E3B7D">
        <w:rPr>
          <w:rFonts w:ascii="Times New Roman" w:hAnsi="Times New Roman" w:cs="Times New Roman"/>
          <w:sz w:val="28"/>
          <w:szCs w:val="28"/>
          <w:lang w:eastAsia="ja-JP"/>
        </w:rPr>
        <w:t xml:space="preserve">. </w:t>
      </w:r>
    </w:p>
    <w:p w:rsidR="003E62EC" w:rsidRDefault="003E62EC" w:rsidP="003E62EC">
      <w:pPr>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Totodată, analizând</w:t>
      </w:r>
      <w:r w:rsidRPr="007E4DF8">
        <w:rPr>
          <w:rFonts w:ascii="Times New Roman" w:hAnsi="Times New Roman" w:cs="Times New Roman"/>
          <w:sz w:val="28"/>
          <w:szCs w:val="28"/>
        </w:rPr>
        <w:t xml:space="preserve"> respectarea ordinii cronologice de achitare a documentelor executorii după data înregistrării setului de documente la Trezoreria de Sta</w:t>
      </w:r>
      <w:r>
        <w:rPr>
          <w:rFonts w:ascii="Times New Roman" w:hAnsi="Times New Roman" w:cs="Times New Roman"/>
          <w:sz w:val="28"/>
          <w:szCs w:val="28"/>
        </w:rPr>
        <w:t>t</w:t>
      </w:r>
      <w:r w:rsidRPr="007E4DF8">
        <w:rPr>
          <w:rFonts w:ascii="Times New Roman" w:hAnsi="Times New Roman" w:cs="Times New Roman"/>
          <w:sz w:val="28"/>
          <w:szCs w:val="28"/>
        </w:rPr>
        <w:t xml:space="preserve"> și data achitării</w:t>
      </w:r>
      <w:r>
        <w:rPr>
          <w:rFonts w:ascii="Times New Roman" w:hAnsi="Times New Roman" w:cs="Times New Roman"/>
          <w:sz w:val="28"/>
          <w:szCs w:val="28"/>
        </w:rPr>
        <w:t>,</w:t>
      </w:r>
      <w:r w:rsidRPr="007E4DF8">
        <w:rPr>
          <w:rFonts w:ascii="Times New Roman" w:hAnsi="Times New Roman" w:cs="Times New Roman"/>
          <w:sz w:val="28"/>
          <w:szCs w:val="28"/>
        </w:rPr>
        <w:t xml:space="preserve"> </w:t>
      </w:r>
      <w:r w:rsidR="00A01EC4">
        <w:rPr>
          <w:rFonts w:ascii="Times New Roman" w:hAnsi="Times New Roman" w:cs="Times New Roman"/>
          <w:sz w:val="28"/>
          <w:szCs w:val="28"/>
        </w:rPr>
        <w:t xml:space="preserve">auditul </w:t>
      </w:r>
      <w:r w:rsidRPr="007E4DF8">
        <w:rPr>
          <w:rFonts w:ascii="Times New Roman" w:hAnsi="Times New Roman" w:cs="Times New Roman"/>
          <w:sz w:val="28"/>
          <w:szCs w:val="28"/>
        </w:rPr>
        <w:t xml:space="preserve">a constatat </w:t>
      </w:r>
      <w:r>
        <w:rPr>
          <w:rFonts w:ascii="Times New Roman" w:hAnsi="Times New Roman" w:cs="Times New Roman"/>
          <w:sz w:val="28"/>
          <w:szCs w:val="28"/>
        </w:rPr>
        <w:t xml:space="preserve">144 </w:t>
      </w:r>
      <w:r w:rsidR="00A01EC4">
        <w:rPr>
          <w:rFonts w:ascii="Times New Roman" w:hAnsi="Times New Roman" w:cs="Times New Roman"/>
          <w:sz w:val="28"/>
          <w:szCs w:val="28"/>
        </w:rPr>
        <w:t xml:space="preserve">de </w:t>
      </w:r>
      <w:r>
        <w:rPr>
          <w:rFonts w:ascii="Times New Roman" w:hAnsi="Times New Roman" w:cs="Times New Roman"/>
          <w:sz w:val="28"/>
          <w:szCs w:val="28"/>
        </w:rPr>
        <w:t xml:space="preserve">cazuri, în sumă totală de 7,9 mil.lei, </w:t>
      </w:r>
      <w:r w:rsidR="008169DD">
        <w:rPr>
          <w:rFonts w:ascii="Times New Roman" w:hAnsi="Times New Roman" w:cs="Times New Roman"/>
          <w:sz w:val="28"/>
          <w:szCs w:val="28"/>
        </w:rPr>
        <w:t>în care nu s-a</w:t>
      </w:r>
      <w:r>
        <w:rPr>
          <w:rFonts w:ascii="Times New Roman" w:hAnsi="Times New Roman" w:cs="Times New Roman"/>
          <w:sz w:val="28"/>
          <w:szCs w:val="28"/>
        </w:rPr>
        <w:t xml:space="preserve"> </w:t>
      </w:r>
      <w:r w:rsidRPr="007E4DF8">
        <w:rPr>
          <w:rFonts w:ascii="Times New Roman" w:hAnsi="Times New Roman" w:cs="Times New Roman"/>
          <w:sz w:val="28"/>
          <w:szCs w:val="28"/>
        </w:rPr>
        <w:t>respecta</w:t>
      </w:r>
      <w:r w:rsidR="008169DD">
        <w:rPr>
          <w:rFonts w:ascii="Times New Roman" w:hAnsi="Times New Roman" w:cs="Times New Roman"/>
          <w:sz w:val="28"/>
          <w:szCs w:val="28"/>
        </w:rPr>
        <w:t>t</w:t>
      </w:r>
      <w:r w:rsidRPr="007E4DF8">
        <w:rPr>
          <w:rFonts w:ascii="Times New Roman" w:hAnsi="Times New Roman" w:cs="Times New Roman"/>
          <w:sz w:val="28"/>
          <w:szCs w:val="28"/>
        </w:rPr>
        <w:t xml:space="preserve"> cronologi</w:t>
      </w:r>
      <w:r w:rsidR="008169DD">
        <w:rPr>
          <w:rFonts w:ascii="Times New Roman" w:hAnsi="Times New Roman" w:cs="Times New Roman"/>
          <w:sz w:val="28"/>
          <w:szCs w:val="28"/>
        </w:rPr>
        <w:t>a</w:t>
      </w:r>
      <w:r w:rsidRPr="007E4DF8">
        <w:rPr>
          <w:rFonts w:ascii="Times New Roman" w:hAnsi="Times New Roman" w:cs="Times New Roman"/>
          <w:sz w:val="28"/>
          <w:szCs w:val="28"/>
        </w:rPr>
        <w:t xml:space="preserve"> de achitare</w:t>
      </w:r>
      <w:r>
        <w:rPr>
          <w:rFonts w:ascii="Times New Roman" w:hAnsi="Times New Roman" w:cs="Times New Roman"/>
          <w:sz w:val="28"/>
          <w:szCs w:val="28"/>
        </w:rPr>
        <w:t xml:space="preserve"> în ordinea de intrare a acestora</w:t>
      </w:r>
      <w:r w:rsidR="001C0E69">
        <w:rPr>
          <w:rFonts w:ascii="Times New Roman" w:hAnsi="Times New Roman" w:cs="Times New Roman"/>
          <w:sz w:val="28"/>
          <w:szCs w:val="28"/>
        </w:rPr>
        <w:t xml:space="preserve">, suma respectivă </w:t>
      </w:r>
      <w:r w:rsidR="001C0E69">
        <w:rPr>
          <w:rFonts w:ascii="Times New Roman" w:hAnsi="Times New Roman" w:cs="Times New Roman"/>
          <w:sz w:val="28"/>
          <w:szCs w:val="28"/>
        </w:rPr>
        <w:lastRenderedPageBreak/>
        <w:t xml:space="preserve">constituind circa 29,8% din totalul cheltuielilor executate la poziția </w:t>
      </w:r>
      <w:r w:rsidR="001C0E69" w:rsidRPr="008169DD">
        <w:rPr>
          <w:rFonts w:ascii="Times New Roman" w:hAnsi="Times New Roman" w:cs="Times New Roman"/>
          <w:sz w:val="28"/>
          <w:szCs w:val="28"/>
          <w:shd w:val="clear" w:color="auto" w:fill="FFFFFF" w:themeFill="background1"/>
        </w:rPr>
        <w:t>CBE 28136 „Plăți aferente documentelor executorii”</w:t>
      </w:r>
      <w:r w:rsidR="001C0E69">
        <w:rPr>
          <w:rFonts w:ascii="Times New Roman" w:hAnsi="Times New Roman" w:cs="Times New Roman"/>
          <w:sz w:val="28"/>
          <w:szCs w:val="28"/>
          <w:shd w:val="clear" w:color="auto" w:fill="FFFFFF" w:themeFill="background1"/>
        </w:rPr>
        <w:t>, depășind pragul de materialitate</w:t>
      </w:r>
      <w:r w:rsidRPr="007E4DF8">
        <w:rPr>
          <w:rFonts w:ascii="Times New Roman" w:hAnsi="Times New Roman" w:cs="Times New Roman"/>
          <w:sz w:val="28"/>
          <w:szCs w:val="28"/>
        </w:rPr>
        <w:t xml:space="preserve">. </w:t>
      </w:r>
      <w:r>
        <w:rPr>
          <w:rFonts w:ascii="Times New Roman" w:hAnsi="Times New Roman" w:cs="Times New Roman"/>
          <w:sz w:val="28"/>
          <w:szCs w:val="28"/>
        </w:rPr>
        <w:t>De asemenea, se relevă că</w:t>
      </w:r>
      <w:r w:rsidR="00A01EC4">
        <w:rPr>
          <w:rFonts w:ascii="Times New Roman" w:hAnsi="Times New Roman" w:cs="Times New Roman"/>
          <w:sz w:val="28"/>
          <w:szCs w:val="28"/>
        </w:rPr>
        <w:t>,</w:t>
      </w:r>
      <w:r>
        <w:rPr>
          <w:rFonts w:ascii="Times New Roman" w:hAnsi="Times New Roman" w:cs="Times New Roman"/>
          <w:sz w:val="28"/>
          <w:szCs w:val="28"/>
        </w:rPr>
        <w:t xml:space="preserve"> din totalul de 354 </w:t>
      </w:r>
      <w:r w:rsidR="00A01EC4">
        <w:rPr>
          <w:rFonts w:ascii="Times New Roman" w:hAnsi="Times New Roman" w:cs="Times New Roman"/>
          <w:sz w:val="28"/>
          <w:szCs w:val="28"/>
        </w:rPr>
        <w:t xml:space="preserve">de </w:t>
      </w:r>
      <w:r>
        <w:rPr>
          <w:rFonts w:ascii="Times New Roman" w:hAnsi="Times New Roman" w:cs="Times New Roman"/>
          <w:sz w:val="28"/>
          <w:szCs w:val="28"/>
        </w:rPr>
        <w:t xml:space="preserve">titluri executorii achitate în anul 2017 prin intermediul MF: 239 </w:t>
      </w:r>
      <w:r w:rsidR="00A01EC4">
        <w:rPr>
          <w:rFonts w:ascii="Times New Roman" w:hAnsi="Times New Roman" w:cs="Times New Roman"/>
          <w:sz w:val="28"/>
          <w:szCs w:val="28"/>
        </w:rPr>
        <w:t xml:space="preserve">de </w:t>
      </w:r>
      <w:r>
        <w:rPr>
          <w:rFonts w:ascii="Times New Roman" w:hAnsi="Times New Roman" w:cs="Times New Roman"/>
          <w:sz w:val="28"/>
          <w:szCs w:val="28"/>
        </w:rPr>
        <w:t xml:space="preserve">titluri executorii (67,5%) reprezintă prejudicii cauzate </w:t>
      </w:r>
      <w:r w:rsidRPr="00980CB0">
        <w:rPr>
          <w:rFonts w:ascii="Times New Roman" w:hAnsi="Times New Roman" w:cs="Times New Roman"/>
          <w:sz w:val="28"/>
          <w:szCs w:val="28"/>
        </w:rPr>
        <w:t xml:space="preserve">prin </w:t>
      </w:r>
      <w:r w:rsidRPr="0092197A">
        <w:rPr>
          <w:rFonts w:ascii="Times New Roman" w:hAnsi="Times New Roman" w:cs="Times New Roman"/>
          <w:i/>
          <w:sz w:val="28"/>
          <w:szCs w:val="28"/>
        </w:rPr>
        <w:t>„încălcarea dreptului la judecarea în termen rezonabil a cauzei sau dreptului la executarea în termen rezonabil a hotărârii judecătorești”</w:t>
      </w:r>
      <w:r>
        <w:rPr>
          <w:rStyle w:val="a9"/>
          <w:rFonts w:ascii="Times New Roman" w:hAnsi="Times New Roman" w:cs="Times New Roman"/>
          <w:i/>
          <w:sz w:val="28"/>
          <w:szCs w:val="28"/>
        </w:rPr>
        <w:footnoteReference w:id="50"/>
      </w:r>
      <w:r>
        <w:rPr>
          <w:rFonts w:ascii="Times New Roman" w:hAnsi="Times New Roman" w:cs="Times New Roman"/>
          <w:sz w:val="28"/>
          <w:szCs w:val="28"/>
        </w:rPr>
        <w:t xml:space="preserve">; 82 </w:t>
      </w:r>
      <w:r w:rsidR="00A01EC4">
        <w:rPr>
          <w:rFonts w:ascii="Times New Roman" w:hAnsi="Times New Roman" w:cs="Times New Roman"/>
          <w:sz w:val="28"/>
          <w:szCs w:val="28"/>
        </w:rPr>
        <w:t xml:space="preserve">de </w:t>
      </w:r>
      <w:r>
        <w:rPr>
          <w:rFonts w:ascii="Times New Roman" w:hAnsi="Times New Roman" w:cs="Times New Roman"/>
          <w:sz w:val="28"/>
          <w:szCs w:val="28"/>
        </w:rPr>
        <w:t xml:space="preserve">titluri executorii (23,2%) </w:t>
      </w:r>
      <w:r w:rsidR="00A01EC4">
        <w:rPr>
          <w:rFonts w:ascii="Times New Roman" w:hAnsi="Times New Roman" w:cs="Times New Roman"/>
          <w:sz w:val="28"/>
          <w:szCs w:val="28"/>
        </w:rPr>
        <w:t>–</w:t>
      </w:r>
      <w:r>
        <w:rPr>
          <w:rFonts w:ascii="Times New Roman" w:hAnsi="Times New Roman" w:cs="Times New Roman"/>
          <w:sz w:val="28"/>
          <w:szCs w:val="28"/>
        </w:rPr>
        <w:t xml:space="preserve"> prejudicii cauzate </w:t>
      </w:r>
      <w:r w:rsidRPr="00980CB0">
        <w:rPr>
          <w:rFonts w:ascii="Times New Roman" w:hAnsi="Times New Roman" w:cs="Times New Roman"/>
          <w:sz w:val="28"/>
          <w:szCs w:val="28"/>
        </w:rPr>
        <w:t xml:space="preserve">prin </w:t>
      </w:r>
      <w:r w:rsidRPr="0092197A">
        <w:rPr>
          <w:rFonts w:ascii="Times New Roman" w:hAnsi="Times New Roman" w:cs="Times New Roman"/>
          <w:i/>
          <w:sz w:val="28"/>
          <w:szCs w:val="28"/>
        </w:rPr>
        <w:t>„acțiunile ilicite ale organelor de urmărire penală, ale procuraturii și ale instanțelor judecătorești”</w:t>
      </w:r>
      <w:r>
        <w:rPr>
          <w:rStyle w:val="a9"/>
          <w:rFonts w:ascii="Times New Roman" w:hAnsi="Times New Roman" w:cs="Times New Roman"/>
          <w:i/>
          <w:sz w:val="28"/>
          <w:szCs w:val="28"/>
        </w:rPr>
        <w:footnoteReference w:id="51"/>
      </w:r>
      <w:r>
        <w:rPr>
          <w:rFonts w:ascii="Times New Roman" w:hAnsi="Times New Roman" w:cs="Times New Roman"/>
          <w:sz w:val="28"/>
          <w:szCs w:val="28"/>
        </w:rPr>
        <w:t xml:space="preserve">, iar 31 </w:t>
      </w:r>
      <w:r w:rsidR="00A01EC4">
        <w:rPr>
          <w:rFonts w:ascii="Times New Roman" w:hAnsi="Times New Roman" w:cs="Times New Roman"/>
          <w:sz w:val="28"/>
          <w:szCs w:val="28"/>
        </w:rPr>
        <w:t xml:space="preserve">de </w:t>
      </w:r>
      <w:r>
        <w:rPr>
          <w:rFonts w:ascii="Times New Roman" w:hAnsi="Times New Roman" w:cs="Times New Roman"/>
          <w:sz w:val="28"/>
          <w:szCs w:val="28"/>
        </w:rPr>
        <w:t xml:space="preserve">titluri executorii (9,3%) </w:t>
      </w:r>
      <w:r w:rsidR="00A01EC4">
        <w:rPr>
          <w:rFonts w:ascii="Times New Roman" w:hAnsi="Times New Roman" w:cs="Times New Roman"/>
          <w:sz w:val="28"/>
          <w:szCs w:val="28"/>
        </w:rPr>
        <w:t>–</w:t>
      </w:r>
      <w:r>
        <w:rPr>
          <w:rFonts w:ascii="Times New Roman" w:hAnsi="Times New Roman" w:cs="Times New Roman"/>
          <w:sz w:val="28"/>
          <w:szCs w:val="28"/>
        </w:rPr>
        <w:t xml:space="preserve"> prejudicii cauzate de alte încălcări (cum ar fi: </w:t>
      </w:r>
      <w:r w:rsidRPr="002D2D58">
        <w:rPr>
          <w:rFonts w:ascii="Times New Roman" w:hAnsi="Times New Roman" w:cs="Times New Roman"/>
          <w:i/>
          <w:sz w:val="28"/>
          <w:szCs w:val="28"/>
        </w:rPr>
        <w:t>condiții necorespunzătoare de detenție, achitarea dobânzii de întârziere, penalităților</w:t>
      </w:r>
      <w:r>
        <w:rPr>
          <w:rFonts w:ascii="Times New Roman" w:hAnsi="Times New Roman" w:cs="Times New Roman"/>
          <w:sz w:val="28"/>
          <w:szCs w:val="28"/>
        </w:rPr>
        <w:t xml:space="preserve"> etc.).</w:t>
      </w:r>
    </w:p>
    <w:p w:rsidR="003E62EC" w:rsidRDefault="003E62EC" w:rsidP="003E62EC">
      <w:pPr>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La situația din 31.12.2017, creanțele față de bugetul de stat pentru titlurile executorii achitate anterior de MF și care urmează a fi restituite la BS au înregistrat </w:t>
      </w:r>
      <w:r w:rsidR="003D6840">
        <w:rPr>
          <w:rFonts w:ascii="Times New Roman" w:hAnsi="Times New Roman" w:cs="Times New Roman"/>
          <w:sz w:val="28"/>
          <w:szCs w:val="28"/>
        </w:rPr>
        <w:t xml:space="preserve">cifra de </w:t>
      </w:r>
      <w:r>
        <w:rPr>
          <w:rFonts w:ascii="Times New Roman" w:hAnsi="Times New Roman" w:cs="Times New Roman"/>
          <w:sz w:val="28"/>
          <w:szCs w:val="28"/>
        </w:rPr>
        <w:t xml:space="preserve">24,2 mil.lei. Se menționează că aceste creanțe sunt înregistrate </w:t>
      </w:r>
      <w:r w:rsidRPr="00835468">
        <w:rPr>
          <w:rFonts w:ascii="Times New Roman" w:hAnsi="Times New Roman" w:cs="Times New Roman"/>
          <w:sz w:val="28"/>
          <w:szCs w:val="28"/>
        </w:rPr>
        <w:t>după „Glassis Enterprises” LLC – din anul 2000 (0,4 mil.lei), „Swan Laboratories” – din anul 2000 (3,4 mil.lei), S.A. „Aroma” – 12,7 mil.lei, Sandulachi Pantelei – din anul 2012 (7,7 mil.lei/378.8 mii euro), SRL „Drabant” – din anul 201</w:t>
      </w:r>
      <w:r>
        <w:rPr>
          <w:rFonts w:ascii="Times New Roman" w:hAnsi="Times New Roman" w:cs="Times New Roman"/>
          <w:sz w:val="28"/>
          <w:szCs w:val="28"/>
        </w:rPr>
        <w:t>3</w:t>
      </w:r>
      <w:r w:rsidRPr="00835468">
        <w:rPr>
          <w:rFonts w:ascii="Times New Roman" w:hAnsi="Times New Roman" w:cs="Times New Roman"/>
          <w:sz w:val="28"/>
          <w:szCs w:val="28"/>
        </w:rPr>
        <w:t xml:space="preserve"> (0,013 mil.lei).</w:t>
      </w:r>
    </w:p>
    <w:p w:rsidR="003E62EC" w:rsidRPr="006B30D9" w:rsidRDefault="003E62EC" w:rsidP="0001576D">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Plățile înregistrate, dar neexecutate la 31.12.2017, a</w:t>
      </w:r>
      <w:r w:rsidR="003D6840">
        <w:rPr>
          <w:rFonts w:ascii="Times New Roman" w:hAnsi="Times New Roman" w:cs="Times New Roman"/>
          <w:sz w:val="28"/>
          <w:szCs w:val="28"/>
        </w:rPr>
        <w:t>l</w:t>
      </w:r>
      <w:r>
        <w:rPr>
          <w:rFonts w:ascii="Times New Roman" w:hAnsi="Times New Roman" w:cs="Times New Roman"/>
          <w:sz w:val="28"/>
          <w:szCs w:val="28"/>
        </w:rPr>
        <w:t xml:space="preserve"> căror termen survine în anul 2018</w:t>
      </w:r>
      <w:r>
        <w:rPr>
          <w:rStyle w:val="a9"/>
          <w:rFonts w:ascii="Times New Roman" w:hAnsi="Times New Roman" w:cs="Times New Roman"/>
          <w:sz w:val="28"/>
          <w:szCs w:val="28"/>
        </w:rPr>
        <w:footnoteReference w:id="52"/>
      </w:r>
      <w:r w:rsidR="003D6840">
        <w:rPr>
          <w:rFonts w:ascii="Times New Roman" w:hAnsi="Times New Roman" w:cs="Times New Roman"/>
          <w:sz w:val="28"/>
          <w:szCs w:val="28"/>
        </w:rPr>
        <w:t>,</w:t>
      </w:r>
      <w:r>
        <w:rPr>
          <w:rFonts w:ascii="Times New Roman" w:hAnsi="Times New Roman" w:cs="Times New Roman"/>
          <w:sz w:val="28"/>
          <w:szCs w:val="28"/>
        </w:rPr>
        <w:t xml:space="preserve"> au constituit 2,4 mil.lei.</w:t>
      </w:r>
    </w:p>
    <w:p w:rsidR="003E62EC" w:rsidRPr="00F32CAF" w:rsidRDefault="003E62EC" w:rsidP="0001576D">
      <w:pPr>
        <w:pStyle w:val="a5"/>
        <w:tabs>
          <w:tab w:val="left" w:pos="900"/>
        </w:tabs>
        <w:spacing w:after="0" w:line="276" w:lineRule="auto"/>
        <w:ind w:right="51"/>
        <w:contextualSpacing w:val="0"/>
        <w:jc w:val="both"/>
        <w:rPr>
          <w:rFonts w:ascii="Times New Roman" w:hAnsi="Times New Roman"/>
          <w:sz w:val="28"/>
          <w:szCs w:val="28"/>
        </w:rPr>
      </w:pPr>
    </w:p>
    <w:p w:rsidR="00D805EF" w:rsidRPr="0031249A" w:rsidRDefault="00D805EF" w:rsidP="003F12B5">
      <w:pPr>
        <w:pStyle w:val="a5"/>
        <w:numPr>
          <w:ilvl w:val="2"/>
          <w:numId w:val="3"/>
        </w:numPr>
        <w:spacing w:after="0" w:line="276" w:lineRule="auto"/>
        <w:ind w:left="0" w:firstLine="709"/>
        <w:jc w:val="both"/>
        <w:outlineLvl w:val="2"/>
        <w:rPr>
          <w:rFonts w:ascii="Times New Roman" w:hAnsi="Times New Roman" w:cs="Times New Roman"/>
          <w:b/>
          <w:i/>
          <w:color w:val="385623" w:themeColor="accent6" w:themeShade="80"/>
          <w:sz w:val="28"/>
          <w:szCs w:val="28"/>
        </w:rPr>
      </w:pPr>
      <w:bookmarkStart w:id="22" w:name="_Toc515518995"/>
      <w:r w:rsidRPr="003A2E8D">
        <w:rPr>
          <w:rFonts w:ascii="Times New Roman" w:hAnsi="Times New Roman" w:cs="Times New Roman"/>
          <w:b/>
          <w:i/>
          <w:sz w:val="28"/>
          <w:szCs w:val="28"/>
        </w:rPr>
        <w:t>Nivelul executării cheltuielilor destinate investițiilor capitale și consecințele posibile în funcție de nivelul de finanțare și gestionare a acestora</w:t>
      </w:r>
      <w:bookmarkEnd w:id="22"/>
    </w:p>
    <w:p w:rsidR="00EA0F07" w:rsidRDefault="00EA0F07" w:rsidP="00AE140F">
      <w:pPr>
        <w:spacing w:after="0" w:line="276" w:lineRule="auto"/>
        <w:ind w:right="49" w:firstLine="709"/>
        <w:jc w:val="both"/>
        <w:rPr>
          <w:rFonts w:ascii="Times New Roman" w:hAnsi="Times New Roman" w:cs="Times New Roman"/>
          <w:sz w:val="28"/>
          <w:szCs w:val="28"/>
        </w:rPr>
      </w:pPr>
      <w:r>
        <w:rPr>
          <w:rFonts w:ascii="Times New Roman" w:hAnsi="Times New Roman"/>
          <w:sz w:val="28"/>
          <w:szCs w:val="28"/>
        </w:rPr>
        <w:t>Potrivit legii bugetare anuale, cheltuielil</w:t>
      </w:r>
      <w:r w:rsidR="00C1160C">
        <w:rPr>
          <w:rFonts w:ascii="Times New Roman" w:hAnsi="Times New Roman"/>
          <w:sz w:val="28"/>
          <w:szCs w:val="28"/>
        </w:rPr>
        <w:t>e</w:t>
      </w:r>
      <w:r>
        <w:rPr>
          <w:rFonts w:ascii="Times New Roman" w:hAnsi="Times New Roman"/>
          <w:sz w:val="28"/>
          <w:szCs w:val="28"/>
        </w:rPr>
        <w:t xml:space="preserve"> destinate investițiilor capitale</w:t>
      </w:r>
      <w:r>
        <w:rPr>
          <w:rStyle w:val="a9"/>
          <w:rFonts w:ascii="Times New Roman" w:hAnsi="Times New Roman"/>
          <w:sz w:val="28"/>
          <w:szCs w:val="28"/>
        </w:rPr>
        <w:footnoteReference w:id="53"/>
      </w:r>
      <w:r>
        <w:rPr>
          <w:rFonts w:ascii="Times New Roman" w:hAnsi="Times New Roman"/>
          <w:sz w:val="28"/>
          <w:szCs w:val="28"/>
        </w:rPr>
        <w:t xml:space="preserve"> </w:t>
      </w:r>
      <w:r w:rsidRPr="007E4DF8">
        <w:rPr>
          <w:rFonts w:ascii="Times New Roman" w:hAnsi="Times New Roman" w:cs="Times New Roman"/>
          <w:sz w:val="28"/>
          <w:szCs w:val="28"/>
        </w:rPr>
        <w:t xml:space="preserve">au fost </w:t>
      </w:r>
      <w:r>
        <w:rPr>
          <w:rFonts w:ascii="Times New Roman" w:hAnsi="Times New Roman" w:cs="Times New Roman"/>
          <w:sz w:val="28"/>
          <w:szCs w:val="28"/>
        </w:rPr>
        <w:t>aprobate în volum de 1802,8 mil.lei pentru 42 proiecte de investiții. Prin rectificările</w:t>
      </w:r>
      <w:r w:rsidRPr="007E4DF8">
        <w:rPr>
          <w:rFonts w:ascii="Times New Roman" w:hAnsi="Times New Roman" w:cs="Times New Roman"/>
          <w:sz w:val="28"/>
          <w:szCs w:val="28"/>
        </w:rPr>
        <w:t xml:space="preserve"> </w:t>
      </w:r>
      <w:r>
        <w:rPr>
          <w:rFonts w:ascii="Times New Roman" w:hAnsi="Times New Roman" w:cs="Times New Roman"/>
          <w:sz w:val="28"/>
          <w:szCs w:val="28"/>
        </w:rPr>
        <w:t>u</w:t>
      </w:r>
      <w:r w:rsidRPr="007E4DF8">
        <w:rPr>
          <w:rFonts w:ascii="Times New Roman" w:hAnsi="Times New Roman" w:cs="Times New Roman"/>
          <w:sz w:val="28"/>
          <w:szCs w:val="28"/>
        </w:rPr>
        <w:t>lterio</w:t>
      </w:r>
      <w:r>
        <w:rPr>
          <w:rFonts w:ascii="Times New Roman" w:hAnsi="Times New Roman" w:cs="Times New Roman"/>
          <w:sz w:val="28"/>
          <w:szCs w:val="28"/>
        </w:rPr>
        <w:t>a</w:t>
      </w:r>
      <w:r w:rsidRPr="007E4DF8">
        <w:rPr>
          <w:rFonts w:ascii="Times New Roman" w:hAnsi="Times New Roman" w:cs="Times New Roman"/>
          <w:sz w:val="28"/>
          <w:szCs w:val="28"/>
        </w:rPr>
        <w:t>r</w:t>
      </w:r>
      <w:r>
        <w:rPr>
          <w:rFonts w:ascii="Times New Roman" w:hAnsi="Times New Roman" w:cs="Times New Roman"/>
          <w:sz w:val="28"/>
          <w:szCs w:val="28"/>
        </w:rPr>
        <w:t>e</w:t>
      </w:r>
      <w:r w:rsidRPr="007E4DF8">
        <w:rPr>
          <w:rFonts w:ascii="Times New Roman" w:hAnsi="Times New Roman" w:cs="Times New Roman"/>
          <w:sz w:val="28"/>
          <w:szCs w:val="28"/>
        </w:rPr>
        <w:t xml:space="preserve"> </w:t>
      </w:r>
      <w:r>
        <w:rPr>
          <w:rFonts w:ascii="Times New Roman" w:hAnsi="Times New Roman" w:cs="Times New Roman"/>
          <w:sz w:val="28"/>
          <w:szCs w:val="28"/>
        </w:rPr>
        <w:t>a</w:t>
      </w:r>
      <w:r w:rsidR="003D6840">
        <w:rPr>
          <w:rFonts w:ascii="Times New Roman" w:hAnsi="Times New Roman" w:cs="Times New Roman"/>
          <w:sz w:val="28"/>
          <w:szCs w:val="28"/>
        </w:rPr>
        <w:t>le</w:t>
      </w:r>
      <w:r>
        <w:rPr>
          <w:rFonts w:ascii="Times New Roman" w:hAnsi="Times New Roman" w:cs="Times New Roman"/>
          <w:sz w:val="28"/>
          <w:szCs w:val="28"/>
        </w:rPr>
        <w:t xml:space="preserve"> </w:t>
      </w:r>
      <w:r w:rsidRPr="007E4DF8">
        <w:rPr>
          <w:rFonts w:ascii="Times New Roman" w:hAnsi="Times New Roman" w:cs="Times New Roman"/>
          <w:sz w:val="28"/>
          <w:szCs w:val="28"/>
        </w:rPr>
        <w:t xml:space="preserve">bugetului </w:t>
      </w:r>
      <w:r>
        <w:rPr>
          <w:rFonts w:ascii="Times New Roman" w:hAnsi="Times New Roman" w:cs="Times New Roman"/>
          <w:sz w:val="28"/>
          <w:szCs w:val="28"/>
        </w:rPr>
        <w:t>de stat pentru anul 2017</w:t>
      </w:r>
      <w:r w:rsidR="00C1160C">
        <w:rPr>
          <w:rFonts w:ascii="Times New Roman" w:hAnsi="Times New Roman" w:cs="Times New Roman"/>
          <w:sz w:val="28"/>
          <w:szCs w:val="28"/>
        </w:rPr>
        <w:t>,</w:t>
      </w:r>
      <w:r>
        <w:rPr>
          <w:rFonts w:ascii="Times New Roman" w:hAnsi="Times New Roman" w:cs="Times New Roman"/>
          <w:sz w:val="28"/>
          <w:szCs w:val="28"/>
        </w:rPr>
        <w:t xml:space="preserve"> </w:t>
      </w:r>
      <w:r w:rsidRPr="007E4DF8">
        <w:rPr>
          <w:rFonts w:ascii="Times New Roman" w:hAnsi="Times New Roman" w:cs="Times New Roman"/>
          <w:sz w:val="28"/>
          <w:szCs w:val="28"/>
        </w:rPr>
        <w:t xml:space="preserve">alocațiile au fost diminuate </w:t>
      </w:r>
      <w:r>
        <w:rPr>
          <w:rFonts w:ascii="Times New Roman" w:hAnsi="Times New Roman" w:cs="Times New Roman"/>
          <w:sz w:val="28"/>
          <w:szCs w:val="28"/>
        </w:rPr>
        <w:t>în total cu 439,6 mil.lei, însumând 1363,2</w:t>
      </w:r>
      <w:r w:rsidRPr="007E4DF8">
        <w:rPr>
          <w:rFonts w:ascii="Times New Roman" w:hAnsi="Times New Roman" w:cs="Times New Roman"/>
          <w:sz w:val="28"/>
          <w:szCs w:val="28"/>
        </w:rPr>
        <w:t xml:space="preserve"> mil.lei</w:t>
      </w:r>
      <w:r w:rsidR="00C1160C">
        <w:rPr>
          <w:rFonts w:ascii="Times New Roman" w:hAnsi="Times New Roman" w:cs="Times New Roman"/>
          <w:sz w:val="28"/>
          <w:szCs w:val="28"/>
        </w:rPr>
        <w:t xml:space="preserve">. Situația </w:t>
      </w:r>
      <w:r w:rsidR="003D6840">
        <w:rPr>
          <w:rFonts w:ascii="Times New Roman" w:hAnsi="Times New Roman" w:cs="Times New Roman"/>
          <w:sz w:val="28"/>
          <w:szCs w:val="28"/>
        </w:rPr>
        <w:t xml:space="preserve">a fost </w:t>
      </w:r>
      <w:r>
        <w:rPr>
          <w:rFonts w:ascii="Times New Roman" w:hAnsi="Times New Roman" w:cs="Times New Roman"/>
          <w:sz w:val="28"/>
          <w:szCs w:val="28"/>
        </w:rPr>
        <w:t xml:space="preserve">determinată de: </w:t>
      </w:r>
      <w:r w:rsidRPr="00EE2824">
        <w:rPr>
          <w:rFonts w:ascii="Times New Roman" w:hAnsi="Times New Roman" w:cs="Times New Roman"/>
          <w:i/>
          <w:sz w:val="28"/>
          <w:szCs w:val="28"/>
        </w:rPr>
        <w:t>i)</w:t>
      </w:r>
      <w:r>
        <w:rPr>
          <w:rFonts w:ascii="Times New Roman" w:hAnsi="Times New Roman" w:cs="Times New Roman"/>
          <w:sz w:val="28"/>
          <w:szCs w:val="28"/>
        </w:rPr>
        <w:t xml:space="preserve"> </w:t>
      </w:r>
      <w:r w:rsidRPr="00CB776B">
        <w:rPr>
          <w:rFonts w:ascii="Times New Roman" w:hAnsi="Times New Roman" w:cs="Times New Roman"/>
          <w:sz w:val="28"/>
          <w:szCs w:val="28"/>
        </w:rPr>
        <w:t>excluderea a 5 obiecte</w:t>
      </w:r>
      <w:r>
        <w:rPr>
          <w:rFonts w:ascii="Times New Roman" w:hAnsi="Times New Roman" w:cs="Times New Roman"/>
          <w:sz w:val="28"/>
          <w:szCs w:val="28"/>
        </w:rPr>
        <w:t xml:space="preserve"> de investiții capitale</w:t>
      </w:r>
      <w:r>
        <w:rPr>
          <w:rFonts w:ascii="Times New Roman" w:hAnsi="Times New Roman" w:cs="Times New Roman"/>
          <w:i/>
          <w:sz w:val="28"/>
          <w:szCs w:val="28"/>
        </w:rPr>
        <w:t xml:space="preserve"> </w:t>
      </w:r>
      <w:r w:rsidRPr="00EE2824">
        <w:rPr>
          <w:rFonts w:ascii="Times New Roman" w:hAnsi="Times New Roman" w:cs="Times New Roman"/>
          <w:sz w:val="28"/>
          <w:szCs w:val="28"/>
        </w:rPr>
        <w:t xml:space="preserve">în valoare totală de </w:t>
      </w:r>
      <w:r>
        <w:rPr>
          <w:rFonts w:ascii="Times New Roman" w:hAnsi="Times New Roman" w:cs="Times New Roman"/>
          <w:sz w:val="28"/>
          <w:szCs w:val="28"/>
        </w:rPr>
        <w:t xml:space="preserve">226,9 mil.lei, dintre care din surse externe </w:t>
      </w:r>
      <w:r w:rsidR="003D6840">
        <w:rPr>
          <w:rFonts w:ascii="Times New Roman" w:hAnsi="Times New Roman" w:cs="Times New Roman"/>
          <w:sz w:val="28"/>
          <w:szCs w:val="28"/>
        </w:rPr>
        <w:t>–</w:t>
      </w:r>
      <w:r>
        <w:rPr>
          <w:rFonts w:ascii="Times New Roman" w:hAnsi="Times New Roman" w:cs="Times New Roman"/>
          <w:sz w:val="28"/>
          <w:szCs w:val="28"/>
        </w:rPr>
        <w:t xml:space="preserve"> 211,9 mil.lei</w:t>
      </w:r>
      <w:r w:rsidR="003D6840">
        <w:rPr>
          <w:rFonts w:ascii="Times New Roman" w:hAnsi="Times New Roman" w:cs="Times New Roman"/>
          <w:sz w:val="28"/>
          <w:szCs w:val="28"/>
        </w:rPr>
        <w:t>,</w:t>
      </w:r>
      <w:r>
        <w:rPr>
          <w:rFonts w:ascii="Times New Roman" w:hAnsi="Times New Roman" w:cs="Times New Roman"/>
          <w:sz w:val="28"/>
          <w:szCs w:val="28"/>
        </w:rPr>
        <w:t xml:space="preserve"> și </w:t>
      </w:r>
      <w:r w:rsidRPr="00EE2824">
        <w:rPr>
          <w:rFonts w:ascii="Times New Roman" w:hAnsi="Times New Roman" w:cs="Times New Roman"/>
          <w:i/>
          <w:sz w:val="28"/>
          <w:szCs w:val="28"/>
        </w:rPr>
        <w:t>ii)</w:t>
      </w:r>
      <w:r>
        <w:rPr>
          <w:rFonts w:ascii="Times New Roman" w:hAnsi="Times New Roman" w:cs="Times New Roman"/>
          <w:sz w:val="28"/>
          <w:szCs w:val="28"/>
        </w:rPr>
        <w:t xml:space="preserve"> </w:t>
      </w:r>
      <w:r w:rsidRPr="00CB776B">
        <w:rPr>
          <w:rFonts w:ascii="Times New Roman" w:hAnsi="Times New Roman" w:cs="Times New Roman"/>
          <w:sz w:val="28"/>
          <w:szCs w:val="28"/>
        </w:rPr>
        <w:t>includerea</w:t>
      </w:r>
      <w:r>
        <w:rPr>
          <w:rFonts w:ascii="Times New Roman" w:hAnsi="Times New Roman" w:cs="Times New Roman"/>
          <w:sz w:val="28"/>
          <w:szCs w:val="28"/>
        </w:rPr>
        <w:t xml:space="preserve"> spre finanțare a </w:t>
      </w:r>
      <w:r w:rsidRPr="00CB776B">
        <w:rPr>
          <w:rFonts w:ascii="Times New Roman" w:hAnsi="Times New Roman" w:cs="Times New Roman"/>
          <w:sz w:val="28"/>
          <w:szCs w:val="28"/>
        </w:rPr>
        <w:t>20 obiecte</w:t>
      </w:r>
      <w:r>
        <w:rPr>
          <w:rFonts w:ascii="Times New Roman" w:hAnsi="Times New Roman" w:cs="Times New Roman"/>
          <w:sz w:val="28"/>
          <w:szCs w:val="28"/>
        </w:rPr>
        <w:t xml:space="preserve"> de investiții capitale în sumă totală de 27,7 mil.lei.</w:t>
      </w:r>
    </w:p>
    <w:p w:rsidR="00EA0F07" w:rsidRDefault="00EA0F07" w:rsidP="00AE140F">
      <w:pPr>
        <w:spacing w:after="0" w:line="276" w:lineRule="auto"/>
        <w:ind w:right="49" w:firstLine="709"/>
        <w:jc w:val="both"/>
        <w:rPr>
          <w:rFonts w:ascii="Times New Roman" w:hAnsi="Times New Roman" w:cs="Times New Roman"/>
          <w:b/>
          <w:sz w:val="28"/>
          <w:szCs w:val="28"/>
        </w:rPr>
      </w:pPr>
      <w:r>
        <w:rPr>
          <w:rFonts w:ascii="Times New Roman" w:hAnsi="Times New Roman" w:cs="Times New Roman"/>
          <w:sz w:val="28"/>
          <w:szCs w:val="28"/>
        </w:rPr>
        <w:t>Analiza auditului denotă că tendința de diminuare a alocațiilor destinate investițiilor capitale s-a păstrat și în anul 2017, iar volumul</w:t>
      </w:r>
      <w:r w:rsidR="002D42CE">
        <w:rPr>
          <w:rFonts w:ascii="Times New Roman" w:hAnsi="Times New Roman" w:cs="Times New Roman"/>
          <w:sz w:val="28"/>
          <w:szCs w:val="28"/>
        </w:rPr>
        <w:t xml:space="preserve"> precizat în bugetul</w:t>
      </w:r>
      <w:r w:rsidR="00764D6E">
        <w:rPr>
          <w:rFonts w:ascii="Times New Roman" w:hAnsi="Times New Roman" w:cs="Times New Roman"/>
          <w:sz w:val="28"/>
          <w:szCs w:val="28"/>
        </w:rPr>
        <w:t xml:space="preserve"> </w:t>
      </w:r>
      <w:r>
        <w:rPr>
          <w:rFonts w:ascii="Times New Roman" w:hAnsi="Times New Roman" w:cs="Times New Roman"/>
          <w:sz w:val="28"/>
          <w:szCs w:val="28"/>
        </w:rPr>
        <w:t>acestor</w:t>
      </w:r>
      <w:r w:rsidR="00C1160C">
        <w:rPr>
          <w:rFonts w:ascii="Times New Roman" w:hAnsi="Times New Roman" w:cs="Times New Roman"/>
          <w:sz w:val="28"/>
          <w:szCs w:val="28"/>
        </w:rPr>
        <w:t>a a marcat o scădere de 6 p.p.</w:t>
      </w:r>
      <w:r w:rsidR="003D6840">
        <w:rPr>
          <w:rFonts w:ascii="Times New Roman" w:hAnsi="Times New Roman" w:cs="Times New Roman"/>
          <w:sz w:val="28"/>
          <w:szCs w:val="28"/>
        </w:rPr>
        <w:t>,</w:t>
      </w:r>
      <w:r w:rsidR="00C1160C">
        <w:rPr>
          <w:rFonts w:ascii="Times New Roman" w:hAnsi="Times New Roman" w:cs="Times New Roman"/>
          <w:sz w:val="28"/>
          <w:szCs w:val="28"/>
        </w:rPr>
        <w:t xml:space="preserve"> sau d</w:t>
      </w:r>
      <w:r>
        <w:rPr>
          <w:rFonts w:ascii="Times New Roman" w:hAnsi="Times New Roman" w:cs="Times New Roman"/>
          <w:sz w:val="28"/>
          <w:szCs w:val="28"/>
        </w:rPr>
        <w:t xml:space="preserve">e la </w:t>
      </w:r>
      <w:r w:rsidRPr="007E4DF8">
        <w:rPr>
          <w:rFonts w:ascii="Times New Roman" w:hAnsi="Times New Roman" w:cs="Times New Roman"/>
          <w:sz w:val="28"/>
          <w:szCs w:val="28"/>
        </w:rPr>
        <w:t>1445,3 mil.lei</w:t>
      </w:r>
      <w:r>
        <w:rPr>
          <w:rFonts w:ascii="Times New Roman" w:hAnsi="Times New Roman" w:cs="Times New Roman"/>
          <w:sz w:val="28"/>
          <w:szCs w:val="28"/>
        </w:rPr>
        <w:t xml:space="preserve"> în anul 2016 </w:t>
      </w:r>
      <w:r w:rsidR="00C1160C">
        <w:rPr>
          <w:rFonts w:ascii="Times New Roman" w:hAnsi="Times New Roman" w:cs="Times New Roman"/>
          <w:sz w:val="28"/>
          <w:szCs w:val="28"/>
        </w:rPr>
        <w:t>până</w:t>
      </w:r>
      <w:r>
        <w:rPr>
          <w:rFonts w:ascii="Times New Roman" w:hAnsi="Times New Roman" w:cs="Times New Roman"/>
          <w:sz w:val="28"/>
          <w:szCs w:val="28"/>
        </w:rPr>
        <w:t xml:space="preserve"> la 1363,2</w:t>
      </w:r>
      <w:r w:rsidR="00AA69D2">
        <w:rPr>
          <w:rFonts w:ascii="Times New Roman" w:hAnsi="Times New Roman" w:cs="Times New Roman"/>
          <w:sz w:val="28"/>
          <w:szCs w:val="28"/>
        </w:rPr>
        <w:t xml:space="preserve"> mil.lei</w:t>
      </w:r>
      <w:r>
        <w:rPr>
          <w:rFonts w:ascii="Times New Roman" w:hAnsi="Times New Roman" w:cs="Times New Roman"/>
          <w:sz w:val="28"/>
          <w:szCs w:val="28"/>
        </w:rPr>
        <w:t xml:space="preserve"> în anul 2017.</w:t>
      </w:r>
      <w:r w:rsidR="00764D6E">
        <w:rPr>
          <w:rFonts w:ascii="Times New Roman" w:hAnsi="Times New Roman" w:cs="Times New Roman"/>
          <w:sz w:val="28"/>
          <w:szCs w:val="28"/>
        </w:rPr>
        <w:t xml:space="preserve"> </w:t>
      </w:r>
    </w:p>
    <w:p w:rsidR="000F7305" w:rsidRDefault="00EA0F07" w:rsidP="00AE140F">
      <w:pPr>
        <w:spacing w:after="0" w:line="276" w:lineRule="auto"/>
        <w:ind w:right="51" w:firstLine="709"/>
        <w:jc w:val="both"/>
        <w:rPr>
          <w:rFonts w:ascii="Times New Roman" w:hAnsi="Times New Roman" w:cs="Times New Roman"/>
          <w:i/>
          <w:sz w:val="28"/>
          <w:szCs w:val="28"/>
        </w:rPr>
      </w:pPr>
      <w:r>
        <w:rPr>
          <w:rFonts w:ascii="Times New Roman" w:hAnsi="Times New Roman" w:cs="Times New Roman"/>
          <w:sz w:val="28"/>
          <w:szCs w:val="28"/>
        </w:rPr>
        <w:lastRenderedPageBreak/>
        <w:t xml:space="preserve">De asemenea, </w:t>
      </w:r>
      <w:r w:rsidR="00C1160C">
        <w:rPr>
          <w:rFonts w:ascii="Times New Roman" w:hAnsi="Times New Roman" w:cs="Times New Roman"/>
          <w:sz w:val="28"/>
          <w:szCs w:val="28"/>
        </w:rPr>
        <w:t>cheltuielile</w:t>
      </w:r>
      <w:r w:rsidR="00C1160C" w:rsidRPr="007E4DF8">
        <w:rPr>
          <w:rFonts w:ascii="Times New Roman" w:hAnsi="Times New Roman" w:cs="Times New Roman"/>
          <w:sz w:val="28"/>
          <w:szCs w:val="28"/>
        </w:rPr>
        <w:t xml:space="preserve"> pentru investiții capitale </w:t>
      </w:r>
      <w:r w:rsidR="00C1160C">
        <w:rPr>
          <w:rFonts w:ascii="Times New Roman" w:hAnsi="Times New Roman" w:cs="Times New Roman"/>
          <w:sz w:val="28"/>
          <w:szCs w:val="28"/>
        </w:rPr>
        <w:t>a</w:t>
      </w:r>
      <w:r w:rsidR="008A0EA9">
        <w:rPr>
          <w:rFonts w:ascii="Times New Roman" w:hAnsi="Times New Roman" w:cs="Times New Roman"/>
          <w:sz w:val="28"/>
          <w:szCs w:val="28"/>
        </w:rPr>
        <w:t>u</w:t>
      </w:r>
      <w:r w:rsidR="00C1160C">
        <w:rPr>
          <w:rFonts w:ascii="Times New Roman" w:hAnsi="Times New Roman" w:cs="Times New Roman"/>
          <w:sz w:val="28"/>
          <w:szCs w:val="28"/>
        </w:rPr>
        <w:t xml:space="preserve"> înregistrat o diminuare a</w:t>
      </w:r>
      <w:r w:rsidR="00764D6E">
        <w:rPr>
          <w:rFonts w:ascii="Times New Roman" w:hAnsi="Times New Roman" w:cs="Times New Roman"/>
          <w:sz w:val="28"/>
          <w:szCs w:val="28"/>
        </w:rPr>
        <w:t xml:space="preserve"> </w:t>
      </w:r>
      <w:r w:rsidR="00C1160C">
        <w:rPr>
          <w:rFonts w:ascii="Times New Roman" w:hAnsi="Times New Roman" w:cs="Times New Roman"/>
          <w:sz w:val="28"/>
          <w:szCs w:val="28"/>
        </w:rPr>
        <w:t xml:space="preserve">ponderii </w:t>
      </w:r>
      <w:r w:rsidR="00C1160C" w:rsidRPr="007E4DF8">
        <w:rPr>
          <w:rFonts w:ascii="Times New Roman" w:hAnsi="Times New Roman" w:cs="Times New Roman"/>
          <w:sz w:val="28"/>
          <w:szCs w:val="28"/>
        </w:rPr>
        <w:t>în PIB</w:t>
      </w:r>
      <w:r w:rsidR="00C1160C">
        <w:rPr>
          <w:rFonts w:ascii="Times New Roman" w:hAnsi="Times New Roman" w:cs="Times New Roman"/>
          <w:sz w:val="28"/>
          <w:szCs w:val="28"/>
        </w:rPr>
        <w:t xml:space="preserve"> de 0,2 p.p.</w:t>
      </w:r>
      <w:r w:rsidR="007D3BFC">
        <w:rPr>
          <w:rFonts w:ascii="Times New Roman" w:hAnsi="Times New Roman" w:cs="Times New Roman"/>
          <w:sz w:val="28"/>
          <w:szCs w:val="28"/>
        </w:rPr>
        <w:t>,</w:t>
      </w:r>
      <w:r w:rsidR="00C1160C">
        <w:rPr>
          <w:rFonts w:ascii="Times New Roman" w:hAnsi="Times New Roman" w:cs="Times New Roman"/>
          <w:sz w:val="28"/>
          <w:szCs w:val="28"/>
        </w:rPr>
        <w:t xml:space="preserve"> sau </w:t>
      </w:r>
      <w:r>
        <w:rPr>
          <w:rFonts w:ascii="Times New Roman" w:hAnsi="Times New Roman" w:cs="Times New Roman"/>
          <w:sz w:val="28"/>
          <w:szCs w:val="28"/>
        </w:rPr>
        <w:t xml:space="preserve">de la </w:t>
      </w:r>
      <w:r w:rsidRPr="007E4DF8">
        <w:rPr>
          <w:rFonts w:ascii="Times New Roman" w:hAnsi="Times New Roman" w:cs="Times New Roman"/>
          <w:sz w:val="28"/>
          <w:szCs w:val="28"/>
        </w:rPr>
        <w:t>0,7% în 2016</w:t>
      </w:r>
      <w:r>
        <w:rPr>
          <w:rFonts w:ascii="Times New Roman" w:hAnsi="Times New Roman" w:cs="Times New Roman"/>
          <w:sz w:val="28"/>
          <w:szCs w:val="28"/>
        </w:rPr>
        <w:t xml:space="preserve"> </w:t>
      </w:r>
      <w:r w:rsidRPr="007E4DF8">
        <w:rPr>
          <w:rFonts w:ascii="Times New Roman" w:hAnsi="Times New Roman" w:cs="Times New Roman"/>
          <w:sz w:val="28"/>
          <w:szCs w:val="28"/>
        </w:rPr>
        <w:t>până la</w:t>
      </w:r>
      <w:r>
        <w:rPr>
          <w:rFonts w:ascii="Times New Roman" w:hAnsi="Times New Roman" w:cs="Times New Roman"/>
          <w:sz w:val="28"/>
          <w:szCs w:val="28"/>
        </w:rPr>
        <w:t xml:space="preserve"> 0,5% în 2017, pe câ</w:t>
      </w:r>
      <w:r w:rsidR="00C1160C">
        <w:rPr>
          <w:rFonts w:ascii="Times New Roman" w:hAnsi="Times New Roman" w:cs="Times New Roman"/>
          <w:sz w:val="28"/>
          <w:szCs w:val="28"/>
        </w:rPr>
        <w:t>nd în anul 2015 constituia 1,9%.</w:t>
      </w:r>
      <w:r>
        <w:rPr>
          <w:rFonts w:ascii="Times New Roman" w:hAnsi="Times New Roman" w:cs="Times New Roman"/>
          <w:sz w:val="28"/>
          <w:szCs w:val="28"/>
        </w:rPr>
        <w:t xml:space="preserve"> </w:t>
      </w:r>
      <w:r w:rsidR="00C1160C" w:rsidRPr="00FD5765">
        <w:rPr>
          <w:rFonts w:ascii="Times New Roman" w:hAnsi="Times New Roman" w:cs="Times New Roman"/>
          <w:i/>
          <w:sz w:val="28"/>
          <w:szCs w:val="28"/>
        </w:rPr>
        <w:t>S</w:t>
      </w:r>
      <w:r w:rsidRPr="00FD5765">
        <w:rPr>
          <w:rFonts w:ascii="Times New Roman" w:hAnsi="Times New Roman" w:cs="Times New Roman"/>
          <w:i/>
          <w:sz w:val="28"/>
          <w:szCs w:val="28"/>
        </w:rPr>
        <w:t xml:space="preserve">ituația </w:t>
      </w:r>
      <w:r w:rsidR="00C1160C" w:rsidRPr="00FD5765">
        <w:rPr>
          <w:rFonts w:ascii="Times New Roman" w:hAnsi="Times New Roman" w:cs="Times New Roman"/>
          <w:i/>
          <w:sz w:val="28"/>
          <w:szCs w:val="28"/>
        </w:rPr>
        <w:t>analizată este</w:t>
      </w:r>
      <w:r w:rsidRPr="00FD5765">
        <w:rPr>
          <w:rFonts w:ascii="Times New Roman" w:hAnsi="Times New Roman" w:cs="Times New Roman"/>
          <w:i/>
          <w:sz w:val="28"/>
          <w:szCs w:val="28"/>
        </w:rPr>
        <w:t xml:space="preserve"> prezentată în</w:t>
      </w:r>
      <w:r>
        <w:rPr>
          <w:rFonts w:ascii="Times New Roman" w:hAnsi="Times New Roman" w:cs="Times New Roman"/>
          <w:sz w:val="28"/>
          <w:szCs w:val="28"/>
        </w:rPr>
        <w:t xml:space="preserve"> </w:t>
      </w:r>
      <w:r>
        <w:rPr>
          <w:rFonts w:ascii="Times New Roman" w:hAnsi="Times New Roman" w:cs="Times New Roman"/>
          <w:i/>
          <w:sz w:val="28"/>
          <w:szCs w:val="28"/>
        </w:rPr>
        <w:t>Diagram</w:t>
      </w:r>
      <w:r w:rsidRPr="00065492">
        <w:rPr>
          <w:rFonts w:ascii="Times New Roman" w:hAnsi="Times New Roman" w:cs="Times New Roman"/>
          <w:i/>
          <w:sz w:val="28"/>
          <w:szCs w:val="28"/>
        </w:rPr>
        <w:t>a nr.</w:t>
      </w:r>
      <w:r w:rsidR="00824429">
        <w:rPr>
          <w:rFonts w:ascii="Times New Roman" w:hAnsi="Times New Roman" w:cs="Times New Roman"/>
          <w:i/>
          <w:sz w:val="28"/>
          <w:szCs w:val="28"/>
        </w:rPr>
        <w:t>8</w:t>
      </w:r>
      <w:r w:rsidR="000F7305">
        <w:rPr>
          <w:rFonts w:ascii="Times New Roman" w:hAnsi="Times New Roman" w:cs="Times New Roman"/>
          <w:i/>
          <w:sz w:val="28"/>
          <w:szCs w:val="28"/>
        </w:rPr>
        <w:t>.</w:t>
      </w:r>
    </w:p>
    <w:p w:rsidR="000F7305" w:rsidRDefault="000F7305" w:rsidP="00AE140F">
      <w:pPr>
        <w:spacing w:after="0" w:line="276" w:lineRule="auto"/>
        <w:ind w:right="51" w:firstLine="709"/>
        <w:jc w:val="right"/>
        <w:rPr>
          <w:rFonts w:ascii="Times New Roman" w:hAnsi="Times New Roman" w:cs="Times New Roman"/>
          <w:i/>
          <w:sz w:val="28"/>
          <w:szCs w:val="28"/>
        </w:rPr>
      </w:pPr>
      <w:r>
        <w:rPr>
          <w:rFonts w:ascii="Times New Roman" w:hAnsi="Times New Roman" w:cs="Times New Roman"/>
          <w:i/>
          <w:sz w:val="28"/>
          <w:szCs w:val="28"/>
        </w:rPr>
        <w:t>Diagram</w:t>
      </w:r>
      <w:r w:rsidRPr="00065492">
        <w:rPr>
          <w:rFonts w:ascii="Times New Roman" w:hAnsi="Times New Roman" w:cs="Times New Roman"/>
          <w:i/>
          <w:sz w:val="28"/>
          <w:szCs w:val="28"/>
        </w:rPr>
        <w:t>a nr.</w:t>
      </w:r>
      <w:r>
        <w:rPr>
          <w:rFonts w:ascii="Times New Roman" w:hAnsi="Times New Roman" w:cs="Times New Roman"/>
          <w:i/>
          <w:sz w:val="28"/>
          <w:szCs w:val="28"/>
        </w:rPr>
        <w:t>8</w:t>
      </w:r>
    </w:p>
    <w:p w:rsidR="00EA0F07" w:rsidRPr="004035D8" w:rsidRDefault="000F7305" w:rsidP="00AE140F">
      <w:pPr>
        <w:spacing w:after="0" w:line="276" w:lineRule="auto"/>
        <w:ind w:right="51" w:firstLine="709"/>
        <w:jc w:val="center"/>
        <w:rPr>
          <w:sz w:val="24"/>
          <w:szCs w:val="24"/>
        </w:rPr>
      </w:pPr>
      <w:r>
        <w:rPr>
          <w:rFonts w:ascii="Times New Roman" w:hAnsi="Times New Roman" w:cs="Times New Roman"/>
          <w:b/>
          <w:sz w:val="24"/>
          <w:szCs w:val="24"/>
        </w:rPr>
        <w:t>P</w:t>
      </w:r>
      <w:r w:rsidR="00EA0F07" w:rsidRPr="004035D8">
        <w:rPr>
          <w:rFonts w:ascii="Times New Roman" w:hAnsi="Times New Roman" w:cs="Times New Roman"/>
          <w:b/>
          <w:sz w:val="24"/>
          <w:szCs w:val="24"/>
        </w:rPr>
        <w:t>onderea investițiilor capitale în PIB și în totalul cheltuielilor BS</w:t>
      </w:r>
      <w:r w:rsidR="008169DD">
        <w:rPr>
          <w:rFonts w:ascii="Times New Roman" w:hAnsi="Times New Roman" w:cs="Times New Roman"/>
          <w:b/>
          <w:sz w:val="24"/>
          <w:szCs w:val="24"/>
        </w:rPr>
        <w:t>,</w:t>
      </w:r>
      <w:r w:rsidR="00196688">
        <w:rPr>
          <w:rFonts w:ascii="Times New Roman" w:hAnsi="Times New Roman" w:cs="Times New Roman"/>
          <w:b/>
          <w:sz w:val="24"/>
          <w:szCs w:val="24"/>
        </w:rPr>
        <w:t xml:space="preserve"> </w:t>
      </w:r>
      <w:r w:rsidR="002D42CE">
        <w:rPr>
          <w:rFonts w:ascii="Times New Roman" w:hAnsi="Times New Roman" w:cs="Times New Roman"/>
          <w:b/>
          <w:sz w:val="24"/>
          <w:szCs w:val="24"/>
        </w:rPr>
        <w:t xml:space="preserve">executate </w:t>
      </w:r>
      <w:r w:rsidR="00EA0F07" w:rsidRPr="004035D8">
        <w:rPr>
          <w:rFonts w:ascii="Times New Roman" w:hAnsi="Times New Roman" w:cs="Times New Roman"/>
          <w:b/>
          <w:sz w:val="24"/>
          <w:szCs w:val="24"/>
        </w:rPr>
        <w:t>în perioada 2015-2017</w:t>
      </w:r>
    </w:p>
    <w:p w:rsidR="00EA0F07" w:rsidRPr="00DF5EBC" w:rsidRDefault="00EA0F07" w:rsidP="00A622B7">
      <w:pPr>
        <w:spacing w:after="0"/>
        <w:ind w:right="51"/>
      </w:pPr>
      <w:r w:rsidRPr="007E4DF8">
        <w:rPr>
          <w:rFonts w:ascii="Times New Roman" w:hAnsi="Times New Roman" w:cs="Times New Roman"/>
          <w:noProof/>
          <w:sz w:val="28"/>
          <w:szCs w:val="28"/>
          <w:lang w:val="ru-RU" w:eastAsia="ru-RU"/>
        </w:rPr>
        <w:drawing>
          <wp:inline distT="0" distB="0" distL="0" distR="0" wp14:anchorId="72D3CB94" wp14:editId="4235F330">
            <wp:extent cx="6072996" cy="1529080"/>
            <wp:effectExtent l="0" t="0" r="4445" b="1397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A0F07" w:rsidRPr="00A071F0" w:rsidRDefault="00EA0F07" w:rsidP="00196688">
      <w:pPr>
        <w:spacing w:after="120" w:line="240" w:lineRule="auto"/>
        <w:ind w:right="49"/>
        <w:jc w:val="both"/>
        <w:rPr>
          <w:rFonts w:ascii="Times New Roman" w:eastAsia="Times New Roman" w:hAnsi="Times New Roman" w:cs="Times New Roman"/>
          <w:i/>
          <w:sz w:val="20"/>
          <w:szCs w:val="20"/>
          <w:lang w:eastAsia="ru-RU"/>
        </w:rPr>
      </w:pPr>
      <w:r w:rsidRPr="00A071F0">
        <w:rPr>
          <w:rFonts w:ascii="Times New Roman" w:eastAsia="Times New Roman" w:hAnsi="Times New Roman" w:cs="Times New Roman"/>
          <w:b/>
          <w:i/>
          <w:sz w:val="20"/>
          <w:szCs w:val="20"/>
          <w:lang w:eastAsia="ru-RU"/>
        </w:rPr>
        <w:t>Surs</w:t>
      </w:r>
      <w:r w:rsidR="007D3BFC">
        <w:rPr>
          <w:rFonts w:ascii="Times New Roman" w:eastAsia="Times New Roman" w:hAnsi="Times New Roman" w:cs="Times New Roman"/>
          <w:b/>
          <w:i/>
          <w:sz w:val="20"/>
          <w:szCs w:val="20"/>
          <w:lang w:eastAsia="ru-RU"/>
        </w:rPr>
        <w:t>ă</w:t>
      </w:r>
      <w:r w:rsidRPr="00A071F0">
        <w:rPr>
          <w:rFonts w:ascii="Times New Roman" w:eastAsia="Times New Roman" w:hAnsi="Times New Roman" w:cs="Times New Roman"/>
          <w:b/>
          <w:i/>
          <w:sz w:val="20"/>
          <w:szCs w:val="20"/>
          <w:lang w:eastAsia="ru-RU"/>
        </w:rPr>
        <w:t>:</w:t>
      </w:r>
      <w:r w:rsidRPr="00A071F0">
        <w:rPr>
          <w:rFonts w:ascii="Times New Roman" w:eastAsia="Times New Roman" w:hAnsi="Times New Roman" w:cs="Times New Roman"/>
          <w:i/>
          <w:sz w:val="20"/>
          <w:szCs w:val="20"/>
          <w:lang w:eastAsia="ru-RU"/>
        </w:rPr>
        <w:t xml:space="preserve"> </w:t>
      </w:r>
      <w:r w:rsidR="00C1160C">
        <w:rPr>
          <w:rFonts w:ascii="Times New Roman" w:eastAsia="Times New Roman" w:hAnsi="Times New Roman" w:cs="Times New Roman"/>
          <w:i/>
          <w:sz w:val="20"/>
          <w:szCs w:val="20"/>
          <w:lang w:eastAsia="ru-RU"/>
        </w:rPr>
        <w:t xml:space="preserve">Informații generalizate de echipa de audit din </w:t>
      </w:r>
      <w:r w:rsidRPr="00A071F0">
        <w:rPr>
          <w:rFonts w:ascii="Times New Roman" w:eastAsia="Times New Roman" w:hAnsi="Times New Roman" w:cs="Times New Roman"/>
          <w:i/>
          <w:sz w:val="20"/>
          <w:szCs w:val="20"/>
          <w:lang w:eastAsia="ru-RU"/>
        </w:rPr>
        <w:t xml:space="preserve">Rapoartele privind executarea </w:t>
      </w:r>
      <w:r w:rsidR="00A071F0">
        <w:rPr>
          <w:rFonts w:ascii="Times New Roman" w:eastAsia="Times New Roman" w:hAnsi="Times New Roman" w:cs="Times New Roman"/>
          <w:i/>
          <w:sz w:val="20"/>
          <w:szCs w:val="20"/>
          <w:lang w:eastAsia="ru-RU"/>
        </w:rPr>
        <w:t>bugetului de stat</w:t>
      </w:r>
      <w:r w:rsidRPr="00A071F0">
        <w:rPr>
          <w:rFonts w:ascii="Times New Roman" w:eastAsia="Times New Roman" w:hAnsi="Times New Roman" w:cs="Times New Roman"/>
          <w:i/>
          <w:sz w:val="20"/>
          <w:szCs w:val="20"/>
          <w:lang w:eastAsia="ru-RU"/>
        </w:rPr>
        <w:t xml:space="preserve"> pe anii 2015, 2016</w:t>
      </w:r>
      <w:r w:rsidR="007D3BFC">
        <w:rPr>
          <w:rFonts w:ascii="Times New Roman" w:eastAsia="Times New Roman" w:hAnsi="Times New Roman" w:cs="Times New Roman"/>
          <w:i/>
          <w:sz w:val="20"/>
          <w:szCs w:val="20"/>
          <w:lang w:eastAsia="ru-RU"/>
        </w:rPr>
        <w:t xml:space="preserve"> și, respectiv,</w:t>
      </w:r>
      <w:r w:rsidRPr="00A071F0">
        <w:rPr>
          <w:rFonts w:ascii="Times New Roman" w:eastAsia="Times New Roman" w:hAnsi="Times New Roman" w:cs="Times New Roman"/>
          <w:i/>
          <w:sz w:val="20"/>
          <w:szCs w:val="20"/>
          <w:lang w:eastAsia="ru-RU"/>
        </w:rPr>
        <w:t xml:space="preserve"> 2017</w:t>
      </w:r>
      <w:r w:rsidR="007D3BFC">
        <w:rPr>
          <w:rFonts w:ascii="Times New Roman" w:eastAsia="Times New Roman" w:hAnsi="Times New Roman" w:cs="Times New Roman"/>
          <w:i/>
          <w:sz w:val="20"/>
          <w:szCs w:val="20"/>
          <w:lang w:eastAsia="ru-RU"/>
        </w:rPr>
        <w:t>.</w:t>
      </w:r>
    </w:p>
    <w:p w:rsidR="00EA0F07" w:rsidRDefault="00EA0F07" w:rsidP="00AE140F">
      <w:pPr>
        <w:spacing w:before="240" w:after="0" w:line="276" w:lineRule="auto"/>
        <w:ind w:right="49" w:firstLine="709"/>
        <w:contextualSpacing/>
        <w:jc w:val="both"/>
        <w:rPr>
          <w:rFonts w:ascii="Times New Roman" w:hAnsi="Times New Roman" w:cs="Times New Roman"/>
          <w:sz w:val="28"/>
          <w:szCs w:val="28"/>
        </w:rPr>
      </w:pPr>
      <w:r>
        <w:rPr>
          <w:rFonts w:ascii="Times New Roman" w:hAnsi="Times New Roman" w:cs="Times New Roman"/>
          <w:sz w:val="28"/>
          <w:szCs w:val="28"/>
        </w:rPr>
        <w:t>Analogic, ponderea</w:t>
      </w:r>
      <w:r w:rsidRPr="007E4DF8">
        <w:rPr>
          <w:rFonts w:ascii="Times New Roman" w:hAnsi="Times New Roman" w:cs="Times New Roman"/>
          <w:sz w:val="28"/>
          <w:szCs w:val="28"/>
        </w:rPr>
        <w:t xml:space="preserve"> investițiilor capitale </w:t>
      </w:r>
      <w:r w:rsidR="002D42CE">
        <w:rPr>
          <w:rFonts w:ascii="Times New Roman" w:hAnsi="Times New Roman" w:cs="Times New Roman"/>
          <w:sz w:val="28"/>
          <w:szCs w:val="28"/>
        </w:rPr>
        <w:t xml:space="preserve">executate </w:t>
      </w:r>
      <w:r w:rsidRPr="007E4DF8">
        <w:rPr>
          <w:rFonts w:ascii="Times New Roman" w:hAnsi="Times New Roman" w:cs="Times New Roman"/>
          <w:sz w:val="28"/>
          <w:szCs w:val="28"/>
        </w:rPr>
        <w:t>în totalul cheltuielilor bugetului de stat</w:t>
      </w:r>
      <w:r w:rsidR="00764D6E">
        <w:rPr>
          <w:rFonts w:ascii="Times New Roman" w:hAnsi="Times New Roman" w:cs="Times New Roman"/>
          <w:sz w:val="28"/>
          <w:szCs w:val="28"/>
        </w:rPr>
        <w:t xml:space="preserve"> </w:t>
      </w:r>
      <w:r>
        <w:rPr>
          <w:rFonts w:ascii="Times New Roman" w:hAnsi="Times New Roman" w:cs="Times New Roman"/>
          <w:sz w:val="28"/>
          <w:szCs w:val="28"/>
        </w:rPr>
        <w:t>a înregi</w:t>
      </w:r>
      <w:r w:rsidR="00C1160C">
        <w:rPr>
          <w:rFonts w:ascii="Times New Roman" w:hAnsi="Times New Roman" w:cs="Times New Roman"/>
          <w:sz w:val="28"/>
          <w:szCs w:val="28"/>
        </w:rPr>
        <w:t>strat o diminuare de 0,6 p.p. (</w:t>
      </w:r>
      <w:r>
        <w:rPr>
          <w:rFonts w:ascii="Times New Roman" w:hAnsi="Times New Roman" w:cs="Times New Roman"/>
          <w:sz w:val="28"/>
          <w:szCs w:val="28"/>
        </w:rPr>
        <w:t xml:space="preserve">de la </w:t>
      </w:r>
      <w:r w:rsidRPr="007E4DF8">
        <w:rPr>
          <w:rFonts w:ascii="Times New Roman" w:hAnsi="Times New Roman" w:cs="Times New Roman"/>
          <w:sz w:val="28"/>
          <w:szCs w:val="28"/>
        </w:rPr>
        <w:t xml:space="preserve">3,0% în </w:t>
      </w:r>
      <w:r>
        <w:rPr>
          <w:rFonts w:ascii="Times New Roman" w:hAnsi="Times New Roman" w:cs="Times New Roman"/>
          <w:sz w:val="28"/>
          <w:szCs w:val="28"/>
        </w:rPr>
        <w:t xml:space="preserve">anul </w:t>
      </w:r>
      <w:r w:rsidRPr="007E4DF8">
        <w:rPr>
          <w:rFonts w:ascii="Times New Roman" w:hAnsi="Times New Roman" w:cs="Times New Roman"/>
          <w:sz w:val="28"/>
          <w:szCs w:val="28"/>
        </w:rPr>
        <w:t>2016</w:t>
      </w:r>
      <w:r>
        <w:rPr>
          <w:rFonts w:ascii="Times New Roman" w:hAnsi="Times New Roman" w:cs="Times New Roman"/>
          <w:sz w:val="28"/>
          <w:szCs w:val="28"/>
        </w:rPr>
        <w:t xml:space="preserve">, </w:t>
      </w:r>
      <w:r w:rsidRPr="007E4DF8">
        <w:rPr>
          <w:rFonts w:ascii="Times New Roman" w:hAnsi="Times New Roman" w:cs="Times New Roman"/>
          <w:sz w:val="28"/>
          <w:szCs w:val="28"/>
        </w:rPr>
        <w:t>până la</w:t>
      </w:r>
      <w:r>
        <w:rPr>
          <w:rFonts w:ascii="Times New Roman" w:hAnsi="Times New Roman" w:cs="Times New Roman"/>
          <w:sz w:val="28"/>
          <w:szCs w:val="28"/>
        </w:rPr>
        <w:t xml:space="preserve"> 2,4% în anul 2017, pe când în anul 2015 acestea constituiau 7,4%).</w:t>
      </w:r>
      <w:r w:rsidRPr="000300C5">
        <w:rPr>
          <w:rFonts w:ascii="Times New Roman" w:hAnsi="Times New Roman" w:cs="Times New Roman"/>
          <w:sz w:val="28"/>
          <w:szCs w:val="28"/>
        </w:rPr>
        <w:t xml:space="preserve"> </w:t>
      </w:r>
    </w:p>
    <w:p w:rsidR="00EA0F07" w:rsidRDefault="00EA0F07" w:rsidP="00AE140F">
      <w:pPr>
        <w:spacing w:before="240" w:after="0" w:line="276" w:lineRule="auto"/>
        <w:ind w:right="49" w:firstLine="720"/>
        <w:contextualSpacing/>
        <w:jc w:val="both"/>
        <w:rPr>
          <w:rFonts w:ascii="Times New Roman" w:hAnsi="Times New Roman" w:cs="Times New Roman"/>
          <w:sz w:val="28"/>
          <w:szCs w:val="28"/>
        </w:rPr>
      </w:pPr>
      <w:r w:rsidRPr="007E4DF8">
        <w:rPr>
          <w:rFonts w:ascii="Times New Roman" w:hAnsi="Times New Roman" w:cs="Times New Roman"/>
          <w:sz w:val="28"/>
          <w:szCs w:val="28"/>
        </w:rPr>
        <w:t xml:space="preserve">Din contul veniturilor generale au fost finanțate </w:t>
      </w:r>
      <w:r w:rsidRPr="008D4DF4">
        <w:rPr>
          <w:rFonts w:ascii="Times New Roman" w:hAnsi="Times New Roman" w:cs="Times New Roman"/>
          <w:sz w:val="28"/>
          <w:szCs w:val="28"/>
        </w:rPr>
        <w:t>51</w:t>
      </w:r>
      <w:r w:rsidRPr="008D4DF4">
        <w:rPr>
          <w:rFonts w:ascii="Times New Roman" w:hAnsi="Times New Roman" w:cs="Times New Roman"/>
          <w:b/>
          <w:i/>
          <w:sz w:val="28"/>
          <w:szCs w:val="28"/>
        </w:rPr>
        <w:t xml:space="preserve"> </w:t>
      </w:r>
      <w:r w:rsidRPr="008D4DF4">
        <w:rPr>
          <w:rFonts w:ascii="Times New Roman" w:hAnsi="Times New Roman" w:cs="Times New Roman"/>
          <w:sz w:val="28"/>
          <w:szCs w:val="28"/>
        </w:rPr>
        <w:t xml:space="preserve">de obiecte (248,9 mil.lei), din </w:t>
      </w:r>
      <w:r w:rsidRPr="009A694B">
        <w:rPr>
          <w:rFonts w:ascii="Times New Roman" w:hAnsi="Times New Roman" w:cs="Times New Roman"/>
          <w:sz w:val="28"/>
          <w:szCs w:val="28"/>
        </w:rPr>
        <w:t>contul</w:t>
      </w:r>
      <w:r w:rsidRPr="008D4DF4">
        <w:rPr>
          <w:rFonts w:ascii="Times New Roman" w:hAnsi="Times New Roman" w:cs="Times New Roman"/>
          <w:sz w:val="28"/>
          <w:szCs w:val="28"/>
        </w:rPr>
        <w:t xml:space="preserve"> proiectelor finanțate din surse exte</w:t>
      </w:r>
      <w:r>
        <w:rPr>
          <w:rFonts w:ascii="Times New Roman" w:hAnsi="Times New Roman" w:cs="Times New Roman"/>
          <w:sz w:val="28"/>
          <w:szCs w:val="28"/>
        </w:rPr>
        <w:t>rne – 9 obiecte (575,3 mil.lei)</w:t>
      </w:r>
      <w:r w:rsidR="001043A7">
        <w:rPr>
          <w:rFonts w:ascii="Times New Roman" w:hAnsi="Times New Roman" w:cs="Times New Roman"/>
          <w:sz w:val="28"/>
          <w:szCs w:val="28"/>
        </w:rPr>
        <w:t>,</w:t>
      </w:r>
      <w:r>
        <w:rPr>
          <w:rFonts w:ascii="Times New Roman" w:hAnsi="Times New Roman" w:cs="Times New Roman"/>
          <w:sz w:val="28"/>
          <w:szCs w:val="28"/>
        </w:rPr>
        <w:t xml:space="preserve"> și</w:t>
      </w:r>
      <w:r w:rsidRPr="008D4DF4">
        <w:rPr>
          <w:rFonts w:ascii="Times New Roman" w:hAnsi="Times New Roman" w:cs="Times New Roman"/>
          <w:sz w:val="28"/>
          <w:szCs w:val="28"/>
        </w:rPr>
        <w:t xml:space="preserve"> din contul veniturilor colectate – 1 obiect (0,18 mil.lei).</w:t>
      </w:r>
    </w:p>
    <w:p w:rsidR="00EA0F07" w:rsidRDefault="00EA0F07" w:rsidP="00AE140F">
      <w:pPr>
        <w:spacing w:after="0" w:line="276" w:lineRule="auto"/>
        <w:ind w:right="51" w:firstLine="709"/>
        <w:jc w:val="both"/>
        <w:rPr>
          <w:rFonts w:ascii="Times New Roman" w:hAnsi="Times New Roman" w:cs="Times New Roman"/>
          <w:i/>
          <w:sz w:val="28"/>
          <w:szCs w:val="28"/>
        </w:rPr>
      </w:pPr>
      <w:r>
        <w:rPr>
          <w:rFonts w:ascii="Times New Roman" w:hAnsi="Times New Roman" w:cs="Times New Roman"/>
          <w:sz w:val="28"/>
          <w:szCs w:val="28"/>
        </w:rPr>
        <w:t>Analiza auditului s</w:t>
      </w:r>
      <w:r w:rsidRPr="007E4DF8">
        <w:rPr>
          <w:rFonts w:ascii="Times New Roman" w:hAnsi="Times New Roman" w:cs="Times New Roman"/>
          <w:sz w:val="28"/>
          <w:szCs w:val="28"/>
        </w:rPr>
        <w:t>ub</w:t>
      </w:r>
      <w:r>
        <w:rPr>
          <w:rFonts w:ascii="Times New Roman" w:hAnsi="Times New Roman" w:cs="Times New Roman"/>
          <w:sz w:val="28"/>
          <w:szCs w:val="28"/>
        </w:rPr>
        <w:t xml:space="preserve"> aspectul surselor de finanțare</w:t>
      </w:r>
      <w:r w:rsidRPr="007E4DF8">
        <w:rPr>
          <w:rFonts w:ascii="Times New Roman" w:hAnsi="Times New Roman" w:cs="Times New Roman"/>
          <w:sz w:val="28"/>
          <w:szCs w:val="28"/>
        </w:rPr>
        <w:t xml:space="preserve"> </w:t>
      </w:r>
      <w:r>
        <w:rPr>
          <w:rFonts w:ascii="Times New Roman" w:hAnsi="Times New Roman" w:cs="Times New Roman"/>
          <w:sz w:val="28"/>
          <w:szCs w:val="28"/>
        </w:rPr>
        <w:t xml:space="preserve">constată că </w:t>
      </w:r>
      <w:r w:rsidRPr="007E4DF8">
        <w:rPr>
          <w:rFonts w:ascii="Times New Roman" w:hAnsi="Times New Roman" w:cs="Times New Roman"/>
          <w:sz w:val="28"/>
          <w:szCs w:val="28"/>
        </w:rPr>
        <w:t>nivelul de executare a investițiilor capitale pe obiecte finanțate din contul resur</w:t>
      </w:r>
      <w:r>
        <w:rPr>
          <w:rFonts w:ascii="Times New Roman" w:hAnsi="Times New Roman" w:cs="Times New Roman"/>
          <w:sz w:val="28"/>
          <w:szCs w:val="28"/>
        </w:rPr>
        <w:t>selor generale a constituit 77,9</w:t>
      </w:r>
      <w:r w:rsidRPr="009A694B">
        <w:rPr>
          <w:rFonts w:ascii="Times New Roman" w:hAnsi="Times New Roman" w:cs="Times New Roman"/>
          <w:sz w:val="28"/>
          <w:szCs w:val="28"/>
        </w:rPr>
        <w:t>%,</w:t>
      </w:r>
      <w:r w:rsidRPr="007E4DF8">
        <w:rPr>
          <w:rFonts w:ascii="Times New Roman" w:hAnsi="Times New Roman" w:cs="Times New Roman"/>
          <w:sz w:val="28"/>
          <w:szCs w:val="28"/>
        </w:rPr>
        <w:t xml:space="preserve"> din contul proiectelor finanțate din sur</w:t>
      </w:r>
      <w:r>
        <w:rPr>
          <w:rFonts w:ascii="Times New Roman" w:hAnsi="Times New Roman" w:cs="Times New Roman"/>
          <w:sz w:val="28"/>
          <w:szCs w:val="28"/>
        </w:rPr>
        <w:t>s</w:t>
      </w:r>
      <w:r w:rsidRPr="007E4DF8">
        <w:rPr>
          <w:rFonts w:ascii="Times New Roman" w:hAnsi="Times New Roman" w:cs="Times New Roman"/>
          <w:sz w:val="28"/>
          <w:szCs w:val="28"/>
        </w:rPr>
        <w:t>e</w:t>
      </w:r>
      <w:r>
        <w:rPr>
          <w:rFonts w:ascii="Times New Roman" w:hAnsi="Times New Roman" w:cs="Times New Roman"/>
          <w:sz w:val="28"/>
          <w:szCs w:val="28"/>
        </w:rPr>
        <w:t xml:space="preserve"> externe – 55,3</w:t>
      </w:r>
      <w:r w:rsidRPr="007E4DF8">
        <w:rPr>
          <w:rFonts w:ascii="Times New Roman" w:hAnsi="Times New Roman" w:cs="Times New Roman"/>
          <w:sz w:val="28"/>
          <w:szCs w:val="28"/>
        </w:rPr>
        <w:t>%</w:t>
      </w:r>
      <w:r w:rsidR="001043A7">
        <w:rPr>
          <w:rFonts w:ascii="Times New Roman" w:hAnsi="Times New Roman" w:cs="Times New Roman"/>
          <w:sz w:val="28"/>
          <w:szCs w:val="28"/>
        </w:rPr>
        <w:t>,</w:t>
      </w:r>
      <w:r>
        <w:rPr>
          <w:rFonts w:ascii="Times New Roman" w:hAnsi="Times New Roman" w:cs="Times New Roman"/>
          <w:sz w:val="28"/>
          <w:szCs w:val="28"/>
        </w:rPr>
        <w:t xml:space="preserve"> și</w:t>
      </w:r>
      <w:r w:rsidRPr="007E4DF8">
        <w:rPr>
          <w:rFonts w:ascii="Times New Roman" w:hAnsi="Times New Roman" w:cs="Times New Roman"/>
          <w:sz w:val="28"/>
          <w:szCs w:val="28"/>
        </w:rPr>
        <w:t xml:space="preserve"> din con</w:t>
      </w:r>
      <w:r>
        <w:rPr>
          <w:rFonts w:ascii="Times New Roman" w:hAnsi="Times New Roman" w:cs="Times New Roman"/>
          <w:sz w:val="28"/>
          <w:szCs w:val="28"/>
        </w:rPr>
        <w:t xml:space="preserve">tul veniturilor colectate – 5,5%, </w:t>
      </w:r>
      <w:r w:rsidRPr="00437EF7">
        <w:rPr>
          <w:rFonts w:ascii="Times New Roman" w:hAnsi="Times New Roman" w:cs="Times New Roman"/>
          <w:i/>
          <w:sz w:val="28"/>
          <w:szCs w:val="28"/>
        </w:rPr>
        <w:t>situația fiind</w:t>
      </w:r>
      <w:r w:rsidRPr="008A0EA9">
        <w:rPr>
          <w:rFonts w:ascii="Times New Roman" w:hAnsi="Times New Roman" w:cs="Times New Roman"/>
          <w:i/>
          <w:sz w:val="28"/>
          <w:szCs w:val="28"/>
        </w:rPr>
        <w:t xml:space="preserve"> </w:t>
      </w:r>
      <w:r w:rsidRPr="00437EF7">
        <w:rPr>
          <w:rFonts w:ascii="Times New Roman" w:hAnsi="Times New Roman" w:cs="Times New Roman"/>
          <w:i/>
          <w:sz w:val="28"/>
          <w:szCs w:val="28"/>
        </w:rPr>
        <w:t>prezentată în</w:t>
      </w:r>
      <w:r w:rsidRPr="003B1A3F">
        <w:rPr>
          <w:rFonts w:ascii="Times New Roman" w:hAnsi="Times New Roman" w:cs="Times New Roman"/>
          <w:sz w:val="28"/>
          <w:szCs w:val="28"/>
        </w:rPr>
        <w:t xml:space="preserve"> </w:t>
      </w:r>
      <w:r>
        <w:rPr>
          <w:rFonts w:ascii="Times New Roman" w:hAnsi="Times New Roman" w:cs="Times New Roman"/>
          <w:i/>
          <w:sz w:val="28"/>
          <w:szCs w:val="28"/>
        </w:rPr>
        <w:t>Diagrama</w:t>
      </w:r>
      <w:r w:rsidRPr="004035D8">
        <w:rPr>
          <w:rFonts w:ascii="Times New Roman" w:hAnsi="Times New Roman" w:cs="Times New Roman"/>
          <w:i/>
          <w:sz w:val="28"/>
          <w:szCs w:val="28"/>
        </w:rPr>
        <w:t xml:space="preserve"> nr.</w:t>
      </w:r>
      <w:r w:rsidR="00824429">
        <w:rPr>
          <w:rFonts w:ascii="Times New Roman" w:hAnsi="Times New Roman" w:cs="Times New Roman"/>
          <w:i/>
          <w:sz w:val="28"/>
          <w:szCs w:val="28"/>
        </w:rPr>
        <w:t>9</w:t>
      </w:r>
      <w:r w:rsidRPr="004035D8">
        <w:rPr>
          <w:rFonts w:ascii="Times New Roman" w:hAnsi="Times New Roman" w:cs="Times New Roman"/>
          <w:i/>
          <w:sz w:val="28"/>
          <w:szCs w:val="28"/>
        </w:rPr>
        <w:t>.</w:t>
      </w:r>
    </w:p>
    <w:p w:rsidR="00EA0F07" w:rsidRDefault="00EA0F07" w:rsidP="00AE140F">
      <w:pPr>
        <w:spacing w:after="0" w:line="276" w:lineRule="auto"/>
        <w:ind w:right="51"/>
        <w:jc w:val="right"/>
        <w:rPr>
          <w:rFonts w:ascii="Times New Roman" w:hAnsi="Times New Roman" w:cs="Times New Roman"/>
          <w:i/>
          <w:sz w:val="28"/>
          <w:szCs w:val="28"/>
        </w:rPr>
      </w:pPr>
      <w:r>
        <w:rPr>
          <w:rFonts w:ascii="Times New Roman" w:hAnsi="Times New Roman" w:cs="Times New Roman"/>
          <w:i/>
          <w:sz w:val="28"/>
          <w:szCs w:val="28"/>
        </w:rPr>
        <w:t>Diagram</w:t>
      </w:r>
      <w:r w:rsidRPr="004035D8">
        <w:rPr>
          <w:rFonts w:ascii="Times New Roman" w:hAnsi="Times New Roman" w:cs="Times New Roman"/>
          <w:i/>
          <w:sz w:val="28"/>
          <w:szCs w:val="28"/>
        </w:rPr>
        <w:t>a nr.</w:t>
      </w:r>
      <w:r w:rsidR="00824429">
        <w:rPr>
          <w:rFonts w:ascii="Times New Roman" w:hAnsi="Times New Roman" w:cs="Times New Roman"/>
          <w:i/>
          <w:sz w:val="28"/>
          <w:szCs w:val="28"/>
        </w:rPr>
        <w:t>9</w:t>
      </w:r>
    </w:p>
    <w:p w:rsidR="00EA0F07" w:rsidRDefault="00EA0F07" w:rsidP="00AE140F">
      <w:pPr>
        <w:spacing w:after="0" w:line="276" w:lineRule="auto"/>
        <w:ind w:right="49"/>
        <w:jc w:val="center"/>
        <w:rPr>
          <w:rFonts w:ascii="Times New Roman" w:eastAsia="Times New Roman" w:hAnsi="Times New Roman" w:cs="Times New Roman"/>
          <w:b/>
          <w:color w:val="000000"/>
          <w:sz w:val="24"/>
          <w:lang w:eastAsia="ru-RU"/>
        </w:rPr>
      </w:pPr>
      <w:r w:rsidRPr="002F67DC">
        <w:rPr>
          <w:rFonts w:ascii="Times New Roman" w:eastAsia="Times New Roman" w:hAnsi="Times New Roman" w:cs="Times New Roman"/>
          <w:b/>
          <w:color w:val="000000"/>
          <w:sz w:val="24"/>
          <w:lang w:eastAsia="ru-RU"/>
        </w:rPr>
        <w:t>Sinteza nivelului de executare a cheltuielilor pentru investiții capitale conform surselor de finanțare</w:t>
      </w:r>
    </w:p>
    <w:p w:rsidR="00EA0F07" w:rsidRPr="00442381" w:rsidRDefault="00EA0F07" w:rsidP="00A622B7">
      <w:pPr>
        <w:spacing w:after="0" w:line="240" w:lineRule="auto"/>
        <w:ind w:right="51"/>
        <w:jc w:val="both"/>
        <w:rPr>
          <w:rFonts w:ascii="Times New Roman" w:hAnsi="Times New Roman" w:cs="Times New Roman"/>
          <w:sz w:val="28"/>
          <w:szCs w:val="28"/>
        </w:rPr>
      </w:pPr>
      <w:r w:rsidRPr="007E4DF8">
        <w:rPr>
          <w:rFonts w:ascii="Times New Roman" w:hAnsi="Times New Roman" w:cs="Times New Roman"/>
          <w:strike/>
          <w:noProof/>
          <w:sz w:val="28"/>
          <w:szCs w:val="28"/>
          <w:lang w:val="ru-RU" w:eastAsia="ru-RU"/>
        </w:rPr>
        <w:drawing>
          <wp:inline distT="0" distB="0" distL="0" distR="0" wp14:anchorId="6A0A8788" wp14:editId="30FE662A">
            <wp:extent cx="6072505" cy="2078355"/>
            <wp:effectExtent l="0" t="0" r="4445" b="17145"/>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EA0F07" w:rsidRPr="005156B2" w:rsidRDefault="00EA0F07" w:rsidP="00EA0F07">
      <w:pPr>
        <w:spacing w:line="240" w:lineRule="auto"/>
        <w:ind w:right="49"/>
        <w:jc w:val="both"/>
        <w:rPr>
          <w:rFonts w:ascii="Times New Roman" w:hAnsi="Times New Roman" w:cs="Times New Roman"/>
          <w:i/>
        </w:rPr>
      </w:pPr>
      <w:r w:rsidRPr="00A071F0">
        <w:rPr>
          <w:rFonts w:ascii="Times New Roman" w:hAnsi="Times New Roman" w:cs="Times New Roman"/>
          <w:b/>
          <w:i/>
          <w:sz w:val="20"/>
        </w:rPr>
        <w:t>Surs</w:t>
      </w:r>
      <w:r w:rsidR="001043A7">
        <w:rPr>
          <w:rFonts w:ascii="Times New Roman" w:hAnsi="Times New Roman" w:cs="Times New Roman"/>
          <w:b/>
          <w:i/>
          <w:sz w:val="20"/>
        </w:rPr>
        <w:t>ă</w:t>
      </w:r>
      <w:r w:rsidRPr="00A071F0">
        <w:rPr>
          <w:rFonts w:ascii="Times New Roman" w:hAnsi="Times New Roman" w:cs="Times New Roman"/>
          <w:b/>
          <w:i/>
          <w:sz w:val="20"/>
        </w:rPr>
        <w:t xml:space="preserve">: </w:t>
      </w:r>
      <w:r w:rsidR="00C1160C" w:rsidRPr="00C1160C">
        <w:rPr>
          <w:rFonts w:ascii="Times New Roman" w:hAnsi="Times New Roman" w:cs="Times New Roman"/>
          <w:i/>
          <w:sz w:val="20"/>
        </w:rPr>
        <w:t>Date generalizate de echipa de audit din</w:t>
      </w:r>
      <w:r w:rsidR="00C1160C">
        <w:rPr>
          <w:rFonts w:ascii="Times New Roman" w:hAnsi="Times New Roman" w:cs="Times New Roman"/>
          <w:b/>
          <w:i/>
          <w:sz w:val="20"/>
        </w:rPr>
        <w:t xml:space="preserve"> </w:t>
      </w:r>
      <w:r w:rsidR="00A071F0" w:rsidRPr="00B37A48">
        <w:rPr>
          <w:rFonts w:ascii="Times New Roman" w:hAnsi="Times New Roman" w:cs="Times New Roman"/>
          <w:i/>
          <w:sz w:val="20"/>
          <w:szCs w:val="20"/>
        </w:rPr>
        <w:t>Raportul privind executarea bugetului de stat pe anul 2017, F</w:t>
      </w:r>
      <w:r w:rsidR="00A071F0" w:rsidRPr="00437EF7">
        <w:rPr>
          <w:rFonts w:ascii="Times New Roman" w:hAnsi="Times New Roman" w:cs="Times New Roman"/>
          <w:i/>
          <w:sz w:val="20"/>
          <w:szCs w:val="20"/>
        </w:rPr>
        <w:t>ormularul</w:t>
      </w:r>
      <w:r w:rsidR="00A071F0" w:rsidRPr="00B37A48">
        <w:rPr>
          <w:rFonts w:ascii="Times New Roman" w:hAnsi="Times New Roman" w:cs="Times New Roman"/>
          <w:i/>
          <w:sz w:val="20"/>
          <w:szCs w:val="20"/>
        </w:rPr>
        <w:t xml:space="preserve"> nr.4.</w:t>
      </w:r>
    </w:p>
    <w:p w:rsidR="008459C0" w:rsidRPr="00771355" w:rsidRDefault="00EA0F07" w:rsidP="003A2E8D">
      <w:pPr>
        <w:spacing w:after="0" w:line="276" w:lineRule="auto"/>
        <w:ind w:right="49" w:firstLine="709"/>
        <w:jc w:val="both"/>
        <w:rPr>
          <w:rFonts w:ascii="Times New Roman" w:hAnsi="Times New Roman" w:cs="Times New Roman"/>
          <w:sz w:val="28"/>
          <w:szCs w:val="28"/>
        </w:rPr>
      </w:pPr>
      <w:r w:rsidRPr="002C55B9">
        <w:rPr>
          <w:rFonts w:ascii="Times New Roman" w:hAnsi="Times New Roman" w:cs="Times New Roman"/>
          <w:sz w:val="28"/>
          <w:szCs w:val="28"/>
        </w:rPr>
        <w:lastRenderedPageBreak/>
        <w:t>Ve</w:t>
      </w:r>
      <w:r>
        <w:rPr>
          <w:rFonts w:ascii="Times New Roman" w:hAnsi="Times New Roman" w:cs="Times New Roman"/>
          <w:sz w:val="28"/>
          <w:szCs w:val="28"/>
        </w:rPr>
        <w:t>rificările auditului privind conformita</w:t>
      </w:r>
      <w:r w:rsidR="00C3011F">
        <w:rPr>
          <w:rFonts w:ascii="Times New Roman" w:hAnsi="Times New Roman" w:cs="Times New Roman"/>
          <w:sz w:val="28"/>
          <w:szCs w:val="28"/>
        </w:rPr>
        <w:t xml:space="preserve">tea/regularitatea planificării, </w:t>
      </w:r>
      <w:r>
        <w:rPr>
          <w:rFonts w:ascii="Times New Roman" w:hAnsi="Times New Roman" w:cs="Times New Roman"/>
          <w:sz w:val="28"/>
          <w:szCs w:val="28"/>
        </w:rPr>
        <w:t>implementării și gestionării investițiilor capitale finanțate din contul B</w:t>
      </w:r>
      <w:r w:rsidR="004B5019">
        <w:rPr>
          <w:rFonts w:ascii="Times New Roman" w:hAnsi="Times New Roman" w:cs="Times New Roman"/>
          <w:sz w:val="28"/>
          <w:szCs w:val="28"/>
        </w:rPr>
        <w:t>S</w:t>
      </w:r>
      <w:r>
        <w:rPr>
          <w:rFonts w:ascii="Times New Roman" w:hAnsi="Times New Roman" w:cs="Times New Roman"/>
          <w:sz w:val="28"/>
          <w:szCs w:val="28"/>
        </w:rPr>
        <w:t xml:space="preserve"> </w:t>
      </w:r>
      <w:r w:rsidRPr="003076B2">
        <w:rPr>
          <w:rFonts w:ascii="Times New Roman" w:hAnsi="Times New Roman" w:cs="Times New Roman"/>
          <w:sz w:val="28"/>
          <w:szCs w:val="28"/>
        </w:rPr>
        <w:t xml:space="preserve">relevă </w:t>
      </w:r>
      <w:r>
        <w:rPr>
          <w:rFonts w:ascii="Times New Roman" w:hAnsi="Times New Roman" w:cs="Times New Roman"/>
          <w:sz w:val="28"/>
          <w:szCs w:val="28"/>
        </w:rPr>
        <w:t>că</w:t>
      </w:r>
      <w:r w:rsidR="004B5019">
        <w:rPr>
          <w:rFonts w:ascii="Times New Roman" w:hAnsi="Times New Roman" w:cs="Times New Roman"/>
          <w:sz w:val="28"/>
          <w:szCs w:val="28"/>
        </w:rPr>
        <w:t>,</w:t>
      </w:r>
      <w:r>
        <w:rPr>
          <w:rFonts w:ascii="Times New Roman" w:hAnsi="Times New Roman" w:cs="Times New Roman"/>
          <w:sz w:val="28"/>
          <w:szCs w:val="28"/>
        </w:rPr>
        <w:t xml:space="preserve"> conform prevederilor legale</w:t>
      </w:r>
      <w:r>
        <w:rPr>
          <w:rStyle w:val="a9"/>
          <w:rFonts w:ascii="Times New Roman" w:hAnsi="Times New Roman" w:cs="Times New Roman"/>
          <w:sz w:val="28"/>
          <w:szCs w:val="28"/>
        </w:rPr>
        <w:footnoteReference w:id="54"/>
      </w:r>
      <w:r w:rsidR="001043A7">
        <w:rPr>
          <w:rFonts w:ascii="Times New Roman" w:hAnsi="Times New Roman" w:cs="Times New Roman"/>
          <w:sz w:val="28"/>
          <w:szCs w:val="28"/>
        </w:rPr>
        <w:t>,</w:t>
      </w:r>
      <w:r>
        <w:rPr>
          <w:rFonts w:ascii="Times New Roman" w:hAnsi="Times New Roman" w:cs="Times New Roman"/>
          <w:sz w:val="28"/>
          <w:szCs w:val="28"/>
        </w:rPr>
        <w:t xml:space="preserve"> </w:t>
      </w:r>
      <w:r w:rsidR="004B5019">
        <w:rPr>
          <w:rFonts w:ascii="Times New Roman" w:hAnsi="Times New Roman" w:cs="Times New Roman"/>
          <w:sz w:val="28"/>
          <w:szCs w:val="28"/>
        </w:rPr>
        <w:t>„</w:t>
      </w:r>
      <w:r w:rsidRPr="0061289D">
        <w:rPr>
          <w:rFonts w:ascii="Times New Roman" w:hAnsi="Times New Roman" w:cs="Times New Roman"/>
          <w:i/>
          <w:sz w:val="28"/>
          <w:szCs w:val="28"/>
        </w:rPr>
        <w:t>cadrul metodologic privind modul de pregătire, evaluare, aprobare, imp</w:t>
      </w:r>
      <w:r>
        <w:rPr>
          <w:rFonts w:ascii="Times New Roman" w:hAnsi="Times New Roman" w:cs="Times New Roman"/>
          <w:i/>
          <w:sz w:val="28"/>
          <w:szCs w:val="28"/>
        </w:rPr>
        <w:t>l</w:t>
      </w:r>
      <w:r w:rsidRPr="0061289D">
        <w:rPr>
          <w:rFonts w:ascii="Times New Roman" w:hAnsi="Times New Roman" w:cs="Times New Roman"/>
          <w:i/>
          <w:sz w:val="28"/>
          <w:szCs w:val="28"/>
        </w:rPr>
        <w:t>ementare și raportare a proiectelor de investiții capitale</w:t>
      </w:r>
      <w:r>
        <w:rPr>
          <w:rFonts w:ascii="Times New Roman" w:hAnsi="Times New Roman" w:cs="Times New Roman"/>
          <w:i/>
          <w:sz w:val="28"/>
          <w:szCs w:val="28"/>
        </w:rPr>
        <w:t xml:space="preserve">, precum și responsabilitățile de gestionare a acestora se reglementează de către </w:t>
      </w:r>
      <w:r w:rsidRPr="00EF75CE">
        <w:rPr>
          <w:rFonts w:ascii="Times New Roman" w:hAnsi="Times New Roman" w:cs="Times New Roman"/>
          <w:i/>
          <w:sz w:val="28"/>
          <w:szCs w:val="28"/>
        </w:rPr>
        <w:t>Guvern</w:t>
      </w:r>
      <w:r w:rsidR="004B5019">
        <w:rPr>
          <w:rFonts w:ascii="Times New Roman" w:hAnsi="Times New Roman" w:cs="Times New Roman"/>
          <w:i/>
          <w:sz w:val="28"/>
          <w:szCs w:val="28"/>
        </w:rPr>
        <w:t>”</w:t>
      </w:r>
      <w:r w:rsidRPr="00EF75CE">
        <w:rPr>
          <w:rFonts w:ascii="Times New Roman" w:hAnsi="Times New Roman" w:cs="Times New Roman"/>
          <w:i/>
          <w:sz w:val="28"/>
          <w:szCs w:val="28"/>
        </w:rPr>
        <w:t>.</w:t>
      </w:r>
      <w:r w:rsidRPr="00EF75CE">
        <w:rPr>
          <w:rFonts w:ascii="Times New Roman" w:hAnsi="Times New Roman" w:cs="Times New Roman"/>
          <w:sz w:val="28"/>
          <w:szCs w:val="28"/>
        </w:rPr>
        <w:t xml:space="preserve"> </w:t>
      </w:r>
      <w:r w:rsidR="004B5019">
        <w:rPr>
          <w:rFonts w:ascii="Times New Roman" w:hAnsi="Times New Roman" w:cs="Times New Roman"/>
          <w:sz w:val="28"/>
          <w:szCs w:val="28"/>
        </w:rPr>
        <w:t>Cadrul normativ cu privire la investițiile capitale publice este reglementat prin HG nr.1029 din 19.12.2013</w:t>
      </w:r>
      <w:r w:rsidR="004B5019">
        <w:rPr>
          <w:rStyle w:val="a9"/>
          <w:rFonts w:ascii="Times New Roman" w:hAnsi="Times New Roman" w:cs="Times New Roman"/>
          <w:sz w:val="28"/>
          <w:szCs w:val="28"/>
        </w:rPr>
        <w:footnoteReference w:id="55"/>
      </w:r>
      <w:r w:rsidR="004B5019">
        <w:rPr>
          <w:rFonts w:ascii="Times New Roman" w:hAnsi="Times New Roman" w:cs="Times New Roman"/>
          <w:sz w:val="28"/>
          <w:szCs w:val="28"/>
        </w:rPr>
        <w:t xml:space="preserve"> (cu modificările și completările ulterioare) și prin Ordinul </w:t>
      </w:r>
      <w:r w:rsidR="001043A7">
        <w:rPr>
          <w:rFonts w:ascii="Times New Roman" w:hAnsi="Times New Roman" w:cs="Times New Roman"/>
          <w:sz w:val="28"/>
          <w:szCs w:val="28"/>
        </w:rPr>
        <w:t>m</w:t>
      </w:r>
      <w:r w:rsidR="004B5019" w:rsidRPr="004B5019">
        <w:rPr>
          <w:rFonts w:ascii="Times New Roman" w:hAnsi="Times New Roman" w:cs="Times New Roman"/>
          <w:sz w:val="28"/>
          <w:szCs w:val="28"/>
        </w:rPr>
        <w:t>inistrului Finanțelor nr.185 din 03.11.2015</w:t>
      </w:r>
      <w:r w:rsidR="004B5019">
        <w:rPr>
          <w:rFonts w:ascii="Times New Roman" w:hAnsi="Times New Roman" w:cs="Times New Roman"/>
          <w:sz w:val="28"/>
          <w:szCs w:val="28"/>
        </w:rPr>
        <w:t xml:space="preserve"> „</w:t>
      </w:r>
      <w:r w:rsidR="004B5019" w:rsidRPr="004B5019">
        <w:rPr>
          <w:rFonts w:ascii="Times New Roman" w:hAnsi="Times New Roman" w:cs="Times New Roman"/>
          <w:sz w:val="28"/>
          <w:szCs w:val="28"/>
        </w:rPr>
        <w:t>Instrucțiunea privind managementul proiectelor de investiții capitale</w:t>
      </w:r>
      <w:r w:rsidR="004B5019">
        <w:rPr>
          <w:rFonts w:ascii="Times New Roman" w:hAnsi="Times New Roman" w:cs="Times New Roman"/>
          <w:sz w:val="28"/>
          <w:szCs w:val="28"/>
        </w:rPr>
        <w:t xml:space="preserve">”. Astfel, </w:t>
      </w:r>
      <w:r w:rsidR="008459C0">
        <w:rPr>
          <w:rFonts w:ascii="Times New Roman" w:hAnsi="Times New Roman" w:cs="Times New Roman"/>
          <w:sz w:val="28"/>
          <w:szCs w:val="28"/>
        </w:rPr>
        <w:t>conform prevederilor H</w:t>
      </w:r>
      <w:r>
        <w:rPr>
          <w:rFonts w:ascii="Times New Roman" w:hAnsi="Times New Roman" w:cs="Times New Roman"/>
          <w:sz w:val="28"/>
          <w:szCs w:val="28"/>
        </w:rPr>
        <w:t>G nr.</w:t>
      </w:r>
      <w:r w:rsidRPr="008F5E2A">
        <w:rPr>
          <w:rFonts w:ascii="Times New Roman" w:hAnsi="Times New Roman" w:cs="Times New Roman"/>
          <w:sz w:val="28"/>
          <w:szCs w:val="28"/>
        </w:rPr>
        <w:t>1029 din 19.12.2013</w:t>
      </w:r>
      <w:r w:rsidR="008459C0">
        <w:rPr>
          <w:rStyle w:val="a9"/>
          <w:rFonts w:ascii="Times New Roman" w:hAnsi="Times New Roman" w:cs="Times New Roman"/>
          <w:sz w:val="28"/>
          <w:szCs w:val="28"/>
        </w:rPr>
        <w:footnoteReference w:id="56"/>
      </w:r>
      <w:r w:rsidR="001043A7">
        <w:rPr>
          <w:rFonts w:ascii="Times New Roman" w:hAnsi="Times New Roman" w:cs="Times New Roman"/>
          <w:sz w:val="28"/>
          <w:szCs w:val="28"/>
        </w:rPr>
        <w:t>,</w:t>
      </w:r>
      <w:r w:rsidRPr="008F5E2A">
        <w:rPr>
          <w:rFonts w:ascii="Times New Roman" w:hAnsi="Times New Roman" w:cs="Times New Roman"/>
          <w:sz w:val="28"/>
          <w:szCs w:val="28"/>
        </w:rPr>
        <w:t xml:space="preserve"> </w:t>
      </w:r>
      <w:r w:rsidR="008459C0">
        <w:rPr>
          <w:rFonts w:ascii="Times New Roman" w:hAnsi="Times New Roman" w:cs="Times New Roman"/>
          <w:sz w:val="28"/>
          <w:szCs w:val="28"/>
        </w:rPr>
        <w:t xml:space="preserve">a fost aprobată instituirea, componența și regulamentul Grupului de lucru pentru investiții capitale publice, </w:t>
      </w:r>
      <w:r w:rsidR="008459C0" w:rsidRPr="008459C0">
        <w:rPr>
          <w:rFonts w:ascii="Times New Roman" w:hAnsi="Times New Roman" w:cs="Times New Roman"/>
          <w:i/>
          <w:sz w:val="28"/>
          <w:szCs w:val="28"/>
        </w:rPr>
        <w:t>„responsabil de examinarea și confirmarea eligibilității proiectelor de investiții capitale pentru a fi incluse în buget, precum și de monitorizarea generală a programului de investiții capitale publice”</w:t>
      </w:r>
      <w:r w:rsidR="00771355">
        <w:rPr>
          <w:rFonts w:ascii="Times New Roman" w:hAnsi="Times New Roman" w:cs="Times New Roman"/>
          <w:i/>
          <w:sz w:val="28"/>
          <w:szCs w:val="28"/>
        </w:rPr>
        <w:t xml:space="preserve">. </w:t>
      </w:r>
      <w:r w:rsidR="00771355">
        <w:rPr>
          <w:rFonts w:ascii="Times New Roman" w:hAnsi="Times New Roman" w:cs="Times New Roman"/>
          <w:sz w:val="28"/>
          <w:szCs w:val="28"/>
        </w:rPr>
        <w:t>Conform prevederilor aceleiași hotărâri, responsabilitatea și controlul pentru executarea hotărârii în cauză a fost pusă de Guvern în sarcina MF. În pofida acestor prevederi, examinările auditului au constatat că</w:t>
      </w:r>
      <w:r w:rsidR="001043A7">
        <w:rPr>
          <w:rFonts w:ascii="Times New Roman" w:hAnsi="Times New Roman" w:cs="Times New Roman"/>
          <w:sz w:val="28"/>
          <w:szCs w:val="28"/>
        </w:rPr>
        <w:t>,</w:t>
      </w:r>
      <w:r w:rsidR="00771355">
        <w:rPr>
          <w:rFonts w:ascii="Times New Roman" w:hAnsi="Times New Roman" w:cs="Times New Roman"/>
          <w:sz w:val="28"/>
          <w:szCs w:val="28"/>
        </w:rPr>
        <w:t xml:space="preserve"> până la momentul actual, </w:t>
      </w:r>
      <w:r w:rsidR="00771355" w:rsidRPr="00771355">
        <w:rPr>
          <w:rFonts w:ascii="Times New Roman" w:hAnsi="Times New Roman" w:cs="Times New Roman"/>
          <w:sz w:val="28"/>
          <w:szCs w:val="28"/>
        </w:rPr>
        <w:t>Grupul de lucru pentru investiții capitale</w:t>
      </w:r>
      <w:r w:rsidR="00771355">
        <w:rPr>
          <w:rFonts w:ascii="Times New Roman" w:hAnsi="Times New Roman" w:cs="Times New Roman"/>
          <w:sz w:val="28"/>
          <w:szCs w:val="28"/>
        </w:rPr>
        <w:t xml:space="preserve"> nu a fost instituit.</w:t>
      </w:r>
    </w:p>
    <w:p w:rsidR="00F27F14" w:rsidRDefault="00EA0F07" w:rsidP="003A2E8D">
      <w:pPr>
        <w:spacing w:after="0" w:line="276" w:lineRule="auto"/>
        <w:ind w:right="49" w:firstLine="709"/>
        <w:jc w:val="both"/>
        <w:rPr>
          <w:rFonts w:ascii="Times New Roman" w:hAnsi="Times New Roman" w:cs="Times New Roman"/>
          <w:sz w:val="28"/>
          <w:szCs w:val="28"/>
        </w:rPr>
      </w:pPr>
      <w:r>
        <w:rPr>
          <w:rFonts w:ascii="Times New Roman" w:hAnsi="Times New Roman" w:cs="Times New Roman"/>
          <w:sz w:val="28"/>
          <w:szCs w:val="28"/>
        </w:rPr>
        <w:t xml:space="preserve">Potrivit explicațiilor </w:t>
      </w:r>
      <w:r w:rsidR="00771355">
        <w:rPr>
          <w:rFonts w:ascii="Times New Roman" w:hAnsi="Times New Roman" w:cs="Times New Roman"/>
          <w:sz w:val="28"/>
          <w:szCs w:val="28"/>
        </w:rPr>
        <w:t xml:space="preserve">responsabililor de domeniu din cadrul </w:t>
      </w:r>
      <w:r>
        <w:rPr>
          <w:rFonts w:ascii="Times New Roman" w:hAnsi="Times New Roman" w:cs="Times New Roman"/>
          <w:sz w:val="28"/>
          <w:szCs w:val="28"/>
        </w:rPr>
        <w:t>Ministerului Finanțelor</w:t>
      </w:r>
      <w:r>
        <w:rPr>
          <w:rStyle w:val="a9"/>
          <w:rFonts w:ascii="Times New Roman" w:hAnsi="Times New Roman" w:cs="Times New Roman"/>
          <w:sz w:val="28"/>
          <w:szCs w:val="28"/>
        </w:rPr>
        <w:footnoteReference w:id="57"/>
      </w:r>
      <w:r w:rsidR="000023E2">
        <w:rPr>
          <w:rFonts w:ascii="Times New Roman" w:hAnsi="Times New Roman" w:cs="Times New Roman"/>
          <w:sz w:val="28"/>
          <w:szCs w:val="28"/>
        </w:rPr>
        <w:t>,</w:t>
      </w:r>
      <w:r w:rsidRPr="00E9664D">
        <w:rPr>
          <w:rFonts w:ascii="Times New Roman" w:hAnsi="Times New Roman" w:cs="Times New Roman"/>
          <w:sz w:val="28"/>
          <w:szCs w:val="28"/>
        </w:rPr>
        <w:t xml:space="preserve"> </w:t>
      </w:r>
      <w:r w:rsidRPr="00771355">
        <w:rPr>
          <w:rFonts w:ascii="Times New Roman" w:hAnsi="Times New Roman" w:cs="Times New Roman"/>
          <w:i/>
          <w:sz w:val="28"/>
          <w:szCs w:val="28"/>
        </w:rPr>
        <w:t>„Grupul de lucru pentru investiții capitale este același care a fost aprobat pentru elaborarea CBTM pe anii 2016-2018”.</w:t>
      </w:r>
      <w:r w:rsidRPr="00E9664D">
        <w:rPr>
          <w:rFonts w:ascii="Times New Roman" w:hAnsi="Times New Roman" w:cs="Times New Roman"/>
          <w:sz w:val="28"/>
          <w:szCs w:val="28"/>
        </w:rPr>
        <w:t xml:space="preserve"> </w:t>
      </w:r>
      <w:r>
        <w:rPr>
          <w:rFonts w:ascii="Times New Roman" w:hAnsi="Times New Roman" w:cs="Times New Roman"/>
          <w:sz w:val="28"/>
          <w:szCs w:val="28"/>
        </w:rPr>
        <w:t>Audit</w:t>
      </w:r>
      <w:r w:rsidR="00771355">
        <w:rPr>
          <w:rFonts w:ascii="Times New Roman" w:hAnsi="Times New Roman" w:cs="Times New Roman"/>
          <w:sz w:val="28"/>
          <w:szCs w:val="28"/>
        </w:rPr>
        <w:t>ul a constat</w:t>
      </w:r>
      <w:r w:rsidR="000023E2">
        <w:rPr>
          <w:rFonts w:ascii="Times New Roman" w:hAnsi="Times New Roman" w:cs="Times New Roman"/>
          <w:sz w:val="28"/>
          <w:szCs w:val="28"/>
        </w:rPr>
        <w:t>at</w:t>
      </w:r>
      <w:r w:rsidR="00771355">
        <w:rPr>
          <w:rFonts w:ascii="Times New Roman" w:hAnsi="Times New Roman" w:cs="Times New Roman"/>
          <w:sz w:val="28"/>
          <w:szCs w:val="28"/>
        </w:rPr>
        <w:t xml:space="preserve"> că pe parcursul an</w:t>
      </w:r>
      <w:r>
        <w:rPr>
          <w:rFonts w:ascii="Times New Roman" w:hAnsi="Times New Roman" w:cs="Times New Roman"/>
          <w:sz w:val="28"/>
          <w:szCs w:val="28"/>
        </w:rPr>
        <w:t>i</w:t>
      </w:r>
      <w:r w:rsidR="00771355">
        <w:rPr>
          <w:rFonts w:ascii="Times New Roman" w:hAnsi="Times New Roman" w:cs="Times New Roman"/>
          <w:sz w:val="28"/>
          <w:szCs w:val="28"/>
        </w:rPr>
        <w:t>lor</w:t>
      </w:r>
      <w:r>
        <w:rPr>
          <w:rFonts w:ascii="Times New Roman" w:hAnsi="Times New Roman" w:cs="Times New Roman"/>
          <w:sz w:val="28"/>
          <w:szCs w:val="28"/>
        </w:rPr>
        <w:t xml:space="preserve"> 2016 </w:t>
      </w:r>
      <w:r w:rsidR="00771355">
        <w:rPr>
          <w:rFonts w:ascii="Times New Roman" w:hAnsi="Times New Roman" w:cs="Times New Roman"/>
          <w:sz w:val="28"/>
          <w:szCs w:val="28"/>
        </w:rPr>
        <w:t>-</w:t>
      </w:r>
      <w:r>
        <w:rPr>
          <w:rFonts w:ascii="Times New Roman" w:hAnsi="Times New Roman" w:cs="Times New Roman"/>
          <w:sz w:val="28"/>
          <w:szCs w:val="28"/>
        </w:rPr>
        <w:t xml:space="preserve"> 2017</w:t>
      </w:r>
      <w:r w:rsidR="00771355">
        <w:rPr>
          <w:rFonts w:ascii="Times New Roman" w:hAnsi="Times New Roman" w:cs="Times New Roman"/>
          <w:sz w:val="28"/>
          <w:szCs w:val="28"/>
        </w:rPr>
        <w:t xml:space="preserve"> nu au fost organizate ședințe ale</w:t>
      </w:r>
      <w:r>
        <w:rPr>
          <w:rFonts w:ascii="Times New Roman" w:hAnsi="Times New Roman" w:cs="Times New Roman"/>
          <w:sz w:val="28"/>
          <w:szCs w:val="28"/>
        </w:rPr>
        <w:t xml:space="preserve"> Grupului de l</w:t>
      </w:r>
      <w:r w:rsidR="00771355">
        <w:rPr>
          <w:rFonts w:ascii="Times New Roman" w:hAnsi="Times New Roman" w:cs="Times New Roman"/>
          <w:sz w:val="28"/>
          <w:szCs w:val="28"/>
        </w:rPr>
        <w:t>ucru pentru investiții capitale, care, conform cadrului regulamentar</w:t>
      </w:r>
      <w:r w:rsidR="00771355">
        <w:rPr>
          <w:rStyle w:val="a9"/>
          <w:rFonts w:ascii="Times New Roman" w:hAnsi="Times New Roman" w:cs="Times New Roman"/>
          <w:sz w:val="28"/>
          <w:szCs w:val="28"/>
        </w:rPr>
        <w:footnoteReference w:id="58"/>
      </w:r>
      <w:r w:rsidR="00771355">
        <w:rPr>
          <w:rFonts w:ascii="Times New Roman" w:hAnsi="Times New Roman" w:cs="Times New Roman"/>
          <w:sz w:val="28"/>
          <w:szCs w:val="28"/>
        </w:rPr>
        <w:t xml:space="preserve">, </w:t>
      </w:r>
      <w:r w:rsidR="00771355" w:rsidRPr="00F27F14">
        <w:rPr>
          <w:rFonts w:ascii="Times New Roman" w:hAnsi="Times New Roman" w:cs="Times New Roman"/>
          <w:i/>
          <w:sz w:val="28"/>
          <w:szCs w:val="28"/>
        </w:rPr>
        <w:t>„se convoacă în ședințe ori de câte ori este necesar, dar preponderent în procesul de elaborare a Cadrului bugetar pe termen mediu (CBTM) și a bugetului anual. Chestiunile discutate și deciziile luate se înscriu în procese</w:t>
      </w:r>
      <w:r w:rsidR="000023E2">
        <w:rPr>
          <w:rFonts w:ascii="Times New Roman" w:hAnsi="Times New Roman" w:cs="Times New Roman"/>
          <w:i/>
          <w:sz w:val="28"/>
          <w:szCs w:val="28"/>
        </w:rPr>
        <w:t>-</w:t>
      </w:r>
      <w:r w:rsidR="00771355" w:rsidRPr="00F27F14">
        <w:rPr>
          <w:rFonts w:ascii="Times New Roman" w:hAnsi="Times New Roman" w:cs="Times New Roman"/>
          <w:i/>
          <w:sz w:val="28"/>
          <w:szCs w:val="28"/>
        </w:rPr>
        <w:t>verbale și se prezintă Grupului coordonator pentru elaborarea CBTM</w:t>
      </w:r>
      <w:r w:rsidR="00F27F14" w:rsidRPr="00F27F14">
        <w:rPr>
          <w:rFonts w:ascii="Times New Roman" w:hAnsi="Times New Roman" w:cs="Times New Roman"/>
          <w:i/>
          <w:sz w:val="28"/>
          <w:szCs w:val="28"/>
        </w:rPr>
        <w:t>”</w:t>
      </w:r>
      <w:r w:rsidR="00771355">
        <w:rPr>
          <w:rFonts w:ascii="Times New Roman" w:hAnsi="Times New Roman" w:cs="Times New Roman"/>
          <w:sz w:val="28"/>
          <w:szCs w:val="28"/>
        </w:rPr>
        <w:t>.</w:t>
      </w:r>
      <w:r w:rsidR="00F27F14">
        <w:rPr>
          <w:rFonts w:ascii="Times New Roman" w:hAnsi="Times New Roman" w:cs="Times New Roman"/>
          <w:sz w:val="28"/>
          <w:szCs w:val="28"/>
        </w:rPr>
        <w:t xml:space="preserve"> </w:t>
      </w:r>
    </w:p>
    <w:p w:rsidR="00F27F14" w:rsidRPr="00F27F14" w:rsidRDefault="00F27F14" w:rsidP="003A2E8D">
      <w:pPr>
        <w:spacing w:after="0" w:line="276" w:lineRule="auto"/>
        <w:ind w:right="49" w:firstLine="709"/>
        <w:jc w:val="both"/>
        <w:rPr>
          <w:rFonts w:ascii="Times New Roman" w:hAnsi="Times New Roman" w:cs="Times New Roman"/>
          <w:sz w:val="28"/>
          <w:szCs w:val="28"/>
        </w:rPr>
      </w:pPr>
      <w:r>
        <w:rPr>
          <w:rFonts w:ascii="Times New Roman" w:hAnsi="Times New Roman" w:cs="Times New Roman"/>
          <w:sz w:val="28"/>
          <w:szCs w:val="28"/>
        </w:rPr>
        <w:t>Auditul menționează că</w:t>
      </w:r>
      <w:r w:rsidR="00EA0F07">
        <w:rPr>
          <w:rFonts w:ascii="Times New Roman" w:hAnsi="Times New Roman" w:cs="Times New Roman"/>
          <w:sz w:val="28"/>
          <w:szCs w:val="28"/>
        </w:rPr>
        <w:t xml:space="preserve"> MF nu a asigurat, potrivit cadrului normativ</w:t>
      </w:r>
      <w:r w:rsidR="00EA0F07">
        <w:rPr>
          <w:rStyle w:val="a9"/>
          <w:rFonts w:ascii="Times New Roman" w:hAnsi="Times New Roman" w:cs="Times New Roman"/>
          <w:sz w:val="28"/>
          <w:szCs w:val="28"/>
        </w:rPr>
        <w:footnoteReference w:id="59"/>
      </w:r>
      <w:r w:rsidR="00EA0F07">
        <w:rPr>
          <w:rFonts w:ascii="Times New Roman" w:hAnsi="Times New Roman" w:cs="Times New Roman"/>
          <w:sz w:val="28"/>
          <w:szCs w:val="28"/>
        </w:rPr>
        <w:t>, generalizarea informației despre proiectele implementate și prezentarea acesteia spre examinare Grupului de lucru.</w:t>
      </w:r>
      <w:r w:rsidR="00AE140F">
        <w:rPr>
          <w:rFonts w:ascii="Times New Roman" w:hAnsi="Times New Roman" w:cs="Times New Roman"/>
          <w:sz w:val="28"/>
          <w:szCs w:val="28"/>
        </w:rPr>
        <w:t xml:space="preserve"> </w:t>
      </w:r>
      <w:r w:rsidR="00EA0F07" w:rsidRPr="00E9664D">
        <w:rPr>
          <w:rFonts w:ascii="Times New Roman" w:hAnsi="Times New Roman" w:cs="Times New Roman"/>
          <w:sz w:val="28"/>
          <w:szCs w:val="28"/>
        </w:rPr>
        <w:t>Astfel, analiza efectuată de audit relevă că</w:t>
      </w:r>
      <w:r w:rsidR="004900B6">
        <w:rPr>
          <w:rFonts w:ascii="Times New Roman" w:hAnsi="Times New Roman" w:cs="Times New Roman"/>
          <w:sz w:val="28"/>
          <w:szCs w:val="28"/>
        </w:rPr>
        <w:t>,</w:t>
      </w:r>
      <w:r w:rsidR="00EA0F07" w:rsidRPr="00E9664D">
        <w:rPr>
          <w:rFonts w:ascii="Times New Roman" w:hAnsi="Times New Roman" w:cs="Times New Roman"/>
          <w:sz w:val="28"/>
          <w:szCs w:val="28"/>
        </w:rPr>
        <w:t xml:space="preserve"> din numărul total de 64 de proiecte investiționale propuse în anul 2016 pentru finanțare în 2017 </w:t>
      </w:r>
      <w:r>
        <w:rPr>
          <w:rFonts w:ascii="Times New Roman" w:hAnsi="Times New Roman" w:cs="Times New Roman"/>
          <w:sz w:val="28"/>
          <w:szCs w:val="28"/>
        </w:rPr>
        <w:t>de la</w:t>
      </w:r>
      <w:r w:rsidR="00EA0F07" w:rsidRPr="00E9664D">
        <w:rPr>
          <w:rFonts w:ascii="Times New Roman" w:hAnsi="Times New Roman" w:cs="Times New Roman"/>
          <w:sz w:val="28"/>
          <w:szCs w:val="28"/>
        </w:rPr>
        <w:t xml:space="preserve"> bugetul de stat, 37 obiecte de investiții</w:t>
      </w:r>
      <w:r w:rsidR="004900B6">
        <w:rPr>
          <w:rFonts w:ascii="Times New Roman" w:hAnsi="Times New Roman" w:cs="Times New Roman"/>
          <w:sz w:val="28"/>
          <w:szCs w:val="28"/>
        </w:rPr>
        <w:t>,</w:t>
      </w:r>
      <w:r w:rsidR="00EA0F07" w:rsidRPr="00E9664D">
        <w:rPr>
          <w:rFonts w:ascii="Times New Roman" w:hAnsi="Times New Roman" w:cs="Times New Roman"/>
          <w:sz w:val="28"/>
          <w:szCs w:val="28"/>
        </w:rPr>
        <w:t xml:space="preserve"> în sumă totală de 1789,3</w:t>
      </w:r>
      <w:r w:rsidR="00EA0F07">
        <w:rPr>
          <w:rFonts w:ascii="Times New Roman" w:hAnsi="Times New Roman" w:cs="Times New Roman"/>
          <w:sz w:val="28"/>
          <w:szCs w:val="28"/>
        </w:rPr>
        <w:t xml:space="preserve"> mil.</w:t>
      </w:r>
      <w:r w:rsidR="00EA0F07" w:rsidRPr="00E9664D">
        <w:rPr>
          <w:rFonts w:ascii="Times New Roman" w:hAnsi="Times New Roman" w:cs="Times New Roman"/>
          <w:sz w:val="28"/>
          <w:szCs w:val="28"/>
        </w:rPr>
        <w:t>lei</w:t>
      </w:r>
      <w:r w:rsidR="004900B6">
        <w:rPr>
          <w:rFonts w:ascii="Times New Roman" w:hAnsi="Times New Roman" w:cs="Times New Roman"/>
          <w:sz w:val="28"/>
          <w:szCs w:val="28"/>
        </w:rPr>
        <w:t>,</w:t>
      </w:r>
      <w:r w:rsidR="00EA0F07" w:rsidRPr="00E9664D">
        <w:rPr>
          <w:rFonts w:ascii="Times New Roman" w:hAnsi="Times New Roman" w:cs="Times New Roman"/>
          <w:sz w:val="28"/>
          <w:szCs w:val="28"/>
        </w:rPr>
        <w:t xml:space="preserve"> repr</w:t>
      </w:r>
      <w:r w:rsidR="00EA0F07">
        <w:rPr>
          <w:rFonts w:ascii="Times New Roman" w:hAnsi="Times New Roman" w:cs="Times New Roman"/>
          <w:sz w:val="28"/>
          <w:szCs w:val="28"/>
        </w:rPr>
        <w:t>ezintă obiectele investiționale</w:t>
      </w:r>
      <w:r w:rsidR="00EA0F07" w:rsidRPr="00E9664D">
        <w:rPr>
          <w:rFonts w:ascii="Times New Roman" w:hAnsi="Times New Roman" w:cs="Times New Roman"/>
          <w:sz w:val="28"/>
          <w:szCs w:val="28"/>
        </w:rPr>
        <w:t xml:space="preserve"> </w:t>
      </w:r>
      <w:r w:rsidR="004900B6">
        <w:rPr>
          <w:rFonts w:ascii="Times New Roman" w:hAnsi="Times New Roman" w:cs="Times New Roman"/>
          <w:sz w:val="28"/>
          <w:szCs w:val="28"/>
        </w:rPr>
        <w:t xml:space="preserve">a căror </w:t>
      </w:r>
      <w:r w:rsidR="00EA0F07" w:rsidRPr="00E9664D">
        <w:rPr>
          <w:rFonts w:ascii="Times New Roman" w:hAnsi="Times New Roman" w:cs="Times New Roman"/>
          <w:sz w:val="28"/>
          <w:szCs w:val="28"/>
        </w:rPr>
        <w:t xml:space="preserve">valoare depășește 5,0 mil.lei și care </w:t>
      </w:r>
      <w:r w:rsidR="00EA0F07" w:rsidRPr="002D68E1">
        <w:rPr>
          <w:rFonts w:ascii="Times New Roman" w:hAnsi="Times New Roman" w:cs="Times New Roman"/>
          <w:i/>
          <w:sz w:val="28"/>
          <w:szCs w:val="28"/>
        </w:rPr>
        <w:t xml:space="preserve">în mod obligatoriu </w:t>
      </w:r>
      <w:r w:rsidR="00EA0F07" w:rsidRPr="002D68E1">
        <w:rPr>
          <w:rFonts w:ascii="Times New Roman" w:hAnsi="Times New Roman" w:cs="Times New Roman"/>
          <w:i/>
          <w:sz w:val="28"/>
          <w:szCs w:val="28"/>
        </w:rPr>
        <w:lastRenderedPageBreak/>
        <w:t>urmau</w:t>
      </w:r>
      <w:r w:rsidR="00EA0F07" w:rsidRPr="00E9664D">
        <w:rPr>
          <w:rFonts w:ascii="Times New Roman" w:hAnsi="Times New Roman" w:cs="Times New Roman"/>
          <w:sz w:val="28"/>
          <w:szCs w:val="28"/>
        </w:rPr>
        <w:t xml:space="preserve"> a fi coordonate cu Grupul de lucru. Prin </w:t>
      </w:r>
      <w:r w:rsidR="004900B6">
        <w:rPr>
          <w:rFonts w:ascii="Times New Roman" w:hAnsi="Times New Roman" w:cs="Times New Roman"/>
          <w:sz w:val="28"/>
          <w:szCs w:val="28"/>
        </w:rPr>
        <w:t>aceasta</w:t>
      </w:r>
      <w:r w:rsidR="00EA0F07" w:rsidRPr="00E9664D">
        <w:rPr>
          <w:rFonts w:ascii="Times New Roman" w:hAnsi="Times New Roman" w:cs="Times New Roman"/>
          <w:sz w:val="28"/>
          <w:szCs w:val="28"/>
        </w:rPr>
        <w:t xml:space="preserve"> MF </w:t>
      </w:r>
      <w:r w:rsidR="00EA0F07">
        <w:rPr>
          <w:rFonts w:ascii="Times New Roman" w:hAnsi="Times New Roman" w:cs="Times New Roman"/>
          <w:sz w:val="28"/>
          <w:szCs w:val="28"/>
        </w:rPr>
        <w:t>și-</w:t>
      </w:r>
      <w:r w:rsidR="00EA0F07" w:rsidRPr="00E9664D">
        <w:rPr>
          <w:rFonts w:ascii="Times New Roman" w:hAnsi="Times New Roman" w:cs="Times New Roman"/>
          <w:sz w:val="28"/>
          <w:szCs w:val="28"/>
        </w:rPr>
        <w:t xml:space="preserve">a asumat </w:t>
      </w:r>
      <w:r w:rsidR="004900B6" w:rsidRPr="00E9664D">
        <w:rPr>
          <w:rFonts w:ascii="Times New Roman" w:hAnsi="Times New Roman" w:cs="Times New Roman"/>
          <w:sz w:val="28"/>
          <w:szCs w:val="28"/>
        </w:rPr>
        <w:t xml:space="preserve">unilateral </w:t>
      </w:r>
      <w:r w:rsidR="00EA0F07" w:rsidRPr="00E9664D">
        <w:rPr>
          <w:rFonts w:ascii="Times New Roman" w:hAnsi="Times New Roman" w:cs="Times New Roman"/>
          <w:sz w:val="28"/>
          <w:szCs w:val="28"/>
        </w:rPr>
        <w:t>atribuțiile și responsabilitățile</w:t>
      </w:r>
      <w:r w:rsidR="00EA0F07">
        <w:rPr>
          <w:rFonts w:ascii="Times New Roman" w:hAnsi="Times New Roman" w:cs="Times New Roman"/>
          <w:sz w:val="28"/>
          <w:szCs w:val="28"/>
        </w:rPr>
        <w:t xml:space="preserve"> Grupului de lucru pentru investiții capitale</w:t>
      </w:r>
      <w:r>
        <w:rPr>
          <w:rFonts w:ascii="Times New Roman" w:hAnsi="Times New Roman" w:cs="Times New Roman"/>
          <w:sz w:val="28"/>
          <w:szCs w:val="28"/>
        </w:rPr>
        <w:t xml:space="preserve">, care urma a fi </w:t>
      </w:r>
      <w:r w:rsidRPr="00F27F14">
        <w:rPr>
          <w:rFonts w:ascii="Times New Roman" w:hAnsi="Times New Roman" w:cs="Times New Roman"/>
          <w:i/>
          <w:sz w:val="28"/>
          <w:szCs w:val="28"/>
        </w:rPr>
        <w:t xml:space="preserve">„un </w:t>
      </w:r>
      <w:r w:rsidR="00EA0F07" w:rsidRPr="00F27F14">
        <w:rPr>
          <w:rFonts w:ascii="Times New Roman" w:hAnsi="Times New Roman" w:cs="Times New Roman"/>
          <w:i/>
          <w:sz w:val="28"/>
          <w:szCs w:val="28"/>
        </w:rPr>
        <w:t>organ colegial</w:t>
      </w:r>
      <w:r w:rsidRPr="00F27F14">
        <w:rPr>
          <w:rFonts w:ascii="Times New Roman" w:hAnsi="Times New Roman" w:cs="Times New Roman"/>
          <w:i/>
          <w:sz w:val="28"/>
          <w:szCs w:val="28"/>
        </w:rPr>
        <w:t xml:space="preserve">, </w:t>
      </w:r>
      <w:r w:rsidR="00EA0F07" w:rsidRPr="00F27F14">
        <w:rPr>
          <w:rFonts w:ascii="Times New Roman" w:hAnsi="Times New Roman" w:cs="Times New Roman"/>
          <w:i/>
          <w:sz w:val="28"/>
          <w:szCs w:val="28"/>
        </w:rPr>
        <w:t>format din reprezentanți ai</w:t>
      </w:r>
      <w:r w:rsidRPr="00F27F14">
        <w:rPr>
          <w:rFonts w:ascii="Times New Roman" w:hAnsi="Times New Roman" w:cs="Times New Roman"/>
          <w:i/>
          <w:sz w:val="28"/>
          <w:szCs w:val="28"/>
        </w:rPr>
        <w:t xml:space="preserve"> autorităților publice centrale interesate, precum și din reprezentanți ai organizațiilor asociative ale autorităților publice locale și ai societății civile”</w:t>
      </w:r>
      <w:r>
        <w:rPr>
          <w:rFonts w:ascii="Times New Roman" w:hAnsi="Times New Roman" w:cs="Times New Roman"/>
          <w:sz w:val="28"/>
          <w:szCs w:val="28"/>
        </w:rPr>
        <w:t>.</w:t>
      </w:r>
    </w:p>
    <w:p w:rsidR="00DB6CBE" w:rsidRDefault="00EA0F07" w:rsidP="003A2E8D">
      <w:pPr>
        <w:spacing w:after="0" w:line="276" w:lineRule="auto"/>
        <w:ind w:right="49" w:firstLine="709"/>
        <w:jc w:val="both"/>
        <w:rPr>
          <w:rFonts w:ascii="Times New Roman" w:hAnsi="Times New Roman" w:cs="Times New Roman"/>
          <w:sz w:val="28"/>
          <w:szCs w:val="28"/>
        </w:rPr>
      </w:pPr>
      <w:r>
        <w:rPr>
          <w:rFonts w:ascii="Times New Roman" w:hAnsi="Times New Roman" w:cs="Times New Roman"/>
          <w:sz w:val="28"/>
          <w:szCs w:val="28"/>
        </w:rPr>
        <w:t xml:space="preserve">Analiza comparativă a executării finanțării investițiilor capitale pe </w:t>
      </w:r>
      <w:r w:rsidR="004900B6">
        <w:rPr>
          <w:rFonts w:ascii="Times New Roman" w:hAnsi="Times New Roman" w:cs="Times New Roman"/>
          <w:sz w:val="28"/>
          <w:szCs w:val="28"/>
        </w:rPr>
        <w:t>APC</w:t>
      </w:r>
      <w:r>
        <w:rPr>
          <w:rFonts w:ascii="Times New Roman" w:hAnsi="Times New Roman" w:cs="Times New Roman"/>
          <w:sz w:val="28"/>
          <w:szCs w:val="28"/>
        </w:rPr>
        <w:t xml:space="preserve"> pe anul 2017 relevă că </w:t>
      </w:r>
      <w:r w:rsidRPr="00604E85">
        <w:rPr>
          <w:rFonts w:ascii="Times New Roman" w:hAnsi="Times New Roman" w:cs="Times New Roman"/>
          <w:sz w:val="28"/>
          <w:szCs w:val="28"/>
        </w:rPr>
        <w:t>de la bugetul de stat au fost</w:t>
      </w:r>
      <w:r>
        <w:rPr>
          <w:rFonts w:ascii="Times New Roman" w:hAnsi="Times New Roman" w:cs="Times New Roman"/>
          <w:sz w:val="28"/>
          <w:szCs w:val="28"/>
        </w:rPr>
        <w:t xml:space="preserve"> finanțate integral 24</w:t>
      </w:r>
      <w:r w:rsidR="004900B6">
        <w:rPr>
          <w:rFonts w:ascii="Times New Roman" w:hAnsi="Times New Roman" w:cs="Times New Roman"/>
          <w:sz w:val="28"/>
          <w:szCs w:val="28"/>
        </w:rPr>
        <w:t xml:space="preserve"> de</w:t>
      </w:r>
      <w:r>
        <w:rPr>
          <w:rFonts w:ascii="Times New Roman" w:hAnsi="Times New Roman" w:cs="Times New Roman"/>
          <w:sz w:val="28"/>
          <w:szCs w:val="28"/>
        </w:rPr>
        <w:t xml:space="preserve"> obiecte în sumă de </w:t>
      </w:r>
      <w:r w:rsidRPr="00604E85">
        <w:rPr>
          <w:rFonts w:ascii="Times New Roman" w:eastAsia="Times New Roman" w:hAnsi="Times New Roman" w:cs="Times New Roman"/>
          <w:bCs/>
          <w:sz w:val="28"/>
          <w:szCs w:val="28"/>
        </w:rPr>
        <w:t>130,9</w:t>
      </w:r>
      <w:r w:rsidRPr="00604E85">
        <w:rPr>
          <w:rFonts w:ascii="Times New Roman" w:eastAsia="Times New Roman" w:hAnsi="Times New Roman" w:cs="Times New Roman"/>
          <w:b/>
          <w:bCs/>
          <w:sz w:val="20"/>
          <w:szCs w:val="20"/>
        </w:rPr>
        <w:t xml:space="preserve"> </w:t>
      </w:r>
      <w:r>
        <w:rPr>
          <w:rFonts w:ascii="Times New Roman" w:hAnsi="Times New Roman" w:cs="Times New Roman"/>
          <w:sz w:val="28"/>
          <w:szCs w:val="28"/>
        </w:rPr>
        <w:t>mil.lei, ce</w:t>
      </w:r>
      <w:r w:rsidR="004900B6">
        <w:rPr>
          <w:rFonts w:ascii="Times New Roman" w:hAnsi="Times New Roman" w:cs="Times New Roman"/>
          <w:sz w:val="28"/>
          <w:szCs w:val="28"/>
        </w:rPr>
        <w:t>e</w:t>
      </w:r>
      <w:r>
        <w:rPr>
          <w:rFonts w:ascii="Times New Roman" w:hAnsi="Times New Roman" w:cs="Times New Roman"/>
          <w:sz w:val="28"/>
          <w:szCs w:val="28"/>
        </w:rPr>
        <w:t>a ce reprezintă doar 9,6% din volumul total al alocațiilor destinate finanțării investițiilor capitale. Totodată</w:t>
      </w:r>
      <w:r w:rsidR="00F27F14">
        <w:rPr>
          <w:rFonts w:ascii="Times New Roman" w:hAnsi="Times New Roman" w:cs="Times New Roman"/>
          <w:sz w:val="28"/>
          <w:szCs w:val="28"/>
        </w:rPr>
        <w:t>, nivelul de finanțare a altor</w:t>
      </w:r>
      <w:r>
        <w:rPr>
          <w:rFonts w:ascii="Times New Roman" w:hAnsi="Times New Roman" w:cs="Times New Roman"/>
          <w:sz w:val="28"/>
          <w:szCs w:val="28"/>
        </w:rPr>
        <w:t xml:space="preserve"> 31 de </w:t>
      </w:r>
      <w:r w:rsidRPr="00604E85">
        <w:rPr>
          <w:rFonts w:ascii="Times New Roman" w:hAnsi="Times New Roman" w:cs="Times New Roman"/>
          <w:sz w:val="28"/>
          <w:szCs w:val="28"/>
        </w:rPr>
        <w:t xml:space="preserve">obiecte </w:t>
      </w:r>
      <w:r>
        <w:rPr>
          <w:rFonts w:ascii="Times New Roman" w:hAnsi="Times New Roman" w:cs="Times New Roman"/>
          <w:sz w:val="28"/>
          <w:szCs w:val="28"/>
        </w:rPr>
        <w:t>în ace</w:t>
      </w:r>
      <w:r w:rsidR="004900B6">
        <w:rPr>
          <w:rFonts w:ascii="Times New Roman" w:hAnsi="Times New Roman" w:cs="Times New Roman"/>
          <w:sz w:val="28"/>
          <w:szCs w:val="28"/>
        </w:rPr>
        <w:t>e</w:t>
      </w:r>
      <w:r>
        <w:rPr>
          <w:rFonts w:ascii="Times New Roman" w:hAnsi="Times New Roman" w:cs="Times New Roman"/>
          <w:sz w:val="28"/>
          <w:szCs w:val="28"/>
        </w:rPr>
        <w:t>ași perioadă a variat</w:t>
      </w:r>
      <w:r w:rsidRPr="00604E85">
        <w:rPr>
          <w:rFonts w:ascii="Times New Roman" w:hAnsi="Times New Roman" w:cs="Times New Roman"/>
          <w:sz w:val="28"/>
          <w:szCs w:val="28"/>
        </w:rPr>
        <w:t xml:space="preserve"> de la</w:t>
      </w:r>
      <w:r>
        <w:rPr>
          <w:rFonts w:ascii="Times New Roman" w:hAnsi="Times New Roman" w:cs="Times New Roman"/>
          <w:sz w:val="28"/>
          <w:szCs w:val="28"/>
        </w:rPr>
        <w:t xml:space="preserve"> </w:t>
      </w:r>
      <w:r w:rsidRPr="007E4DF8">
        <w:rPr>
          <w:rFonts w:ascii="Times New Roman" w:hAnsi="Times New Roman" w:cs="Times New Roman"/>
          <w:sz w:val="28"/>
          <w:szCs w:val="28"/>
        </w:rPr>
        <w:t>0</w:t>
      </w:r>
      <w:r>
        <w:rPr>
          <w:rFonts w:ascii="Times New Roman" w:hAnsi="Times New Roman" w:cs="Times New Roman"/>
          <w:sz w:val="28"/>
          <w:szCs w:val="28"/>
        </w:rPr>
        <w:t>,7% până la</w:t>
      </w:r>
      <w:r w:rsidR="00F27F14">
        <w:rPr>
          <w:rFonts w:ascii="Times New Roman" w:hAnsi="Times New Roman" w:cs="Times New Roman"/>
          <w:sz w:val="28"/>
          <w:szCs w:val="28"/>
        </w:rPr>
        <w:t xml:space="preserve"> 98,4%, însumând 1001,6 mil.lei.</w:t>
      </w:r>
      <w:r>
        <w:rPr>
          <w:rFonts w:ascii="Times New Roman" w:hAnsi="Times New Roman" w:cs="Times New Roman"/>
          <w:sz w:val="28"/>
          <w:szCs w:val="28"/>
        </w:rPr>
        <w:t xml:space="preserve"> </w:t>
      </w:r>
      <w:r w:rsidR="00F27F14" w:rsidRPr="008A0EA9">
        <w:rPr>
          <w:rFonts w:ascii="Times New Roman" w:hAnsi="Times New Roman" w:cs="Times New Roman"/>
          <w:i/>
          <w:sz w:val="28"/>
          <w:szCs w:val="28"/>
        </w:rPr>
        <w:t>Analiza auditului privind s</w:t>
      </w:r>
      <w:r w:rsidRPr="008A0EA9">
        <w:rPr>
          <w:rFonts w:ascii="Times New Roman" w:hAnsi="Times New Roman" w:cs="Times New Roman"/>
          <w:i/>
          <w:sz w:val="28"/>
          <w:szCs w:val="28"/>
        </w:rPr>
        <w:t xml:space="preserve">ituația </w:t>
      </w:r>
      <w:r w:rsidR="00F27F14" w:rsidRPr="008A0EA9">
        <w:rPr>
          <w:rFonts w:ascii="Times New Roman" w:hAnsi="Times New Roman" w:cs="Times New Roman"/>
          <w:i/>
          <w:sz w:val="28"/>
          <w:szCs w:val="28"/>
        </w:rPr>
        <w:t>menționată este</w:t>
      </w:r>
      <w:r w:rsidRPr="008A0EA9">
        <w:rPr>
          <w:rFonts w:ascii="Times New Roman" w:hAnsi="Times New Roman" w:cs="Times New Roman"/>
          <w:i/>
          <w:sz w:val="28"/>
          <w:szCs w:val="28"/>
        </w:rPr>
        <w:t xml:space="preserve"> prezentată în </w:t>
      </w:r>
      <w:r w:rsidRPr="004900B6">
        <w:rPr>
          <w:rFonts w:ascii="Times New Roman" w:hAnsi="Times New Roman" w:cs="Times New Roman"/>
          <w:i/>
          <w:sz w:val="28"/>
          <w:szCs w:val="28"/>
        </w:rPr>
        <w:t>Diagrama nr.</w:t>
      </w:r>
      <w:r w:rsidR="00824429" w:rsidRPr="00EB318B">
        <w:rPr>
          <w:rFonts w:ascii="Times New Roman" w:hAnsi="Times New Roman" w:cs="Times New Roman"/>
          <w:i/>
          <w:sz w:val="28"/>
          <w:szCs w:val="28"/>
        </w:rPr>
        <w:t>10</w:t>
      </w:r>
      <w:r w:rsidRPr="00525E5B">
        <w:rPr>
          <w:rFonts w:ascii="Times New Roman" w:hAnsi="Times New Roman" w:cs="Times New Roman"/>
          <w:i/>
          <w:sz w:val="28"/>
          <w:szCs w:val="28"/>
        </w:rPr>
        <w:t>.</w:t>
      </w:r>
      <w:r w:rsidR="00764D6E" w:rsidRPr="00437EF7">
        <w:rPr>
          <w:rFonts w:ascii="Times New Roman" w:hAnsi="Times New Roman" w:cs="Times New Roman"/>
          <w:i/>
          <w:sz w:val="28"/>
          <w:szCs w:val="28"/>
        </w:rPr>
        <w:t xml:space="preserve"> </w:t>
      </w:r>
    </w:p>
    <w:p w:rsidR="00EA0F07" w:rsidRPr="004035D8" w:rsidRDefault="00EA0F07" w:rsidP="003A2E8D">
      <w:pPr>
        <w:spacing w:after="0" w:line="276" w:lineRule="auto"/>
        <w:ind w:right="51"/>
        <w:jc w:val="right"/>
        <w:rPr>
          <w:rFonts w:ascii="Times New Roman" w:hAnsi="Times New Roman" w:cs="Times New Roman"/>
          <w:i/>
          <w:sz w:val="28"/>
          <w:szCs w:val="28"/>
        </w:rPr>
      </w:pPr>
      <w:r>
        <w:rPr>
          <w:rFonts w:ascii="Times New Roman" w:hAnsi="Times New Roman" w:cs="Times New Roman"/>
          <w:i/>
          <w:sz w:val="28"/>
          <w:szCs w:val="28"/>
        </w:rPr>
        <w:t>Diagram</w:t>
      </w:r>
      <w:r w:rsidRPr="004035D8">
        <w:rPr>
          <w:rFonts w:ascii="Times New Roman" w:hAnsi="Times New Roman" w:cs="Times New Roman"/>
          <w:i/>
          <w:sz w:val="28"/>
          <w:szCs w:val="28"/>
        </w:rPr>
        <w:t>a nr.</w:t>
      </w:r>
      <w:r w:rsidR="00824429">
        <w:rPr>
          <w:rFonts w:ascii="Times New Roman" w:hAnsi="Times New Roman" w:cs="Times New Roman"/>
          <w:i/>
          <w:sz w:val="28"/>
          <w:szCs w:val="28"/>
        </w:rPr>
        <w:t>10</w:t>
      </w:r>
      <w:r w:rsidR="00764D6E">
        <w:rPr>
          <w:rFonts w:ascii="Times New Roman" w:hAnsi="Times New Roman" w:cs="Times New Roman"/>
          <w:i/>
          <w:sz w:val="28"/>
          <w:szCs w:val="28"/>
        </w:rPr>
        <w:t xml:space="preserve"> </w:t>
      </w:r>
      <w:r w:rsidRPr="004035D8">
        <w:rPr>
          <w:rFonts w:ascii="Times New Roman" w:hAnsi="Times New Roman" w:cs="Times New Roman"/>
          <w:i/>
          <w:sz w:val="28"/>
          <w:szCs w:val="28"/>
        </w:rPr>
        <w:t xml:space="preserve"> </w:t>
      </w:r>
    </w:p>
    <w:p w:rsidR="00EA0F07" w:rsidRDefault="00EA0F07" w:rsidP="003A2E8D">
      <w:pPr>
        <w:pStyle w:val="a5"/>
        <w:shd w:val="clear" w:color="auto" w:fill="FFFFFF" w:themeFill="background1"/>
        <w:tabs>
          <w:tab w:val="left" w:pos="8931"/>
        </w:tabs>
        <w:spacing w:line="276" w:lineRule="auto"/>
        <w:ind w:left="0" w:right="49"/>
        <w:contextualSpacing w:val="0"/>
        <w:jc w:val="center"/>
        <w:rPr>
          <w:rFonts w:ascii="Times New Roman" w:hAnsi="Times New Roman" w:cs="Times New Roman"/>
          <w:b/>
        </w:rPr>
      </w:pPr>
      <w:r w:rsidRPr="004035D8">
        <w:rPr>
          <w:rFonts w:ascii="Times New Roman" w:hAnsi="Times New Roman" w:cs="Times New Roman"/>
          <w:b/>
          <w:sz w:val="24"/>
        </w:rPr>
        <w:t>N</w:t>
      </w:r>
      <w:r>
        <w:rPr>
          <w:rFonts w:ascii="Times New Roman" w:hAnsi="Times New Roman" w:cs="Times New Roman"/>
          <w:b/>
          <w:sz w:val="24"/>
        </w:rPr>
        <w:t>ivelul</w:t>
      </w:r>
      <w:r w:rsidRPr="004035D8">
        <w:rPr>
          <w:rFonts w:ascii="Times New Roman" w:hAnsi="Times New Roman" w:cs="Times New Roman"/>
          <w:b/>
          <w:sz w:val="24"/>
        </w:rPr>
        <w:t xml:space="preserve"> de executare a cheltuielilor </w:t>
      </w:r>
      <w:r>
        <w:rPr>
          <w:rFonts w:ascii="Times New Roman" w:hAnsi="Times New Roman" w:cs="Times New Roman"/>
          <w:b/>
          <w:sz w:val="24"/>
        </w:rPr>
        <w:t>pentru investiții capitale în anul 2017</w:t>
      </w:r>
    </w:p>
    <w:p w:rsidR="00EA0F07" w:rsidRDefault="00EA0F07" w:rsidP="006771F9">
      <w:pPr>
        <w:pStyle w:val="a5"/>
        <w:shd w:val="clear" w:color="auto" w:fill="FFFFFF" w:themeFill="background1"/>
        <w:tabs>
          <w:tab w:val="left" w:pos="8931"/>
        </w:tabs>
        <w:spacing w:after="0" w:line="240" w:lineRule="auto"/>
        <w:ind w:left="0" w:right="51"/>
        <w:jc w:val="center"/>
        <w:rPr>
          <w:rFonts w:ascii="Times New Roman" w:hAnsi="Times New Roman" w:cs="Times New Roman"/>
          <w:b/>
        </w:rPr>
      </w:pPr>
      <w:r>
        <w:rPr>
          <w:rFonts w:ascii="Times New Roman" w:hAnsi="Times New Roman" w:cs="Times New Roman"/>
          <w:b/>
          <w:noProof/>
          <w:lang w:val="ru-RU" w:eastAsia="ru-RU"/>
        </w:rPr>
        <w:drawing>
          <wp:inline distT="0" distB="0" distL="0" distR="0" wp14:anchorId="2AA23978" wp14:editId="2C836CC3">
            <wp:extent cx="6086475" cy="2114550"/>
            <wp:effectExtent l="0" t="0" r="9525"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EA0F07" w:rsidRPr="00B37A48" w:rsidRDefault="00EA0F07" w:rsidP="006771F9">
      <w:pPr>
        <w:spacing w:after="0" w:line="240" w:lineRule="auto"/>
        <w:ind w:right="51"/>
        <w:jc w:val="both"/>
        <w:rPr>
          <w:rFonts w:ascii="Times New Roman" w:hAnsi="Times New Roman" w:cs="Times New Roman"/>
          <w:i/>
          <w:sz w:val="20"/>
          <w:szCs w:val="20"/>
        </w:rPr>
      </w:pPr>
      <w:r w:rsidRPr="00B37A48">
        <w:rPr>
          <w:rFonts w:ascii="Times New Roman" w:hAnsi="Times New Roman" w:cs="Times New Roman"/>
          <w:b/>
          <w:i/>
          <w:sz w:val="20"/>
          <w:szCs w:val="20"/>
        </w:rPr>
        <w:t>Surs</w:t>
      </w:r>
      <w:r w:rsidR="004900B6">
        <w:rPr>
          <w:rFonts w:ascii="Times New Roman" w:hAnsi="Times New Roman" w:cs="Times New Roman"/>
          <w:b/>
          <w:i/>
          <w:sz w:val="20"/>
          <w:szCs w:val="20"/>
        </w:rPr>
        <w:t>ă</w:t>
      </w:r>
      <w:r w:rsidRPr="00B37A48">
        <w:rPr>
          <w:rFonts w:ascii="Times New Roman" w:hAnsi="Times New Roman" w:cs="Times New Roman"/>
          <w:b/>
          <w:i/>
          <w:sz w:val="20"/>
          <w:szCs w:val="20"/>
        </w:rPr>
        <w:t xml:space="preserve">: </w:t>
      </w:r>
      <w:r w:rsidR="00F27F14" w:rsidRPr="00F27F14">
        <w:rPr>
          <w:rFonts w:ascii="Times New Roman" w:hAnsi="Times New Roman" w:cs="Times New Roman"/>
          <w:i/>
          <w:sz w:val="20"/>
          <w:szCs w:val="20"/>
        </w:rPr>
        <w:t xml:space="preserve">Date generalizate de </w:t>
      </w:r>
      <w:r w:rsidR="004900B6">
        <w:rPr>
          <w:rFonts w:ascii="Times New Roman" w:hAnsi="Times New Roman" w:cs="Times New Roman"/>
          <w:i/>
          <w:sz w:val="20"/>
          <w:szCs w:val="20"/>
        </w:rPr>
        <w:t>echipa de</w:t>
      </w:r>
      <w:r w:rsidR="00F27F14" w:rsidRPr="00F27F14">
        <w:rPr>
          <w:rFonts w:ascii="Times New Roman" w:hAnsi="Times New Roman" w:cs="Times New Roman"/>
          <w:i/>
          <w:sz w:val="20"/>
          <w:szCs w:val="20"/>
        </w:rPr>
        <w:t xml:space="preserve"> audit din</w:t>
      </w:r>
      <w:r w:rsidR="00F27F14">
        <w:rPr>
          <w:rFonts w:ascii="Times New Roman" w:hAnsi="Times New Roman" w:cs="Times New Roman"/>
          <w:b/>
          <w:i/>
          <w:sz w:val="20"/>
          <w:szCs w:val="20"/>
        </w:rPr>
        <w:t xml:space="preserve"> </w:t>
      </w:r>
      <w:r w:rsidR="00FE3D16" w:rsidRPr="00B37A48">
        <w:rPr>
          <w:rFonts w:ascii="Times New Roman" w:hAnsi="Times New Roman" w:cs="Times New Roman"/>
          <w:i/>
          <w:sz w:val="20"/>
          <w:szCs w:val="20"/>
        </w:rPr>
        <w:t>Raportul privind executarea bugetului de stat pe anul 2017, F</w:t>
      </w:r>
      <w:r w:rsidR="00FE3D16" w:rsidRPr="00437EF7">
        <w:rPr>
          <w:rFonts w:ascii="Times New Roman" w:hAnsi="Times New Roman" w:cs="Times New Roman"/>
          <w:i/>
          <w:sz w:val="20"/>
          <w:szCs w:val="20"/>
        </w:rPr>
        <w:t>ormularu</w:t>
      </w:r>
      <w:r w:rsidR="00FE3D16" w:rsidRPr="00B37A48">
        <w:rPr>
          <w:rFonts w:ascii="Times New Roman" w:hAnsi="Times New Roman" w:cs="Times New Roman"/>
          <w:i/>
          <w:sz w:val="20"/>
          <w:szCs w:val="20"/>
        </w:rPr>
        <w:t>l nr.4</w:t>
      </w:r>
      <w:r w:rsidRPr="00B37A48">
        <w:rPr>
          <w:rFonts w:ascii="Times New Roman" w:hAnsi="Times New Roman" w:cs="Times New Roman"/>
          <w:i/>
          <w:sz w:val="20"/>
          <w:szCs w:val="20"/>
        </w:rPr>
        <w:t>.</w:t>
      </w:r>
    </w:p>
    <w:p w:rsidR="00EA0F07" w:rsidRDefault="00EA0F07" w:rsidP="003A2E8D">
      <w:pPr>
        <w:spacing w:after="0" w:line="276" w:lineRule="auto"/>
        <w:ind w:right="49" w:firstLine="709"/>
        <w:jc w:val="both"/>
        <w:rPr>
          <w:rFonts w:ascii="Times New Roman" w:hAnsi="Times New Roman" w:cs="Times New Roman"/>
          <w:sz w:val="28"/>
          <w:szCs w:val="28"/>
        </w:rPr>
      </w:pPr>
      <w:r>
        <w:rPr>
          <w:rFonts w:ascii="Times New Roman" w:hAnsi="Times New Roman" w:cs="Times New Roman"/>
          <w:sz w:val="28"/>
          <w:szCs w:val="28"/>
        </w:rPr>
        <w:t>De asemenea</w:t>
      </w:r>
      <w:r w:rsidR="00F27F14">
        <w:rPr>
          <w:rFonts w:ascii="Times New Roman" w:hAnsi="Times New Roman" w:cs="Times New Roman"/>
          <w:sz w:val="28"/>
          <w:szCs w:val="28"/>
        </w:rPr>
        <w:t>,</w:t>
      </w:r>
      <w:r>
        <w:rPr>
          <w:rFonts w:ascii="Times New Roman" w:hAnsi="Times New Roman" w:cs="Times New Roman"/>
          <w:sz w:val="28"/>
          <w:szCs w:val="28"/>
        </w:rPr>
        <w:t xml:space="preserve"> analiza </w:t>
      </w:r>
      <w:r w:rsidR="00F27F14">
        <w:rPr>
          <w:rFonts w:ascii="Times New Roman" w:hAnsi="Times New Roman" w:cs="Times New Roman"/>
          <w:sz w:val="28"/>
          <w:szCs w:val="28"/>
        </w:rPr>
        <w:t>auditului privind gradul d</w:t>
      </w:r>
      <w:r>
        <w:rPr>
          <w:rFonts w:ascii="Times New Roman" w:hAnsi="Times New Roman" w:cs="Times New Roman"/>
          <w:sz w:val="28"/>
          <w:szCs w:val="28"/>
        </w:rPr>
        <w:t xml:space="preserve">e executare a alocațiilor conform </w:t>
      </w:r>
      <w:r w:rsidRPr="00F426DF">
        <w:rPr>
          <w:rFonts w:ascii="Times New Roman" w:hAnsi="Times New Roman" w:cs="Times New Roman"/>
          <w:sz w:val="28"/>
          <w:szCs w:val="28"/>
        </w:rPr>
        <w:t>clasificației funcționale d</w:t>
      </w:r>
      <w:r>
        <w:rPr>
          <w:rFonts w:ascii="Times New Roman" w:hAnsi="Times New Roman" w:cs="Times New Roman"/>
          <w:sz w:val="28"/>
          <w:szCs w:val="28"/>
        </w:rPr>
        <w:t>enotă că cel mai scăzut nivel de executare a fost constatat la „Serviciile în domeniul economiei” – 51,1%, „Cultură, sport, tinere</w:t>
      </w:r>
      <w:r w:rsidR="00F27F14">
        <w:rPr>
          <w:rFonts w:ascii="Times New Roman" w:hAnsi="Times New Roman" w:cs="Times New Roman"/>
          <w:sz w:val="28"/>
          <w:szCs w:val="28"/>
        </w:rPr>
        <w:t xml:space="preserve">t, culte și odihnă” </w:t>
      </w:r>
      <w:r w:rsidR="004900B6">
        <w:rPr>
          <w:rFonts w:ascii="Times New Roman" w:hAnsi="Times New Roman" w:cs="Times New Roman"/>
          <w:sz w:val="28"/>
          <w:szCs w:val="28"/>
        </w:rPr>
        <w:t>–</w:t>
      </w:r>
      <w:r w:rsidR="00F27F14">
        <w:rPr>
          <w:rFonts w:ascii="Times New Roman" w:hAnsi="Times New Roman" w:cs="Times New Roman"/>
          <w:sz w:val="28"/>
          <w:szCs w:val="28"/>
        </w:rPr>
        <w:t xml:space="preserve"> 70,0% etc.</w:t>
      </w:r>
      <w:r>
        <w:rPr>
          <w:rFonts w:ascii="Times New Roman" w:hAnsi="Times New Roman" w:cs="Times New Roman"/>
          <w:sz w:val="28"/>
          <w:szCs w:val="28"/>
        </w:rPr>
        <w:t xml:space="preserve"> </w:t>
      </w:r>
      <w:r w:rsidR="00F27F14" w:rsidRPr="00786B36">
        <w:rPr>
          <w:rFonts w:ascii="Times New Roman" w:hAnsi="Times New Roman" w:cs="Times New Roman"/>
          <w:i/>
          <w:sz w:val="28"/>
          <w:szCs w:val="28"/>
        </w:rPr>
        <w:t>S</w:t>
      </w:r>
      <w:r w:rsidRPr="00786B36">
        <w:rPr>
          <w:rFonts w:ascii="Times New Roman" w:hAnsi="Times New Roman" w:cs="Times New Roman"/>
          <w:i/>
          <w:sz w:val="28"/>
          <w:szCs w:val="28"/>
        </w:rPr>
        <w:t xml:space="preserve">ituația </w:t>
      </w:r>
      <w:r w:rsidR="00F27F14" w:rsidRPr="00786B36">
        <w:rPr>
          <w:rFonts w:ascii="Times New Roman" w:hAnsi="Times New Roman" w:cs="Times New Roman"/>
          <w:i/>
          <w:sz w:val="28"/>
          <w:szCs w:val="28"/>
        </w:rPr>
        <w:t>analizată este</w:t>
      </w:r>
      <w:r w:rsidRPr="00786B36">
        <w:rPr>
          <w:rFonts w:ascii="Times New Roman" w:hAnsi="Times New Roman" w:cs="Times New Roman"/>
          <w:i/>
          <w:sz w:val="28"/>
          <w:szCs w:val="28"/>
        </w:rPr>
        <w:t xml:space="preserve"> prezentată în</w:t>
      </w:r>
      <w:r>
        <w:rPr>
          <w:rFonts w:ascii="Times New Roman" w:hAnsi="Times New Roman" w:cs="Times New Roman"/>
          <w:sz w:val="28"/>
          <w:szCs w:val="28"/>
        </w:rPr>
        <w:t xml:space="preserve"> </w:t>
      </w:r>
      <w:r>
        <w:rPr>
          <w:rFonts w:ascii="Times New Roman" w:hAnsi="Times New Roman" w:cs="Times New Roman"/>
          <w:i/>
          <w:sz w:val="28"/>
          <w:szCs w:val="28"/>
        </w:rPr>
        <w:t>Diagram</w:t>
      </w:r>
      <w:r w:rsidRPr="004035D8">
        <w:rPr>
          <w:rFonts w:ascii="Times New Roman" w:hAnsi="Times New Roman" w:cs="Times New Roman"/>
          <w:i/>
          <w:sz w:val="28"/>
          <w:szCs w:val="28"/>
        </w:rPr>
        <w:t>a nr.</w:t>
      </w:r>
      <w:r w:rsidR="00786B36">
        <w:rPr>
          <w:rFonts w:ascii="Times New Roman" w:hAnsi="Times New Roman" w:cs="Times New Roman"/>
          <w:i/>
          <w:sz w:val="28"/>
          <w:szCs w:val="28"/>
        </w:rPr>
        <w:t>3 din Anexa nr.4 la prezentul Raport</w:t>
      </w:r>
      <w:r w:rsidR="004900B6">
        <w:rPr>
          <w:rFonts w:ascii="Times New Roman" w:hAnsi="Times New Roman" w:cs="Times New Roman"/>
          <w:i/>
          <w:sz w:val="28"/>
          <w:szCs w:val="28"/>
        </w:rPr>
        <w:t xml:space="preserve"> de audit</w:t>
      </w:r>
      <w:r w:rsidRPr="004035D8">
        <w:rPr>
          <w:rFonts w:ascii="Times New Roman" w:hAnsi="Times New Roman" w:cs="Times New Roman"/>
          <w:i/>
          <w:sz w:val="28"/>
          <w:szCs w:val="28"/>
        </w:rPr>
        <w:t>.</w:t>
      </w:r>
      <w:r w:rsidR="00764D6E">
        <w:rPr>
          <w:rFonts w:ascii="Times New Roman" w:hAnsi="Times New Roman" w:cs="Times New Roman"/>
          <w:sz w:val="28"/>
          <w:szCs w:val="28"/>
        </w:rPr>
        <w:t xml:space="preserve"> </w:t>
      </w:r>
    </w:p>
    <w:p w:rsidR="00EA0F07" w:rsidRDefault="00F27F14" w:rsidP="003A2E8D">
      <w:pPr>
        <w:spacing w:after="0" w:line="276" w:lineRule="auto"/>
        <w:ind w:right="49" w:firstLine="709"/>
        <w:jc w:val="both"/>
        <w:rPr>
          <w:rFonts w:ascii="Times New Roman" w:hAnsi="Times New Roman" w:cs="Times New Roman"/>
          <w:sz w:val="28"/>
          <w:szCs w:val="28"/>
        </w:rPr>
      </w:pPr>
      <w:r>
        <w:rPr>
          <w:rFonts w:ascii="Times New Roman" w:hAnsi="Times New Roman" w:cs="Times New Roman"/>
          <w:sz w:val="28"/>
          <w:szCs w:val="28"/>
        </w:rPr>
        <w:t>În baza v</w:t>
      </w:r>
      <w:r w:rsidR="00EA0F07">
        <w:rPr>
          <w:rFonts w:ascii="Times New Roman" w:hAnsi="Times New Roman" w:cs="Times New Roman"/>
          <w:sz w:val="28"/>
          <w:szCs w:val="28"/>
        </w:rPr>
        <w:t>erificăril</w:t>
      </w:r>
      <w:r>
        <w:rPr>
          <w:rFonts w:ascii="Times New Roman" w:hAnsi="Times New Roman" w:cs="Times New Roman"/>
          <w:sz w:val="28"/>
          <w:szCs w:val="28"/>
        </w:rPr>
        <w:t>or efectuate,</w:t>
      </w:r>
      <w:r w:rsidR="00EA0F07">
        <w:rPr>
          <w:rFonts w:ascii="Times New Roman" w:hAnsi="Times New Roman" w:cs="Times New Roman"/>
          <w:sz w:val="28"/>
          <w:szCs w:val="28"/>
        </w:rPr>
        <w:t xml:space="preserve"> auditul denotă că</w:t>
      </w:r>
      <w:r>
        <w:rPr>
          <w:rFonts w:ascii="Times New Roman" w:hAnsi="Times New Roman" w:cs="Times New Roman"/>
          <w:sz w:val="28"/>
          <w:szCs w:val="28"/>
        </w:rPr>
        <w:t>,</w:t>
      </w:r>
      <w:r w:rsidR="00EA0F07">
        <w:rPr>
          <w:rFonts w:ascii="Times New Roman" w:hAnsi="Times New Roman" w:cs="Times New Roman"/>
          <w:sz w:val="28"/>
          <w:szCs w:val="28"/>
        </w:rPr>
        <w:t xml:space="preserve"> pe parcursul anului 2017</w:t>
      </w:r>
      <w:r>
        <w:rPr>
          <w:rFonts w:ascii="Times New Roman" w:hAnsi="Times New Roman" w:cs="Times New Roman"/>
          <w:sz w:val="28"/>
          <w:szCs w:val="28"/>
        </w:rPr>
        <w:t>,</w:t>
      </w:r>
      <w:r w:rsidR="00EA0F07">
        <w:rPr>
          <w:rFonts w:ascii="Times New Roman" w:hAnsi="Times New Roman" w:cs="Times New Roman"/>
          <w:sz w:val="28"/>
          <w:szCs w:val="28"/>
        </w:rPr>
        <w:t xml:space="preserve"> d</w:t>
      </w:r>
      <w:r w:rsidR="00EA0F07" w:rsidRPr="001B387C">
        <w:rPr>
          <w:rFonts w:ascii="Times New Roman" w:hAnsi="Times New Roman" w:cs="Times New Roman"/>
          <w:sz w:val="28"/>
          <w:szCs w:val="28"/>
        </w:rPr>
        <w:t xml:space="preserve">in totalul </w:t>
      </w:r>
      <w:r w:rsidR="00EA0F07">
        <w:rPr>
          <w:rFonts w:ascii="Times New Roman" w:hAnsi="Times New Roman" w:cs="Times New Roman"/>
          <w:sz w:val="28"/>
          <w:szCs w:val="28"/>
        </w:rPr>
        <w:t xml:space="preserve">obiectelor investiționale aprobate inițial în </w:t>
      </w:r>
      <w:r>
        <w:rPr>
          <w:rFonts w:ascii="Times New Roman" w:hAnsi="Times New Roman" w:cs="Times New Roman"/>
          <w:sz w:val="28"/>
          <w:szCs w:val="28"/>
        </w:rPr>
        <w:t>L</w:t>
      </w:r>
      <w:r w:rsidR="00EA0F07">
        <w:rPr>
          <w:rFonts w:ascii="Times New Roman" w:hAnsi="Times New Roman" w:cs="Times New Roman"/>
          <w:sz w:val="28"/>
          <w:szCs w:val="28"/>
        </w:rPr>
        <w:t>egea bugetului de stat pentru anul 2017</w:t>
      </w:r>
      <w:r>
        <w:rPr>
          <w:rFonts w:ascii="Times New Roman" w:hAnsi="Times New Roman" w:cs="Times New Roman"/>
          <w:sz w:val="28"/>
          <w:szCs w:val="28"/>
        </w:rPr>
        <w:t>,</w:t>
      </w:r>
      <w:r w:rsidR="00EA0F07">
        <w:rPr>
          <w:rFonts w:ascii="Times New Roman" w:hAnsi="Times New Roman" w:cs="Times New Roman"/>
          <w:sz w:val="28"/>
          <w:szCs w:val="28"/>
        </w:rPr>
        <w:t xml:space="preserve"> au fost excluse 5 obiecte investiționale în sumă totală de 226,9 mil.lei </w:t>
      </w:r>
      <w:r w:rsidR="00EA0F07" w:rsidRPr="00AE140F">
        <w:rPr>
          <w:rFonts w:ascii="Times New Roman" w:hAnsi="Times New Roman" w:cs="Times New Roman"/>
          <w:sz w:val="28"/>
          <w:szCs w:val="28"/>
        </w:rPr>
        <w:t>(„Modernizarea</w:t>
      </w:r>
      <w:r w:rsidR="00764D6E" w:rsidRPr="00AE140F">
        <w:rPr>
          <w:rFonts w:ascii="Times New Roman" w:hAnsi="Times New Roman" w:cs="Times New Roman"/>
          <w:sz w:val="28"/>
          <w:szCs w:val="28"/>
        </w:rPr>
        <w:t xml:space="preserve"> </w:t>
      </w:r>
      <w:r w:rsidR="00EA0F07" w:rsidRPr="00AE140F">
        <w:rPr>
          <w:rFonts w:ascii="Times New Roman" w:hAnsi="Times New Roman" w:cs="Times New Roman"/>
          <w:sz w:val="28"/>
          <w:szCs w:val="28"/>
        </w:rPr>
        <w:t xml:space="preserve">sistemului termoenergetic al mun. Bălți”; „Îmbunătățirea alimentării cu apă în regiunea de nord”; „Construcția sediului Inspectoratului Fiscal Principal de Stat mun. Chișinău”; „Reconstrucția și modernizarea clădirii Centrului de Excelență în Industria Ușoară mun. Chișinău”; „Construcția anexei la clădirea </w:t>
      </w:r>
      <w:r w:rsidRPr="00AE140F">
        <w:rPr>
          <w:rFonts w:ascii="Times New Roman" w:hAnsi="Times New Roman" w:cs="Times New Roman"/>
          <w:sz w:val="28"/>
          <w:szCs w:val="28"/>
        </w:rPr>
        <w:t>C</w:t>
      </w:r>
      <w:r w:rsidR="00EA0F07" w:rsidRPr="00AE140F">
        <w:rPr>
          <w:rFonts w:ascii="Times New Roman" w:hAnsi="Times New Roman" w:cs="Times New Roman"/>
          <w:sz w:val="28"/>
          <w:szCs w:val="28"/>
        </w:rPr>
        <w:t xml:space="preserve">entrului de </w:t>
      </w:r>
      <w:r w:rsidR="00EA0F07" w:rsidRPr="00AE140F">
        <w:rPr>
          <w:rFonts w:ascii="Times New Roman" w:hAnsi="Times New Roman" w:cs="Times New Roman"/>
          <w:sz w:val="28"/>
          <w:szCs w:val="28"/>
        </w:rPr>
        <w:lastRenderedPageBreak/>
        <w:t>Sănătate Publică mun. Chișinău”</w:t>
      </w:r>
      <w:r w:rsidR="00B37A48">
        <w:rPr>
          <w:rFonts w:ascii="Times New Roman" w:hAnsi="Times New Roman" w:cs="Times New Roman"/>
          <w:sz w:val="28"/>
          <w:szCs w:val="28"/>
        </w:rPr>
        <w:t xml:space="preserve">). </w:t>
      </w:r>
      <w:r w:rsidR="00EA0F07">
        <w:rPr>
          <w:rFonts w:ascii="Times New Roman" w:hAnsi="Times New Roman" w:cs="Times New Roman"/>
          <w:sz w:val="28"/>
          <w:szCs w:val="28"/>
        </w:rPr>
        <w:t xml:space="preserve">Excluderea acestor obiecte pe parcursul anului 2017 a fost determinată de: </w:t>
      </w:r>
    </w:p>
    <w:p w:rsidR="00EA0F07" w:rsidRPr="00065492" w:rsidRDefault="00EA0F07" w:rsidP="003F12B5">
      <w:pPr>
        <w:pStyle w:val="a5"/>
        <w:numPr>
          <w:ilvl w:val="0"/>
          <w:numId w:val="6"/>
        </w:numPr>
        <w:tabs>
          <w:tab w:val="left" w:pos="1134"/>
        </w:tabs>
        <w:spacing w:after="0" w:line="276" w:lineRule="auto"/>
        <w:ind w:left="0" w:right="49" w:firstLine="709"/>
        <w:jc w:val="both"/>
        <w:rPr>
          <w:rFonts w:ascii="Times New Roman" w:hAnsi="Times New Roman" w:cs="Times New Roman"/>
          <w:sz w:val="28"/>
          <w:szCs w:val="28"/>
        </w:rPr>
      </w:pPr>
      <w:r w:rsidRPr="00065492">
        <w:rPr>
          <w:rFonts w:ascii="Times New Roman" w:hAnsi="Times New Roman" w:cs="Times New Roman"/>
          <w:sz w:val="28"/>
          <w:szCs w:val="28"/>
        </w:rPr>
        <w:t xml:space="preserve">lipsa informației privind mecanismul de implementare a </w:t>
      </w:r>
      <w:r>
        <w:rPr>
          <w:rFonts w:ascii="Times New Roman" w:hAnsi="Times New Roman" w:cs="Times New Roman"/>
          <w:sz w:val="28"/>
          <w:szCs w:val="28"/>
        </w:rPr>
        <w:t>P</w:t>
      </w:r>
      <w:r w:rsidRPr="00065492">
        <w:rPr>
          <w:rFonts w:ascii="Times New Roman" w:hAnsi="Times New Roman" w:cs="Times New Roman"/>
          <w:sz w:val="28"/>
          <w:szCs w:val="28"/>
        </w:rPr>
        <w:t xml:space="preserve">roiectului </w:t>
      </w:r>
      <w:r w:rsidR="001145E3">
        <w:rPr>
          <w:rFonts w:ascii="Times New Roman" w:hAnsi="Times New Roman" w:cs="Times New Roman"/>
          <w:sz w:val="28"/>
          <w:szCs w:val="28"/>
        </w:rPr>
        <w:t>„</w:t>
      </w:r>
      <w:r w:rsidRPr="00065492">
        <w:rPr>
          <w:rFonts w:ascii="Times New Roman" w:hAnsi="Times New Roman" w:cs="Times New Roman"/>
          <w:sz w:val="28"/>
          <w:szCs w:val="28"/>
        </w:rPr>
        <w:t>Modernizarea sistemului termoenergetic al mun. Bălți</w:t>
      </w:r>
      <w:r w:rsidR="001145E3">
        <w:rPr>
          <w:rFonts w:ascii="Times New Roman" w:hAnsi="Times New Roman" w:cs="Times New Roman"/>
          <w:sz w:val="28"/>
          <w:szCs w:val="28"/>
        </w:rPr>
        <w:t>”</w:t>
      </w:r>
      <w:r w:rsidRPr="00065492">
        <w:rPr>
          <w:rFonts w:ascii="Times New Roman" w:hAnsi="Times New Roman" w:cs="Times New Roman"/>
          <w:sz w:val="28"/>
          <w:szCs w:val="28"/>
        </w:rPr>
        <w:t xml:space="preserve">; </w:t>
      </w:r>
    </w:p>
    <w:p w:rsidR="00EA0F07" w:rsidRDefault="00EA0F07" w:rsidP="003F12B5">
      <w:pPr>
        <w:pStyle w:val="a5"/>
        <w:numPr>
          <w:ilvl w:val="0"/>
          <w:numId w:val="6"/>
        </w:numPr>
        <w:tabs>
          <w:tab w:val="left" w:pos="1134"/>
        </w:tabs>
        <w:spacing w:after="0" w:line="276" w:lineRule="auto"/>
        <w:ind w:left="0" w:right="49" w:firstLine="709"/>
        <w:jc w:val="both"/>
        <w:rPr>
          <w:rFonts w:ascii="Times New Roman" w:hAnsi="Times New Roman" w:cs="Times New Roman"/>
          <w:sz w:val="28"/>
          <w:szCs w:val="28"/>
        </w:rPr>
      </w:pPr>
      <w:r w:rsidRPr="00065492">
        <w:rPr>
          <w:rFonts w:ascii="Times New Roman" w:hAnsi="Times New Roman" w:cs="Times New Roman"/>
          <w:sz w:val="28"/>
          <w:szCs w:val="28"/>
        </w:rPr>
        <w:t xml:space="preserve">nerealizarea componentelor stabilite în acordurile de </w:t>
      </w:r>
      <w:r w:rsidRPr="00AE140F">
        <w:rPr>
          <w:rFonts w:ascii="Times New Roman" w:hAnsi="Times New Roman" w:cs="Times New Roman"/>
          <w:sz w:val="28"/>
          <w:szCs w:val="28"/>
        </w:rPr>
        <w:t>împrumut pentru Proiectul „Îmbunătățirea alimentării cu apă în regiunea de nord”</w:t>
      </w:r>
      <w:r w:rsidRPr="00065492">
        <w:rPr>
          <w:rFonts w:ascii="Times New Roman" w:hAnsi="Times New Roman" w:cs="Times New Roman"/>
          <w:sz w:val="28"/>
          <w:szCs w:val="28"/>
        </w:rPr>
        <w:t>, încheiate cu BERD și BEI în iulie 2014. Astfel, nu a fost stabilită politica tarifară în sector, nu a</w:t>
      </w:r>
      <w:r>
        <w:rPr>
          <w:rFonts w:ascii="Times New Roman" w:hAnsi="Times New Roman" w:cs="Times New Roman"/>
          <w:sz w:val="28"/>
          <w:szCs w:val="28"/>
        </w:rPr>
        <w:t>u</w:t>
      </w:r>
      <w:r w:rsidRPr="00065492">
        <w:rPr>
          <w:rFonts w:ascii="Times New Roman" w:hAnsi="Times New Roman" w:cs="Times New Roman"/>
          <w:sz w:val="28"/>
          <w:szCs w:val="28"/>
        </w:rPr>
        <w:t xml:space="preserve"> fost soluționate datoriile istorice ale operatorilor regionali existenți și nu a fost instituit operatorul regional pentru cele 7 raioane menționate în </w:t>
      </w:r>
      <w:r>
        <w:rPr>
          <w:rFonts w:ascii="Times New Roman" w:hAnsi="Times New Roman" w:cs="Times New Roman"/>
          <w:sz w:val="28"/>
          <w:szCs w:val="28"/>
        </w:rPr>
        <w:t>A</w:t>
      </w:r>
      <w:r w:rsidRPr="00065492">
        <w:rPr>
          <w:rFonts w:ascii="Times New Roman" w:hAnsi="Times New Roman" w:cs="Times New Roman"/>
          <w:sz w:val="28"/>
          <w:szCs w:val="28"/>
        </w:rPr>
        <w:t>cord (Soroca, Florești, Telenești, S</w:t>
      </w:r>
      <w:r w:rsidR="004900B6">
        <w:rPr>
          <w:rFonts w:ascii="Times New Roman" w:hAnsi="Times New Roman" w:cs="Times New Roman"/>
          <w:sz w:val="28"/>
          <w:szCs w:val="28"/>
        </w:rPr>
        <w:t>â</w:t>
      </w:r>
      <w:r w:rsidRPr="00065492">
        <w:rPr>
          <w:rFonts w:ascii="Times New Roman" w:hAnsi="Times New Roman" w:cs="Times New Roman"/>
          <w:sz w:val="28"/>
          <w:szCs w:val="28"/>
        </w:rPr>
        <w:t>ngerei, Drochia, R</w:t>
      </w:r>
      <w:r w:rsidR="004900B6">
        <w:rPr>
          <w:rFonts w:ascii="Times New Roman" w:hAnsi="Times New Roman" w:cs="Times New Roman"/>
          <w:sz w:val="28"/>
          <w:szCs w:val="28"/>
        </w:rPr>
        <w:t>â</w:t>
      </w:r>
      <w:r w:rsidRPr="00065492">
        <w:rPr>
          <w:rFonts w:ascii="Times New Roman" w:hAnsi="Times New Roman" w:cs="Times New Roman"/>
          <w:sz w:val="28"/>
          <w:szCs w:val="28"/>
        </w:rPr>
        <w:t>șcani și mun. Bălți</w:t>
      </w:r>
      <w:r>
        <w:rPr>
          <w:rFonts w:ascii="Times New Roman" w:hAnsi="Times New Roman" w:cs="Times New Roman"/>
          <w:sz w:val="28"/>
          <w:szCs w:val="28"/>
        </w:rPr>
        <w:t>)</w:t>
      </w:r>
      <w:r w:rsidRPr="00065492">
        <w:rPr>
          <w:rFonts w:ascii="Times New Roman" w:hAnsi="Times New Roman" w:cs="Times New Roman"/>
          <w:sz w:val="28"/>
          <w:szCs w:val="28"/>
        </w:rPr>
        <w:t>. Potrivit informației MF</w:t>
      </w:r>
      <w:r w:rsidR="00F27F14">
        <w:rPr>
          <w:rFonts w:ascii="Times New Roman" w:hAnsi="Times New Roman" w:cs="Times New Roman"/>
          <w:sz w:val="28"/>
          <w:szCs w:val="28"/>
        </w:rPr>
        <w:t>,</w:t>
      </w:r>
      <w:r w:rsidRPr="00065492">
        <w:rPr>
          <w:rFonts w:ascii="Times New Roman" w:hAnsi="Times New Roman" w:cs="Times New Roman"/>
          <w:sz w:val="28"/>
          <w:szCs w:val="28"/>
        </w:rPr>
        <w:t xml:space="preserve"> din cauza nerealizării integrale a condițiilor stipulate, </w:t>
      </w:r>
      <w:r>
        <w:rPr>
          <w:rFonts w:ascii="Times New Roman" w:hAnsi="Times New Roman" w:cs="Times New Roman"/>
          <w:sz w:val="28"/>
          <w:szCs w:val="28"/>
        </w:rPr>
        <w:t>P</w:t>
      </w:r>
      <w:r w:rsidRPr="00065492">
        <w:rPr>
          <w:rFonts w:ascii="Times New Roman" w:hAnsi="Times New Roman" w:cs="Times New Roman"/>
          <w:sz w:val="28"/>
          <w:szCs w:val="28"/>
        </w:rPr>
        <w:t>roiectul nominalizat nu a fost demarat</w:t>
      </w:r>
      <w:r w:rsidR="004900B6">
        <w:rPr>
          <w:rFonts w:ascii="Times New Roman" w:hAnsi="Times New Roman" w:cs="Times New Roman"/>
          <w:sz w:val="28"/>
          <w:szCs w:val="28"/>
        </w:rPr>
        <w:t>, iar</w:t>
      </w:r>
      <w:r w:rsidRPr="00065492">
        <w:rPr>
          <w:rFonts w:ascii="Times New Roman" w:hAnsi="Times New Roman" w:cs="Times New Roman"/>
          <w:sz w:val="28"/>
          <w:szCs w:val="28"/>
        </w:rPr>
        <w:t xml:space="preserve"> prin </w:t>
      </w:r>
      <w:r>
        <w:rPr>
          <w:rFonts w:ascii="Times New Roman" w:hAnsi="Times New Roman" w:cs="Times New Roman"/>
          <w:sz w:val="28"/>
          <w:szCs w:val="28"/>
        </w:rPr>
        <w:t>S</w:t>
      </w:r>
      <w:r w:rsidRPr="00065492">
        <w:rPr>
          <w:rFonts w:ascii="Times New Roman" w:hAnsi="Times New Roman" w:cs="Times New Roman"/>
          <w:sz w:val="28"/>
          <w:szCs w:val="28"/>
        </w:rPr>
        <w:t xml:space="preserve">crisoarea </w:t>
      </w:r>
      <w:r w:rsidR="00F27F14">
        <w:rPr>
          <w:rFonts w:ascii="Times New Roman" w:hAnsi="Times New Roman" w:cs="Times New Roman"/>
          <w:sz w:val="28"/>
          <w:szCs w:val="28"/>
        </w:rPr>
        <w:t>MF</w:t>
      </w:r>
      <w:r w:rsidRPr="00065492">
        <w:rPr>
          <w:rFonts w:ascii="Times New Roman" w:hAnsi="Times New Roman" w:cs="Times New Roman"/>
          <w:sz w:val="28"/>
          <w:szCs w:val="28"/>
        </w:rPr>
        <w:t xml:space="preserve"> nr.11/1-07/29 din 22.01.2018 </w:t>
      </w:r>
      <w:r w:rsidR="004900B6" w:rsidRPr="00065492">
        <w:rPr>
          <w:rFonts w:ascii="Times New Roman" w:hAnsi="Times New Roman" w:cs="Times New Roman"/>
          <w:sz w:val="28"/>
          <w:szCs w:val="28"/>
        </w:rPr>
        <w:t xml:space="preserve">către donatori </w:t>
      </w:r>
      <w:r>
        <w:rPr>
          <w:rFonts w:ascii="Times New Roman" w:hAnsi="Times New Roman" w:cs="Times New Roman"/>
          <w:sz w:val="28"/>
          <w:szCs w:val="28"/>
        </w:rPr>
        <w:t>P</w:t>
      </w:r>
      <w:r w:rsidRPr="00065492">
        <w:rPr>
          <w:rFonts w:ascii="Times New Roman" w:hAnsi="Times New Roman" w:cs="Times New Roman"/>
          <w:sz w:val="28"/>
          <w:szCs w:val="28"/>
        </w:rPr>
        <w:t>roiectul a fost stopat</w:t>
      </w:r>
      <w:r w:rsidR="00CD2FB5">
        <w:rPr>
          <w:rFonts w:ascii="Times New Roman" w:hAnsi="Times New Roman" w:cs="Times New Roman"/>
          <w:sz w:val="28"/>
          <w:szCs w:val="28"/>
        </w:rPr>
        <w:t>;</w:t>
      </w:r>
      <w:r w:rsidRPr="00065492">
        <w:rPr>
          <w:rFonts w:ascii="Times New Roman" w:hAnsi="Times New Roman" w:cs="Times New Roman"/>
          <w:sz w:val="28"/>
          <w:szCs w:val="28"/>
        </w:rPr>
        <w:t xml:space="preserve"> </w:t>
      </w:r>
    </w:p>
    <w:p w:rsidR="00EA0F07" w:rsidRDefault="00EA0F07" w:rsidP="003F12B5">
      <w:pPr>
        <w:pStyle w:val="a5"/>
        <w:numPr>
          <w:ilvl w:val="0"/>
          <w:numId w:val="6"/>
        </w:numPr>
        <w:tabs>
          <w:tab w:val="left" w:pos="1134"/>
        </w:tabs>
        <w:spacing w:after="0" w:line="276" w:lineRule="auto"/>
        <w:ind w:left="0" w:right="49" w:firstLine="709"/>
        <w:jc w:val="both"/>
        <w:rPr>
          <w:rFonts w:ascii="Times New Roman" w:hAnsi="Times New Roman" w:cs="Times New Roman"/>
          <w:sz w:val="28"/>
          <w:szCs w:val="28"/>
        </w:rPr>
      </w:pPr>
      <w:r w:rsidRPr="00065492">
        <w:rPr>
          <w:rFonts w:ascii="Times New Roman" w:hAnsi="Times New Roman" w:cs="Times New Roman"/>
          <w:sz w:val="28"/>
          <w:szCs w:val="28"/>
        </w:rPr>
        <w:t xml:space="preserve">lipsa expertizei tehnice a obiectului investițional la data prezentării/înaintării propunerilor </w:t>
      </w:r>
      <w:r w:rsidR="00CD2FB5">
        <w:rPr>
          <w:rFonts w:ascii="Times New Roman" w:hAnsi="Times New Roman" w:cs="Times New Roman"/>
          <w:sz w:val="28"/>
          <w:szCs w:val="28"/>
        </w:rPr>
        <w:t xml:space="preserve">aferente </w:t>
      </w:r>
      <w:r w:rsidRPr="00065492">
        <w:rPr>
          <w:rFonts w:ascii="Times New Roman" w:hAnsi="Times New Roman" w:cs="Times New Roman"/>
          <w:sz w:val="28"/>
          <w:szCs w:val="28"/>
        </w:rPr>
        <w:t xml:space="preserve">proiectelor de investiții capitale pentru finanțare în anul 2017; </w:t>
      </w:r>
    </w:p>
    <w:p w:rsidR="00EA0F07" w:rsidRDefault="00EA0F07" w:rsidP="003F12B5">
      <w:pPr>
        <w:pStyle w:val="a5"/>
        <w:numPr>
          <w:ilvl w:val="0"/>
          <w:numId w:val="6"/>
        </w:numPr>
        <w:tabs>
          <w:tab w:val="left" w:pos="1134"/>
        </w:tabs>
        <w:spacing w:after="0" w:line="276" w:lineRule="auto"/>
        <w:ind w:left="0" w:right="49" w:firstLine="709"/>
        <w:jc w:val="both"/>
        <w:rPr>
          <w:rFonts w:ascii="Times New Roman" w:hAnsi="Times New Roman" w:cs="Times New Roman"/>
          <w:sz w:val="28"/>
          <w:szCs w:val="28"/>
        </w:rPr>
      </w:pPr>
      <w:r w:rsidRPr="00065492">
        <w:rPr>
          <w:rFonts w:ascii="Times New Roman" w:hAnsi="Times New Roman" w:cs="Times New Roman"/>
          <w:sz w:val="28"/>
          <w:szCs w:val="28"/>
        </w:rPr>
        <w:t>lipsa terenului atribuit pentru construcția sediului nou</w:t>
      </w:r>
      <w:r w:rsidR="001145E3">
        <w:rPr>
          <w:rFonts w:ascii="Times New Roman" w:hAnsi="Times New Roman" w:cs="Times New Roman"/>
          <w:sz w:val="28"/>
          <w:szCs w:val="28"/>
        </w:rPr>
        <w:t xml:space="preserve"> al Inspectoratului Fiscal Principal de Stat</w:t>
      </w:r>
      <w:r w:rsidRPr="00065492">
        <w:rPr>
          <w:rFonts w:ascii="Times New Roman" w:hAnsi="Times New Roman" w:cs="Times New Roman"/>
          <w:sz w:val="28"/>
          <w:szCs w:val="28"/>
        </w:rPr>
        <w:t xml:space="preserve">; </w:t>
      </w:r>
    </w:p>
    <w:p w:rsidR="00EA0F07" w:rsidRPr="00065492" w:rsidRDefault="00EA0F07" w:rsidP="003F12B5">
      <w:pPr>
        <w:pStyle w:val="a5"/>
        <w:numPr>
          <w:ilvl w:val="0"/>
          <w:numId w:val="6"/>
        </w:numPr>
        <w:tabs>
          <w:tab w:val="left" w:pos="1134"/>
        </w:tabs>
        <w:spacing w:after="0" w:line="276" w:lineRule="auto"/>
        <w:ind w:left="0" w:right="49" w:firstLine="709"/>
        <w:jc w:val="both"/>
        <w:rPr>
          <w:rFonts w:ascii="Times New Roman" w:hAnsi="Times New Roman" w:cs="Times New Roman"/>
          <w:sz w:val="28"/>
          <w:szCs w:val="28"/>
        </w:rPr>
      </w:pPr>
      <w:r w:rsidRPr="00065492">
        <w:rPr>
          <w:rFonts w:ascii="Times New Roman" w:hAnsi="Times New Roman" w:cs="Times New Roman"/>
          <w:sz w:val="28"/>
          <w:szCs w:val="28"/>
        </w:rPr>
        <w:t>lipsa veniturilor proprii a</w:t>
      </w:r>
      <w:r w:rsidR="00CD2FB5">
        <w:rPr>
          <w:rFonts w:ascii="Times New Roman" w:hAnsi="Times New Roman" w:cs="Times New Roman"/>
          <w:sz w:val="28"/>
          <w:szCs w:val="28"/>
        </w:rPr>
        <w:t>le</w:t>
      </w:r>
      <w:r w:rsidRPr="00065492">
        <w:rPr>
          <w:rFonts w:ascii="Times New Roman" w:hAnsi="Times New Roman" w:cs="Times New Roman"/>
          <w:sz w:val="28"/>
          <w:szCs w:val="28"/>
        </w:rPr>
        <w:t xml:space="preserve"> </w:t>
      </w:r>
      <w:r w:rsidR="001145E3">
        <w:rPr>
          <w:rFonts w:ascii="Times New Roman" w:hAnsi="Times New Roman" w:cs="Times New Roman"/>
          <w:sz w:val="28"/>
          <w:szCs w:val="28"/>
        </w:rPr>
        <w:t>Centrului de Sănătate Publică</w:t>
      </w:r>
      <w:r w:rsidR="00CD2FB5">
        <w:rPr>
          <w:rFonts w:ascii="Times New Roman" w:hAnsi="Times New Roman" w:cs="Times New Roman"/>
          <w:sz w:val="28"/>
          <w:szCs w:val="28"/>
        </w:rPr>
        <w:t>,</w:t>
      </w:r>
      <w:r w:rsidR="001145E3">
        <w:rPr>
          <w:rFonts w:ascii="Times New Roman" w:hAnsi="Times New Roman" w:cs="Times New Roman"/>
          <w:sz w:val="28"/>
          <w:szCs w:val="28"/>
        </w:rPr>
        <w:t xml:space="preserve"> mun. Chișinău</w:t>
      </w:r>
      <w:r w:rsidRPr="00065492">
        <w:rPr>
          <w:rFonts w:ascii="Times New Roman" w:hAnsi="Times New Roman" w:cs="Times New Roman"/>
          <w:sz w:val="28"/>
          <w:szCs w:val="28"/>
        </w:rPr>
        <w:t xml:space="preserve"> pentru obiectul investițional i</w:t>
      </w:r>
      <w:r w:rsidR="001145E3">
        <w:rPr>
          <w:rFonts w:ascii="Times New Roman" w:hAnsi="Times New Roman" w:cs="Times New Roman"/>
          <w:sz w:val="28"/>
          <w:szCs w:val="28"/>
        </w:rPr>
        <w:t>nclus în Legea bugetară anuală.</w:t>
      </w:r>
    </w:p>
    <w:p w:rsidR="00EA0F07" w:rsidRDefault="00EA0F07" w:rsidP="003A2E8D">
      <w:pPr>
        <w:spacing w:after="0" w:line="276" w:lineRule="auto"/>
        <w:ind w:right="49" w:firstLine="709"/>
        <w:jc w:val="both"/>
        <w:rPr>
          <w:rFonts w:ascii="Times New Roman" w:hAnsi="Times New Roman" w:cs="Times New Roman"/>
          <w:sz w:val="28"/>
          <w:szCs w:val="28"/>
        </w:rPr>
      </w:pPr>
      <w:r>
        <w:rPr>
          <w:rFonts w:ascii="Times New Roman" w:hAnsi="Times New Roman" w:cs="Times New Roman"/>
          <w:sz w:val="28"/>
          <w:szCs w:val="28"/>
        </w:rPr>
        <w:t>De asemenea</w:t>
      </w:r>
      <w:r w:rsidR="00E25CC5">
        <w:rPr>
          <w:rFonts w:ascii="Times New Roman" w:hAnsi="Times New Roman" w:cs="Times New Roman"/>
          <w:sz w:val="28"/>
          <w:szCs w:val="28"/>
        </w:rPr>
        <w:t>,</w:t>
      </w:r>
      <w:r>
        <w:rPr>
          <w:rFonts w:ascii="Times New Roman" w:hAnsi="Times New Roman" w:cs="Times New Roman"/>
          <w:sz w:val="28"/>
          <w:szCs w:val="28"/>
        </w:rPr>
        <w:t xml:space="preserve"> s-a constatat că</w:t>
      </w:r>
      <w:r w:rsidR="00CD2FB5">
        <w:rPr>
          <w:rFonts w:ascii="Times New Roman" w:hAnsi="Times New Roman" w:cs="Times New Roman"/>
          <w:sz w:val="28"/>
          <w:szCs w:val="28"/>
        </w:rPr>
        <w:t>,</w:t>
      </w:r>
      <w:r>
        <w:rPr>
          <w:rFonts w:ascii="Times New Roman" w:hAnsi="Times New Roman" w:cs="Times New Roman"/>
          <w:sz w:val="28"/>
          <w:szCs w:val="28"/>
        </w:rPr>
        <w:t xml:space="preserve"> din totalul obiectelor investiționale precizate pentru finanțare în anul 2017</w:t>
      </w:r>
      <w:r w:rsidR="00CD2FB5">
        <w:rPr>
          <w:rFonts w:ascii="Times New Roman" w:hAnsi="Times New Roman" w:cs="Times New Roman"/>
          <w:sz w:val="28"/>
          <w:szCs w:val="28"/>
        </w:rPr>
        <w:t>,</w:t>
      </w:r>
      <w:r>
        <w:rPr>
          <w:rFonts w:ascii="Times New Roman" w:hAnsi="Times New Roman" w:cs="Times New Roman"/>
          <w:sz w:val="28"/>
          <w:szCs w:val="28"/>
        </w:rPr>
        <w:t xml:space="preserve"> </w:t>
      </w:r>
      <w:r w:rsidR="00E25CC5">
        <w:rPr>
          <w:rFonts w:ascii="Times New Roman" w:hAnsi="Times New Roman" w:cs="Times New Roman"/>
          <w:sz w:val="28"/>
          <w:szCs w:val="28"/>
        </w:rPr>
        <w:t>nu au fost finanțate</w:t>
      </w:r>
      <w:r w:rsidRPr="00604E85">
        <w:rPr>
          <w:rFonts w:ascii="Times New Roman" w:hAnsi="Times New Roman" w:cs="Times New Roman"/>
          <w:sz w:val="28"/>
          <w:szCs w:val="28"/>
        </w:rPr>
        <w:t xml:space="preserve"> </w:t>
      </w:r>
      <w:r w:rsidRPr="00AE140F">
        <w:rPr>
          <w:rFonts w:ascii="Times New Roman" w:hAnsi="Times New Roman" w:cs="Times New Roman"/>
          <w:sz w:val="28"/>
          <w:szCs w:val="28"/>
        </w:rPr>
        <w:t>4 obiecte</w:t>
      </w:r>
      <w:r w:rsidRPr="00604E85">
        <w:rPr>
          <w:rFonts w:ascii="Times New Roman" w:hAnsi="Times New Roman" w:cs="Times New Roman"/>
          <w:sz w:val="28"/>
          <w:szCs w:val="28"/>
        </w:rPr>
        <w:t xml:space="preserve"> </w:t>
      </w:r>
      <w:r w:rsidRPr="00AE140F">
        <w:rPr>
          <w:rFonts w:ascii="Times New Roman" w:hAnsi="Times New Roman" w:cs="Times New Roman"/>
          <w:sz w:val="28"/>
          <w:szCs w:val="28"/>
        </w:rPr>
        <w:t>(</w:t>
      </w:r>
      <w:r w:rsidR="00CD2FB5" w:rsidRPr="00AE140F">
        <w:rPr>
          <w:rFonts w:ascii="Times New Roman" w:hAnsi="Times New Roman" w:cs="Times New Roman"/>
          <w:sz w:val="28"/>
          <w:szCs w:val="28"/>
        </w:rPr>
        <w:t>„</w:t>
      </w:r>
      <w:r w:rsidRPr="00AE140F">
        <w:rPr>
          <w:rFonts w:ascii="Times New Roman" w:hAnsi="Times New Roman" w:cs="Times New Roman"/>
          <w:sz w:val="28"/>
          <w:szCs w:val="28"/>
        </w:rPr>
        <w:t>Modernizarea infrastructurii Postului vamal Sculeni</w:t>
      </w:r>
      <w:r w:rsidR="00CD2FB5" w:rsidRPr="00AE140F">
        <w:rPr>
          <w:rFonts w:ascii="Times New Roman" w:hAnsi="Times New Roman" w:cs="Times New Roman"/>
          <w:sz w:val="28"/>
          <w:szCs w:val="28"/>
        </w:rPr>
        <w:t>”</w:t>
      </w:r>
      <w:r w:rsidRPr="00AE140F">
        <w:rPr>
          <w:rFonts w:ascii="Times New Roman" w:hAnsi="Times New Roman" w:cs="Times New Roman"/>
          <w:sz w:val="28"/>
          <w:szCs w:val="28"/>
        </w:rPr>
        <w:t xml:space="preserve"> – 1,3 mil.lei; Construcția blocurilor sanitare la 23 </w:t>
      </w:r>
      <w:r w:rsidR="00CD2FB5" w:rsidRPr="00AE140F">
        <w:rPr>
          <w:rFonts w:ascii="Times New Roman" w:hAnsi="Times New Roman" w:cs="Times New Roman"/>
          <w:sz w:val="28"/>
          <w:szCs w:val="28"/>
        </w:rPr>
        <w:t xml:space="preserve">de </w:t>
      </w:r>
      <w:r w:rsidRPr="00AE140F">
        <w:rPr>
          <w:rFonts w:ascii="Times New Roman" w:hAnsi="Times New Roman" w:cs="Times New Roman"/>
          <w:sz w:val="28"/>
          <w:szCs w:val="28"/>
        </w:rPr>
        <w:t>posturi vamale – 2,1 mil.lei; Construcția terenului de fotbal al Școlii sportive specializate de fotbal, com. Stăuceni – 0,4 mil.lei</w:t>
      </w:r>
      <w:r w:rsidR="00CD2FB5" w:rsidRPr="00AE140F">
        <w:rPr>
          <w:rFonts w:ascii="Times New Roman" w:hAnsi="Times New Roman" w:cs="Times New Roman"/>
          <w:sz w:val="28"/>
          <w:szCs w:val="28"/>
        </w:rPr>
        <w:t>,</w:t>
      </w:r>
      <w:r w:rsidRPr="00AE140F">
        <w:rPr>
          <w:rFonts w:ascii="Times New Roman" w:hAnsi="Times New Roman" w:cs="Times New Roman"/>
          <w:sz w:val="28"/>
          <w:szCs w:val="28"/>
        </w:rPr>
        <w:t xml:space="preserve"> și  „Programul de reziliență rurală” VII</w:t>
      </w:r>
      <w:r w:rsidR="00CD2FB5" w:rsidRPr="00AE140F">
        <w:rPr>
          <w:rFonts w:ascii="Times New Roman" w:hAnsi="Times New Roman" w:cs="Times New Roman"/>
          <w:sz w:val="28"/>
          <w:szCs w:val="28"/>
        </w:rPr>
        <w:t xml:space="preserve"> – </w:t>
      </w:r>
      <w:r w:rsidRPr="00AE140F">
        <w:rPr>
          <w:rFonts w:ascii="Times New Roman" w:hAnsi="Times New Roman" w:cs="Times New Roman"/>
          <w:sz w:val="28"/>
          <w:szCs w:val="28"/>
        </w:rPr>
        <w:t>0,03 mil.lei</w:t>
      </w:r>
      <w:r>
        <w:rPr>
          <w:rFonts w:ascii="Times New Roman" w:hAnsi="Times New Roman" w:cs="Times New Roman"/>
          <w:sz w:val="28"/>
          <w:szCs w:val="28"/>
        </w:rPr>
        <w:t xml:space="preserve">) cu </w:t>
      </w:r>
      <w:r w:rsidRPr="00604E85">
        <w:rPr>
          <w:rFonts w:ascii="Times New Roman" w:hAnsi="Times New Roman" w:cs="Times New Roman"/>
          <w:sz w:val="28"/>
          <w:szCs w:val="28"/>
        </w:rPr>
        <w:t xml:space="preserve">valoarea totală </w:t>
      </w:r>
      <w:r>
        <w:rPr>
          <w:rFonts w:ascii="Times New Roman" w:hAnsi="Times New Roman" w:cs="Times New Roman"/>
          <w:sz w:val="28"/>
          <w:szCs w:val="28"/>
        </w:rPr>
        <w:t xml:space="preserve">de 3,8 mil.lei. </w:t>
      </w:r>
    </w:p>
    <w:p w:rsidR="006523D5" w:rsidRDefault="00EA0F07" w:rsidP="003A2E8D">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Analiza audit</w:t>
      </w:r>
      <w:r w:rsidR="00B37A48">
        <w:rPr>
          <w:rFonts w:ascii="Times New Roman" w:hAnsi="Times New Roman" w:cs="Times New Roman"/>
          <w:sz w:val="28"/>
          <w:szCs w:val="28"/>
        </w:rPr>
        <w:t>ului</w:t>
      </w:r>
      <w:r>
        <w:rPr>
          <w:rFonts w:ascii="Times New Roman" w:hAnsi="Times New Roman" w:cs="Times New Roman"/>
          <w:sz w:val="28"/>
          <w:szCs w:val="28"/>
        </w:rPr>
        <w:t xml:space="preserve"> relevă nivelul redus de executare (48,0%) a investițiilor capitale al</w:t>
      </w:r>
      <w:r w:rsidR="00EB318B">
        <w:rPr>
          <w:rFonts w:ascii="Times New Roman" w:hAnsi="Times New Roman" w:cs="Times New Roman"/>
          <w:sz w:val="28"/>
          <w:szCs w:val="28"/>
        </w:rPr>
        <w:t>e</w:t>
      </w:r>
      <w:r>
        <w:rPr>
          <w:rFonts w:ascii="Times New Roman" w:hAnsi="Times New Roman" w:cs="Times New Roman"/>
          <w:sz w:val="28"/>
          <w:szCs w:val="28"/>
        </w:rPr>
        <w:t xml:space="preserve"> altor </w:t>
      </w:r>
      <w:r w:rsidRPr="00AE140F">
        <w:rPr>
          <w:rFonts w:ascii="Times New Roman" w:hAnsi="Times New Roman" w:cs="Times New Roman"/>
          <w:sz w:val="28"/>
          <w:szCs w:val="28"/>
        </w:rPr>
        <w:t>6 obiecte</w:t>
      </w:r>
      <w:r>
        <w:rPr>
          <w:rFonts w:ascii="Times New Roman" w:hAnsi="Times New Roman" w:cs="Times New Roman"/>
          <w:sz w:val="28"/>
          <w:szCs w:val="28"/>
        </w:rPr>
        <w:t xml:space="preserve"> investiționale în sumă totală de 426,1 mil.lei, în comparație cu alocațiile precizate în bugetul de stat pentru anul 2017 în volum de 887,8 mil.lei. Această situație a fost cauzată de: </w:t>
      </w:r>
      <w:r w:rsidRPr="00AE140F">
        <w:rPr>
          <w:rFonts w:ascii="Times New Roman" w:hAnsi="Times New Roman" w:cs="Times New Roman"/>
          <w:i/>
          <w:sz w:val="28"/>
          <w:szCs w:val="28"/>
        </w:rPr>
        <w:t>i)</w:t>
      </w:r>
      <w:r>
        <w:rPr>
          <w:rFonts w:ascii="Times New Roman" w:hAnsi="Times New Roman" w:cs="Times New Roman"/>
          <w:sz w:val="28"/>
          <w:szCs w:val="28"/>
        </w:rPr>
        <w:t xml:space="preserve"> </w:t>
      </w:r>
      <w:r w:rsidRPr="00C25E57">
        <w:rPr>
          <w:rFonts w:ascii="Times New Roman" w:hAnsi="Times New Roman" w:cs="Times New Roman"/>
          <w:sz w:val="28"/>
          <w:szCs w:val="28"/>
        </w:rPr>
        <w:t>includerea de către MF în buget a cheltuielilor pentru proiectele de investiții capitale menționate care nu au parcurs evaluarea preliminară a proiectului</w:t>
      </w:r>
      <w:r w:rsidR="00EB318B">
        <w:rPr>
          <w:rFonts w:ascii="Times New Roman" w:hAnsi="Times New Roman" w:cs="Times New Roman"/>
          <w:sz w:val="28"/>
          <w:szCs w:val="28"/>
        </w:rPr>
        <w:t>,</w:t>
      </w:r>
      <w:r w:rsidRPr="00C25E57">
        <w:rPr>
          <w:rFonts w:ascii="Times New Roman" w:hAnsi="Times New Roman" w:cs="Times New Roman"/>
          <w:sz w:val="28"/>
          <w:szCs w:val="28"/>
        </w:rPr>
        <w:t xml:space="preserve"> precum și pregătirea documentației </w:t>
      </w:r>
      <w:r>
        <w:rPr>
          <w:rFonts w:ascii="Times New Roman" w:hAnsi="Times New Roman" w:cs="Times New Roman"/>
          <w:sz w:val="28"/>
          <w:szCs w:val="28"/>
        </w:rPr>
        <w:t>de proiect, contrar cerințelor</w:t>
      </w:r>
      <w:r w:rsidRPr="00C25E57">
        <w:rPr>
          <w:rFonts w:ascii="Times New Roman" w:hAnsi="Times New Roman" w:cs="Times New Roman"/>
          <w:sz w:val="28"/>
          <w:szCs w:val="28"/>
        </w:rPr>
        <w:t xml:space="preserve"> cadrului normativ</w:t>
      </w:r>
      <w:r>
        <w:rPr>
          <w:rStyle w:val="a9"/>
          <w:rFonts w:ascii="Times New Roman" w:hAnsi="Times New Roman" w:cs="Times New Roman"/>
          <w:sz w:val="28"/>
          <w:szCs w:val="28"/>
        </w:rPr>
        <w:footnoteReference w:id="60"/>
      </w:r>
      <w:r>
        <w:rPr>
          <w:rFonts w:ascii="Times New Roman" w:hAnsi="Times New Roman" w:cs="Times New Roman"/>
          <w:sz w:val="28"/>
          <w:szCs w:val="28"/>
        </w:rPr>
        <w:t xml:space="preserve"> </w:t>
      </w:r>
      <w:r w:rsidRPr="00AE140F">
        <w:rPr>
          <w:rFonts w:ascii="Times New Roman" w:hAnsi="Times New Roman" w:cs="Times New Roman"/>
          <w:sz w:val="28"/>
          <w:szCs w:val="28"/>
        </w:rPr>
        <w:t>(</w:t>
      </w:r>
      <w:r w:rsidR="00EB318B" w:rsidRPr="00AE140F">
        <w:rPr>
          <w:rFonts w:ascii="Times New Roman" w:hAnsi="Times New Roman" w:cs="Times New Roman"/>
          <w:sz w:val="28"/>
          <w:szCs w:val="28"/>
        </w:rPr>
        <w:t>„</w:t>
      </w:r>
      <w:r w:rsidRPr="00AE140F">
        <w:rPr>
          <w:rFonts w:ascii="Times New Roman" w:hAnsi="Times New Roman" w:cs="Times New Roman"/>
          <w:sz w:val="28"/>
          <w:szCs w:val="28"/>
        </w:rPr>
        <w:t>Reconstrucția fațadei sediului Centrului Național Anticorupție</w:t>
      </w:r>
      <w:r w:rsidR="00EB318B" w:rsidRPr="00AE140F">
        <w:rPr>
          <w:rFonts w:ascii="Times New Roman" w:hAnsi="Times New Roman" w:cs="Times New Roman"/>
          <w:sz w:val="28"/>
          <w:szCs w:val="28"/>
        </w:rPr>
        <w:t>”</w:t>
      </w:r>
      <w:r w:rsidRPr="00AE140F">
        <w:rPr>
          <w:rFonts w:ascii="Times New Roman" w:hAnsi="Times New Roman" w:cs="Times New Roman"/>
          <w:sz w:val="28"/>
          <w:szCs w:val="28"/>
        </w:rPr>
        <w:t xml:space="preserve"> și </w:t>
      </w:r>
      <w:r w:rsidR="00EB318B" w:rsidRPr="00AE140F">
        <w:rPr>
          <w:rFonts w:ascii="Times New Roman" w:hAnsi="Times New Roman" w:cs="Times New Roman"/>
          <w:sz w:val="28"/>
          <w:szCs w:val="28"/>
        </w:rPr>
        <w:t>„</w:t>
      </w:r>
      <w:r w:rsidRPr="00AE140F">
        <w:rPr>
          <w:rFonts w:ascii="Times New Roman" w:hAnsi="Times New Roman" w:cs="Times New Roman"/>
          <w:sz w:val="28"/>
          <w:szCs w:val="28"/>
        </w:rPr>
        <w:t>Reconstrucția și modernizarea clădirilor Centrului de Excelență în Horticultură și Tehnologii Agricole, satul Țaul, raionul Dondușeni</w:t>
      </w:r>
      <w:r w:rsidR="00EB318B" w:rsidRPr="00AE140F">
        <w:rPr>
          <w:rFonts w:ascii="Times New Roman" w:hAnsi="Times New Roman" w:cs="Times New Roman"/>
          <w:sz w:val="28"/>
          <w:szCs w:val="28"/>
        </w:rPr>
        <w:t>”</w:t>
      </w:r>
      <w:r>
        <w:rPr>
          <w:rFonts w:ascii="Times New Roman" w:hAnsi="Times New Roman" w:cs="Times New Roman"/>
          <w:sz w:val="28"/>
          <w:szCs w:val="28"/>
        </w:rPr>
        <w:t xml:space="preserve">); </w:t>
      </w:r>
      <w:r w:rsidRPr="00AE140F">
        <w:rPr>
          <w:rFonts w:ascii="Times New Roman" w:hAnsi="Times New Roman" w:cs="Times New Roman"/>
          <w:i/>
          <w:sz w:val="28"/>
          <w:szCs w:val="28"/>
        </w:rPr>
        <w:t>ii)</w:t>
      </w:r>
      <w:r>
        <w:rPr>
          <w:rFonts w:ascii="Times New Roman" w:hAnsi="Times New Roman" w:cs="Times New Roman"/>
          <w:b/>
          <w:i/>
          <w:sz w:val="28"/>
          <w:szCs w:val="28"/>
        </w:rPr>
        <w:t xml:space="preserve"> </w:t>
      </w:r>
      <w:r w:rsidRPr="00C25E57">
        <w:rPr>
          <w:rFonts w:ascii="Times New Roman" w:hAnsi="Times New Roman" w:cs="Times New Roman"/>
          <w:sz w:val="28"/>
          <w:szCs w:val="28"/>
        </w:rPr>
        <w:t>capacitatea redusă a antreprenorilor de valorificare a resurselor aprobate/precizate p</w:t>
      </w:r>
      <w:r>
        <w:rPr>
          <w:rFonts w:ascii="Times New Roman" w:hAnsi="Times New Roman" w:cs="Times New Roman"/>
          <w:sz w:val="28"/>
          <w:szCs w:val="28"/>
        </w:rPr>
        <w:t xml:space="preserve">entru </w:t>
      </w:r>
      <w:r>
        <w:rPr>
          <w:rFonts w:ascii="Times New Roman" w:hAnsi="Times New Roman" w:cs="Times New Roman"/>
          <w:sz w:val="28"/>
          <w:szCs w:val="28"/>
        </w:rPr>
        <w:lastRenderedPageBreak/>
        <w:t xml:space="preserve">proiectele investiționale </w:t>
      </w:r>
      <w:r w:rsidRPr="00C25E57">
        <w:rPr>
          <w:rFonts w:ascii="Times New Roman" w:hAnsi="Times New Roman" w:cs="Times New Roman"/>
          <w:sz w:val="28"/>
          <w:szCs w:val="28"/>
        </w:rPr>
        <w:t>menționate</w:t>
      </w:r>
      <w:r>
        <w:rPr>
          <w:rFonts w:ascii="Times New Roman" w:hAnsi="Times New Roman" w:cs="Times New Roman"/>
          <w:sz w:val="28"/>
          <w:szCs w:val="28"/>
        </w:rPr>
        <w:t xml:space="preserve"> </w:t>
      </w:r>
      <w:r w:rsidRPr="00AE140F">
        <w:rPr>
          <w:rFonts w:ascii="Times New Roman" w:hAnsi="Times New Roman" w:cs="Times New Roman"/>
          <w:sz w:val="28"/>
          <w:szCs w:val="28"/>
        </w:rPr>
        <w:t>(„Susținerea Programului în sectorul drumurilor” și „Reabilitarea drumurilor locale”</w:t>
      </w:r>
      <w:r w:rsidR="00FB0DEA" w:rsidRPr="00AE140F">
        <w:rPr>
          <w:rFonts w:ascii="Times New Roman" w:hAnsi="Times New Roman" w:cs="Times New Roman"/>
          <w:sz w:val="28"/>
          <w:szCs w:val="28"/>
        </w:rPr>
        <w:t>, „</w:t>
      </w:r>
      <w:r w:rsidRPr="00AE140F">
        <w:rPr>
          <w:rFonts w:ascii="Times New Roman" w:hAnsi="Times New Roman" w:cs="Times New Roman"/>
          <w:sz w:val="28"/>
          <w:szCs w:val="28"/>
        </w:rPr>
        <w:t>Construcția complexului sportiv al Universității Pedagogice de Stat „Ion Creangă”).</w:t>
      </w:r>
    </w:p>
    <w:p w:rsidR="00DB6CBE" w:rsidRDefault="00DB6CBE" w:rsidP="003A2E8D">
      <w:pPr>
        <w:spacing w:after="0" w:line="276" w:lineRule="auto"/>
        <w:ind w:firstLine="709"/>
        <w:jc w:val="both"/>
        <w:rPr>
          <w:rFonts w:ascii="Times New Roman" w:hAnsi="Times New Roman" w:cs="Times New Roman"/>
          <w:sz w:val="28"/>
          <w:szCs w:val="28"/>
        </w:rPr>
      </w:pPr>
    </w:p>
    <w:p w:rsidR="00D805EF" w:rsidRDefault="008A6A31" w:rsidP="003F12B5">
      <w:pPr>
        <w:pStyle w:val="a5"/>
        <w:numPr>
          <w:ilvl w:val="2"/>
          <w:numId w:val="3"/>
        </w:numPr>
        <w:spacing w:after="0" w:line="276" w:lineRule="auto"/>
        <w:ind w:left="0" w:firstLine="709"/>
        <w:jc w:val="both"/>
        <w:outlineLvl w:val="2"/>
        <w:rPr>
          <w:rFonts w:ascii="Times New Roman" w:hAnsi="Times New Roman" w:cs="Times New Roman"/>
          <w:b/>
          <w:i/>
          <w:sz w:val="28"/>
          <w:szCs w:val="28"/>
        </w:rPr>
      </w:pPr>
      <w:r>
        <w:rPr>
          <w:rFonts w:ascii="Times New Roman" w:hAnsi="Times New Roman" w:cs="Times New Roman"/>
          <w:b/>
          <w:i/>
          <w:sz w:val="28"/>
          <w:szCs w:val="28"/>
        </w:rPr>
        <w:t xml:space="preserve"> </w:t>
      </w:r>
      <w:bookmarkStart w:id="23" w:name="_Toc515518996"/>
      <w:r w:rsidR="00B37A48">
        <w:rPr>
          <w:rFonts w:ascii="Times New Roman" w:hAnsi="Times New Roman" w:cs="Times New Roman"/>
          <w:b/>
          <w:i/>
          <w:sz w:val="28"/>
          <w:szCs w:val="28"/>
        </w:rPr>
        <w:t>M</w:t>
      </w:r>
      <w:r w:rsidRPr="008A6A31">
        <w:rPr>
          <w:rFonts w:ascii="Times New Roman" w:hAnsi="Times New Roman" w:cs="Times New Roman"/>
          <w:b/>
          <w:i/>
          <w:sz w:val="28"/>
          <w:szCs w:val="28"/>
        </w:rPr>
        <w:t xml:space="preserve">ijloacele </w:t>
      </w:r>
      <w:r w:rsidR="00EB318B">
        <w:rPr>
          <w:rFonts w:ascii="Times New Roman" w:hAnsi="Times New Roman" w:cs="Times New Roman"/>
          <w:b/>
          <w:i/>
          <w:sz w:val="28"/>
          <w:szCs w:val="28"/>
        </w:rPr>
        <w:t>f</w:t>
      </w:r>
      <w:r w:rsidRPr="008A6A31">
        <w:rPr>
          <w:rFonts w:ascii="Times New Roman" w:hAnsi="Times New Roman" w:cs="Times New Roman"/>
          <w:b/>
          <w:i/>
          <w:sz w:val="28"/>
          <w:szCs w:val="28"/>
        </w:rPr>
        <w:t>ondului de rezervă și a</w:t>
      </w:r>
      <w:r w:rsidR="00EB318B">
        <w:rPr>
          <w:rFonts w:ascii="Times New Roman" w:hAnsi="Times New Roman" w:cs="Times New Roman"/>
          <w:b/>
          <w:i/>
          <w:sz w:val="28"/>
          <w:szCs w:val="28"/>
        </w:rPr>
        <w:t>le</w:t>
      </w:r>
      <w:r w:rsidRPr="008A6A31">
        <w:rPr>
          <w:rFonts w:ascii="Times New Roman" w:hAnsi="Times New Roman" w:cs="Times New Roman"/>
          <w:b/>
          <w:i/>
          <w:sz w:val="28"/>
          <w:szCs w:val="28"/>
        </w:rPr>
        <w:t xml:space="preserve"> </w:t>
      </w:r>
      <w:r w:rsidR="00EB318B">
        <w:rPr>
          <w:rFonts w:ascii="Times New Roman" w:hAnsi="Times New Roman" w:cs="Times New Roman"/>
          <w:b/>
          <w:i/>
          <w:sz w:val="28"/>
          <w:szCs w:val="28"/>
        </w:rPr>
        <w:t>f</w:t>
      </w:r>
      <w:r w:rsidRPr="008A6A31">
        <w:rPr>
          <w:rFonts w:ascii="Times New Roman" w:hAnsi="Times New Roman" w:cs="Times New Roman"/>
          <w:b/>
          <w:i/>
          <w:sz w:val="28"/>
          <w:szCs w:val="28"/>
        </w:rPr>
        <w:t>ondului de intervenție a</w:t>
      </w:r>
      <w:r w:rsidR="00EB318B">
        <w:rPr>
          <w:rFonts w:ascii="Times New Roman" w:hAnsi="Times New Roman" w:cs="Times New Roman"/>
          <w:b/>
          <w:i/>
          <w:sz w:val="28"/>
          <w:szCs w:val="28"/>
        </w:rPr>
        <w:t>le</w:t>
      </w:r>
      <w:r w:rsidRPr="008A6A31">
        <w:rPr>
          <w:rFonts w:ascii="Times New Roman" w:hAnsi="Times New Roman" w:cs="Times New Roman"/>
          <w:b/>
          <w:i/>
          <w:sz w:val="28"/>
          <w:szCs w:val="28"/>
        </w:rPr>
        <w:t xml:space="preserve"> Guvernului au fost gestionate</w:t>
      </w:r>
      <w:r w:rsidR="00EB318B">
        <w:rPr>
          <w:rFonts w:ascii="Times New Roman" w:hAnsi="Times New Roman" w:cs="Times New Roman"/>
          <w:b/>
          <w:i/>
          <w:sz w:val="28"/>
          <w:szCs w:val="28"/>
        </w:rPr>
        <w:t>, cu unele rezerve,</w:t>
      </w:r>
      <w:r w:rsidRPr="008A6A31">
        <w:rPr>
          <w:rFonts w:ascii="Times New Roman" w:hAnsi="Times New Roman" w:cs="Times New Roman"/>
          <w:b/>
          <w:i/>
          <w:sz w:val="28"/>
          <w:szCs w:val="28"/>
        </w:rPr>
        <w:t xml:space="preserve"> conform prevederilor cadrului legal</w:t>
      </w:r>
      <w:bookmarkEnd w:id="23"/>
    </w:p>
    <w:p w:rsidR="00D04954" w:rsidRPr="00D04954" w:rsidRDefault="000D4219" w:rsidP="00AE140F">
      <w:pPr>
        <w:spacing w:after="0" w:line="276"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Pentru anul 2017</w:t>
      </w:r>
      <w:r w:rsidR="00EB318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prin L</w:t>
      </w:r>
      <w:r w:rsidR="00D04954" w:rsidRPr="00D04954">
        <w:rPr>
          <w:rFonts w:ascii="Times New Roman" w:eastAsia="Times New Roman" w:hAnsi="Times New Roman" w:cs="Times New Roman"/>
          <w:sz w:val="28"/>
          <w:szCs w:val="28"/>
          <w:lang w:eastAsia="ru-RU"/>
        </w:rPr>
        <w:t xml:space="preserve">egea bugetului de stat, fondul de rezervă și fondul de intervenție ale Guvernului au fost aprobate în sume de 75,0 mil.lei și, respectiv, de 50,0 mil.lei. </w:t>
      </w:r>
    </w:p>
    <w:p w:rsidR="00D04954" w:rsidRPr="00D04954" w:rsidRDefault="00D04954" w:rsidP="00AE140F">
      <w:pPr>
        <w:spacing w:after="0" w:line="276" w:lineRule="auto"/>
        <w:ind w:firstLine="720"/>
        <w:jc w:val="both"/>
        <w:rPr>
          <w:rFonts w:ascii="Times New Roman" w:eastAsia="Times New Roman" w:hAnsi="Times New Roman" w:cs="Times New Roman"/>
          <w:b/>
          <w:sz w:val="28"/>
          <w:szCs w:val="28"/>
          <w:lang w:eastAsia="ru-RU"/>
        </w:rPr>
      </w:pPr>
      <w:r w:rsidRPr="00D04954">
        <w:rPr>
          <w:rFonts w:ascii="Times New Roman" w:eastAsia="Times New Roman" w:hAnsi="Times New Roman" w:cs="Times New Roman"/>
          <w:sz w:val="28"/>
          <w:szCs w:val="28"/>
          <w:lang w:eastAsia="ru-RU"/>
        </w:rPr>
        <w:t>Pe parcursul anului 2017</w:t>
      </w:r>
      <w:r w:rsidR="00FD0DC3">
        <w:rPr>
          <w:rFonts w:ascii="Times New Roman" w:eastAsia="Times New Roman" w:hAnsi="Times New Roman" w:cs="Times New Roman"/>
          <w:sz w:val="28"/>
          <w:szCs w:val="28"/>
          <w:lang w:eastAsia="ru-RU"/>
        </w:rPr>
        <w:t>,</w:t>
      </w:r>
      <w:r w:rsidRPr="00D04954">
        <w:rPr>
          <w:rFonts w:ascii="Times New Roman" w:eastAsia="Times New Roman" w:hAnsi="Times New Roman" w:cs="Times New Roman"/>
          <w:sz w:val="28"/>
          <w:szCs w:val="28"/>
          <w:lang w:eastAsia="ru-RU"/>
        </w:rPr>
        <w:t xml:space="preserve"> pentru alocarea </w:t>
      </w:r>
      <w:r w:rsidR="00FD0DC3">
        <w:rPr>
          <w:rFonts w:ascii="Times New Roman" w:eastAsia="Times New Roman" w:hAnsi="Times New Roman" w:cs="Times New Roman"/>
          <w:sz w:val="28"/>
          <w:szCs w:val="28"/>
          <w:lang w:eastAsia="ru-RU"/>
        </w:rPr>
        <w:t>și repartizar</w:t>
      </w:r>
      <w:r w:rsidR="00FD0DC3" w:rsidRPr="00D04954">
        <w:rPr>
          <w:rFonts w:ascii="Times New Roman" w:eastAsia="Times New Roman" w:hAnsi="Times New Roman" w:cs="Times New Roman"/>
          <w:sz w:val="28"/>
          <w:szCs w:val="28"/>
          <w:lang w:eastAsia="ru-RU"/>
        </w:rPr>
        <w:t>e</w:t>
      </w:r>
      <w:r w:rsidR="00FD0DC3">
        <w:rPr>
          <w:rFonts w:ascii="Times New Roman" w:eastAsia="Times New Roman" w:hAnsi="Times New Roman" w:cs="Times New Roman"/>
          <w:sz w:val="28"/>
          <w:szCs w:val="28"/>
          <w:lang w:eastAsia="ru-RU"/>
        </w:rPr>
        <w:t>a</w:t>
      </w:r>
      <w:r w:rsidR="00FD0DC3" w:rsidRPr="00D04954">
        <w:rPr>
          <w:rFonts w:ascii="Times New Roman" w:eastAsia="Times New Roman" w:hAnsi="Times New Roman" w:cs="Times New Roman"/>
          <w:sz w:val="28"/>
          <w:szCs w:val="28"/>
          <w:lang w:eastAsia="ru-RU"/>
        </w:rPr>
        <w:t xml:space="preserve"> </w:t>
      </w:r>
      <w:r w:rsidRPr="00D04954">
        <w:rPr>
          <w:rFonts w:ascii="Times New Roman" w:eastAsia="Times New Roman" w:hAnsi="Times New Roman" w:cs="Times New Roman"/>
          <w:sz w:val="28"/>
          <w:szCs w:val="28"/>
          <w:lang w:eastAsia="ru-RU"/>
        </w:rPr>
        <w:t xml:space="preserve">mijloacelor din </w:t>
      </w:r>
      <w:r w:rsidRPr="00AE140F">
        <w:rPr>
          <w:rFonts w:ascii="Times New Roman" w:eastAsia="Times New Roman" w:hAnsi="Times New Roman" w:cs="Times New Roman"/>
          <w:sz w:val="28"/>
          <w:szCs w:val="28"/>
          <w:lang w:eastAsia="ru-RU"/>
        </w:rPr>
        <w:t>fondul de rezervă</w:t>
      </w:r>
      <w:r w:rsidRPr="00D04954">
        <w:rPr>
          <w:rFonts w:ascii="Times New Roman" w:eastAsia="Times New Roman" w:hAnsi="Times New Roman" w:cs="Times New Roman"/>
          <w:sz w:val="28"/>
          <w:szCs w:val="28"/>
          <w:lang w:eastAsia="ru-RU"/>
        </w:rPr>
        <w:t xml:space="preserve"> au fost aprobate </w:t>
      </w:r>
      <w:r w:rsidR="008102C4">
        <w:rPr>
          <w:rFonts w:ascii="Times New Roman" w:eastAsia="Times New Roman" w:hAnsi="Times New Roman" w:cs="Times New Roman"/>
          <w:sz w:val="28"/>
          <w:szCs w:val="28"/>
          <w:lang w:eastAsia="ru-RU"/>
        </w:rPr>
        <w:t>14</w:t>
      </w:r>
      <w:r w:rsidR="008102C4" w:rsidRPr="00D04954">
        <w:rPr>
          <w:rFonts w:ascii="Times New Roman" w:eastAsia="Times New Roman" w:hAnsi="Times New Roman" w:cs="Times New Roman"/>
          <w:sz w:val="28"/>
          <w:szCs w:val="28"/>
          <w:lang w:eastAsia="ru-RU"/>
        </w:rPr>
        <w:t xml:space="preserve"> </w:t>
      </w:r>
      <w:r w:rsidRPr="00D04954">
        <w:rPr>
          <w:rFonts w:ascii="Times New Roman" w:eastAsia="Times New Roman" w:hAnsi="Times New Roman" w:cs="Times New Roman"/>
          <w:sz w:val="28"/>
          <w:szCs w:val="28"/>
          <w:lang w:eastAsia="ru-RU"/>
        </w:rPr>
        <w:t xml:space="preserve">hotărâri de Guvern în valoare de 45,8 mil.lei și din </w:t>
      </w:r>
      <w:r w:rsidRPr="00AE140F">
        <w:rPr>
          <w:rFonts w:ascii="Times New Roman" w:eastAsia="Times New Roman" w:hAnsi="Times New Roman" w:cs="Times New Roman"/>
          <w:sz w:val="28"/>
          <w:szCs w:val="28"/>
          <w:lang w:eastAsia="ru-RU"/>
        </w:rPr>
        <w:t>fondul de intervenție</w:t>
      </w:r>
      <w:r w:rsidRPr="00D04954">
        <w:rPr>
          <w:rFonts w:ascii="Times New Roman" w:eastAsia="Times New Roman" w:hAnsi="Times New Roman" w:cs="Times New Roman"/>
          <w:sz w:val="28"/>
          <w:szCs w:val="28"/>
          <w:lang w:eastAsia="ru-RU"/>
        </w:rPr>
        <w:t xml:space="preserve"> – 6 hotărâri de Guvern în valoare totală de 41,5 mil.lei. </w:t>
      </w:r>
      <w:r w:rsidRPr="000D4219">
        <w:rPr>
          <w:rFonts w:ascii="Times New Roman" w:eastAsia="Times New Roman" w:hAnsi="Times New Roman" w:cs="Times New Roman"/>
          <w:i/>
          <w:sz w:val="28"/>
          <w:szCs w:val="28"/>
          <w:lang w:eastAsia="ru-RU"/>
        </w:rPr>
        <w:t xml:space="preserve">Sinteza executării mijloacelor financiare din fondurile de </w:t>
      </w:r>
      <w:r w:rsidR="00B37A48" w:rsidRPr="000D4219">
        <w:rPr>
          <w:rFonts w:ascii="Times New Roman" w:eastAsia="Times New Roman" w:hAnsi="Times New Roman" w:cs="Times New Roman"/>
          <w:i/>
          <w:sz w:val="28"/>
          <w:szCs w:val="28"/>
          <w:lang w:eastAsia="ru-RU"/>
        </w:rPr>
        <w:t>rezervă și de intervenție a</w:t>
      </w:r>
      <w:r w:rsidR="000D4219">
        <w:rPr>
          <w:rFonts w:ascii="Times New Roman" w:eastAsia="Times New Roman" w:hAnsi="Times New Roman" w:cs="Times New Roman"/>
          <w:i/>
          <w:sz w:val="28"/>
          <w:szCs w:val="28"/>
          <w:lang w:eastAsia="ru-RU"/>
        </w:rPr>
        <w:t>le</w:t>
      </w:r>
      <w:r w:rsidR="00B37A48" w:rsidRPr="000D4219">
        <w:rPr>
          <w:rFonts w:ascii="Times New Roman" w:eastAsia="Times New Roman" w:hAnsi="Times New Roman" w:cs="Times New Roman"/>
          <w:i/>
          <w:sz w:val="28"/>
          <w:szCs w:val="28"/>
          <w:lang w:eastAsia="ru-RU"/>
        </w:rPr>
        <w:t xml:space="preserve"> Guvernului </w:t>
      </w:r>
      <w:r w:rsidRPr="000D4219">
        <w:rPr>
          <w:rFonts w:ascii="Times New Roman" w:eastAsia="Times New Roman" w:hAnsi="Times New Roman" w:cs="Times New Roman"/>
          <w:i/>
          <w:sz w:val="28"/>
          <w:szCs w:val="28"/>
          <w:lang w:eastAsia="ru-RU"/>
        </w:rPr>
        <w:t>se prezintă în Diagrama nr.</w:t>
      </w:r>
      <w:r w:rsidR="00991FE7">
        <w:rPr>
          <w:rFonts w:ascii="Times New Roman" w:eastAsia="Times New Roman" w:hAnsi="Times New Roman" w:cs="Times New Roman"/>
          <w:i/>
          <w:sz w:val="28"/>
          <w:szCs w:val="28"/>
          <w:lang w:eastAsia="ru-RU"/>
        </w:rPr>
        <w:t>4</w:t>
      </w:r>
      <w:r w:rsidR="000D4219">
        <w:rPr>
          <w:rFonts w:ascii="Times New Roman" w:eastAsia="Times New Roman" w:hAnsi="Times New Roman" w:cs="Times New Roman"/>
          <w:i/>
          <w:sz w:val="28"/>
          <w:szCs w:val="28"/>
          <w:lang w:eastAsia="ru-RU"/>
        </w:rPr>
        <w:t xml:space="preserve"> din Anexa </w:t>
      </w:r>
      <w:r w:rsidR="000D4219" w:rsidRPr="00FD5765">
        <w:rPr>
          <w:rFonts w:ascii="Times New Roman" w:eastAsia="Times New Roman" w:hAnsi="Times New Roman" w:cs="Times New Roman"/>
          <w:i/>
          <w:sz w:val="28"/>
          <w:szCs w:val="28"/>
          <w:lang w:eastAsia="ru-RU"/>
        </w:rPr>
        <w:t>nr</w:t>
      </w:r>
      <w:r w:rsidR="000D4219">
        <w:rPr>
          <w:rFonts w:ascii="Times New Roman" w:eastAsia="Times New Roman" w:hAnsi="Times New Roman" w:cs="Times New Roman"/>
          <w:i/>
          <w:sz w:val="28"/>
          <w:szCs w:val="28"/>
          <w:lang w:eastAsia="ru-RU"/>
        </w:rPr>
        <w:t>.</w:t>
      </w:r>
      <w:r w:rsidR="00FD5765">
        <w:rPr>
          <w:rFonts w:ascii="Times New Roman" w:eastAsia="Times New Roman" w:hAnsi="Times New Roman" w:cs="Times New Roman"/>
          <w:i/>
          <w:sz w:val="28"/>
          <w:szCs w:val="28"/>
          <w:lang w:eastAsia="ru-RU"/>
        </w:rPr>
        <w:t>4</w:t>
      </w:r>
      <w:r w:rsidR="000D4219">
        <w:rPr>
          <w:rFonts w:ascii="Times New Roman" w:eastAsia="Times New Roman" w:hAnsi="Times New Roman" w:cs="Times New Roman"/>
          <w:i/>
          <w:sz w:val="28"/>
          <w:szCs w:val="28"/>
          <w:lang w:eastAsia="ru-RU"/>
        </w:rPr>
        <w:t xml:space="preserve"> la prezentul Raport</w:t>
      </w:r>
      <w:r w:rsidR="008476A8">
        <w:rPr>
          <w:rFonts w:ascii="Times New Roman" w:eastAsia="Times New Roman" w:hAnsi="Times New Roman" w:cs="Times New Roman"/>
          <w:i/>
          <w:sz w:val="28"/>
          <w:szCs w:val="28"/>
          <w:lang w:eastAsia="ru-RU"/>
        </w:rPr>
        <w:t xml:space="preserve"> de audit</w:t>
      </w:r>
      <w:r w:rsidRPr="000D4219">
        <w:rPr>
          <w:rFonts w:ascii="Times New Roman" w:eastAsia="Times New Roman" w:hAnsi="Times New Roman" w:cs="Times New Roman"/>
          <w:i/>
          <w:sz w:val="28"/>
          <w:szCs w:val="28"/>
          <w:lang w:eastAsia="ru-RU"/>
        </w:rPr>
        <w:t>.</w:t>
      </w:r>
      <w:r w:rsidRPr="00D04954">
        <w:rPr>
          <w:rFonts w:ascii="Times New Roman" w:eastAsia="Times New Roman" w:hAnsi="Times New Roman" w:cs="Times New Roman"/>
          <w:b/>
          <w:sz w:val="28"/>
          <w:szCs w:val="28"/>
          <w:lang w:eastAsia="ru-RU"/>
        </w:rPr>
        <w:t xml:space="preserve"> </w:t>
      </w:r>
    </w:p>
    <w:p w:rsidR="00D04954" w:rsidRPr="00D04954" w:rsidRDefault="00FD0DC3" w:rsidP="00AE140F">
      <w:pPr>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Procedurile de audit efectuate</w:t>
      </w:r>
      <w:r w:rsidR="00B37A48">
        <w:rPr>
          <w:rFonts w:ascii="Times New Roman" w:eastAsia="Times New Roman" w:hAnsi="Times New Roman" w:cs="Times New Roman"/>
          <w:sz w:val="28"/>
          <w:szCs w:val="28"/>
          <w:lang w:eastAsia="ru-RU"/>
        </w:rPr>
        <w:t xml:space="preserve"> relevă că</w:t>
      </w:r>
      <w:r w:rsidR="008476A8">
        <w:rPr>
          <w:rFonts w:ascii="Times New Roman" w:eastAsia="Times New Roman" w:hAnsi="Times New Roman" w:cs="Times New Roman"/>
          <w:sz w:val="28"/>
          <w:szCs w:val="28"/>
          <w:lang w:eastAsia="ru-RU"/>
        </w:rPr>
        <w:t>,</w:t>
      </w:r>
      <w:r w:rsidR="00B37A48">
        <w:rPr>
          <w:rFonts w:ascii="Times New Roman" w:eastAsia="Times New Roman" w:hAnsi="Times New Roman" w:cs="Times New Roman"/>
          <w:sz w:val="28"/>
          <w:szCs w:val="28"/>
          <w:lang w:eastAsia="ru-RU"/>
        </w:rPr>
        <w:t xml:space="preserve"> d</w:t>
      </w:r>
      <w:r w:rsidR="00D04954" w:rsidRPr="00D04954">
        <w:rPr>
          <w:rFonts w:ascii="Times New Roman" w:eastAsia="Times New Roman" w:hAnsi="Times New Roman" w:cs="Times New Roman"/>
          <w:sz w:val="28"/>
          <w:szCs w:val="28"/>
          <w:lang w:eastAsia="ru-RU"/>
        </w:rPr>
        <w:t xml:space="preserve">in totalul deciziilor Guvernului de repartizare a mijloacelor </w:t>
      </w:r>
      <w:r w:rsidR="00D04954" w:rsidRPr="00B37A48">
        <w:rPr>
          <w:rFonts w:ascii="Times New Roman" w:eastAsia="Times New Roman" w:hAnsi="Times New Roman" w:cs="Times New Roman"/>
          <w:i/>
          <w:sz w:val="28"/>
          <w:szCs w:val="28"/>
          <w:lang w:eastAsia="ru-RU"/>
        </w:rPr>
        <w:t>fondului de rezervă</w:t>
      </w:r>
      <w:r w:rsidR="00D04954" w:rsidRPr="00B37A48">
        <w:rPr>
          <w:rFonts w:ascii="Times New Roman" w:eastAsia="Times New Roman" w:hAnsi="Times New Roman" w:cs="Times New Roman"/>
          <w:sz w:val="28"/>
          <w:szCs w:val="28"/>
          <w:lang w:eastAsia="ru-RU"/>
        </w:rPr>
        <w:t>,</w:t>
      </w:r>
      <w:r w:rsidR="00D04954" w:rsidRPr="00D04954">
        <w:rPr>
          <w:rFonts w:ascii="Times New Roman" w:eastAsia="Times New Roman" w:hAnsi="Times New Roman" w:cs="Times New Roman"/>
          <w:sz w:val="28"/>
          <w:szCs w:val="28"/>
          <w:lang w:eastAsia="ru-RU"/>
        </w:rPr>
        <w:t xml:space="preserve"> APC au beneficiat de 45,8 mil.lei, fiind executate 43,4 mil.lei (94,6%). Din </w:t>
      </w:r>
      <w:r w:rsidR="00D04954" w:rsidRPr="008102C4">
        <w:rPr>
          <w:rFonts w:ascii="Times New Roman" w:eastAsia="Times New Roman" w:hAnsi="Times New Roman" w:cs="Times New Roman"/>
          <w:i/>
          <w:sz w:val="28"/>
          <w:szCs w:val="28"/>
          <w:lang w:eastAsia="ru-RU"/>
        </w:rPr>
        <w:t>fondul de intervenție</w:t>
      </w:r>
      <w:r w:rsidR="00374412">
        <w:rPr>
          <w:rFonts w:ascii="Times New Roman" w:eastAsia="Times New Roman" w:hAnsi="Times New Roman" w:cs="Times New Roman"/>
          <w:sz w:val="28"/>
          <w:szCs w:val="28"/>
          <w:lang w:eastAsia="ru-RU"/>
        </w:rPr>
        <w:t>,</w:t>
      </w:r>
      <w:r w:rsidR="00D04954" w:rsidRPr="00D04954">
        <w:rPr>
          <w:rFonts w:ascii="Times New Roman" w:eastAsia="Times New Roman" w:hAnsi="Times New Roman" w:cs="Times New Roman"/>
          <w:sz w:val="28"/>
          <w:szCs w:val="28"/>
          <w:lang w:eastAsia="ru-RU"/>
        </w:rPr>
        <w:t xml:space="preserve"> APC au beneficiat de 31,4 mil.lei, cheltuielile fi</w:t>
      </w:r>
      <w:r w:rsidR="00B37A48">
        <w:rPr>
          <w:rFonts w:ascii="Times New Roman" w:eastAsia="Times New Roman" w:hAnsi="Times New Roman" w:cs="Times New Roman"/>
          <w:sz w:val="28"/>
          <w:szCs w:val="28"/>
          <w:lang w:eastAsia="ru-RU"/>
        </w:rPr>
        <w:t xml:space="preserve">ind executate în aceeași mărime. Totodată, </w:t>
      </w:r>
      <w:r w:rsidR="00D04954" w:rsidRPr="00D04954">
        <w:rPr>
          <w:rFonts w:ascii="Times New Roman" w:eastAsia="Times New Roman" w:hAnsi="Times New Roman" w:cs="Times New Roman"/>
          <w:sz w:val="28"/>
          <w:szCs w:val="28"/>
          <w:lang w:eastAsia="ru-RU"/>
        </w:rPr>
        <w:t xml:space="preserve">APL au beneficiat de mijloacele </w:t>
      </w:r>
      <w:r w:rsidR="008102C4" w:rsidRPr="00B37A48">
        <w:rPr>
          <w:rFonts w:ascii="Times New Roman" w:eastAsia="Times New Roman" w:hAnsi="Times New Roman" w:cs="Times New Roman"/>
          <w:i/>
          <w:sz w:val="28"/>
          <w:szCs w:val="28"/>
          <w:lang w:eastAsia="ru-RU"/>
        </w:rPr>
        <w:t>fondu</w:t>
      </w:r>
      <w:r w:rsidR="008102C4">
        <w:rPr>
          <w:rFonts w:ascii="Times New Roman" w:eastAsia="Times New Roman" w:hAnsi="Times New Roman" w:cs="Times New Roman"/>
          <w:i/>
          <w:sz w:val="28"/>
          <w:szCs w:val="28"/>
          <w:lang w:eastAsia="ru-RU"/>
        </w:rPr>
        <w:t>lui</w:t>
      </w:r>
      <w:r w:rsidR="008102C4" w:rsidRPr="00B37A48">
        <w:rPr>
          <w:rFonts w:ascii="Times New Roman" w:eastAsia="Times New Roman" w:hAnsi="Times New Roman" w:cs="Times New Roman"/>
          <w:i/>
          <w:sz w:val="28"/>
          <w:szCs w:val="28"/>
          <w:lang w:eastAsia="ru-RU"/>
        </w:rPr>
        <w:t xml:space="preserve"> </w:t>
      </w:r>
      <w:r w:rsidR="00D04954" w:rsidRPr="00B37A48">
        <w:rPr>
          <w:rFonts w:ascii="Times New Roman" w:eastAsia="Times New Roman" w:hAnsi="Times New Roman" w:cs="Times New Roman"/>
          <w:i/>
          <w:sz w:val="28"/>
          <w:szCs w:val="28"/>
          <w:lang w:eastAsia="ru-RU"/>
        </w:rPr>
        <w:t>de intervenție</w:t>
      </w:r>
      <w:r w:rsidR="00D04954" w:rsidRPr="00D04954">
        <w:rPr>
          <w:rFonts w:ascii="Times New Roman" w:eastAsia="Times New Roman" w:hAnsi="Times New Roman" w:cs="Times New Roman"/>
          <w:sz w:val="28"/>
          <w:szCs w:val="28"/>
          <w:lang w:eastAsia="ru-RU"/>
        </w:rPr>
        <w:t xml:space="preserve"> în sumă </w:t>
      </w:r>
      <w:r w:rsidR="00B37A48">
        <w:rPr>
          <w:rFonts w:ascii="Times New Roman" w:eastAsia="Times New Roman" w:hAnsi="Times New Roman" w:cs="Times New Roman"/>
          <w:sz w:val="28"/>
          <w:szCs w:val="28"/>
          <w:lang w:eastAsia="ru-RU"/>
        </w:rPr>
        <w:t xml:space="preserve">de </w:t>
      </w:r>
      <w:r w:rsidR="00D04954" w:rsidRPr="00D04954">
        <w:rPr>
          <w:rFonts w:ascii="Times New Roman" w:eastAsia="Times New Roman" w:hAnsi="Times New Roman" w:cs="Times New Roman"/>
          <w:sz w:val="28"/>
          <w:szCs w:val="28"/>
          <w:lang w:eastAsia="ru-RU"/>
        </w:rPr>
        <w:t>10,0 mil.lei, fiind tr</w:t>
      </w:r>
      <w:r>
        <w:rPr>
          <w:rFonts w:ascii="Times New Roman" w:eastAsia="Times New Roman" w:hAnsi="Times New Roman" w:cs="Times New Roman"/>
          <w:sz w:val="28"/>
          <w:szCs w:val="28"/>
          <w:lang w:eastAsia="ru-RU"/>
        </w:rPr>
        <w:t>ansferate BUAT 9,4 mil.lei și</w:t>
      </w:r>
      <w:r w:rsidR="00D04954" w:rsidRPr="00D04954">
        <w:rPr>
          <w:rFonts w:ascii="Times New Roman" w:eastAsia="Times New Roman" w:hAnsi="Times New Roman" w:cs="Times New Roman"/>
          <w:sz w:val="28"/>
          <w:szCs w:val="28"/>
          <w:lang w:eastAsia="ru-RU"/>
        </w:rPr>
        <w:t xml:space="preserve"> executate cheltuieli în sumă de 9,3 mil.lei.</w:t>
      </w:r>
    </w:p>
    <w:p w:rsidR="008102C4" w:rsidRDefault="00FD0DC3" w:rsidP="00AE140F">
      <w:pPr>
        <w:spacing w:after="0" w:line="276"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V</w:t>
      </w:r>
      <w:r w:rsidR="00D04954" w:rsidRPr="00D04954">
        <w:rPr>
          <w:rFonts w:ascii="Times New Roman" w:eastAsia="Times New Roman" w:hAnsi="Times New Roman" w:cs="Times New Roman"/>
          <w:sz w:val="28"/>
          <w:szCs w:val="28"/>
          <w:lang w:eastAsia="ru-RU"/>
        </w:rPr>
        <w:t xml:space="preserve">alorificarea mijloacelor </w:t>
      </w:r>
      <w:r w:rsidR="00D04954" w:rsidRPr="00B02C7B">
        <w:rPr>
          <w:rFonts w:ascii="Times New Roman" w:eastAsia="Times New Roman" w:hAnsi="Times New Roman" w:cs="Times New Roman"/>
          <w:i/>
          <w:sz w:val="28"/>
          <w:szCs w:val="28"/>
          <w:lang w:eastAsia="ru-RU"/>
        </w:rPr>
        <w:t>fondului de rezervă</w:t>
      </w:r>
      <w:r w:rsidR="00D04954" w:rsidRPr="00D04954">
        <w:rPr>
          <w:rFonts w:ascii="Times New Roman" w:eastAsia="Times New Roman" w:hAnsi="Times New Roman" w:cs="Times New Roman"/>
          <w:sz w:val="28"/>
          <w:szCs w:val="28"/>
          <w:lang w:eastAsia="ru-RU"/>
        </w:rPr>
        <w:t xml:space="preserve"> </w:t>
      </w:r>
      <w:r w:rsidR="00B02C7B">
        <w:rPr>
          <w:rFonts w:ascii="Times New Roman" w:eastAsia="Times New Roman" w:hAnsi="Times New Roman" w:cs="Times New Roman"/>
          <w:sz w:val="28"/>
          <w:szCs w:val="28"/>
          <w:lang w:eastAsia="ru-RU"/>
        </w:rPr>
        <w:t>a fost asigurată la nivel de 94,6%</w:t>
      </w:r>
      <w:r w:rsidR="00F362C7">
        <w:rPr>
          <w:rFonts w:ascii="Times New Roman" w:eastAsia="Times New Roman" w:hAnsi="Times New Roman" w:cs="Times New Roman"/>
          <w:sz w:val="28"/>
          <w:szCs w:val="28"/>
          <w:lang w:eastAsia="ru-RU"/>
        </w:rPr>
        <w:t xml:space="preserve"> din totalul mijloacelor</w:t>
      </w:r>
      <w:r w:rsidR="00F362C7" w:rsidRPr="00D04954">
        <w:rPr>
          <w:rFonts w:ascii="Times New Roman" w:eastAsia="Times New Roman" w:hAnsi="Times New Roman" w:cs="Times New Roman"/>
          <w:sz w:val="28"/>
          <w:szCs w:val="28"/>
          <w:lang w:eastAsia="ru-RU"/>
        </w:rPr>
        <w:t xml:space="preserve"> repartizate</w:t>
      </w:r>
      <w:r w:rsidR="00F362C7">
        <w:rPr>
          <w:rFonts w:ascii="Times New Roman" w:eastAsia="Times New Roman" w:hAnsi="Times New Roman" w:cs="Times New Roman"/>
          <w:sz w:val="28"/>
          <w:szCs w:val="28"/>
          <w:lang w:eastAsia="ru-RU"/>
        </w:rPr>
        <w:t>, însumând 43,4 mil.lei</w:t>
      </w:r>
      <w:r w:rsidR="00B02C7B">
        <w:rPr>
          <w:rFonts w:ascii="Times New Roman" w:eastAsia="Times New Roman" w:hAnsi="Times New Roman" w:cs="Times New Roman"/>
          <w:sz w:val="28"/>
          <w:szCs w:val="28"/>
          <w:lang w:eastAsia="ru-RU"/>
        </w:rPr>
        <w:t>.</w:t>
      </w:r>
      <w:r w:rsidR="00D04954" w:rsidRPr="00D04954">
        <w:rPr>
          <w:rFonts w:ascii="Times New Roman" w:eastAsia="Times New Roman" w:hAnsi="Times New Roman" w:cs="Times New Roman"/>
          <w:sz w:val="28"/>
          <w:szCs w:val="28"/>
          <w:lang w:eastAsia="ru-RU"/>
        </w:rPr>
        <w:t xml:space="preserve"> Cea mai mare pondere în totalul resurselor nevalorificate revine</w:t>
      </w:r>
      <w:r w:rsidR="00C90BA7">
        <w:rPr>
          <w:rFonts w:ascii="Times New Roman" w:eastAsia="Times New Roman" w:hAnsi="Times New Roman" w:cs="Times New Roman"/>
          <w:sz w:val="28"/>
          <w:szCs w:val="28"/>
          <w:lang w:eastAsia="ru-RU"/>
        </w:rPr>
        <w:t>:</w:t>
      </w:r>
      <w:r w:rsidR="00D04954" w:rsidRPr="00D04954">
        <w:rPr>
          <w:rFonts w:ascii="Times New Roman" w:eastAsia="Times New Roman" w:hAnsi="Times New Roman" w:cs="Times New Roman"/>
          <w:sz w:val="28"/>
          <w:szCs w:val="28"/>
          <w:lang w:eastAsia="ru-RU"/>
        </w:rPr>
        <w:t xml:space="preserve"> </w:t>
      </w:r>
      <w:r w:rsidR="00F362C7" w:rsidRPr="00C90BA7">
        <w:rPr>
          <w:rFonts w:ascii="Times New Roman" w:eastAsia="Times New Roman" w:hAnsi="Times New Roman" w:cs="Times New Roman"/>
          <w:sz w:val="28"/>
          <w:szCs w:val="28"/>
          <w:lang w:eastAsia="ru-RU"/>
        </w:rPr>
        <w:t>Ministerului Educației, Culturii și Cercetării</w:t>
      </w:r>
      <w:r w:rsidR="00F362C7">
        <w:rPr>
          <w:rFonts w:ascii="Times New Roman" w:eastAsia="Times New Roman" w:hAnsi="Times New Roman" w:cs="Times New Roman"/>
          <w:sz w:val="28"/>
          <w:szCs w:val="28"/>
          <w:lang w:eastAsia="ru-RU"/>
        </w:rPr>
        <w:t xml:space="preserve"> (</w:t>
      </w:r>
      <w:r w:rsidR="00F362C7" w:rsidRPr="00D04954">
        <w:rPr>
          <w:rFonts w:ascii="Times New Roman" w:eastAsia="Times New Roman" w:hAnsi="Times New Roman" w:cs="Times New Roman"/>
          <w:sz w:val="28"/>
          <w:szCs w:val="28"/>
          <w:lang w:eastAsia="ru-RU"/>
        </w:rPr>
        <w:t>1</w:t>
      </w:r>
      <w:r w:rsidR="00F362C7">
        <w:rPr>
          <w:rFonts w:ascii="Times New Roman" w:eastAsia="Times New Roman" w:hAnsi="Times New Roman" w:cs="Times New Roman"/>
          <w:sz w:val="28"/>
          <w:szCs w:val="28"/>
          <w:lang w:eastAsia="ru-RU"/>
        </w:rPr>
        <w:t>,3</w:t>
      </w:r>
      <w:r w:rsidR="00F362C7" w:rsidRPr="00D04954">
        <w:rPr>
          <w:rFonts w:ascii="Times New Roman" w:eastAsia="Times New Roman" w:hAnsi="Times New Roman" w:cs="Times New Roman"/>
          <w:sz w:val="28"/>
          <w:szCs w:val="28"/>
          <w:lang w:eastAsia="ru-RU"/>
        </w:rPr>
        <w:t xml:space="preserve"> mi</w:t>
      </w:r>
      <w:r w:rsidR="00F362C7">
        <w:rPr>
          <w:rFonts w:ascii="Times New Roman" w:eastAsia="Times New Roman" w:hAnsi="Times New Roman" w:cs="Times New Roman"/>
          <w:sz w:val="28"/>
          <w:szCs w:val="28"/>
          <w:lang w:eastAsia="ru-RU"/>
        </w:rPr>
        <w:t>l.</w:t>
      </w:r>
      <w:r w:rsidR="00F362C7" w:rsidRPr="00D04954">
        <w:rPr>
          <w:rFonts w:ascii="Times New Roman" w:eastAsia="Times New Roman" w:hAnsi="Times New Roman" w:cs="Times New Roman"/>
          <w:sz w:val="28"/>
          <w:szCs w:val="28"/>
          <w:lang w:eastAsia="ru-RU"/>
        </w:rPr>
        <w:t>lei)</w:t>
      </w:r>
      <w:r w:rsidR="00F362C7">
        <w:rPr>
          <w:rFonts w:ascii="Times New Roman" w:eastAsia="Times New Roman" w:hAnsi="Times New Roman" w:cs="Times New Roman"/>
          <w:sz w:val="28"/>
          <w:szCs w:val="28"/>
          <w:lang w:eastAsia="ru-RU"/>
        </w:rPr>
        <w:t>, pentru</w:t>
      </w:r>
      <w:r w:rsidR="00F362C7" w:rsidRPr="00D04954">
        <w:rPr>
          <w:rFonts w:ascii="Times New Roman" w:eastAsia="Times New Roman" w:hAnsi="Times New Roman" w:cs="Times New Roman"/>
          <w:sz w:val="28"/>
          <w:szCs w:val="28"/>
          <w:lang w:eastAsia="ru-RU"/>
        </w:rPr>
        <w:t xml:space="preserve"> realizarea acțiunilor culturale</w:t>
      </w:r>
      <w:r w:rsidR="00F362C7">
        <w:rPr>
          <w:rFonts w:ascii="Times New Roman" w:eastAsia="Times New Roman" w:hAnsi="Times New Roman" w:cs="Times New Roman"/>
          <w:sz w:val="28"/>
          <w:szCs w:val="28"/>
          <w:lang w:eastAsia="ru-RU"/>
        </w:rPr>
        <w:t>; Ministerului Justiției</w:t>
      </w:r>
      <w:r w:rsidR="00F362C7" w:rsidRPr="00D04954">
        <w:rPr>
          <w:rFonts w:ascii="Times New Roman" w:eastAsia="Times New Roman" w:hAnsi="Times New Roman" w:cs="Times New Roman"/>
          <w:sz w:val="28"/>
          <w:szCs w:val="28"/>
          <w:lang w:eastAsia="ru-RU"/>
        </w:rPr>
        <w:t xml:space="preserve"> (736,1 mii lei)</w:t>
      </w:r>
      <w:r w:rsidR="00F362C7">
        <w:rPr>
          <w:rFonts w:ascii="Times New Roman" w:eastAsia="Times New Roman" w:hAnsi="Times New Roman" w:cs="Times New Roman"/>
          <w:sz w:val="28"/>
          <w:szCs w:val="28"/>
          <w:lang w:eastAsia="ru-RU"/>
        </w:rPr>
        <w:t>, pentru</w:t>
      </w:r>
      <w:r w:rsidR="00F362C7" w:rsidRPr="00D04954">
        <w:rPr>
          <w:rFonts w:ascii="Times New Roman" w:eastAsia="Times New Roman" w:hAnsi="Times New Roman" w:cs="Times New Roman"/>
          <w:sz w:val="28"/>
          <w:szCs w:val="28"/>
          <w:lang w:eastAsia="ru-RU"/>
        </w:rPr>
        <w:t xml:space="preserve"> plățile onorariilor de consultanță juridică, avocatură și procedură de arbitraj pentru prezentarea intereselor Guvernului RM în instanțele internaționale</w:t>
      </w:r>
      <w:r w:rsidR="00F362C7">
        <w:rPr>
          <w:rFonts w:ascii="Times New Roman" w:eastAsia="Times New Roman" w:hAnsi="Times New Roman" w:cs="Times New Roman"/>
          <w:sz w:val="28"/>
          <w:szCs w:val="28"/>
          <w:lang w:eastAsia="ru-RU"/>
        </w:rPr>
        <w:t>; Ministerului Apărării</w:t>
      </w:r>
      <w:r w:rsidR="00F362C7" w:rsidRPr="00D04954">
        <w:rPr>
          <w:rFonts w:ascii="Times New Roman" w:eastAsia="Times New Roman" w:hAnsi="Times New Roman" w:cs="Times New Roman"/>
          <w:sz w:val="28"/>
          <w:szCs w:val="28"/>
          <w:lang w:eastAsia="ru-RU"/>
        </w:rPr>
        <w:t xml:space="preserve"> (</w:t>
      </w:r>
      <w:r w:rsidR="00F362C7">
        <w:rPr>
          <w:rFonts w:ascii="Times New Roman" w:eastAsia="Times New Roman" w:hAnsi="Times New Roman" w:cs="Times New Roman"/>
          <w:sz w:val="28"/>
          <w:szCs w:val="28"/>
          <w:lang w:eastAsia="ru-RU"/>
        </w:rPr>
        <w:t>0,4</w:t>
      </w:r>
      <w:r w:rsidR="00F362C7" w:rsidRPr="00D04954">
        <w:rPr>
          <w:rFonts w:ascii="Times New Roman" w:eastAsia="Times New Roman" w:hAnsi="Times New Roman" w:cs="Times New Roman"/>
          <w:sz w:val="28"/>
          <w:szCs w:val="28"/>
          <w:lang w:eastAsia="ru-RU"/>
        </w:rPr>
        <w:t xml:space="preserve"> mi</w:t>
      </w:r>
      <w:r w:rsidR="00F362C7">
        <w:rPr>
          <w:rFonts w:ascii="Times New Roman" w:eastAsia="Times New Roman" w:hAnsi="Times New Roman" w:cs="Times New Roman"/>
          <w:sz w:val="28"/>
          <w:szCs w:val="28"/>
          <w:lang w:eastAsia="ru-RU"/>
        </w:rPr>
        <w:t xml:space="preserve">l.lei), </w:t>
      </w:r>
      <w:r w:rsidR="00F362C7" w:rsidRPr="00D04954">
        <w:rPr>
          <w:rFonts w:ascii="Times New Roman" w:eastAsia="Times New Roman" w:hAnsi="Times New Roman" w:cs="Times New Roman"/>
          <w:sz w:val="28"/>
          <w:szCs w:val="28"/>
          <w:lang w:eastAsia="ru-RU"/>
        </w:rPr>
        <w:t xml:space="preserve">pentru acoperirea cheltuielilor aferente confecționării </w:t>
      </w:r>
      <w:r w:rsidR="00374412">
        <w:rPr>
          <w:rFonts w:ascii="Times New Roman" w:eastAsia="Times New Roman" w:hAnsi="Times New Roman" w:cs="Times New Roman"/>
          <w:sz w:val="28"/>
          <w:szCs w:val="28"/>
          <w:lang w:eastAsia="ru-RU"/>
        </w:rPr>
        <w:t>distincției C</w:t>
      </w:r>
      <w:r w:rsidR="00F362C7" w:rsidRPr="00D04954">
        <w:rPr>
          <w:rFonts w:ascii="Times New Roman" w:eastAsia="Times New Roman" w:hAnsi="Times New Roman" w:cs="Times New Roman"/>
          <w:sz w:val="28"/>
          <w:szCs w:val="28"/>
          <w:lang w:eastAsia="ru-RU"/>
        </w:rPr>
        <w:t>ruc</w:t>
      </w:r>
      <w:r w:rsidR="00374412">
        <w:rPr>
          <w:rFonts w:ascii="Times New Roman" w:eastAsia="Times New Roman" w:hAnsi="Times New Roman" w:cs="Times New Roman"/>
          <w:sz w:val="28"/>
          <w:szCs w:val="28"/>
          <w:lang w:eastAsia="ru-RU"/>
        </w:rPr>
        <w:t>ea</w:t>
      </w:r>
      <w:r w:rsidR="00F362C7" w:rsidRPr="00D04954">
        <w:rPr>
          <w:rFonts w:ascii="Times New Roman" w:eastAsia="Times New Roman" w:hAnsi="Times New Roman" w:cs="Times New Roman"/>
          <w:sz w:val="28"/>
          <w:szCs w:val="28"/>
          <w:lang w:eastAsia="ru-RU"/>
        </w:rPr>
        <w:t xml:space="preserve"> comemorativ</w:t>
      </w:r>
      <w:r w:rsidR="00374412">
        <w:rPr>
          <w:rFonts w:ascii="Times New Roman" w:eastAsia="Times New Roman" w:hAnsi="Times New Roman" w:cs="Times New Roman"/>
          <w:sz w:val="28"/>
          <w:szCs w:val="28"/>
          <w:lang w:eastAsia="ru-RU"/>
        </w:rPr>
        <w:t>ă</w:t>
      </w:r>
      <w:r w:rsidR="00F362C7" w:rsidRPr="00D04954">
        <w:rPr>
          <w:rFonts w:ascii="Times New Roman" w:eastAsia="Times New Roman" w:hAnsi="Times New Roman" w:cs="Times New Roman"/>
          <w:sz w:val="28"/>
          <w:szCs w:val="28"/>
          <w:lang w:eastAsia="ru-RU"/>
        </w:rPr>
        <w:t xml:space="preserve"> „Participant la lichidarea consecințelor catastrofei din 1986 de la Centrala Atomoelectrică </w:t>
      </w:r>
      <w:r w:rsidR="00DA2B8C" w:rsidRPr="00D04954">
        <w:rPr>
          <w:rFonts w:ascii="Times New Roman" w:eastAsia="Times New Roman" w:hAnsi="Times New Roman" w:cs="Times New Roman"/>
          <w:sz w:val="28"/>
          <w:szCs w:val="28"/>
          <w:lang w:eastAsia="ru-RU"/>
        </w:rPr>
        <w:t>Cernob</w:t>
      </w:r>
      <w:r w:rsidR="00DA2B8C">
        <w:rPr>
          <w:rFonts w:ascii="Times New Roman" w:eastAsia="Times New Roman" w:hAnsi="Times New Roman" w:cs="Times New Roman"/>
          <w:sz w:val="28"/>
          <w:szCs w:val="28"/>
          <w:lang w:eastAsia="ru-RU"/>
        </w:rPr>
        <w:t>î</w:t>
      </w:r>
      <w:r w:rsidR="00DA2B8C" w:rsidRPr="00D04954">
        <w:rPr>
          <w:rFonts w:ascii="Times New Roman" w:eastAsia="Times New Roman" w:hAnsi="Times New Roman" w:cs="Times New Roman"/>
          <w:sz w:val="28"/>
          <w:szCs w:val="28"/>
          <w:lang w:eastAsia="ru-RU"/>
        </w:rPr>
        <w:t>l</w:t>
      </w:r>
      <w:r w:rsidR="00F362C7" w:rsidRPr="00D04954">
        <w:rPr>
          <w:rFonts w:ascii="Times New Roman" w:eastAsia="Times New Roman" w:hAnsi="Times New Roman" w:cs="Times New Roman"/>
          <w:sz w:val="28"/>
          <w:szCs w:val="28"/>
          <w:lang w:eastAsia="ru-RU"/>
        </w:rPr>
        <w:t>”</w:t>
      </w:r>
      <w:r w:rsidR="00F362C7">
        <w:rPr>
          <w:rFonts w:ascii="Times New Roman" w:eastAsia="Times New Roman" w:hAnsi="Times New Roman" w:cs="Times New Roman"/>
          <w:sz w:val="28"/>
          <w:szCs w:val="28"/>
          <w:lang w:eastAsia="ru-RU"/>
        </w:rPr>
        <w:t>.</w:t>
      </w:r>
      <w:r w:rsidR="00F362C7" w:rsidRPr="00D04954">
        <w:rPr>
          <w:rFonts w:ascii="Times New Roman" w:eastAsia="Times New Roman" w:hAnsi="Times New Roman" w:cs="Times New Roman"/>
          <w:sz w:val="28"/>
          <w:szCs w:val="28"/>
          <w:lang w:eastAsia="ru-RU"/>
        </w:rPr>
        <w:t xml:space="preserve"> </w:t>
      </w:r>
    </w:p>
    <w:p w:rsidR="00C90BA7" w:rsidRDefault="008102C4" w:rsidP="00AE140F">
      <w:pPr>
        <w:spacing w:after="0" w:line="276" w:lineRule="auto"/>
        <w:ind w:firstLine="720"/>
        <w:jc w:val="both"/>
        <w:rPr>
          <w:rFonts w:ascii="Times New Roman" w:eastAsia="Times New Roman" w:hAnsi="Times New Roman" w:cs="Times New Roman"/>
          <w:sz w:val="28"/>
          <w:szCs w:val="28"/>
          <w:shd w:val="clear" w:color="auto" w:fill="FFFFFF" w:themeFill="background1"/>
          <w:lang w:eastAsia="ru-RU"/>
        </w:rPr>
      </w:pPr>
      <w:r>
        <w:rPr>
          <w:rFonts w:ascii="Times New Roman" w:eastAsia="Times New Roman" w:hAnsi="Times New Roman" w:cs="Times New Roman"/>
          <w:sz w:val="28"/>
          <w:szCs w:val="28"/>
          <w:shd w:val="clear" w:color="auto" w:fill="FFFFFF" w:themeFill="background1"/>
          <w:lang w:eastAsia="ru-RU"/>
        </w:rPr>
        <w:t>De asemenea, auditul constată</w:t>
      </w:r>
      <w:r w:rsidR="00F362C7">
        <w:rPr>
          <w:rFonts w:ascii="Times New Roman" w:eastAsia="Times New Roman" w:hAnsi="Times New Roman" w:cs="Times New Roman"/>
          <w:sz w:val="28"/>
          <w:szCs w:val="28"/>
          <w:shd w:val="clear" w:color="auto" w:fill="FFFFFF" w:themeFill="background1"/>
          <w:lang w:eastAsia="ru-RU"/>
        </w:rPr>
        <w:t xml:space="preserve"> că</w:t>
      </w:r>
      <w:r w:rsidR="00F362C7" w:rsidRPr="00D04954">
        <w:rPr>
          <w:rFonts w:ascii="Times New Roman" w:eastAsia="Times New Roman" w:hAnsi="Times New Roman" w:cs="Times New Roman"/>
          <w:sz w:val="28"/>
          <w:szCs w:val="28"/>
          <w:shd w:val="clear" w:color="auto" w:fill="FFFFFF" w:themeFill="background1"/>
          <w:lang w:eastAsia="ru-RU"/>
        </w:rPr>
        <w:t xml:space="preserve"> la alocarea resurselor financiare din </w:t>
      </w:r>
      <w:r w:rsidR="00374412">
        <w:rPr>
          <w:rFonts w:ascii="Times New Roman" w:eastAsia="Times New Roman" w:hAnsi="Times New Roman" w:cs="Times New Roman"/>
          <w:sz w:val="28"/>
          <w:szCs w:val="28"/>
          <w:shd w:val="clear" w:color="auto" w:fill="FFFFFF" w:themeFill="background1"/>
          <w:lang w:eastAsia="ru-RU"/>
        </w:rPr>
        <w:t>f</w:t>
      </w:r>
      <w:r w:rsidR="00F362C7" w:rsidRPr="00D04954">
        <w:rPr>
          <w:rFonts w:ascii="Times New Roman" w:eastAsia="Times New Roman" w:hAnsi="Times New Roman" w:cs="Times New Roman"/>
          <w:sz w:val="28"/>
          <w:szCs w:val="28"/>
          <w:shd w:val="clear" w:color="auto" w:fill="FFFFFF" w:themeFill="background1"/>
          <w:lang w:eastAsia="ru-RU"/>
        </w:rPr>
        <w:t xml:space="preserve">ondul de </w:t>
      </w:r>
      <w:r w:rsidR="00F362C7">
        <w:rPr>
          <w:rFonts w:ascii="Times New Roman" w:eastAsia="Times New Roman" w:hAnsi="Times New Roman" w:cs="Times New Roman"/>
          <w:sz w:val="28"/>
          <w:szCs w:val="28"/>
          <w:shd w:val="clear" w:color="auto" w:fill="FFFFFF" w:themeFill="background1"/>
          <w:lang w:eastAsia="ru-RU"/>
        </w:rPr>
        <w:t>r</w:t>
      </w:r>
      <w:r w:rsidR="00F362C7" w:rsidRPr="00D04954">
        <w:rPr>
          <w:rFonts w:ascii="Times New Roman" w:eastAsia="Times New Roman" w:hAnsi="Times New Roman" w:cs="Times New Roman"/>
          <w:sz w:val="28"/>
          <w:szCs w:val="28"/>
          <w:shd w:val="clear" w:color="auto" w:fill="FFFFFF" w:themeFill="background1"/>
          <w:lang w:eastAsia="ru-RU"/>
        </w:rPr>
        <w:t>ezervă a</w:t>
      </w:r>
      <w:r w:rsidR="00374412">
        <w:rPr>
          <w:rFonts w:ascii="Times New Roman" w:eastAsia="Times New Roman" w:hAnsi="Times New Roman" w:cs="Times New Roman"/>
          <w:sz w:val="28"/>
          <w:szCs w:val="28"/>
          <w:shd w:val="clear" w:color="auto" w:fill="FFFFFF" w:themeFill="background1"/>
          <w:lang w:eastAsia="ru-RU"/>
        </w:rPr>
        <w:t>l</w:t>
      </w:r>
      <w:r w:rsidR="00F362C7" w:rsidRPr="00D04954">
        <w:rPr>
          <w:rFonts w:ascii="Times New Roman" w:eastAsia="Times New Roman" w:hAnsi="Times New Roman" w:cs="Times New Roman"/>
          <w:sz w:val="28"/>
          <w:szCs w:val="28"/>
          <w:shd w:val="clear" w:color="auto" w:fill="FFFFFF" w:themeFill="background1"/>
          <w:lang w:eastAsia="ru-RU"/>
        </w:rPr>
        <w:t xml:space="preserve"> Guvernului nu se ține cont </w:t>
      </w:r>
      <w:r w:rsidR="00BF3E5D" w:rsidRPr="00D04954">
        <w:rPr>
          <w:rFonts w:ascii="Times New Roman" w:eastAsia="Times New Roman" w:hAnsi="Times New Roman" w:cs="Times New Roman"/>
          <w:sz w:val="28"/>
          <w:szCs w:val="28"/>
          <w:shd w:val="clear" w:color="auto" w:fill="FFFFFF" w:themeFill="background1"/>
          <w:lang w:eastAsia="ru-RU"/>
        </w:rPr>
        <w:t xml:space="preserve">în toate cazurile </w:t>
      </w:r>
      <w:r w:rsidR="00F362C7" w:rsidRPr="00D04954">
        <w:rPr>
          <w:rFonts w:ascii="Times New Roman" w:eastAsia="Times New Roman" w:hAnsi="Times New Roman" w:cs="Times New Roman"/>
          <w:sz w:val="28"/>
          <w:szCs w:val="28"/>
          <w:shd w:val="clear" w:color="auto" w:fill="FFFFFF" w:themeFill="background1"/>
          <w:lang w:eastAsia="ru-RU"/>
        </w:rPr>
        <w:t>de criteriile de alocare a mijloacelor financiare stipulate în pct.5</w:t>
      </w:r>
      <w:r w:rsidR="00F362C7" w:rsidRPr="00D04954">
        <w:rPr>
          <w:rFonts w:ascii="Times New Roman" w:eastAsia="Times New Roman" w:hAnsi="Times New Roman" w:cs="Times New Roman"/>
          <w:sz w:val="28"/>
          <w:szCs w:val="28"/>
          <w:shd w:val="clear" w:color="auto" w:fill="FFFFFF" w:themeFill="background1"/>
          <w:vertAlign w:val="superscript"/>
          <w:lang w:eastAsia="ru-RU"/>
        </w:rPr>
        <w:footnoteReference w:id="61"/>
      </w:r>
      <w:r w:rsidR="00F362C7" w:rsidRPr="00D04954">
        <w:rPr>
          <w:rFonts w:ascii="Times New Roman" w:eastAsia="Times New Roman" w:hAnsi="Times New Roman" w:cs="Times New Roman"/>
          <w:sz w:val="28"/>
          <w:szCs w:val="28"/>
          <w:shd w:val="clear" w:color="auto" w:fill="FFFFFF" w:themeFill="background1"/>
          <w:lang w:eastAsia="ru-RU"/>
        </w:rPr>
        <w:t xml:space="preserve"> din Regulamentul privind gestionarea fondurilor de urgență ale Guvernului. </w:t>
      </w:r>
    </w:p>
    <w:p w:rsidR="00D04954" w:rsidRPr="00D04954" w:rsidRDefault="00F362C7" w:rsidP="00AE140F">
      <w:pPr>
        <w:spacing w:after="0" w:line="276" w:lineRule="auto"/>
        <w:ind w:firstLine="720"/>
        <w:jc w:val="both"/>
        <w:rPr>
          <w:rFonts w:ascii="Times New Roman" w:eastAsia="Times New Roman" w:hAnsi="Times New Roman" w:cs="Times New Roman"/>
          <w:b/>
          <w:i/>
          <w:sz w:val="28"/>
          <w:szCs w:val="28"/>
          <w:lang w:val="en-US" w:eastAsia="ru-RU"/>
        </w:rPr>
      </w:pPr>
      <w:r>
        <w:rPr>
          <w:rFonts w:ascii="Times New Roman" w:eastAsia="Times New Roman" w:hAnsi="Times New Roman" w:cs="Times New Roman"/>
          <w:sz w:val="28"/>
          <w:szCs w:val="28"/>
        </w:rPr>
        <w:t>Auditul</w:t>
      </w:r>
      <w:r w:rsidRPr="00D04954">
        <w:rPr>
          <w:rFonts w:ascii="Times New Roman" w:eastAsia="Times New Roman" w:hAnsi="Times New Roman" w:cs="Times New Roman"/>
          <w:sz w:val="28"/>
          <w:szCs w:val="28"/>
        </w:rPr>
        <w:t xml:space="preserve"> denotă că în cadrul auditurilor precedente s-a menționat despre </w:t>
      </w:r>
      <w:r w:rsidRPr="00AA50C1">
        <w:rPr>
          <w:rFonts w:ascii="Times New Roman" w:eastAsia="Times New Roman" w:hAnsi="Times New Roman" w:cs="Times New Roman"/>
          <w:sz w:val="28"/>
          <w:szCs w:val="28"/>
        </w:rPr>
        <w:t xml:space="preserve">repetitivitatea </w:t>
      </w:r>
      <w:r w:rsidR="00AE140F" w:rsidRPr="00AA50C1">
        <w:rPr>
          <w:rFonts w:ascii="Times New Roman" w:eastAsia="Times New Roman" w:hAnsi="Times New Roman" w:cs="Times New Roman"/>
          <w:sz w:val="28"/>
          <w:szCs w:val="28"/>
        </w:rPr>
        <w:t xml:space="preserve">alocărilor </w:t>
      </w:r>
      <w:r w:rsidR="00AA50C1" w:rsidRPr="00AA50C1">
        <w:rPr>
          <w:rFonts w:ascii="Times New Roman" w:eastAsia="Times New Roman" w:hAnsi="Times New Roman" w:cs="Times New Roman"/>
          <w:sz w:val="28"/>
          <w:szCs w:val="28"/>
        </w:rPr>
        <w:t xml:space="preserve">în </w:t>
      </w:r>
      <w:r w:rsidR="00DA2B8C">
        <w:rPr>
          <w:rFonts w:ascii="Times New Roman" w:eastAsia="Times New Roman" w:hAnsi="Times New Roman" w:cs="Times New Roman"/>
          <w:sz w:val="28"/>
          <w:szCs w:val="28"/>
        </w:rPr>
        <w:t xml:space="preserve">baza </w:t>
      </w:r>
      <w:r w:rsidR="00AA50C1" w:rsidRPr="00AA50C1">
        <w:rPr>
          <w:rFonts w:ascii="Times New Roman" w:eastAsia="Times New Roman" w:hAnsi="Times New Roman" w:cs="Times New Roman"/>
          <w:sz w:val="28"/>
          <w:szCs w:val="28"/>
        </w:rPr>
        <w:t>un</w:t>
      </w:r>
      <w:r w:rsidR="00DA2B8C">
        <w:rPr>
          <w:rFonts w:ascii="Times New Roman" w:eastAsia="Times New Roman" w:hAnsi="Times New Roman" w:cs="Times New Roman"/>
          <w:sz w:val="28"/>
          <w:szCs w:val="28"/>
        </w:rPr>
        <w:t>or</w:t>
      </w:r>
      <w:r w:rsidRPr="00AA50C1">
        <w:rPr>
          <w:rFonts w:ascii="Times New Roman" w:eastAsia="Times New Roman" w:hAnsi="Times New Roman" w:cs="Times New Roman"/>
          <w:sz w:val="28"/>
          <w:szCs w:val="28"/>
        </w:rPr>
        <w:t xml:space="preserve"> hotărâri de Guvern</w:t>
      </w:r>
      <w:r w:rsidRPr="00D0495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Analiza auditului relevă că </w:t>
      </w:r>
      <w:r>
        <w:rPr>
          <w:rFonts w:ascii="Times New Roman" w:eastAsia="Times New Roman" w:hAnsi="Times New Roman" w:cs="Times New Roman"/>
          <w:sz w:val="28"/>
          <w:szCs w:val="28"/>
        </w:rPr>
        <w:lastRenderedPageBreak/>
        <w:t>î</w:t>
      </w:r>
      <w:r w:rsidRPr="00D04954">
        <w:rPr>
          <w:rFonts w:ascii="Times New Roman" w:eastAsia="Times New Roman" w:hAnsi="Times New Roman" w:cs="Times New Roman"/>
          <w:sz w:val="28"/>
          <w:szCs w:val="28"/>
        </w:rPr>
        <w:t>n anul 2017</w:t>
      </w:r>
      <w:r>
        <w:rPr>
          <w:rFonts w:ascii="Times New Roman" w:eastAsia="Times New Roman" w:hAnsi="Times New Roman" w:cs="Times New Roman"/>
          <w:sz w:val="28"/>
          <w:szCs w:val="28"/>
        </w:rPr>
        <w:t>, d</w:t>
      </w:r>
      <w:r w:rsidRPr="00D04954">
        <w:rPr>
          <w:rFonts w:ascii="Times New Roman" w:eastAsia="Times New Roman" w:hAnsi="Times New Roman" w:cs="Times New Roman"/>
          <w:sz w:val="28"/>
          <w:szCs w:val="28"/>
        </w:rPr>
        <w:t>eși</w:t>
      </w:r>
      <w:r>
        <w:rPr>
          <w:rFonts w:ascii="Times New Roman" w:eastAsia="Times New Roman" w:hAnsi="Times New Roman" w:cs="Times New Roman"/>
          <w:sz w:val="28"/>
          <w:szCs w:val="28"/>
        </w:rPr>
        <w:t xml:space="preserve"> reiterarea acestora </w:t>
      </w:r>
      <w:r w:rsidRPr="00D04954">
        <w:rPr>
          <w:rFonts w:ascii="Times New Roman" w:eastAsia="Times New Roman" w:hAnsi="Times New Roman" w:cs="Times New Roman"/>
          <w:sz w:val="28"/>
          <w:szCs w:val="28"/>
        </w:rPr>
        <w:t>s-a redus, destinația unor cheltuieli se repetă din an în an, chiar și al patrulea an consecutiv (1 hotărâre de Guvern – 1,3 mil.lei)</w:t>
      </w:r>
      <w:r w:rsidRPr="00D04954">
        <w:rPr>
          <w:rFonts w:ascii="Times New Roman" w:eastAsia="Times New Roman" w:hAnsi="Times New Roman" w:cs="Times New Roman"/>
          <w:sz w:val="28"/>
          <w:szCs w:val="28"/>
          <w:vertAlign w:val="superscript"/>
        </w:rPr>
        <w:footnoteReference w:id="62"/>
      </w:r>
      <w:r w:rsidRPr="00D04954">
        <w:rPr>
          <w:rFonts w:ascii="Times New Roman" w:eastAsia="Times New Roman" w:hAnsi="Times New Roman" w:cs="Times New Roman"/>
          <w:sz w:val="28"/>
          <w:szCs w:val="28"/>
        </w:rPr>
        <w:t xml:space="preserve">, alta </w:t>
      </w:r>
      <w:r>
        <w:rPr>
          <w:rFonts w:ascii="Times New Roman" w:eastAsia="Times New Roman" w:hAnsi="Times New Roman" w:cs="Times New Roman"/>
          <w:sz w:val="28"/>
          <w:szCs w:val="28"/>
        </w:rPr>
        <w:t>(</w:t>
      </w:r>
      <w:r w:rsidRPr="00D04954">
        <w:rPr>
          <w:rFonts w:ascii="Times New Roman" w:eastAsia="Times New Roman" w:hAnsi="Times New Roman" w:cs="Times New Roman"/>
          <w:sz w:val="28"/>
          <w:szCs w:val="28"/>
        </w:rPr>
        <w:t>3 ani consecutiv</w:t>
      </w:r>
      <w:r w:rsidR="00BF3E5D">
        <w:rPr>
          <w:rFonts w:ascii="Times New Roman" w:eastAsia="Times New Roman" w:hAnsi="Times New Roman" w:cs="Times New Roman"/>
          <w:sz w:val="28"/>
          <w:szCs w:val="28"/>
        </w:rPr>
        <w:t>i</w:t>
      </w:r>
      <w:r>
        <w:rPr>
          <w:rFonts w:ascii="Times New Roman" w:eastAsia="Times New Roman" w:hAnsi="Times New Roman" w:cs="Times New Roman"/>
          <w:sz w:val="28"/>
          <w:szCs w:val="28"/>
        </w:rPr>
        <w:t>)</w:t>
      </w:r>
      <w:r w:rsidRPr="00D04954">
        <w:rPr>
          <w:rFonts w:ascii="Times New Roman" w:eastAsia="Times New Roman" w:hAnsi="Times New Roman" w:cs="Times New Roman"/>
          <w:sz w:val="28"/>
          <w:szCs w:val="28"/>
        </w:rPr>
        <w:t xml:space="preserve"> – 0,8 mil.lei</w:t>
      </w:r>
      <w:r w:rsidRPr="00D04954">
        <w:rPr>
          <w:rFonts w:ascii="Times New Roman" w:eastAsia="Times New Roman" w:hAnsi="Times New Roman" w:cs="Times New Roman"/>
          <w:sz w:val="28"/>
          <w:szCs w:val="28"/>
          <w:vertAlign w:val="superscript"/>
        </w:rPr>
        <w:footnoteReference w:id="63"/>
      </w:r>
      <w:r w:rsidRPr="00D04954">
        <w:rPr>
          <w:rFonts w:ascii="Times New Roman" w:eastAsia="Times New Roman" w:hAnsi="Times New Roman" w:cs="Times New Roman"/>
          <w:sz w:val="28"/>
          <w:szCs w:val="28"/>
        </w:rPr>
        <w:t xml:space="preserve">. De asemenea, auditul relevă că anual </w:t>
      </w:r>
      <w:r w:rsidRPr="00D04954">
        <w:rPr>
          <w:rFonts w:ascii="Times New Roman" w:eastAsia="Times New Roman" w:hAnsi="Times New Roman" w:cs="Times New Roman"/>
          <w:sz w:val="28"/>
          <w:szCs w:val="28"/>
          <w:lang w:eastAsia="ru-RU"/>
        </w:rPr>
        <w:t>cheltuielile legate de plățile onorariilor de consultanță juridică, avocatură și procedură de arbitraj pentru prezentarea intereselor Guvernului RM în instanțele internaționale reprezintă o pondere semnificativă</w:t>
      </w:r>
      <w:r w:rsidR="00764D6E">
        <w:rPr>
          <w:rFonts w:ascii="Times New Roman" w:eastAsia="Times New Roman" w:hAnsi="Times New Roman" w:cs="Times New Roman"/>
          <w:sz w:val="28"/>
          <w:szCs w:val="28"/>
          <w:lang w:eastAsia="ru-RU"/>
        </w:rPr>
        <w:t xml:space="preserve"> </w:t>
      </w:r>
      <w:r w:rsidRPr="00D04954">
        <w:rPr>
          <w:rFonts w:ascii="Times New Roman" w:eastAsia="Times New Roman" w:hAnsi="Times New Roman" w:cs="Times New Roman"/>
          <w:sz w:val="28"/>
          <w:szCs w:val="28"/>
          <w:lang w:eastAsia="ru-RU"/>
        </w:rPr>
        <w:t>în totalul cheltuielilor fondului de rezervă</w:t>
      </w:r>
      <w:r w:rsidR="00C90BA7">
        <w:rPr>
          <w:rFonts w:ascii="Times New Roman" w:eastAsia="Times New Roman" w:hAnsi="Times New Roman" w:cs="Times New Roman"/>
          <w:sz w:val="28"/>
          <w:szCs w:val="28"/>
          <w:lang w:eastAsia="ru-RU"/>
        </w:rPr>
        <w:t xml:space="preserve"> (25,1% în anul 2017)</w:t>
      </w:r>
      <w:r w:rsidRPr="00D04954">
        <w:rPr>
          <w:rFonts w:ascii="Times New Roman" w:eastAsia="Times New Roman" w:hAnsi="Times New Roman" w:cs="Times New Roman"/>
          <w:sz w:val="28"/>
          <w:szCs w:val="28"/>
          <w:lang w:eastAsia="ru-RU"/>
        </w:rPr>
        <w:t xml:space="preserve">, fiind necesar ca </w:t>
      </w:r>
      <w:r w:rsidR="0026406F">
        <w:rPr>
          <w:rFonts w:ascii="Times New Roman" w:eastAsia="Times New Roman" w:hAnsi="Times New Roman" w:cs="Times New Roman"/>
          <w:sz w:val="28"/>
          <w:szCs w:val="28"/>
          <w:lang w:eastAsia="ru-RU"/>
        </w:rPr>
        <w:t>autoritățile/instituțiile bugetare</w:t>
      </w:r>
      <w:r w:rsidRPr="00D04954">
        <w:rPr>
          <w:rFonts w:ascii="Times New Roman" w:eastAsia="Times New Roman" w:hAnsi="Times New Roman" w:cs="Times New Roman"/>
          <w:sz w:val="28"/>
          <w:szCs w:val="28"/>
          <w:lang w:eastAsia="ru-RU"/>
        </w:rPr>
        <w:t xml:space="preserve"> să prevadă mijloacele</w:t>
      </w:r>
      <w:r>
        <w:rPr>
          <w:rFonts w:ascii="Times New Roman" w:eastAsia="Times New Roman" w:hAnsi="Times New Roman" w:cs="Times New Roman"/>
          <w:sz w:val="28"/>
          <w:szCs w:val="28"/>
          <w:lang w:eastAsia="ru-RU"/>
        </w:rPr>
        <w:t xml:space="preserve"> respective în bugetele proprii</w:t>
      </w:r>
      <w:r w:rsidRPr="00D04954">
        <w:rPr>
          <w:rFonts w:ascii="Times New Roman" w:eastAsia="Times New Roman" w:hAnsi="Times New Roman" w:cs="Times New Roman"/>
          <w:sz w:val="28"/>
          <w:szCs w:val="28"/>
          <w:lang w:eastAsia="ru-RU"/>
        </w:rPr>
        <w:t>.</w:t>
      </w:r>
      <w:r w:rsidRPr="00C810C4">
        <w:rPr>
          <w:rFonts w:ascii="Times New Roman" w:eastAsia="Times New Roman" w:hAnsi="Times New Roman" w:cs="Times New Roman"/>
          <w:sz w:val="28"/>
          <w:szCs w:val="28"/>
        </w:rPr>
        <w:t xml:space="preserve"> </w:t>
      </w:r>
      <w:r w:rsidRPr="00D04954">
        <w:rPr>
          <w:rFonts w:ascii="Times New Roman" w:eastAsia="Times New Roman" w:hAnsi="Times New Roman" w:cs="Times New Roman"/>
          <w:sz w:val="28"/>
          <w:szCs w:val="28"/>
        </w:rPr>
        <w:t>În context</w:t>
      </w:r>
      <w:r>
        <w:rPr>
          <w:rFonts w:ascii="Times New Roman" w:eastAsia="Times New Roman" w:hAnsi="Times New Roman" w:cs="Times New Roman"/>
          <w:sz w:val="28"/>
          <w:szCs w:val="28"/>
        </w:rPr>
        <w:t>,</w:t>
      </w:r>
      <w:r w:rsidRPr="00D04954">
        <w:rPr>
          <w:rFonts w:ascii="Times New Roman" w:eastAsia="Times New Roman" w:hAnsi="Times New Roman" w:cs="Times New Roman"/>
          <w:sz w:val="28"/>
          <w:szCs w:val="28"/>
        </w:rPr>
        <w:t xml:space="preserve"> auditul constată </w:t>
      </w:r>
      <w:r w:rsidRPr="00D04954">
        <w:rPr>
          <w:rFonts w:ascii="Times New Roman" w:eastAsia="Times New Roman" w:hAnsi="Times New Roman" w:cs="Times New Roman"/>
          <w:sz w:val="28"/>
          <w:szCs w:val="28"/>
          <w:lang w:eastAsia="ru-RU"/>
        </w:rPr>
        <w:t xml:space="preserve">că acest fapt reprezintă o modalitate de a suplimenta bugetele unor </w:t>
      </w:r>
      <w:r w:rsidR="0026406F">
        <w:rPr>
          <w:rFonts w:ascii="Times New Roman" w:eastAsia="Times New Roman" w:hAnsi="Times New Roman" w:cs="Times New Roman"/>
          <w:sz w:val="28"/>
          <w:szCs w:val="28"/>
          <w:lang w:eastAsia="ru-RU"/>
        </w:rPr>
        <w:t>autorități/instituții bugetare</w:t>
      </w:r>
      <w:r w:rsidR="00BF3E5D">
        <w:rPr>
          <w:rFonts w:ascii="Times New Roman" w:eastAsia="Times New Roman" w:hAnsi="Times New Roman" w:cs="Times New Roman"/>
          <w:sz w:val="28"/>
          <w:szCs w:val="28"/>
          <w:lang w:eastAsia="ru-RU"/>
        </w:rPr>
        <w:t>,</w:t>
      </w:r>
      <w:r w:rsidRPr="00D04954">
        <w:rPr>
          <w:rFonts w:ascii="Times New Roman" w:eastAsia="Times New Roman" w:hAnsi="Times New Roman" w:cs="Times New Roman"/>
          <w:sz w:val="28"/>
          <w:szCs w:val="28"/>
          <w:lang w:eastAsia="ru-RU"/>
        </w:rPr>
        <w:t xml:space="preserve"> fără a fi nevoie de aprobarea Parlamentului.</w:t>
      </w:r>
    </w:p>
    <w:p w:rsidR="00D04954" w:rsidRPr="00D04954" w:rsidRDefault="00D04954" w:rsidP="00AE140F">
      <w:pPr>
        <w:spacing w:after="0" w:line="276" w:lineRule="auto"/>
        <w:ind w:firstLine="709"/>
        <w:jc w:val="both"/>
        <w:rPr>
          <w:rFonts w:ascii="Times New Roman" w:eastAsia="Times New Roman" w:hAnsi="Times New Roman" w:cs="Times New Roman"/>
          <w:sz w:val="28"/>
          <w:szCs w:val="28"/>
        </w:rPr>
      </w:pPr>
      <w:r w:rsidRPr="00D04954">
        <w:rPr>
          <w:rFonts w:ascii="Times New Roman" w:eastAsia="Times New Roman" w:hAnsi="Times New Roman" w:cs="Times New Roman"/>
          <w:sz w:val="28"/>
          <w:szCs w:val="28"/>
        </w:rPr>
        <w:t>Totodată, auditul relevă că</w:t>
      </w:r>
      <w:r w:rsidR="00374412">
        <w:rPr>
          <w:rFonts w:ascii="Times New Roman" w:eastAsia="Times New Roman" w:hAnsi="Times New Roman" w:cs="Times New Roman"/>
          <w:sz w:val="28"/>
          <w:szCs w:val="28"/>
        </w:rPr>
        <w:t>,</w:t>
      </w:r>
      <w:r w:rsidRPr="00D04954">
        <w:rPr>
          <w:rFonts w:ascii="Times New Roman" w:eastAsia="Times New Roman" w:hAnsi="Times New Roman" w:cs="Times New Roman"/>
          <w:sz w:val="28"/>
          <w:szCs w:val="28"/>
        </w:rPr>
        <w:t xml:space="preserve"> potrivit prevederilor pct.12 </w:t>
      </w:r>
      <w:r w:rsidR="00374412">
        <w:rPr>
          <w:rFonts w:ascii="Times New Roman" w:eastAsia="Times New Roman" w:hAnsi="Times New Roman" w:cs="Times New Roman"/>
          <w:sz w:val="28"/>
          <w:szCs w:val="28"/>
        </w:rPr>
        <w:t>din</w:t>
      </w:r>
      <w:r w:rsidRPr="00D04954">
        <w:rPr>
          <w:rFonts w:ascii="Times New Roman" w:eastAsia="Times New Roman" w:hAnsi="Times New Roman" w:cs="Times New Roman"/>
          <w:sz w:val="28"/>
          <w:szCs w:val="28"/>
        </w:rPr>
        <w:t xml:space="preserve"> </w:t>
      </w:r>
      <w:r w:rsidR="00C90BA7" w:rsidRPr="00D04954">
        <w:rPr>
          <w:rFonts w:ascii="Times New Roman" w:eastAsia="Times New Roman" w:hAnsi="Times New Roman" w:cs="Times New Roman"/>
          <w:sz w:val="28"/>
          <w:szCs w:val="28"/>
        </w:rPr>
        <w:t>Regulamentul privind gestionarea fondurilor de urgență ale Guvernului,</w:t>
      </w:r>
      <w:r w:rsidRPr="00D04954">
        <w:rPr>
          <w:rFonts w:ascii="Times New Roman" w:eastAsia="Times New Roman" w:hAnsi="Times New Roman" w:cs="Times New Roman"/>
          <w:sz w:val="28"/>
          <w:szCs w:val="28"/>
        </w:rPr>
        <w:t xml:space="preserve"> proiectele de hotărâri ale Guvernului privind alocarea mijloacelor din fondurile de urgență se propun Guvernului spre aprobare doar după avizarea acestora de către Ministerul Finanțelor, auditul constat</w:t>
      </w:r>
      <w:r w:rsidR="00374412">
        <w:rPr>
          <w:rFonts w:ascii="Times New Roman" w:eastAsia="Times New Roman" w:hAnsi="Times New Roman" w:cs="Times New Roman"/>
          <w:sz w:val="28"/>
          <w:szCs w:val="28"/>
        </w:rPr>
        <w:t>ând</w:t>
      </w:r>
      <w:r w:rsidRPr="00D04954">
        <w:rPr>
          <w:rFonts w:ascii="Times New Roman" w:eastAsia="Times New Roman" w:hAnsi="Times New Roman" w:cs="Times New Roman"/>
          <w:sz w:val="28"/>
          <w:szCs w:val="28"/>
        </w:rPr>
        <w:t xml:space="preserve"> situații când nu toate direcțiile de ramură</w:t>
      </w:r>
      <w:r w:rsidRPr="00D04954">
        <w:rPr>
          <w:rFonts w:ascii="Times New Roman" w:eastAsia="Times New Roman" w:hAnsi="Times New Roman" w:cs="Times New Roman"/>
          <w:sz w:val="28"/>
          <w:szCs w:val="28"/>
          <w:vertAlign w:val="superscript"/>
        </w:rPr>
        <w:footnoteReference w:id="64"/>
      </w:r>
      <w:r w:rsidRPr="00D04954">
        <w:rPr>
          <w:rFonts w:ascii="Times New Roman" w:eastAsia="Times New Roman" w:hAnsi="Times New Roman" w:cs="Times New Roman"/>
          <w:sz w:val="28"/>
          <w:szCs w:val="28"/>
        </w:rPr>
        <w:t xml:space="preserve"> oferă aviz pozitiv la solicitările de alocare a mijloacelor din fondul de rezervă.</w:t>
      </w:r>
    </w:p>
    <w:p w:rsidR="00D04954" w:rsidRDefault="00D04954" w:rsidP="00AE140F">
      <w:pPr>
        <w:spacing w:after="0" w:line="276" w:lineRule="auto"/>
        <w:ind w:firstLine="709"/>
        <w:jc w:val="both"/>
        <w:rPr>
          <w:rFonts w:ascii="Times New Roman" w:eastAsia="Times New Roman" w:hAnsi="Times New Roman" w:cs="Times New Roman"/>
          <w:sz w:val="28"/>
          <w:szCs w:val="28"/>
          <w:lang w:eastAsia="ru-RU"/>
        </w:rPr>
      </w:pPr>
      <w:r w:rsidRPr="00D04954">
        <w:rPr>
          <w:rFonts w:ascii="Times New Roman" w:eastAsia="Times New Roman" w:hAnsi="Times New Roman" w:cs="Times New Roman"/>
          <w:sz w:val="28"/>
          <w:szCs w:val="28"/>
          <w:lang w:eastAsia="ru-RU"/>
        </w:rPr>
        <w:t>De asemenea</w:t>
      </w:r>
      <w:r w:rsidR="000E2123">
        <w:rPr>
          <w:rFonts w:ascii="Times New Roman" w:eastAsia="Times New Roman" w:hAnsi="Times New Roman" w:cs="Times New Roman"/>
          <w:sz w:val="28"/>
          <w:szCs w:val="28"/>
          <w:lang w:eastAsia="ru-RU"/>
        </w:rPr>
        <w:t>,</w:t>
      </w:r>
      <w:r w:rsidRPr="00D04954">
        <w:rPr>
          <w:rFonts w:ascii="Times New Roman" w:eastAsia="Times New Roman" w:hAnsi="Times New Roman" w:cs="Times New Roman"/>
          <w:sz w:val="28"/>
          <w:szCs w:val="28"/>
          <w:lang w:eastAsia="ru-RU"/>
        </w:rPr>
        <w:t xml:space="preserve"> se atestă situația când Hotărârile Guvernului</w:t>
      </w:r>
      <w:r w:rsidRPr="00D04954">
        <w:rPr>
          <w:rFonts w:ascii="Times New Roman" w:eastAsia="Times New Roman" w:hAnsi="Times New Roman" w:cs="Times New Roman"/>
          <w:sz w:val="28"/>
          <w:szCs w:val="28"/>
          <w:vertAlign w:val="superscript"/>
          <w:lang w:eastAsia="ru-RU"/>
        </w:rPr>
        <w:footnoteReference w:id="65"/>
      </w:r>
      <w:r w:rsidRPr="00D04954">
        <w:rPr>
          <w:rFonts w:ascii="Times New Roman" w:eastAsia="Times New Roman" w:hAnsi="Times New Roman" w:cs="Times New Roman"/>
          <w:sz w:val="28"/>
          <w:szCs w:val="28"/>
          <w:lang w:eastAsia="ru-RU"/>
        </w:rPr>
        <w:t xml:space="preserve"> privind alocarea mijloacelor financiare (</w:t>
      </w:r>
      <w:r w:rsidR="0026406F">
        <w:rPr>
          <w:rFonts w:ascii="Times New Roman" w:eastAsia="Times New Roman" w:hAnsi="Times New Roman" w:cs="Times New Roman"/>
          <w:sz w:val="28"/>
          <w:szCs w:val="28"/>
          <w:lang w:eastAsia="ru-RU"/>
        </w:rPr>
        <w:t>1,4</w:t>
      </w:r>
      <w:r w:rsidRPr="00D04954">
        <w:rPr>
          <w:rFonts w:ascii="Times New Roman" w:eastAsia="Times New Roman" w:hAnsi="Times New Roman" w:cs="Times New Roman"/>
          <w:sz w:val="28"/>
          <w:szCs w:val="28"/>
          <w:lang w:eastAsia="ru-RU"/>
        </w:rPr>
        <w:t xml:space="preserve"> mil.lei) s-au aprobat fără avizul Ministerului Finanțelor și </w:t>
      </w:r>
      <w:r w:rsidR="00374412">
        <w:rPr>
          <w:rFonts w:ascii="Times New Roman" w:eastAsia="Times New Roman" w:hAnsi="Times New Roman" w:cs="Times New Roman"/>
          <w:sz w:val="28"/>
          <w:szCs w:val="28"/>
          <w:lang w:eastAsia="ru-RU"/>
        </w:rPr>
        <w:t>a</w:t>
      </w:r>
      <w:r w:rsidRPr="00D04954">
        <w:rPr>
          <w:rFonts w:ascii="Times New Roman" w:eastAsia="Times New Roman" w:hAnsi="Times New Roman" w:cs="Times New Roman"/>
          <w:sz w:val="28"/>
          <w:szCs w:val="28"/>
          <w:lang w:eastAsia="ru-RU"/>
        </w:rPr>
        <w:t xml:space="preserve"> note</w:t>
      </w:r>
      <w:r w:rsidR="00374412">
        <w:rPr>
          <w:rFonts w:ascii="Times New Roman" w:eastAsia="Times New Roman" w:hAnsi="Times New Roman" w:cs="Times New Roman"/>
          <w:sz w:val="28"/>
          <w:szCs w:val="28"/>
          <w:lang w:eastAsia="ru-RU"/>
        </w:rPr>
        <w:t>lor</w:t>
      </w:r>
      <w:r w:rsidRPr="00D04954">
        <w:rPr>
          <w:rFonts w:ascii="Times New Roman" w:eastAsia="Times New Roman" w:hAnsi="Times New Roman" w:cs="Times New Roman"/>
          <w:sz w:val="28"/>
          <w:szCs w:val="28"/>
          <w:lang w:eastAsia="ru-RU"/>
        </w:rPr>
        <w:t xml:space="preserve"> de argumentare a necesității cheltuielilor respective. </w:t>
      </w:r>
    </w:p>
    <w:p w:rsidR="00D04954" w:rsidRPr="00D04954" w:rsidRDefault="00D04954" w:rsidP="00AE140F">
      <w:pPr>
        <w:shd w:val="clear" w:color="auto" w:fill="FFFFFF" w:themeFill="background1"/>
        <w:tabs>
          <w:tab w:val="left" w:pos="284"/>
        </w:tabs>
        <w:spacing w:after="0" w:line="276" w:lineRule="auto"/>
        <w:ind w:firstLine="709"/>
        <w:jc w:val="both"/>
        <w:rPr>
          <w:rFonts w:ascii="Times New Roman" w:eastAsia="Times New Roman" w:hAnsi="Times New Roman" w:cs="Times New Roman"/>
          <w:sz w:val="28"/>
          <w:szCs w:val="28"/>
          <w:highlight w:val="yellow"/>
          <w:lang w:eastAsia="ru-RU"/>
        </w:rPr>
      </w:pPr>
      <w:r w:rsidRPr="00D04954">
        <w:rPr>
          <w:rFonts w:ascii="Times New Roman" w:eastAsia="Times New Roman" w:hAnsi="Times New Roman" w:cs="Times New Roman"/>
          <w:sz w:val="28"/>
          <w:szCs w:val="28"/>
          <w:lang w:eastAsia="ru-RU"/>
        </w:rPr>
        <w:t xml:space="preserve">Analiza valorificării mijloacelor alocate din </w:t>
      </w:r>
      <w:r w:rsidR="009C6630">
        <w:rPr>
          <w:rFonts w:ascii="Times New Roman" w:eastAsia="Times New Roman" w:hAnsi="Times New Roman" w:cs="Times New Roman"/>
          <w:sz w:val="28"/>
          <w:szCs w:val="28"/>
          <w:lang w:eastAsia="ru-RU"/>
        </w:rPr>
        <w:t>f</w:t>
      </w:r>
      <w:r w:rsidRPr="00D04954">
        <w:rPr>
          <w:rFonts w:ascii="Times New Roman" w:eastAsia="Times New Roman" w:hAnsi="Times New Roman" w:cs="Times New Roman"/>
          <w:sz w:val="28"/>
          <w:szCs w:val="28"/>
          <w:lang w:eastAsia="ru-RU"/>
        </w:rPr>
        <w:t>ondurile de urgență de către BUAT denotă că, din totalul mijloacelor alocate (9,4 mil.lei), au fost executate 9,3 mil.lei</w:t>
      </w:r>
      <w:r w:rsidR="009C6630">
        <w:rPr>
          <w:rFonts w:ascii="Times New Roman" w:eastAsia="Times New Roman" w:hAnsi="Times New Roman" w:cs="Times New Roman"/>
          <w:sz w:val="28"/>
          <w:szCs w:val="28"/>
          <w:lang w:eastAsia="ru-RU"/>
        </w:rPr>
        <w:t>,</w:t>
      </w:r>
      <w:r w:rsidRPr="00D04954">
        <w:rPr>
          <w:rFonts w:ascii="Times New Roman" w:eastAsia="Times New Roman" w:hAnsi="Times New Roman" w:cs="Times New Roman"/>
          <w:sz w:val="28"/>
          <w:szCs w:val="28"/>
          <w:lang w:eastAsia="ru-RU"/>
        </w:rPr>
        <w:t xml:space="preserve"> sau 99,5%. La finele anului 2017, soldul nevalorificat de către BUAT a constituit 48,0 mii lei</w:t>
      </w:r>
      <w:r w:rsidR="00C90BA7">
        <w:rPr>
          <w:rStyle w:val="a9"/>
          <w:rFonts w:ascii="Times New Roman" w:eastAsia="Times New Roman" w:hAnsi="Times New Roman" w:cs="Times New Roman"/>
          <w:sz w:val="28"/>
          <w:szCs w:val="28"/>
          <w:lang w:eastAsia="ru-RU"/>
        </w:rPr>
        <w:footnoteReference w:id="66"/>
      </w:r>
      <w:r w:rsidR="00C90BA7">
        <w:rPr>
          <w:rFonts w:ascii="Times New Roman" w:eastAsia="Times New Roman" w:hAnsi="Times New Roman" w:cs="Times New Roman"/>
          <w:sz w:val="28"/>
          <w:szCs w:val="28"/>
          <w:lang w:eastAsia="ru-RU"/>
        </w:rPr>
        <w:t>, m</w:t>
      </w:r>
      <w:r w:rsidRPr="00D04954">
        <w:rPr>
          <w:rFonts w:ascii="Times New Roman" w:eastAsia="Times New Roman" w:hAnsi="Times New Roman" w:cs="Times New Roman"/>
          <w:sz w:val="28"/>
          <w:szCs w:val="28"/>
          <w:lang w:eastAsia="ru-RU"/>
        </w:rPr>
        <w:t>ijloacele neutilizate urmând a fi utilizate în anul 2018.</w:t>
      </w:r>
    </w:p>
    <w:p w:rsidR="00EE0689" w:rsidRPr="00EE0689" w:rsidRDefault="00EE0689" w:rsidP="003A2E8D">
      <w:pPr>
        <w:pStyle w:val="a5"/>
        <w:spacing w:line="276" w:lineRule="auto"/>
        <w:ind w:left="0" w:firstLine="709"/>
        <w:rPr>
          <w:rFonts w:ascii="Times New Roman" w:hAnsi="Times New Roman" w:cs="Times New Roman"/>
          <w:b/>
          <w:i/>
          <w:sz w:val="28"/>
          <w:szCs w:val="28"/>
        </w:rPr>
      </w:pPr>
    </w:p>
    <w:p w:rsidR="00EE0689" w:rsidRDefault="00EE0689" w:rsidP="003F12B5">
      <w:pPr>
        <w:pStyle w:val="a5"/>
        <w:numPr>
          <w:ilvl w:val="2"/>
          <w:numId w:val="3"/>
        </w:numPr>
        <w:spacing w:after="0" w:line="276" w:lineRule="auto"/>
        <w:ind w:left="0" w:firstLine="709"/>
        <w:jc w:val="both"/>
        <w:outlineLvl w:val="2"/>
        <w:rPr>
          <w:rFonts w:ascii="Times New Roman" w:hAnsi="Times New Roman" w:cs="Times New Roman"/>
          <w:b/>
          <w:i/>
          <w:sz w:val="28"/>
          <w:szCs w:val="28"/>
        </w:rPr>
      </w:pPr>
      <w:bookmarkStart w:id="24" w:name="_Toc515518997"/>
      <w:r w:rsidRPr="00EE0689">
        <w:rPr>
          <w:rFonts w:ascii="Times New Roman" w:hAnsi="Times New Roman" w:cs="Times New Roman"/>
          <w:b/>
          <w:i/>
          <w:sz w:val="28"/>
          <w:szCs w:val="28"/>
        </w:rPr>
        <w:t xml:space="preserve">Situațiile creanțelor și datoriilor </w:t>
      </w:r>
      <w:r w:rsidR="0026406F">
        <w:rPr>
          <w:rFonts w:ascii="Times New Roman" w:hAnsi="Times New Roman" w:cs="Times New Roman"/>
          <w:b/>
          <w:i/>
          <w:sz w:val="28"/>
          <w:szCs w:val="28"/>
        </w:rPr>
        <w:t>autorităților/instituțiilor bugetare</w:t>
      </w:r>
      <w:r w:rsidRPr="00EE0689">
        <w:rPr>
          <w:rFonts w:ascii="Times New Roman" w:hAnsi="Times New Roman" w:cs="Times New Roman"/>
          <w:b/>
          <w:i/>
          <w:sz w:val="28"/>
          <w:szCs w:val="28"/>
        </w:rPr>
        <w:t xml:space="preserve"> </w:t>
      </w:r>
      <w:r w:rsidR="000E2123">
        <w:rPr>
          <w:rFonts w:ascii="Times New Roman" w:hAnsi="Times New Roman" w:cs="Times New Roman"/>
          <w:b/>
          <w:i/>
          <w:sz w:val="28"/>
          <w:szCs w:val="28"/>
        </w:rPr>
        <w:t>la 31.12.</w:t>
      </w:r>
      <w:r w:rsidRPr="00EE0689">
        <w:rPr>
          <w:rFonts w:ascii="Times New Roman" w:hAnsi="Times New Roman" w:cs="Times New Roman"/>
          <w:b/>
          <w:i/>
          <w:sz w:val="28"/>
          <w:szCs w:val="28"/>
        </w:rPr>
        <w:t xml:space="preserve">2017 </w:t>
      </w:r>
      <w:r w:rsidR="000E2123">
        <w:rPr>
          <w:rFonts w:ascii="Times New Roman" w:hAnsi="Times New Roman" w:cs="Times New Roman"/>
          <w:b/>
          <w:i/>
          <w:sz w:val="28"/>
          <w:szCs w:val="28"/>
        </w:rPr>
        <w:t>sunt în creștere</w:t>
      </w:r>
      <w:r w:rsidR="00525E5B">
        <w:rPr>
          <w:rFonts w:ascii="Times New Roman" w:hAnsi="Times New Roman" w:cs="Times New Roman"/>
          <w:b/>
          <w:i/>
          <w:sz w:val="28"/>
          <w:szCs w:val="28"/>
        </w:rPr>
        <w:t>,</w:t>
      </w:r>
      <w:r w:rsidR="000E2123">
        <w:rPr>
          <w:rFonts w:ascii="Times New Roman" w:hAnsi="Times New Roman" w:cs="Times New Roman"/>
          <w:b/>
          <w:i/>
          <w:sz w:val="28"/>
          <w:szCs w:val="28"/>
        </w:rPr>
        <w:t xml:space="preserve"> </w:t>
      </w:r>
      <w:r w:rsidRPr="00EE0689">
        <w:rPr>
          <w:rFonts w:ascii="Times New Roman" w:hAnsi="Times New Roman" w:cs="Times New Roman"/>
          <w:b/>
          <w:i/>
          <w:sz w:val="28"/>
          <w:szCs w:val="28"/>
        </w:rPr>
        <w:t xml:space="preserve">în comparație cu </w:t>
      </w:r>
      <w:r w:rsidR="00ED3CA0">
        <w:rPr>
          <w:rFonts w:ascii="Times New Roman" w:hAnsi="Times New Roman" w:cs="Times New Roman"/>
          <w:b/>
          <w:i/>
          <w:sz w:val="28"/>
          <w:szCs w:val="28"/>
        </w:rPr>
        <w:t>cele raportate la 31.12.2016</w:t>
      </w:r>
      <w:r w:rsidR="00525E5B">
        <w:rPr>
          <w:rFonts w:ascii="Times New Roman" w:hAnsi="Times New Roman" w:cs="Times New Roman"/>
          <w:b/>
          <w:i/>
          <w:sz w:val="28"/>
          <w:szCs w:val="28"/>
        </w:rPr>
        <w:t>.</w:t>
      </w:r>
      <w:bookmarkEnd w:id="24"/>
    </w:p>
    <w:p w:rsidR="00B15896" w:rsidRDefault="00B15896" w:rsidP="003A2E8D">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Potrivit datelor </w:t>
      </w:r>
      <w:r w:rsidR="003A2E8D">
        <w:rPr>
          <w:rFonts w:ascii="Times New Roman" w:hAnsi="Times New Roman" w:cs="Times New Roman"/>
          <w:sz w:val="28"/>
          <w:szCs w:val="28"/>
        </w:rPr>
        <w:t>Raportului privind creanțele și datoriile la cheltuieli și active nefinanciare formate în autoritățile/instituțiile bugetare finanțate de la bugetul de stat conform clasificației economice</w:t>
      </w:r>
      <w:r w:rsidR="00011F44">
        <w:rPr>
          <w:rStyle w:val="a9"/>
          <w:rFonts w:ascii="Times New Roman" w:hAnsi="Times New Roman" w:cs="Times New Roman"/>
          <w:sz w:val="28"/>
          <w:szCs w:val="28"/>
        </w:rPr>
        <w:footnoteReference w:id="67"/>
      </w:r>
      <w:r w:rsidR="003A2E8D">
        <w:rPr>
          <w:rFonts w:ascii="Times New Roman" w:hAnsi="Times New Roman" w:cs="Times New Roman"/>
          <w:sz w:val="28"/>
          <w:szCs w:val="28"/>
        </w:rPr>
        <w:t>, la situația din 31.12.2017,</w:t>
      </w:r>
      <w:r>
        <w:rPr>
          <w:rFonts w:ascii="Times New Roman" w:hAnsi="Times New Roman" w:cs="Times New Roman"/>
          <w:sz w:val="28"/>
          <w:szCs w:val="28"/>
        </w:rPr>
        <w:t xml:space="preserve"> creanțele au constituit 981,5 mil.lei, inclusiv curente – 927,0 mil.lei</w:t>
      </w:r>
      <w:r w:rsidR="001C65D2">
        <w:rPr>
          <w:rFonts w:ascii="Times New Roman" w:hAnsi="Times New Roman" w:cs="Times New Roman"/>
          <w:sz w:val="28"/>
          <w:szCs w:val="28"/>
        </w:rPr>
        <w:t>,</w:t>
      </w:r>
      <w:r>
        <w:rPr>
          <w:rFonts w:ascii="Times New Roman" w:hAnsi="Times New Roman" w:cs="Times New Roman"/>
          <w:sz w:val="28"/>
          <w:szCs w:val="28"/>
        </w:rPr>
        <w:t xml:space="preserve"> și cu termenul de achitare expirat – 54,5 </w:t>
      </w:r>
      <w:r>
        <w:rPr>
          <w:rFonts w:ascii="Times New Roman" w:hAnsi="Times New Roman" w:cs="Times New Roman"/>
          <w:sz w:val="28"/>
          <w:szCs w:val="28"/>
        </w:rPr>
        <w:lastRenderedPageBreak/>
        <w:t>mil.lei, iar datoriile au atins o valoare de 743,1 mil.lei, inclusiv curente – 740,5 mil.lei</w:t>
      </w:r>
      <w:r w:rsidR="001C65D2">
        <w:rPr>
          <w:rFonts w:ascii="Times New Roman" w:hAnsi="Times New Roman" w:cs="Times New Roman"/>
          <w:sz w:val="28"/>
          <w:szCs w:val="28"/>
        </w:rPr>
        <w:t>,</w:t>
      </w:r>
      <w:r>
        <w:rPr>
          <w:rFonts w:ascii="Times New Roman" w:hAnsi="Times New Roman" w:cs="Times New Roman"/>
          <w:sz w:val="28"/>
          <w:szCs w:val="28"/>
        </w:rPr>
        <w:t xml:space="preserve"> și cu termenul de a</w:t>
      </w:r>
      <w:r w:rsidR="0001479E">
        <w:rPr>
          <w:rFonts w:ascii="Times New Roman" w:hAnsi="Times New Roman" w:cs="Times New Roman"/>
          <w:sz w:val="28"/>
          <w:szCs w:val="28"/>
        </w:rPr>
        <w:t xml:space="preserve">chitare expirat – 2,6 mil.lei. </w:t>
      </w:r>
      <w:r w:rsidR="0001479E" w:rsidRPr="00535CF4">
        <w:rPr>
          <w:rFonts w:ascii="Times New Roman" w:hAnsi="Times New Roman" w:cs="Times New Roman"/>
          <w:i/>
          <w:sz w:val="28"/>
          <w:szCs w:val="28"/>
        </w:rPr>
        <w:t xml:space="preserve">Analiza creanțelor și datoriilor la cheltuieli se prezintă în </w:t>
      </w:r>
      <w:r w:rsidRPr="00273163">
        <w:rPr>
          <w:rFonts w:ascii="Times New Roman" w:hAnsi="Times New Roman" w:cs="Times New Roman"/>
          <w:i/>
          <w:sz w:val="28"/>
          <w:szCs w:val="28"/>
        </w:rPr>
        <w:t>Diagrama nr.1</w:t>
      </w:r>
      <w:r w:rsidR="00554099">
        <w:rPr>
          <w:rFonts w:ascii="Times New Roman" w:hAnsi="Times New Roman" w:cs="Times New Roman"/>
          <w:i/>
          <w:sz w:val="28"/>
          <w:szCs w:val="28"/>
        </w:rPr>
        <w:t>1</w:t>
      </w:r>
      <w:r w:rsidR="0001479E">
        <w:rPr>
          <w:rFonts w:ascii="Times New Roman" w:hAnsi="Times New Roman" w:cs="Times New Roman"/>
          <w:sz w:val="28"/>
          <w:szCs w:val="28"/>
        </w:rPr>
        <w:t>.</w:t>
      </w:r>
    </w:p>
    <w:p w:rsidR="00B15896" w:rsidRDefault="00B15896" w:rsidP="003A2E8D">
      <w:pPr>
        <w:spacing w:after="0" w:line="276" w:lineRule="auto"/>
        <w:ind w:firstLine="709"/>
        <w:jc w:val="right"/>
        <w:rPr>
          <w:rFonts w:ascii="Times New Roman" w:hAnsi="Times New Roman" w:cs="Times New Roman"/>
          <w:i/>
          <w:sz w:val="28"/>
          <w:szCs w:val="28"/>
        </w:rPr>
      </w:pPr>
      <w:r w:rsidRPr="00273163">
        <w:rPr>
          <w:rFonts w:ascii="Times New Roman" w:hAnsi="Times New Roman" w:cs="Times New Roman"/>
          <w:i/>
          <w:sz w:val="28"/>
          <w:szCs w:val="28"/>
        </w:rPr>
        <w:t>Diagrama nr.1</w:t>
      </w:r>
      <w:r w:rsidR="00554099">
        <w:rPr>
          <w:rFonts w:ascii="Times New Roman" w:hAnsi="Times New Roman" w:cs="Times New Roman"/>
          <w:i/>
          <w:sz w:val="28"/>
          <w:szCs w:val="28"/>
        </w:rPr>
        <w:t>1</w:t>
      </w:r>
    </w:p>
    <w:p w:rsidR="00B15896" w:rsidRDefault="00B15896" w:rsidP="003A2E8D">
      <w:pPr>
        <w:spacing w:after="0" w:line="276" w:lineRule="auto"/>
        <w:jc w:val="center"/>
        <w:rPr>
          <w:rFonts w:ascii="Times New Roman" w:hAnsi="Times New Roman" w:cs="Times New Roman"/>
          <w:b/>
          <w:sz w:val="24"/>
          <w:szCs w:val="28"/>
        </w:rPr>
      </w:pPr>
      <w:r w:rsidRPr="00675E8E">
        <w:rPr>
          <w:rFonts w:ascii="Times New Roman" w:hAnsi="Times New Roman" w:cs="Times New Roman"/>
          <w:b/>
          <w:sz w:val="24"/>
          <w:szCs w:val="28"/>
        </w:rPr>
        <w:t xml:space="preserve">Analiza creanțelor și datoriilor la cheltuieli formate în autoritățile/instituțiile bugetare </w:t>
      </w:r>
    </w:p>
    <w:p w:rsidR="00B15896" w:rsidRPr="00F1545F" w:rsidRDefault="00B15896" w:rsidP="003A2E8D">
      <w:pPr>
        <w:spacing w:after="0" w:line="276" w:lineRule="auto"/>
        <w:jc w:val="right"/>
        <w:rPr>
          <w:rFonts w:ascii="Times New Roman" w:hAnsi="Times New Roman" w:cs="Times New Roman"/>
          <w:b/>
          <w:i/>
          <w:sz w:val="24"/>
          <w:szCs w:val="28"/>
        </w:rPr>
      </w:pPr>
      <w:r w:rsidRPr="00F1545F">
        <w:rPr>
          <w:rFonts w:ascii="Times New Roman" w:hAnsi="Times New Roman" w:cs="Times New Roman"/>
          <w:b/>
          <w:i/>
          <w:sz w:val="24"/>
          <w:szCs w:val="28"/>
        </w:rPr>
        <w:t>Anul 2016                                                                 Anul 2017</w:t>
      </w:r>
    </w:p>
    <w:p w:rsidR="00B15896" w:rsidRDefault="00B15896" w:rsidP="0026406F">
      <w:pPr>
        <w:spacing w:after="0"/>
        <w:rPr>
          <w:rFonts w:ascii="Times New Roman" w:hAnsi="Times New Roman" w:cs="Times New Roman"/>
          <w:sz w:val="28"/>
          <w:szCs w:val="28"/>
        </w:rPr>
      </w:pPr>
      <w:r>
        <w:rPr>
          <w:rFonts w:ascii="Times New Roman" w:hAnsi="Times New Roman" w:cs="Times New Roman"/>
          <w:noProof/>
          <w:sz w:val="28"/>
          <w:szCs w:val="28"/>
          <w:lang w:val="ru-RU" w:eastAsia="ru-RU"/>
        </w:rPr>
        <w:drawing>
          <wp:inline distT="0" distB="0" distL="0" distR="0" wp14:anchorId="253458D1" wp14:editId="6440153A">
            <wp:extent cx="3036498" cy="1543050"/>
            <wp:effectExtent l="0" t="0" r="12065"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Pr>
          <w:rFonts w:ascii="Times New Roman" w:hAnsi="Times New Roman" w:cs="Times New Roman"/>
          <w:noProof/>
          <w:sz w:val="28"/>
          <w:szCs w:val="28"/>
          <w:lang w:val="ru-RU" w:eastAsia="ru-RU"/>
        </w:rPr>
        <w:drawing>
          <wp:inline distT="0" distB="0" distL="0" distR="0" wp14:anchorId="097B40F8" wp14:editId="587816FA">
            <wp:extent cx="3000375" cy="1543050"/>
            <wp:effectExtent l="0" t="0" r="9525"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B15896" w:rsidRPr="000E2123" w:rsidRDefault="00B15896" w:rsidP="00B15896">
      <w:pPr>
        <w:spacing w:after="120"/>
        <w:jc w:val="both"/>
        <w:rPr>
          <w:rFonts w:ascii="Times New Roman" w:hAnsi="Times New Roman" w:cs="Times New Roman"/>
          <w:i/>
          <w:sz w:val="28"/>
          <w:szCs w:val="28"/>
        </w:rPr>
      </w:pPr>
      <w:r w:rsidRPr="000E2123">
        <w:rPr>
          <w:rFonts w:ascii="proiecte  investiționale" w:eastAsia="Times New Roman" w:hAnsi="proiecte  investiționale" w:cs="Times New Roman"/>
          <w:b/>
          <w:i/>
          <w:color w:val="000000"/>
          <w:sz w:val="20"/>
        </w:rPr>
        <w:t>Surs</w:t>
      </w:r>
      <w:r w:rsidR="00896569">
        <w:rPr>
          <w:rFonts w:ascii="proiecte  investiționale" w:eastAsia="Times New Roman" w:hAnsi="proiecte  investiționale" w:cs="Times New Roman"/>
          <w:b/>
          <w:i/>
          <w:color w:val="000000"/>
          <w:sz w:val="20"/>
        </w:rPr>
        <w:t>ă</w:t>
      </w:r>
      <w:r w:rsidRPr="000E2123">
        <w:rPr>
          <w:rFonts w:ascii="proiecte  investiționale" w:eastAsia="Times New Roman" w:hAnsi="proiecte  investiționale" w:cs="Times New Roman"/>
          <w:b/>
          <w:i/>
          <w:color w:val="000000"/>
          <w:sz w:val="20"/>
        </w:rPr>
        <w:t>:</w:t>
      </w:r>
      <w:r w:rsidRPr="000E2123">
        <w:rPr>
          <w:rFonts w:ascii="proiecte  investiționale" w:eastAsia="Times New Roman" w:hAnsi="proiecte  investiționale" w:cs="Times New Roman"/>
          <w:i/>
          <w:color w:val="000000"/>
          <w:sz w:val="20"/>
        </w:rPr>
        <w:t xml:space="preserve"> </w:t>
      </w:r>
      <w:r w:rsidR="000E2123" w:rsidRPr="000E2123">
        <w:rPr>
          <w:rFonts w:ascii="proiecte  investiționale" w:eastAsia="Times New Roman" w:hAnsi="proiecte  investiționale" w:cs="Times New Roman"/>
          <w:i/>
          <w:color w:val="000000"/>
          <w:sz w:val="20"/>
        </w:rPr>
        <w:t xml:space="preserve">Informații generalizate de echipa de audit din </w:t>
      </w:r>
      <w:r w:rsidRPr="000E2123">
        <w:rPr>
          <w:rFonts w:ascii="proiecte  investiționale" w:eastAsia="Times New Roman" w:hAnsi="proiecte  investiționale" w:cs="Times New Roman"/>
          <w:i/>
          <w:color w:val="000000"/>
          <w:sz w:val="20"/>
        </w:rPr>
        <w:t xml:space="preserve">Raportul privind executarea bugetului de stat pe anul 2016 și </w:t>
      </w:r>
      <w:r w:rsidR="00896569">
        <w:rPr>
          <w:rFonts w:ascii="proiecte  investiționale" w:eastAsia="Times New Roman" w:hAnsi="proiecte  investiționale" w:cs="Times New Roman"/>
          <w:i/>
          <w:color w:val="000000"/>
          <w:sz w:val="20"/>
        </w:rPr>
        <w:t xml:space="preserve">din </w:t>
      </w:r>
      <w:r w:rsidRPr="000E2123">
        <w:rPr>
          <w:rFonts w:ascii="proiecte  investiționale" w:eastAsia="Times New Roman" w:hAnsi="proiecte  investiționale" w:cs="Times New Roman"/>
          <w:i/>
          <w:color w:val="000000"/>
          <w:sz w:val="20"/>
        </w:rPr>
        <w:t>Raportul privind executarea bugetului de stat pe anul 2017, Formularul nr.7.</w:t>
      </w:r>
    </w:p>
    <w:p w:rsidR="0001479E" w:rsidRDefault="0001479E" w:rsidP="0072590C">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Analiza datelor</w:t>
      </w:r>
      <w:r w:rsidR="00B15896">
        <w:rPr>
          <w:rFonts w:ascii="Times New Roman" w:hAnsi="Times New Roman" w:cs="Times New Roman"/>
          <w:sz w:val="28"/>
          <w:szCs w:val="28"/>
        </w:rPr>
        <w:t xml:space="preserve"> denotă că, comparativ cu anul precedent, atât creanțele, cât și datoriile la cheltuieli</w:t>
      </w:r>
      <w:r>
        <w:rPr>
          <w:rFonts w:ascii="Times New Roman" w:hAnsi="Times New Roman" w:cs="Times New Roman"/>
          <w:sz w:val="28"/>
          <w:szCs w:val="28"/>
        </w:rPr>
        <w:t>le</w:t>
      </w:r>
      <w:r w:rsidR="00B15896">
        <w:rPr>
          <w:rFonts w:ascii="Times New Roman" w:hAnsi="Times New Roman" w:cs="Times New Roman"/>
          <w:sz w:val="28"/>
          <w:szCs w:val="28"/>
        </w:rPr>
        <w:t xml:space="preserve"> raportate de autoritățile/instituțiile bugetare înregistrează creșteri de 2,8% și, respectiv, 17,9%. </w:t>
      </w:r>
    </w:p>
    <w:p w:rsidR="00C33AE6" w:rsidRDefault="00B15896" w:rsidP="0072590C">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Mai cu seamă, aceste majorări </w:t>
      </w:r>
      <w:r w:rsidR="0026406F">
        <w:rPr>
          <w:rFonts w:ascii="Times New Roman" w:hAnsi="Times New Roman" w:cs="Times New Roman"/>
          <w:sz w:val="28"/>
          <w:szCs w:val="28"/>
        </w:rPr>
        <w:t xml:space="preserve">se formează </w:t>
      </w:r>
      <w:r>
        <w:rPr>
          <w:rFonts w:ascii="Times New Roman" w:hAnsi="Times New Roman" w:cs="Times New Roman"/>
          <w:sz w:val="28"/>
          <w:szCs w:val="28"/>
        </w:rPr>
        <w:t>din creanțele și datoriile curente. Astfel, creanțele curente au crescut</w:t>
      </w:r>
      <w:r w:rsidR="00896569">
        <w:rPr>
          <w:rFonts w:ascii="Times New Roman" w:hAnsi="Times New Roman" w:cs="Times New Roman"/>
          <w:sz w:val="28"/>
          <w:szCs w:val="28"/>
        </w:rPr>
        <w:t>,</w:t>
      </w:r>
      <w:r>
        <w:rPr>
          <w:rFonts w:ascii="Times New Roman" w:hAnsi="Times New Roman" w:cs="Times New Roman"/>
          <w:sz w:val="28"/>
          <w:szCs w:val="28"/>
        </w:rPr>
        <w:t xml:space="preserve"> comparativ cu anul 2016</w:t>
      </w:r>
      <w:r w:rsidR="00896569">
        <w:rPr>
          <w:rFonts w:ascii="Times New Roman" w:hAnsi="Times New Roman" w:cs="Times New Roman"/>
          <w:sz w:val="28"/>
          <w:szCs w:val="28"/>
        </w:rPr>
        <w:t>,</w:t>
      </w:r>
      <w:r>
        <w:rPr>
          <w:rFonts w:ascii="Times New Roman" w:hAnsi="Times New Roman" w:cs="Times New Roman"/>
          <w:sz w:val="28"/>
          <w:szCs w:val="28"/>
        </w:rPr>
        <w:t xml:space="preserve"> cu 33,7 mil.lei, sau cu 3,8%, iar datoriile curente în anul 2017 reprezintă o valoare cu 123,6 mil.lei mai mare, sau cu 20,0%. </w:t>
      </w:r>
      <w:r w:rsidR="00C33AE6">
        <w:rPr>
          <w:rFonts w:ascii="Times New Roman" w:hAnsi="Times New Roman" w:cs="Times New Roman"/>
          <w:sz w:val="28"/>
          <w:szCs w:val="28"/>
        </w:rPr>
        <w:t>Spre exemplu, MAEIE a</w:t>
      </w:r>
      <w:r w:rsidR="00DE5FEA">
        <w:rPr>
          <w:rFonts w:ascii="Times New Roman" w:hAnsi="Times New Roman" w:cs="Times New Roman"/>
          <w:sz w:val="28"/>
          <w:szCs w:val="28"/>
        </w:rPr>
        <w:t xml:space="preserve"> înregistrat o creștere de 1,0 mil.lei a creanțelor, influențată de alocarea la finele anului a mijloacelor financiare pentru procurarea </w:t>
      </w:r>
      <w:r w:rsidR="00896569">
        <w:rPr>
          <w:rFonts w:ascii="Times New Roman" w:hAnsi="Times New Roman" w:cs="Times New Roman"/>
          <w:sz w:val="28"/>
          <w:szCs w:val="28"/>
        </w:rPr>
        <w:t xml:space="preserve">mijloacelor </w:t>
      </w:r>
      <w:r w:rsidR="00DE5FEA">
        <w:rPr>
          <w:rFonts w:ascii="Times New Roman" w:hAnsi="Times New Roman" w:cs="Times New Roman"/>
          <w:sz w:val="28"/>
          <w:szCs w:val="28"/>
        </w:rPr>
        <w:t>de transport, acestea fiind primite la începutul anului 2018</w:t>
      </w:r>
      <w:r w:rsidR="00896569">
        <w:rPr>
          <w:rFonts w:ascii="Times New Roman" w:hAnsi="Times New Roman" w:cs="Times New Roman"/>
          <w:sz w:val="28"/>
          <w:szCs w:val="28"/>
        </w:rPr>
        <w:t>,</w:t>
      </w:r>
      <w:r w:rsidR="00DE5FEA">
        <w:rPr>
          <w:rFonts w:ascii="Times New Roman" w:hAnsi="Times New Roman" w:cs="Times New Roman"/>
          <w:sz w:val="28"/>
          <w:szCs w:val="28"/>
        </w:rPr>
        <w:t xml:space="preserve"> și de majorarea creanțelor pentru servicii de locațiune </w:t>
      </w:r>
      <w:r w:rsidR="00896569">
        <w:rPr>
          <w:rFonts w:ascii="Times New Roman" w:hAnsi="Times New Roman" w:cs="Times New Roman"/>
          <w:sz w:val="28"/>
          <w:szCs w:val="28"/>
        </w:rPr>
        <w:t xml:space="preserve">– </w:t>
      </w:r>
      <w:r w:rsidR="00DE5FEA">
        <w:rPr>
          <w:rFonts w:ascii="Times New Roman" w:hAnsi="Times New Roman" w:cs="Times New Roman"/>
          <w:sz w:val="28"/>
          <w:szCs w:val="28"/>
        </w:rPr>
        <w:t>cu 1,3 mil.lei</w:t>
      </w:r>
      <w:r w:rsidR="00896569">
        <w:rPr>
          <w:rFonts w:ascii="Times New Roman" w:hAnsi="Times New Roman" w:cs="Times New Roman"/>
          <w:sz w:val="28"/>
          <w:szCs w:val="28"/>
        </w:rPr>
        <w:t>,</w:t>
      </w:r>
      <w:r w:rsidR="00DE5FEA">
        <w:rPr>
          <w:rFonts w:ascii="Times New Roman" w:hAnsi="Times New Roman" w:cs="Times New Roman"/>
          <w:sz w:val="28"/>
          <w:szCs w:val="28"/>
        </w:rPr>
        <w:t xml:space="preserve"> și a altor servicii – cu 0,9 mil.lei. Creșterea datoriilor la MAEIE a fost determinată de majorarea fondului de salarizare cu 0,2 mil.lei</w:t>
      </w:r>
      <w:r w:rsidR="00AF7579">
        <w:rPr>
          <w:rFonts w:ascii="Times New Roman" w:hAnsi="Times New Roman" w:cs="Times New Roman"/>
          <w:sz w:val="28"/>
          <w:szCs w:val="28"/>
        </w:rPr>
        <w:t xml:space="preserve"> și creșterea datoriilor pentru servicii</w:t>
      </w:r>
      <w:r w:rsidR="00A322AC">
        <w:rPr>
          <w:rFonts w:ascii="Times New Roman" w:hAnsi="Times New Roman" w:cs="Times New Roman"/>
          <w:sz w:val="28"/>
          <w:szCs w:val="28"/>
        </w:rPr>
        <w:t>le</w:t>
      </w:r>
      <w:r w:rsidR="00AF7579">
        <w:rPr>
          <w:rFonts w:ascii="Times New Roman" w:hAnsi="Times New Roman" w:cs="Times New Roman"/>
          <w:sz w:val="28"/>
          <w:szCs w:val="28"/>
        </w:rPr>
        <w:t xml:space="preserve"> de locațiune cu 0,1 mil.lei.</w:t>
      </w:r>
    </w:p>
    <w:p w:rsidR="00B15896" w:rsidRDefault="00B15896" w:rsidP="0072590C">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Totodată, auditul </w:t>
      </w:r>
      <w:r w:rsidR="00A322AC">
        <w:rPr>
          <w:rFonts w:ascii="Times New Roman" w:hAnsi="Times New Roman" w:cs="Times New Roman"/>
          <w:sz w:val="28"/>
          <w:szCs w:val="28"/>
        </w:rPr>
        <w:t xml:space="preserve">relevă </w:t>
      </w:r>
      <w:r>
        <w:rPr>
          <w:rFonts w:ascii="Times New Roman" w:hAnsi="Times New Roman" w:cs="Times New Roman"/>
          <w:sz w:val="28"/>
          <w:szCs w:val="28"/>
        </w:rPr>
        <w:t xml:space="preserve">că creanțele și datoriile cu termenul expirat înregistrează diminuări în anul 2017 față de anul 2016 </w:t>
      </w:r>
      <w:r w:rsidR="0001479E">
        <w:rPr>
          <w:rFonts w:ascii="Times New Roman" w:hAnsi="Times New Roman" w:cs="Times New Roman"/>
          <w:sz w:val="28"/>
          <w:szCs w:val="28"/>
        </w:rPr>
        <w:t>cu</w:t>
      </w:r>
      <w:r>
        <w:rPr>
          <w:rFonts w:ascii="Times New Roman" w:hAnsi="Times New Roman" w:cs="Times New Roman"/>
          <w:sz w:val="28"/>
          <w:szCs w:val="28"/>
        </w:rPr>
        <w:t xml:space="preserve"> 6,8 mil.lei, sau (-11,1%) și, respectiv, </w:t>
      </w:r>
      <w:r w:rsidR="0001479E">
        <w:rPr>
          <w:rFonts w:ascii="Times New Roman" w:hAnsi="Times New Roman" w:cs="Times New Roman"/>
          <w:sz w:val="28"/>
          <w:szCs w:val="28"/>
        </w:rPr>
        <w:t>cu</w:t>
      </w:r>
      <w:r>
        <w:rPr>
          <w:rFonts w:ascii="Times New Roman" w:hAnsi="Times New Roman" w:cs="Times New Roman"/>
          <w:sz w:val="28"/>
          <w:szCs w:val="28"/>
        </w:rPr>
        <w:t xml:space="preserve"> 11,0 mil.lei, sau (-80,9%).</w:t>
      </w:r>
      <w:r w:rsidR="004B018F">
        <w:rPr>
          <w:rFonts w:ascii="Times New Roman" w:hAnsi="Times New Roman" w:cs="Times New Roman"/>
          <w:sz w:val="28"/>
          <w:szCs w:val="28"/>
        </w:rPr>
        <w:t xml:space="preserve"> Spre exemplu, Ministerul Sănătății, Muncii și Protecției Sociale a raportat creanțe cu termen</w:t>
      </w:r>
      <w:r w:rsidR="00A322AC">
        <w:rPr>
          <w:rFonts w:ascii="Times New Roman" w:hAnsi="Times New Roman" w:cs="Times New Roman"/>
          <w:sz w:val="28"/>
          <w:szCs w:val="28"/>
        </w:rPr>
        <w:t>ul</w:t>
      </w:r>
      <w:r w:rsidR="004B018F">
        <w:rPr>
          <w:rFonts w:ascii="Times New Roman" w:hAnsi="Times New Roman" w:cs="Times New Roman"/>
          <w:sz w:val="28"/>
          <w:szCs w:val="28"/>
        </w:rPr>
        <w:t xml:space="preserve"> expirat în sumă de 811,1 mii lei, formate în urma achitării în avans de 100% a unui echipament de laborator la 24.12.2013, agentul economic neonorându-și obligațiile contractuale.</w:t>
      </w:r>
      <w:r w:rsidR="00DB2D14">
        <w:rPr>
          <w:rFonts w:ascii="Times New Roman" w:hAnsi="Times New Roman" w:cs="Times New Roman"/>
          <w:sz w:val="28"/>
          <w:szCs w:val="28"/>
        </w:rPr>
        <w:t xml:space="preserve"> Totodată, datoriile cu termen expirat la MSMPS, în sumă de 9,0 mil.lei, au fost înregistrate din anul 2015 față de </w:t>
      </w:r>
      <w:r w:rsidR="00263625">
        <w:rPr>
          <w:rFonts w:ascii="Times New Roman" w:hAnsi="Times New Roman" w:cs="Times New Roman"/>
          <w:sz w:val="28"/>
          <w:szCs w:val="28"/>
        </w:rPr>
        <w:t>un agent economic</w:t>
      </w:r>
      <w:r w:rsidR="00DB2D14">
        <w:rPr>
          <w:rFonts w:ascii="Times New Roman" w:hAnsi="Times New Roman" w:cs="Times New Roman"/>
          <w:sz w:val="28"/>
          <w:szCs w:val="28"/>
        </w:rPr>
        <w:t xml:space="preserve"> pentru neachitarea unor instalații radiologice, cauza fiind procesul de judecată.</w:t>
      </w:r>
    </w:p>
    <w:p w:rsidR="00B15896" w:rsidRDefault="00841510" w:rsidP="0072590C">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În baza a</w:t>
      </w:r>
      <w:r w:rsidR="00B15896">
        <w:rPr>
          <w:rFonts w:ascii="Times New Roman" w:hAnsi="Times New Roman" w:cs="Times New Roman"/>
          <w:sz w:val="28"/>
          <w:szCs w:val="28"/>
        </w:rPr>
        <w:t>naliz</w:t>
      </w:r>
      <w:r>
        <w:rPr>
          <w:rFonts w:ascii="Times New Roman" w:hAnsi="Times New Roman" w:cs="Times New Roman"/>
          <w:sz w:val="28"/>
          <w:szCs w:val="28"/>
        </w:rPr>
        <w:t>elor efectuate privind</w:t>
      </w:r>
      <w:r w:rsidR="00B15896">
        <w:rPr>
          <w:rFonts w:ascii="Times New Roman" w:hAnsi="Times New Roman" w:cs="Times New Roman"/>
          <w:sz w:val="28"/>
          <w:szCs w:val="28"/>
        </w:rPr>
        <w:t xml:space="preserve"> creanțel</w:t>
      </w:r>
      <w:r>
        <w:rPr>
          <w:rFonts w:ascii="Times New Roman" w:hAnsi="Times New Roman" w:cs="Times New Roman"/>
          <w:sz w:val="28"/>
          <w:szCs w:val="28"/>
        </w:rPr>
        <w:t>e</w:t>
      </w:r>
      <w:r w:rsidR="00B15896">
        <w:rPr>
          <w:rFonts w:ascii="Times New Roman" w:hAnsi="Times New Roman" w:cs="Times New Roman"/>
          <w:sz w:val="28"/>
          <w:szCs w:val="28"/>
        </w:rPr>
        <w:t xml:space="preserve"> în aspectul clasificației economice</w:t>
      </w:r>
      <w:r>
        <w:rPr>
          <w:rFonts w:ascii="Times New Roman" w:hAnsi="Times New Roman" w:cs="Times New Roman"/>
          <w:sz w:val="28"/>
          <w:szCs w:val="28"/>
        </w:rPr>
        <w:t>, auditul</w:t>
      </w:r>
      <w:r w:rsidR="00B15896">
        <w:rPr>
          <w:rFonts w:ascii="Times New Roman" w:hAnsi="Times New Roman" w:cs="Times New Roman"/>
          <w:sz w:val="28"/>
          <w:szCs w:val="28"/>
        </w:rPr>
        <w:t xml:space="preserve"> relevă că ponderea semnificativă în totalul creanțelor revine activelor </w:t>
      </w:r>
      <w:r w:rsidR="00B15896">
        <w:rPr>
          <w:rFonts w:ascii="Times New Roman" w:hAnsi="Times New Roman" w:cs="Times New Roman"/>
          <w:sz w:val="28"/>
          <w:szCs w:val="28"/>
        </w:rPr>
        <w:lastRenderedPageBreak/>
        <w:t xml:space="preserve">nefinanciare (CBE 3), în sumă de 847,6 mil.lei, sau 86,3%, din care 565,5 mil.lei se atribuie investițiilor capitale în active în curs de execuție (CBE 319), sau 57,6% din totalul creanțelor. </w:t>
      </w:r>
    </w:p>
    <w:p w:rsidR="00EE0689" w:rsidRDefault="00B15896" w:rsidP="0072590C">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Examinând situația datoriilor sub aspectul clasificației economice, auditul constată că cele mai semnificative datorii se atestă la: </w:t>
      </w:r>
      <w:r w:rsidR="00C92E69">
        <w:rPr>
          <w:rFonts w:ascii="Times New Roman" w:hAnsi="Times New Roman" w:cs="Times New Roman"/>
          <w:sz w:val="28"/>
          <w:szCs w:val="28"/>
        </w:rPr>
        <w:t>r</w:t>
      </w:r>
      <w:r>
        <w:rPr>
          <w:rFonts w:ascii="Times New Roman" w:hAnsi="Times New Roman" w:cs="Times New Roman"/>
          <w:sz w:val="28"/>
          <w:szCs w:val="28"/>
        </w:rPr>
        <w:t>emunerarea muncii (CBE 211), în sumă de 333,9 mil.lei, sau 44,9%</w:t>
      </w:r>
      <w:r w:rsidR="0001479E">
        <w:rPr>
          <w:rFonts w:ascii="Times New Roman" w:hAnsi="Times New Roman" w:cs="Times New Roman"/>
          <w:sz w:val="28"/>
          <w:szCs w:val="28"/>
        </w:rPr>
        <w:t xml:space="preserve"> din totalul datoriilor</w:t>
      </w:r>
      <w:r>
        <w:rPr>
          <w:rFonts w:ascii="Times New Roman" w:hAnsi="Times New Roman" w:cs="Times New Roman"/>
          <w:sz w:val="28"/>
          <w:szCs w:val="28"/>
        </w:rPr>
        <w:t xml:space="preserve">, și la </w:t>
      </w:r>
      <w:r w:rsidR="001B62DF" w:rsidRPr="007E4DF8">
        <w:rPr>
          <w:rFonts w:ascii="Times New Roman" w:hAnsi="Times New Roman" w:cs="Times New Roman"/>
          <w:sz w:val="28"/>
          <w:szCs w:val="28"/>
        </w:rPr>
        <w:t>investiții</w:t>
      </w:r>
      <w:r w:rsidRPr="007E4DF8">
        <w:rPr>
          <w:rFonts w:ascii="Times New Roman" w:hAnsi="Times New Roman" w:cs="Times New Roman"/>
          <w:sz w:val="28"/>
          <w:szCs w:val="28"/>
        </w:rPr>
        <w:t xml:space="preserve"> capitale în active în curs de execuție</w:t>
      </w:r>
      <w:r>
        <w:rPr>
          <w:rFonts w:ascii="Times New Roman" w:hAnsi="Times New Roman" w:cs="Times New Roman"/>
          <w:sz w:val="28"/>
          <w:szCs w:val="28"/>
        </w:rPr>
        <w:t xml:space="preserve"> (CBE 319), în sumă de 232,3 mil.lei, sau 31,3% din totalul datoriilor.</w:t>
      </w:r>
    </w:p>
    <w:p w:rsidR="004874D4" w:rsidRDefault="00841510" w:rsidP="0072590C">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Verificările auditului asupra datelor din Formularul nr.7 „Raportul privind</w:t>
      </w:r>
      <w:r w:rsidRPr="00841510">
        <w:t xml:space="preserve"> </w:t>
      </w:r>
      <w:r w:rsidRPr="00841510">
        <w:rPr>
          <w:rFonts w:ascii="Times New Roman" w:hAnsi="Times New Roman" w:cs="Times New Roman"/>
          <w:sz w:val="28"/>
          <w:szCs w:val="28"/>
        </w:rPr>
        <w:t>creanțele și datoriile la cheltuieli și active nefinanciare formate în autoritățile/instituțiile bugetare finanțate de la bugetul de stat conform clasificației economice</w:t>
      </w:r>
      <w:r>
        <w:rPr>
          <w:rFonts w:ascii="Times New Roman" w:hAnsi="Times New Roman" w:cs="Times New Roman"/>
          <w:sz w:val="28"/>
          <w:szCs w:val="28"/>
        </w:rPr>
        <w:t>”</w:t>
      </w:r>
      <w:r>
        <w:rPr>
          <w:rStyle w:val="a9"/>
          <w:rFonts w:ascii="Times New Roman" w:hAnsi="Times New Roman" w:cs="Times New Roman"/>
          <w:sz w:val="28"/>
          <w:szCs w:val="28"/>
        </w:rPr>
        <w:footnoteReference w:id="68"/>
      </w:r>
      <w:r>
        <w:rPr>
          <w:rFonts w:ascii="Times New Roman" w:hAnsi="Times New Roman" w:cs="Times New Roman"/>
          <w:sz w:val="28"/>
          <w:szCs w:val="28"/>
        </w:rPr>
        <w:t xml:space="preserve"> au constatat că</w:t>
      </w:r>
      <w:r w:rsidR="000D2E5D">
        <w:rPr>
          <w:rFonts w:ascii="Times New Roman" w:hAnsi="Times New Roman" w:cs="Times New Roman"/>
          <w:sz w:val="28"/>
          <w:szCs w:val="28"/>
        </w:rPr>
        <w:t>, la finaliz</w:t>
      </w:r>
      <w:r w:rsidR="00A322AC">
        <w:rPr>
          <w:rFonts w:ascii="Times New Roman" w:hAnsi="Times New Roman" w:cs="Times New Roman"/>
          <w:sz w:val="28"/>
          <w:szCs w:val="28"/>
        </w:rPr>
        <w:t>area</w:t>
      </w:r>
      <w:r w:rsidR="000D2E5D">
        <w:rPr>
          <w:rFonts w:ascii="Times New Roman" w:hAnsi="Times New Roman" w:cs="Times New Roman"/>
          <w:sz w:val="28"/>
          <w:szCs w:val="28"/>
        </w:rPr>
        <w:t xml:space="preserve"> auditului</w:t>
      </w:r>
      <w:r>
        <w:rPr>
          <w:rFonts w:ascii="Times New Roman" w:hAnsi="Times New Roman" w:cs="Times New Roman"/>
          <w:sz w:val="28"/>
          <w:szCs w:val="28"/>
        </w:rPr>
        <w:t xml:space="preserve"> Ministerul Educaț</w:t>
      </w:r>
      <w:r w:rsidR="000D2E5D">
        <w:rPr>
          <w:rFonts w:ascii="Times New Roman" w:hAnsi="Times New Roman" w:cs="Times New Roman"/>
          <w:sz w:val="28"/>
          <w:szCs w:val="28"/>
        </w:rPr>
        <w:t>iei, Culturii și Cercetării nu</w:t>
      </w:r>
      <w:r>
        <w:rPr>
          <w:rFonts w:ascii="Times New Roman" w:hAnsi="Times New Roman" w:cs="Times New Roman"/>
          <w:sz w:val="28"/>
          <w:szCs w:val="28"/>
        </w:rPr>
        <w:t xml:space="preserve"> </w:t>
      </w:r>
      <w:r w:rsidR="000D2E5D">
        <w:rPr>
          <w:rFonts w:ascii="Times New Roman" w:hAnsi="Times New Roman" w:cs="Times New Roman"/>
          <w:sz w:val="28"/>
          <w:szCs w:val="28"/>
        </w:rPr>
        <w:t xml:space="preserve">avea </w:t>
      </w:r>
      <w:r>
        <w:rPr>
          <w:rFonts w:ascii="Times New Roman" w:hAnsi="Times New Roman" w:cs="Times New Roman"/>
          <w:sz w:val="28"/>
          <w:szCs w:val="28"/>
        </w:rPr>
        <w:t>prezentat către Ministerul Finanțelor</w:t>
      </w:r>
      <w:r w:rsidR="00A322AC">
        <w:rPr>
          <w:rFonts w:ascii="Times New Roman" w:hAnsi="Times New Roman" w:cs="Times New Roman"/>
          <w:sz w:val="28"/>
          <w:szCs w:val="28"/>
        </w:rPr>
        <w:t>,</w:t>
      </w:r>
      <w:r>
        <w:rPr>
          <w:rFonts w:ascii="Times New Roman" w:hAnsi="Times New Roman" w:cs="Times New Roman"/>
          <w:sz w:val="28"/>
          <w:szCs w:val="28"/>
        </w:rPr>
        <w:t xml:space="preserve"> în varianta finală</w:t>
      </w:r>
      <w:r w:rsidR="00A322AC">
        <w:rPr>
          <w:rFonts w:ascii="Times New Roman" w:hAnsi="Times New Roman" w:cs="Times New Roman"/>
          <w:sz w:val="28"/>
          <w:szCs w:val="28"/>
        </w:rPr>
        <w:t>,</w:t>
      </w:r>
      <w:r>
        <w:rPr>
          <w:rFonts w:ascii="Times New Roman" w:hAnsi="Times New Roman" w:cs="Times New Roman"/>
          <w:sz w:val="28"/>
          <w:szCs w:val="28"/>
        </w:rPr>
        <w:t xml:space="preserve"> Raportul </w:t>
      </w:r>
      <w:r w:rsidR="000D2E5D">
        <w:rPr>
          <w:rFonts w:ascii="Times New Roman" w:hAnsi="Times New Roman" w:cs="Times New Roman"/>
          <w:sz w:val="28"/>
          <w:szCs w:val="28"/>
        </w:rPr>
        <w:t>anual în componența și formatul stabilit</w:t>
      </w:r>
      <w:r w:rsidR="000D2E5D">
        <w:rPr>
          <w:rStyle w:val="a9"/>
          <w:rFonts w:ascii="Times New Roman" w:hAnsi="Times New Roman" w:cs="Times New Roman"/>
          <w:sz w:val="28"/>
          <w:szCs w:val="28"/>
        </w:rPr>
        <w:footnoteReference w:id="69"/>
      </w:r>
      <w:r w:rsidR="000D2E5D">
        <w:rPr>
          <w:rFonts w:ascii="Times New Roman" w:hAnsi="Times New Roman" w:cs="Times New Roman"/>
          <w:sz w:val="28"/>
          <w:szCs w:val="28"/>
        </w:rPr>
        <w:t xml:space="preserve">, inclusiv informația privind </w:t>
      </w:r>
      <w:r>
        <w:rPr>
          <w:rFonts w:ascii="Times New Roman" w:hAnsi="Times New Roman" w:cs="Times New Roman"/>
          <w:sz w:val="28"/>
          <w:szCs w:val="28"/>
        </w:rPr>
        <w:t>creanțele</w:t>
      </w:r>
      <w:r w:rsidR="000D2E5D">
        <w:rPr>
          <w:rFonts w:ascii="Times New Roman" w:hAnsi="Times New Roman" w:cs="Times New Roman"/>
          <w:sz w:val="28"/>
          <w:szCs w:val="28"/>
        </w:rPr>
        <w:t xml:space="preserve"> și datoriile. Astfel, MF a generalizat datele preliminare prezentate de MECC</w:t>
      </w:r>
      <w:r w:rsidR="00A322AC">
        <w:rPr>
          <w:rFonts w:ascii="Times New Roman" w:hAnsi="Times New Roman" w:cs="Times New Roman"/>
          <w:sz w:val="28"/>
          <w:szCs w:val="28"/>
        </w:rPr>
        <w:t>,</w:t>
      </w:r>
      <w:r w:rsidR="000D2E5D">
        <w:rPr>
          <w:rFonts w:ascii="Times New Roman" w:hAnsi="Times New Roman" w:cs="Times New Roman"/>
          <w:sz w:val="28"/>
          <w:szCs w:val="28"/>
        </w:rPr>
        <w:t xml:space="preserve"> care constituie la creanțe 13,8 mil.lei</w:t>
      </w:r>
      <w:r w:rsidR="00A322AC">
        <w:rPr>
          <w:rFonts w:ascii="Times New Roman" w:hAnsi="Times New Roman" w:cs="Times New Roman"/>
          <w:sz w:val="28"/>
          <w:szCs w:val="28"/>
        </w:rPr>
        <w:t>,</w:t>
      </w:r>
      <w:r w:rsidR="000D2E5D">
        <w:rPr>
          <w:rFonts w:ascii="Times New Roman" w:hAnsi="Times New Roman" w:cs="Times New Roman"/>
          <w:sz w:val="28"/>
          <w:szCs w:val="28"/>
        </w:rPr>
        <w:t xml:space="preserve"> sau 1,4% din totalul creanțelor raportate de MF</w:t>
      </w:r>
      <w:r w:rsidR="00A322AC">
        <w:rPr>
          <w:rFonts w:ascii="Times New Roman" w:hAnsi="Times New Roman" w:cs="Times New Roman"/>
          <w:sz w:val="28"/>
          <w:szCs w:val="28"/>
        </w:rPr>
        <w:t>,</w:t>
      </w:r>
      <w:r w:rsidR="000D2E5D">
        <w:rPr>
          <w:rFonts w:ascii="Times New Roman" w:hAnsi="Times New Roman" w:cs="Times New Roman"/>
          <w:sz w:val="28"/>
          <w:szCs w:val="28"/>
        </w:rPr>
        <w:t xml:space="preserve"> și la datorii – 1,0 mil.lei</w:t>
      </w:r>
      <w:r w:rsidR="00A322AC">
        <w:rPr>
          <w:rFonts w:ascii="Times New Roman" w:hAnsi="Times New Roman" w:cs="Times New Roman"/>
          <w:sz w:val="28"/>
          <w:szCs w:val="28"/>
        </w:rPr>
        <w:t>,</w:t>
      </w:r>
      <w:r w:rsidR="000D2E5D">
        <w:rPr>
          <w:rFonts w:ascii="Times New Roman" w:hAnsi="Times New Roman" w:cs="Times New Roman"/>
          <w:sz w:val="28"/>
          <w:szCs w:val="28"/>
        </w:rPr>
        <w:t xml:space="preserve"> sau 0,1%. </w:t>
      </w:r>
    </w:p>
    <w:p w:rsidR="00406684" w:rsidRDefault="000D2E5D" w:rsidP="0072590C">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În aceste circumstanțe, auditul </w:t>
      </w:r>
      <w:r w:rsidR="0058651C">
        <w:rPr>
          <w:rFonts w:ascii="Times New Roman" w:hAnsi="Times New Roman" w:cs="Times New Roman"/>
          <w:sz w:val="28"/>
          <w:szCs w:val="28"/>
        </w:rPr>
        <w:t>denotă că informaț</w:t>
      </w:r>
      <w:r w:rsidR="00ED5203">
        <w:rPr>
          <w:rFonts w:ascii="Times New Roman" w:hAnsi="Times New Roman" w:cs="Times New Roman"/>
          <w:sz w:val="28"/>
          <w:szCs w:val="28"/>
        </w:rPr>
        <w:t>iile financiare întocmite de M</w:t>
      </w:r>
      <w:r w:rsidR="0058651C">
        <w:rPr>
          <w:rFonts w:ascii="Times New Roman" w:hAnsi="Times New Roman" w:cs="Times New Roman"/>
          <w:sz w:val="28"/>
          <w:szCs w:val="28"/>
        </w:rPr>
        <w:t>F în absența raportului autorității vizate determină riscuri majore de neasigurare a corectitudinii</w:t>
      </w:r>
      <w:r>
        <w:rPr>
          <w:rFonts w:ascii="Times New Roman" w:hAnsi="Times New Roman" w:cs="Times New Roman"/>
          <w:sz w:val="28"/>
          <w:szCs w:val="28"/>
        </w:rPr>
        <w:t xml:space="preserve"> </w:t>
      </w:r>
      <w:r w:rsidR="00B7742A">
        <w:rPr>
          <w:rFonts w:ascii="Times New Roman" w:hAnsi="Times New Roman" w:cs="Times New Roman"/>
          <w:sz w:val="28"/>
          <w:szCs w:val="28"/>
        </w:rPr>
        <w:t>datelor incluse în „Raportul privind</w:t>
      </w:r>
      <w:r w:rsidR="00B7742A" w:rsidRPr="00841510">
        <w:t xml:space="preserve"> </w:t>
      </w:r>
      <w:r w:rsidR="00B7742A" w:rsidRPr="00841510">
        <w:rPr>
          <w:rFonts w:ascii="Times New Roman" w:hAnsi="Times New Roman" w:cs="Times New Roman"/>
          <w:sz w:val="28"/>
          <w:szCs w:val="28"/>
        </w:rPr>
        <w:t>creanțele și datoriile la cheltuieli și active nefinanciare formate în autoritățile/instituțiile bugetare finanțate de la bugetul de stat conform clasificației economice</w:t>
      </w:r>
      <w:r w:rsidR="00B7742A">
        <w:rPr>
          <w:rFonts w:ascii="Times New Roman" w:hAnsi="Times New Roman" w:cs="Times New Roman"/>
          <w:sz w:val="28"/>
          <w:szCs w:val="28"/>
        </w:rPr>
        <w:t>”</w:t>
      </w:r>
      <w:r w:rsidR="004874D4">
        <w:rPr>
          <w:rFonts w:ascii="Times New Roman" w:hAnsi="Times New Roman" w:cs="Times New Roman"/>
          <w:sz w:val="28"/>
          <w:szCs w:val="28"/>
        </w:rPr>
        <w:t>.</w:t>
      </w:r>
      <w:r w:rsidR="0058651C">
        <w:rPr>
          <w:rFonts w:ascii="Times New Roman" w:hAnsi="Times New Roman" w:cs="Times New Roman"/>
          <w:sz w:val="28"/>
          <w:szCs w:val="28"/>
        </w:rPr>
        <w:t xml:space="preserve"> </w:t>
      </w:r>
    </w:p>
    <w:p w:rsidR="00331627" w:rsidRDefault="004165E0" w:rsidP="0072590C">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Concomitent, examinările auditului denotă că</w:t>
      </w:r>
      <w:r w:rsidR="00331627">
        <w:rPr>
          <w:rFonts w:ascii="Times New Roman" w:hAnsi="Times New Roman" w:cs="Times New Roman"/>
          <w:sz w:val="28"/>
          <w:szCs w:val="28"/>
        </w:rPr>
        <w:t xml:space="preserve"> acest </w:t>
      </w:r>
      <w:r>
        <w:rPr>
          <w:rFonts w:ascii="Times New Roman" w:hAnsi="Times New Roman" w:cs="Times New Roman"/>
          <w:sz w:val="28"/>
          <w:szCs w:val="28"/>
        </w:rPr>
        <w:t>Raport</w:t>
      </w:r>
      <w:r w:rsidR="00331627">
        <w:rPr>
          <w:rFonts w:ascii="Times New Roman" w:hAnsi="Times New Roman" w:cs="Times New Roman"/>
          <w:sz w:val="28"/>
          <w:szCs w:val="28"/>
        </w:rPr>
        <w:t xml:space="preserve"> este generalizat atât în mod automatizat, cât și manual, având în vedere </w:t>
      </w:r>
      <w:r w:rsidR="00331627" w:rsidRPr="00437EF7">
        <w:rPr>
          <w:rFonts w:ascii="Times New Roman" w:hAnsi="Times New Roman" w:cs="Times New Roman"/>
          <w:sz w:val="28"/>
          <w:szCs w:val="28"/>
        </w:rPr>
        <w:t>considerentele</w:t>
      </w:r>
      <w:r w:rsidR="00331627">
        <w:rPr>
          <w:rFonts w:ascii="Times New Roman" w:hAnsi="Times New Roman" w:cs="Times New Roman"/>
          <w:sz w:val="28"/>
          <w:szCs w:val="28"/>
        </w:rPr>
        <w:t xml:space="preserve"> specifice a</w:t>
      </w:r>
      <w:r w:rsidR="00A322AC">
        <w:rPr>
          <w:rFonts w:ascii="Times New Roman" w:hAnsi="Times New Roman" w:cs="Times New Roman"/>
          <w:sz w:val="28"/>
          <w:szCs w:val="28"/>
        </w:rPr>
        <w:t>le</w:t>
      </w:r>
      <w:r w:rsidR="00331627">
        <w:rPr>
          <w:rFonts w:ascii="Times New Roman" w:hAnsi="Times New Roman" w:cs="Times New Roman"/>
          <w:sz w:val="28"/>
          <w:szCs w:val="28"/>
        </w:rPr>
        <w:t xml:space="preserve"> </w:t>
      </w:r>
      <w:r w:rsidR="00861EAC">
        <w:rPr>
          <w:rFonts w:ascii="Times New Roman" w:hAnsi="Times New Roman" w:cs="Times New Roman"/>
          <w:sz w:val="28"/>
          <w:szCs w:val="28"/>
        </w:rPr>
        <w:t>autorităților/instituțiilor bugetare</w:t>
      </w:r>
      <w:r w:rsidR="00331627">
        <w:rPr>
          <w:rFonts w:ascii="Times New Roman" w:hAnsi="Times New Roman" w:cs="Times New Roman"/>
          <w:sz w:val="28"/>
          <w:szCs w:val="28"/>
        </w:rPr>
        <w:t xml:space="preserve">, </w:t>
      </w:r>
      <w:r w:rsidR="00A322AC">
        <w:rPr>
          <w:rFonts w:ascii="Times New Roman" w:hAnsi="Times New Roman" w:cs="Times New Roman"/>
          <w:sz w:val="28"/>
          <w:szCs w:val="28"/>
        </w:rPr>
        <w:t xml:space="preserve">ale căror </w:t>
      </w:r>
      <w:r w:rsidR="00331627">
        <w:rPr>
          <w:rFonts w:ascii="Times New Roman" w:hAnsi="Times New Roman" w:cs="Times New Roman"/>
          <w:sz w:val="28"/>
          <w:szCs w:val="28"/>
        </w:rPr>
        <w:t>rapoarte sunt cu statut „secret”. În acest aspect</w:t>
      </w:r>
      <w:r w:rsidR="00A322AC">
        <w:rPr>
          <w:rFonts w:ascii="Times New Roman" w:hAnsi="Times New Roman" w:cs="Times New Roman"/>
          <w:sz w:val="28"/>
          <w:szCs w:val="28"/>
        </w:rPr>
        <w:t>,</w:t>
      </w:r>
      <w:r w:rsidR="00331627">
        <w:rPr>
          <w:rFonts w:ascii="Times New Roman" w:hAnsi="Times New Roman" w:cs="Times New Roman"/>
          <w:sz w:val="28"/>
          <w:szCs w:val="28"/>
        </w:rPr>
        <w:t xml:space="preserve"> </w:t>
      </w:r>
      <w:r w:rsidR="00861EAC">
        <w:rPr>
          <w:rFonts w:ascii="Times New Roman" w:hAnsi="Times New Roman" w:cs="Times New Roman"/>
          <w:sz w:val="28"/>
          <w:szCs w:val="28"/>
        </w:rPr>
        <w:t xml:space="preserve"> este</w:t>
      </w:r>
      <w:r w:rsidR="00331627">
        <w:rPr>
          <w:rFonts w:ascii="Times New Roman" w:hAnsi="Times New Roman" w:cs="Times New Roman"/>
          <w:sz w:val="28"/>
          <w:szCs w:val="28"/>
        </w:rPr>
        <w:t xml:space="preserve"> necesară redefinirea prin prisma Legii nr.245 din 27.11.2008 cu privire la secretul de stat a informațiilor și situațiilor financiare comunicate în formatul acestui</w:t>
      </w:r>
      <w:r w:rsidR="00861EAC">
        <w:rPr>
          <w:rFonts w:ascii="Times New Roman" w:hAnsi="Times New Roman" w:cs="Times New Roman"/>
          <w:sz w:val="28"/>
          <w:szCs w:val="28"/>
        </w:rPr>
        <w:t xml:space="preserve"> statut</w:t>
      </w:r>
      <w:r w:rsidR="00331627">
        <w:rPr>
          <w:rFonts w:ascii="Times New Roman" w:hAnsi="Times New Roman" w:cs="Times New Roman"/>
          <w:sz w:val="28"/>
          <w:szCs w:val="28"/>
        </w:rPr>
        <w:t>.</w:t>
      </w:r>
      <w:r w:rsidR="004874D4" w:rsidRPr="004874D4">
        <w:rPr>
          <w:rFonts w:ascii="Times New Roman" w:hAnsi="Times New Roman" w:cs="Times New Roman"/>
          <w:sz w:val="28"/>
          <w:szCs w:val="28"/>
        </w:rPr>
        <w:t xml:space="preserve"> </w:t>
      </w:r>
      <w:r w:rsidR="004874D4">
        <w:rPr>
          <w:rFonts w:ascii="Times New Roman" w:hAnsi="Times New Roman" w:cs="Times New Roman"/>
          <w:sz w:val="28"/>
          <w:szCs w:val="28"/>
        </w:rPr>
        <w:t xml:space="preserve">Din aceste considerente echipa de audit nu dispune de confirmările corespunzătoare și </w:t>
      </w:r>
      <w:r w:rsidR="00DA2B8C">
        <w:rPr>
          <w:rFonts w:ascii="Times New Roman" w:hAnsi="Times New Roman" w:cs="Times New Roman"/>
          <w:sz w:val="28"/>
          <w:szCs w:val="28"/>
        </w:rPr>
        <w:t xml:space="preserve">drept </w:t>
      </w:r>
      <w:r w:rsidR="004874D4">
        <w:rPr>
          <w:rFonts w:ascii="Times New Roman" w:hAnsi="Times New Roman" w:cs="Times New Roman"/>
          <w:sz w:val="28"/>
          <w:szCs w:val="28"/>
        </w:rPr>
        <w:t xml:space="preserve">urmare, </w:t>
      </w:r>
      <w:r w:rsidR="004874D4" w:rsidRPr="00DA2B8C">
        <w:rPr>
          <w:rFonts w:ascii="Times New Roman" w:hAnsi="Times New Roman" w:cs="Times New Roman"/>
          <w:sz w:val="28"/>
          <w:szCs w:val="28"/>
        </w:rPr>
        <w:t>a fost limitată în posibilitatea de a oferi concluzii asupra creanțelor (981,5 mil.lei) și datoriilor (743,1 mil.lei) la cheltuieli și active nefinanciare formate în autoritățile/instituțiile bugetare finanțate de la bugetul de stat</w:t>
      </w:r>
      <w:r w:rsidR="00447DD8" w:rsidRPr="00DA2B8C">
        <w:rPr>
          <w:rFonts w:ascii="Times New Roman" w:hAnsi="Times New Roman" w:cs="Times New Roman"/>
          <w:sz w:val="28"/>
          <w:szCs w:val="28"/>
        </w:rPr>
        <w:t xml:space="preserve">, prezentate în Formularul nr.7 „Raportul privind creanțele și datoriile la cheltuieli și </w:t>
      </w:r>
      <w:r w:rsidR="00447DD8" w:rsidRPr="00DA2B8C">
        <w:rPr>
          <w:rFonts w:ascii="Times New Roman" w:hAnsi="Times New Roman" w:cs="Times New Roman"/>
          <w:sz w:val="28"/>
          <w:szCs w:val="28"/>
        </w:rPr>
        <w:lastRenderedPageBreak/>
        <w:t>active nefinanciare formate în autoritățile/instituțiile bugetare finanțate de la bugetul de stat conform clasificației economice”</w:t>
      </w:r>
      <w:r w:rsidR="004874D4" w:rsidRPr="00DA2B8C">
        <w:rPr>
          <w:rFonts w:ascii="Times New Roman" w:hAnsi="Times New Roman" w:cs="Times New Roman"/>
          <w:sz w:val="28"/>
          <w:szCs w:val="28"/>
        </w:rPr>
        <w:t>.</w:t>
      </w:r>
    </w:p>
    <w:p w:rsidR="004874D4" w:rsidRDefault="004874D4" w:rsidP="006771F9">
      <w:pPr>
        <w:spacing w:after="0" w:line="276" w:lineRule="auto"/>
        <w:ind w:firstLine="709"/>
        <w:jc w:val="both"/>
        <w:rPr>
          <w:rFonts w:ascii="Times New Roman" w:hAnsi="Times New Roman" w:cs="Times New Roman"/>
          <w:sz w:val="28"/>
          <w:szCs w:val="28"/>
        </w:rPr>
      </w:pPr>
    </w:p>
    <w:p w:rsidR="00EE0689" w:rsidRPr="00DA2B8C" w:rsidRDefault="00F157A8" w:rsidP="003F12B5">
      <w:pPr>
        <w:pStyle w:val="a5"/>
        <w:numPr>
          <w:ilvl w:val="2"/>
          <w:numId w:val="3"/>
        </w:numPr>
        <w:spacing w:after="0" w:line="276" w:lineRule="auto"/>
        <w:ind w:left="0" w:firstLine="709"/>
        <w:contextualSpacing w:val="0"/>
        <w:jc w:val="both"/>
        <w:outlineLvl w:val="2"/>
        <w:rPr>
          <w:rFonts w:ascii="Times New Roman" w:hAnsi="Times New Roman" w:cs="Times New Roman"/>
          <w:b/>
          <w:i/>
          <w:sz w:val="28"/>
          <w:szCs w:val="28"/>
        </w:rPr>
      </w:pPr>
      <w:bookmarkStart w:id="25" w:name="_Toc515518998"/>
      <w:r w:rsidRPr="00DA2B8C">
        <w:rPr>
          <w:rFonts w:ascii="Times New Roman" w:hAnsi="Times New Roman" w:cs="Times New Roman"/>
          <w:b/>
          <w:i/>
          <w:sz w:val="28"/>
          <w:szCs w:val="28"/>
        </w:rPr>
        <w:t>Cadrul de e</w:t>
      </w:r>
      <w:r w:rsidR="00EE0689" w:rsidRPr="00DA2B8C">
        <w:rPr>
          <w:rFonts w:ascii="Times New Roman" w:hAnsi="Times New Roman" w:cs="Times New Roman"/>
          <w:b/>
          <w:i/>
          <w:sz w:val="28"/>
          <w:szCs w:val="28"/>
        </w:rPr>
        <w:t>videnț</w:t>
      </w:r>
      <w:r w:rsidRPr="00DA2B8C">
        <w:rPr>
          <w:rFonts w:ascii="Times New Roman" w:hAnsi="Times New Roman" w:cs="Times New Roman"/>
          <w:b/>
          <w:i/>
          <w:sz w:val="28"/>
          <w:szCs w:val="28"/>
        </w:rPr>
        <w:t>ă</w:t>
      </w:r>
      <w:r w:rsidR="00EE0689" w:rsidRPr="00DA2B8C">
        <w:rPr>
          <w:rFonts w:ascii="Times New Roman" w:hAnsi="Times New Roman" w:cs="Times New Roman"/>
          <w:b/>
          <w:i/>
          <w:sz w:val="28"/>
          <w:szCs w:val="28"/>
        </w:rPr>
        <w:t xml:space="preserve"> contabilă trezorerială și </w:t>
      </w:r>
      <w:r w:rsidR="00A322AC" w:rsidRPr="00DA2B8C">
        <w:rPr>
          <w:rFonts w:ascii="Times New Roman" w:hAnsi="Times New Roman" w:cs="Times New Roman"/>
          <w:b/>
          <w:i/>
          <w:sz w:val="28"/>
          <w:szCs w:val="28"/>
        </w:rPr>
        <w:t xml:space="preserve">de </w:t>
      </w:r>
      <w:r w:rsidR="00EE0689" w:rsidRPr="00DA2B8C">
        <w:rPr>
          <w:rFonts w:ascii="Times New Roman" w:hAnsi="Times New Roman" w:cs="Times New Roman"/>
          <w:b/>
          <w:i/>
          <w:sz w:val="28"/>
          <w:szCs w:val="28"/>
        </w:rPr>
        <w:t>raportare</w:t>
      </w:r>
      <w:r w:rsidRPr="00DA2B8C">
        <w:rPr>
          <w:rFonts w:ascii="Times New Roman" w:hAnsi="Times New Roman" w:cs="Times New Roman"/>
          <w:b/>
          <w:i/>
          <w:sz w:val="28"/>
          <w:szCs w:val="28"/>
        </w:rPr>
        <w:t xml:space="preserve"> bugetară</w:t>
      </w:r>
      <w:bookmarkEnd w:id="25"/>
      <w:r w:rsidR="00EE0689" w:rsidRPr="00DA2B8C">
        <w:rPr>
          <w:rFonts w:ascii="Times New Roman" w:hAnsi="Times New Roman" w:cs="Times New Roman"/>
          <w:b/>
          <w:i/>
          <w:sz w:val="28"/>
          <w:szCs w:val="28"/>
        </w:rPr>
        <w:t xml:space="preserve"> </w:t>
      </w:r>
    </w:p>
    <w:p w:rsidR="00DA404B" w:rsidRPr="00DA2B8C" w:rsidRDefault="00DA404B" w:rsidP="0072590C">
      <w:pPr>
        <w:spacing w:after="0" w:line="276" w:lineRule="auto"/>
        <w:ind w:firstLine="709"/>
        <w:jc w:val="both"/>
        <w:rPr>
          <w:rFonts w:ascii="Times New Roman" w:hAnsi="Times New Roman" w:cs="Times New Roman"/>
          <w:sz w:val="28"/>
          <w:szCs w:val="28"/>
        </w:rPr>
      </w:pPr>
      <w:r w:rsidRPr="00DA2B8C">
        <w:rPr>
          <w:rFonts w:ascii="Times New Roman" w:hAnsi="Times New Roman" w:cs="Times New Roman"/>
          <w:sz w:val="28"/>
          <w:szCs w:val="28"/>
        </w:rPr>
        <w:t>Potrivit prevederilor legale</w:t>
      </w:r>
      <w:r w:rsidRPr="00DA2B8C">
        <w:rPr>
          <w:rStyle w:val="a9"/>
          <w:rFonts w:ascii="Times New Roman" w:hAnsi="Times New Roman" w:cs="Times New Roman"/>
          <w:sz w:val="28"/>
          <w:szCs w:val="28"/>
        </w:rPr>
        <w:footnoteReference w:id="70"/>
      </w:r>
      <w:r w:rsidRPr="00DA2B8C">
        <w:rPr>
          <w:rFonts w:ascii="Times New Roman" w:hAnsi="Times New Roman" w:cs="Times New Roman"/>
          <w:sz w:val="28"/>
          <w:szCs w:val="28"/>
        </w:rPr>
        <w:t xml:space="preserve">, </w:t>
      </w:r>
      <w:r w:rsidRPr="00DA2B8C">
        <w:rPr>
          <w:rFonts w:ascii="Times New Roman" w:hAnsi="Times New Roman" w:cs="Times New Roman"/>
          <w:i/>
          <w:sz w:val="28"/>
          <w:szCs w:val="28"/>
        </w:rPr>
        <w:t>„Rapoartele anuale privind executarea bugetului de stat, a bugetului asigurărilor sociale de stat și a fondurilor asigurării obligatorii de asistență medicală se întocmesc de administratorii bugetelor respective și se prezintă Guvernului, iar ulterior Parlamentului spre aprobare, în termenele prevăzute de calendarul bugetar”</w:t>
      </w:r>
      <w:r w:rsidRPr="00DA2B8C">
        <w:rPr>
          <w:rFonts w:ascii="Times New Roman" w:hAnsi="Times New Roman" w:cs="Times New Roman"/>
          <w:sz w:val="28"/>
          <w:szCs w:val="28"/>
        </w:rPr>
        <w:t xml:space="preserve">, </w:t>
      </w:r>
      <w:r w:rsidR="009544C0" w:rsidRPr="00DA2B8C">
        <w:rPr>
          <w:rFonts w:ascii="Times New Roman" w:hAnsi="Times New Roman" w:cs="Times New Roman"/>
          <w:sz w:val="28"/>
          <w:szCs w:val="28"/>
        </w:rPr>
        <w:t>acestea fiind</w:t>
      </w:r>
      <w:r w:rsidRPr="00DA2B8C">
        <w:rPr>
          <w:rFonts w:ascii="Times New Roman" w:hAnsi="Times New Roman" w:cs="Times New Roman"/>
          <w:sz w:val="28"/>
          <w:szCs w:val="28"/>
        </w:rPr>
        <w:t xml:space="preserve"> prezint</w:t>
      </w:r>
      <w:r w:rsidR="009544C0" w:rsidRPr="00DA2B8C">
        <w:rPr>
          <w:rFonts w:ascii="Times New Roman" w:hAnsi="Times New Roman" w:cs="Times New Roman"/>
          <w:sz w:val="28"/>
          <w:szCs w:val="28"/>
        </w:rPr>
        <w:t>ate</w:t>
      </w:r>
      <w:r w:rsidRPr="00DA2B8C">
        <w:rPr>
          <w:rFonts w:ascii="Times New Roman" w:hAnsi="Times New Roman" w:cs="Times New Roman"/>
          <w:sz w:val="28"/>
          <w:szCs w:val="28"/>
        </w:rPr>
        <w:t xml:space="preserve"> în format comparabil cu formatul bugetelor aprobate. </w:t>
      </w:r>
    </w:p>
    <w:p w:rsidR="00DA404B" w:rsidRPr="00DA2B8C" w:rsidRDefault="00A00434" w:rsidP="00DA404B">
      <w:pPr>
        <w:spacing w:after="0" w:line="276" w:lineRule="auto"/>
        <w:ind w:firstLine="709"/>
        <w:jc w:val="both"/>
        <w:rPr>
          <w:rFonts w:ascii="Times New Roman" w:hAnsi="Times New Roman" w:cs="Times New Roman"/>
          <w:sz w:val="28"/>
          <w:szCs w:val="28"/>
        </w:rPr>
      </w:pPr>
      <w:r w:rsidRPr="00DA2B8C">
        <w:rPr>
          <w:rFonts w:ascii="Times New Roman" w:hAnsi="Times New Roman" w:cs="Times New Roman"/>
          <w:sz w:val="28"/>
          <w:szCs w:val="28"/>
        </w:rPr>
        <w:t xml:space="preserve">Astfel, </w:t>
      </w:r>
      <w:r w:rsidR="00DA404B" w:rsidRPr="00DA2B8C">
        <w:rPr>
          <w:rFonts w:ascii="Times New Roman" w:hAnsi="Times New Roman" w:cs="Times New Roman"/>
          <w:sz w:val="28"/>
          <w:szCs w:val="28"/>
        </w:rPr>
        <w:t>în calitate de administrator al bugetului de stat, Ministerul Finanțelor, pentru exercițiul bugetar 2017, prin Ordinul MF nr.44 din 12.02.2018, a aprobat</w:t>
      </w:r>
      <w:r w:rsidR="00DA404B" w:rsidRPr="00DA2B8C">
        <w:rPr>
          <w:rStyle w:val="a9"/>
          <w:rFonts w:ascii="Times New Roman" w:hAnsi="Times New Roman" w:cs="Times New Roman"/>
          <w:sz w:val="28"/>
          <w:szCs w:val="28"/>
        </w:rPr>
        <w:footnoteReference w:id="71"/>
      </w:r>
      <w:r w:rsidR="00DA404B" w:rsidRPr="00DA2B8C">
        <w:rPr>
          <w:rFonts w:ascii="Times New Roman" w:hAnsi="Times New Roman" w:cs="Times New Roman"/>
          <w:sz w:val="28"/>
          <w:szCs w:val="28"/>
        </w:rPr>
        <w:t xml:space="preserve">: </w:t>
      </w:r>
      <w:r w:rsidR="00DA404B" w:rsidRPr="00DA2B8C">
        <w:rPr>
          <w:rFonts w:ascii="Times New Roman" w:hAnsi="Times New Roman" w:cs="Times New Roman"/>
          <w:i/>
          <w:sz w:val="28"/>
          <w:szCs w:val="28"/>
        </w:rPr>
        <w:t>i)</w:t>
      </w:r>
      <w:r w:rsidR="00DA404B" w:rsidRPr="00DA2B8C">
        <w:rPr>
          <w:rFonts w:ascii="Times New Roman" w:hAnsi="Times New Roman" w:cs="Times New Roman"/>
          <w:sz w:val="28"/>
          <w:szCs w:val="28"/>
        </w:rPr>
        <w:t xml:space="preserve"> structura Raportului privind executarea bugetului de stat (Anexa nr.1); </w:t>
      </w:r>
      <w:r w:rsidR="00DA404B" w:rsidRPr="00DA2B8C">
        <w:rPr>
          <w:rFonts w:ascii="Times New Roman" w:hAnsi="Times New Roman" w:cs="Times New Roman"/>
          <w:i/>
          <w:sz w:val="28"/>
          <w:szCs w:val="28"/>
        </w:rPr>
        <w:t>ii)</w:t>
      </w:r>
      <w:r w:rsidR="00DA404B" w:rsidRPr="00DA2B8C">
        <w:rPr>
          <w:rFonts w:ascii="Times New Roman" w:hAnsi="Times New Roman" w:cs="Times New Roman"/>
          <w:sz w:val="28"/>
          <w:szCs w:val="28"/>
        </w:rPr>
        <w:t xml:space="preserve"> componența și formatul formularelor la Raportul anual privind executarea bugetului de stat (11 formulare conform Anexei nr.2); și </w:t>
      </w:r>
      <w:r w:rsidR="00DA404B" w:rsidRPr="00DA2B8C">
        <w:rPr>
          <w:rFonts w:ascii="Times New Roman" w:hAnsi="Times New Roman" w:cs="Times New Roman"/>
          <w:i/>
          <w:sz w:val="28"/>
          <w:szCs w:val="28"/>
        </w:rPr>
        <w:t>iii)</w:t>
      </w:r>
      <w:r w:rsidR="00DA404B" w:rsidRPr="00DA2B8C">
        <w:rPr>
          <w:rFonts w:ascii="Times New Roman" w:hAnsi="Times New Roman" w:cs="Times New Roman"/>
          <w:sz w:val="28"/>
          <w:szCs w:val="28"/>
        </w:rPr>
        <w:t xml:space="preserve"> calendarul activităților pentru întocmirea Raportului anual privind executarea BS (Anexa nr.3), potrivit căruia sunt stabilite activitățile, termenele de realizare a acestora și responsabilii de executare. </w:t>
      </w:r>
      <w:r w:rsidR="00DA404B" w:rsidRPr="00DA2B8C">
        <w:rPr>
          <w:rFonts w:ascii="Times New Roman" w:hAnsi="Times New Roman" w:cs="Times New Roman"/>
          <w:i/>
          <w:sz w:val="28"/>
          <w:szCs w:val="28"/>
        </w:rPr>
        <w:t>Componența și denumirea deplină a formularelor se prezintă în Anexa nr.2 la prezentul Raport de audit.</w:t>
      </w:r>
    </w:p>
    <w:p w:rsidR="00DA404B" w:rsidRPr="00DA2B8C" w:rsidRDefault="00DA404B" w:rsidP="00DA404B">
      <w:pPr>
        <w:spacing w:after="0" w:line="276" w:lineRule="auto"/>
        <w:ind w:firstLine="709"/>
        <w:jc w:val="both"/>
        <w:rPr>
          <w:rFonts w:ascii="Times New Roman" w:hAnsi="Times New Roman" w:cs="Times New Roman"/>
          <w:sz w:val="28"/>
          <w:szCs w:val="28"/>
        </w:rPr>
      </w:pPr>
      <w:r w:rsidRPr="00DA2B8C">
        <w:rPr>
          <w:rFonts w:ascii="Times New Roman" w:hAnsi="Times New Roman" w:cs="Times New Roman"/>
          <w:sz w:val="28"/>
          <w:szCs w:val="28"/>
        </w:rPr>
        <w:t>În vederea realizării misiunii de audit, auditul a testat, sub aspect financiar și regulamentar, situațiile prezentate în Formularele: nr.1, nr.2, nr.3, nr.4, nr.5, nr.7, nr.8, nr.9 și nr.10</w:t>
      </w:r>
      <w:r w:rsidR="009544C0" w:rsidRPr="00DA2B8C">
        <w:rPr>
          <w:rFonts w:ascii="Times New Roman" w:hAnsi="Times New Roman" w:cs="Times New Roman"/>
          <w:sz w:val="28"/>
          <w:szCs w:val="28"/>
        </w:rPr>
        <w:t>, precum și</w:t>
      </w:r>
      <w:r w:rsidR="00DA2B8C">
        <w:rPr>
          <w:rFonts w:ascii="Times New Roman" w:hAnsi="Times New Roman" w:cs="Times New Roman"/>
          <w:sz w:val="28"/>
          <w:szCs w:val="28"/>
        </w:rPr>
        <w:t xml:space="preserve"> a analizat</w:t>
      </w:r>
      <w:r w:rsidR="009544C0" w:rsidRPr="00DA2B8C">
        <w:rPr>
          <w:rFonts w:ascii="Times New Roman" w:hAnsi="Times New Roman" w:cs="Times New Roman"/>
          <w:sz w:val="28"/>
          <w:szCs w:val="28"/>
        </w:rPr>
        <w:t xml:space="preserve"> </w:t>
      </w:r>
      <w:r w:rsidR="004862D7" w:rsidRPr="00DA2B8C">
        <w:rPr>
          <w:rFonts w:ascii="Times New Roman" w:hAnsi="Times New Roman" w:cs="Times New Roman"/>
          <w:sz w:val="28"/>
          <w:szCs w:val="28"/>
        </w:rPr>
        <w:t>datele prezentate în Formularele nr.6 și Formularul nr.11</w:t>
      </w:r>
      <w:r w:rsidRPr="00DA2B8C">
        <w:rPr>
          <w:rFonts w:ascii="Times New Roman" w:hAnsi="Times New Roman" w:cs="Times New Roman"/>
          <w:sz w:val="28"/>
          <w:szCs w:val="28"/>
        </w:rPr>
        <w:t>.</w:t>
      </w:r>
    </w:p>
    <w:p w:rsidR="00DA404B" w:rsidRPr="00DA2B8C" w:rsidRDefault="00097A12" w:rsidP="00097A12">
      <w:pPr>
        <w:spacing w:after="0" w:line="276" w:lineRule="auto"/>
        <w:ind w:firstLine="709"/>
        <w:jc w:val="both"/>
        <w:rPr>
          <w:rFonts w:ascii="Times New Roman" w:hAnsi="Times New Roman" w:cs="Times New Roman"/>
          <w:sz w:val="28"/>
          <w:szCs w:val="28"/>
        </w:rPr>
      </w:pPr>
      <w:r w:rsidRPr="00DA2B8C">
        <w:rPr>
          <w:rFonts w:ascii="Times New Roman" w:hAnsi="Times New Roman" w:cs="Times New Roman"/>
          <w:sz w:val="28"/>
          <w:szCs w:val="28"/>
        </w:rPr>
        <w:t xml:space="preserve">Concomitent, auditul menționează că, </w:t>
      </w:r>
      <w:r w:rsidR="00DA2B8C">
        <w:rPr>
          <w:rFonts w:ascii="Times New Roman" w:hAnsi="Times New Roman" w:cs="Times New Roman"/>
          <w:sz w:val="28"/>
          <w:szCs w:val="28"/>
        </w:rPr>
        <w:t>potrivit</w:t>
      </w:r>
      <w:r w:rsidRPr="00DA2B8C">
        <w:rPr>
          <w:rFonts w:ascii="Times New Roman" w:hAnsi="Times New Roman" w:cs="Times New Roman"/>
          <w:sz w:val="28"/>
          <w:szCs w:val="28"/>
        </w:rPr>
        <w:t xml:space="preserve"> prevederilor legale</w:t>
      </w:r>
      <w:r w:rsidRPr="00DA2B8C">
        <w:rPr>
          <w:rStyle w:val="a9"/>
          <w:rFonts w:ascii="Times New Roman" w:hAnsi="Times New Roman" w:cs="Times New Roman"/>
          <w:sz w:val="28"/>
          <w:szCs w:val="28"/>
        </w:rPr>
        <w:footnoteReference w:id="72"/>
      </w:r>
      <w:r w:rsidRPr="00DA2B8C">
        <w:rPr>
          <w:rFonts w:ascii="Times New Roman" w:hAnsi="Times New Roman" w:cs="Times New Roman"/>
          <w:sz w:val="28"/>
          <w:szCs w:val="28"/>
        </w:rPr>
        <w:t xml:space="preserve">, </w:t>
      </w:r>
      <w:r w:rsidRPr="00DA2B8C">
        <w:rPr>
          <w:rFonts w:ascii="Times New Roman" w:hAnsi="Times New Roman" w:cs="Times New Roman"/>
          <w:i/>
          <w:sz w:val="28"/>
          <w:szCs w:val="28"/>
        </w:rPr>
        <w:t>„autoritățile/instituțiile bugetare, inclusiv Casa Națională de Asigurări Sociale și Compania Națională de Asigurări în Medicină, întocmesc și prezintă rapoarte financiare în baza Legii contabilității și în conformitate cu termenele și cerințele stabilite de Ministerul Finanțelor”</w:t>
      </w:r>
      <w:r w:rsidRPr="00DA2B8C">
        <w:rPr>
          <w:rFonts w:ascii="Times New Roman" w:hAnsi="Times New Roman" w:cs="Times New Roman"/>
          <w:sz w:val="28"/>
          <w:szCs w:val="28"/>
        </w:rPr>
        <w:t xml:space="preserve">. </w:t>
      </w:r>
      <w:r w:rsidR="004862D7" w:rsidRPr="00DA2B8C">
        <w:rPr>
          <w:rFonts w:ascii="Times New Roman" w:hAnsi="Times New Roman" w:cs="Times New Roman"/>
          <w:sz w:val="28"/>
          <w:szCs w:val="28"/>
        </w:rPr>
        <w:t>Raportul financiar</w:t>
      </w:r>
      <w:r w:rsidRPr="00DA2B8C">
        <w:rPr>
          <w:rStyle w:val="a9"/>
          <w:rFonts w:ascii="Times New Roman" w:hAnsi="Times New Roman" w:cs="Times New Roman"/>
          <w:sz w:val="28"/>
          <w:szCs w:val="28"/>
        </w:rPr>
        <w:footnoteReference w:id="73"/>
      </w:r>
      <w:r w:rsidRPr="00DA2B8C">
        <w:rPr>
          <w:rFonts w:ascii="Times New Roman" w:hAnsi="Times New Roman" w:cs="Times New Roman"/>
          <w:sz w:val="28"/>
          <w:szCs w:val="28"/>
        </w:rPr>
        <w:t xml:space="preserve"> este o reprezentare structurată a situațiilor financiare, create în urma gestionării resurselor încredințate conducerii unei autorități/instituții bugetare, iar</w:t>
      </w:r>
      <w:r w:rsidR="004930B1" w:rsidRPr="00DA2B8C">
        <w:rPr>
          <w:rFonts w:ascii="Times New Roman" w:hAnsi="Times New Roman" w:cs="Times New Roman"/>
          <w:sz w:val="28"/>
          <w:szCs w:val="28"/>
        </w:rPr>
        <w:t xml:space="preserve"> obiectivul </w:t>
      </w:r>
      <w:r w:rsidRPr="00DA2B8C">
        <w:rPr>
          <w:rFonts w:ascii="Times New Roman" w:hAnsi="Times New Roman" w:cs="Times New Roman"/>
          <w:sz w:val="28"/>
          <w:szCs w:val="28"/>
        </w:rPr>
        <w:t>acestora</w:t>
      </w:r>
      <w:r w:rsidR="004930B1" w:rsidRPr="00DA2B8C">
        <w:rPr>
          <w:rFonts w:ascii="Times New Roman" w:hAnsi="Times New Roman" w:cs="Times New Roman"/>
          <w:sz w:val="28"/>
          <w:szCs w:val="28"/>
        </w:rPr>
        <w:t xml:space="preserve"> constă în a oferi</w:t>
      </w:r>
      <w:r w:rsidR="00764D6E" w:rsidRPr="00DA2B8C">
        <w:rPr>
          <w:rFonts w:ascii="Times New Roman" w:hAnsi="Times New Roman" w:cs="Times New Roman"/>
          <w:sz w:val="28"/>
          <w:szCs w:val="28"/>
        </w:rPr>
        <w:t xml:space="preserve"> </w:t>
      </w:r>
      <w:r w:rsidR="004930B1" w:rsidRPr="00DA2B8C">
        <w:rPr>
          <w:rFonts w:ascii="Times New Roman" w:hAnsi="Times New Roman" w:cs="Times New Roman"/>
          <w:sz w:val="28"/>
          <w:szCs w:val="28"/>
        </w:rPr>
        <w:t>informații despre poziția financiară, performanța financiară și fluxuri</w:t>
      </w:r>
      <w:r w:rsidR="00331627" w:rsidRPr="00DA2B8C">
        <w:rPr>
          <w:rFonts w:ascii="Times New Roman" w:hAnsi="Times New Roman" w:cs="Times New Roman"/>
          <w:sz w:val="28"/>
          <w:szCs w:val="28"/>
        </w:rPr>
        <w:t>le de numerar a</w:t>
      </w:r>
      <w:r w:rsidR="00DD0B79" w:rsidRPr="00DA2B8C">
        <w:rPr>
          <w:rFonts w:ascii="Times New Roman" w:hAnsi="Times New Roman" w:cs="Times New Roman"/>
          <w:sz w:val="28"/>
          <w:szCs w:val="28"/>
        </w:rPr>
        <w:t>le</w:t>
      </w:r>
      <w:r w:rsidR="00331627" w:rsidRPr="00DA2B8C">
        <w:rPr>
          <w:rFonts w:ascii="Times New Roman" w:hAnsi="Times New Roman" w:cs="Times New Roman"/>
          <w:sz w:val="28"/>
          <w:szCs w:val="28"/>
        </w:rPr>
        <w:t xml:space="preserve"> unei autorități</w:t>
      </w:r>
      <w:r w:rsidR="004930B1" w:rsidRPr="00DA2B8C">
        <w:rPr>
          <w:rFonts w:ascii="Times New Roman" w:hAnsi="Times New Roman" w:cs="Times New Roman"/>
          <w:sz w:val="28"/>
          <w:szCs w:val="28"/>
        </w:rPr>
        <w:t xml:space="preserve">/instituții bugetare, utile pentru o gamă largă de utilizatori în luarea deciziilor </w:t>
      </w:r>
      <w:r w:rsidR="004930B1" w:rsidRPr="00DA2B8C">
        <w:rPr>
          <w:rFonts w:ascii="Times New Roman" w:hAnsi="Times New Roman" w:cs="Times New Roman"/>
          <w:sz w:val="28"/>
          <w:szCs w:val="28"/>
        </w:rPr>
        <w:lastRenderedPageBreak/>
        <w:t xml:space="preserve">economice. </w:t>
      </w:r>
      <w:r w:rsidRPr="00DA2B8C">
        <w:rPr>
          <w:rFonts w:ascii="Times New Roman" w:hAnsi="Times New Roman" w:cs="Times New Roman"/>
          <w:sz w:val="28"/>
          <w:szCs w:val="28"/>
        </w:rPr>
        <w:t>Conform cadrului normativ</w:t>
      </w:r>
      <w:r w:rsidRPr="00DA2B8C">
        <w:rPr>
          <w:rStyle w:val="a9"/>
          <w:rFonts w:ascii="Times New Roman" w:hAnsi="Times New Roman" w:cs="Times New Roman"/>
          <w:sz w:val="28"/>
          <w:szCs w:val="28"/>
        </w:rPr>
        <w:footnoteReference w:id="74"/>
      </w:r>
      <w:r w:rsidRPr="00DA2B8C">
        <w:rPr>
          <w:rFonts w:ascii="Times New Roman" w:hAnsi="Times New Roman" w:cs="Times New Roman"/>
          <w:sz w:val="28"/>
          <w:szCs w:val="28"/>
        </w:rPr>
        <w:t>, componența rapoartelor financiare include bilanțul contabil, care este un document contabil de sinteză în care se prezintă poziția de activ, pasiv, creanțe și valoarea activelor acesteia la sfârșitul perioadei de raportare, precum și în alte situații prevăzute de legislație.</w:t>
      </w:r>
      <w:r w:rsidR="0070561C" w:rsidRPr="00DA2B8C">
        <w:rPr>
          <w:rFonts w:ascii="Times New Roman" w:hAnsi="Times New Roman" w:cs="Times New Roman"/>
          <w:sz w:val="28"/>
          <w:szCs w:val="28"/>
        </w:rPr>
        <w:t xml:space="preserve"> Conform aceluiași cadrul normativ</w:t>
      </w:r>
      <w:r w:rsidR="0070561C" w:rsidRPr="00DA2B8C">
        <w:rPr>
          <w:rStyle w:val="a9"/>
          <w:rFonts w:ascii="Times New Roman" w:hAnsi="Times New Roman" w:cs="Times New Roman"/>
          <w:sz w:val="28"/>
          <w:szCs w:val="28"/>
        </w:rPr>
        <w:footnoteReference w:id="75"/>
      </w:r>
      <w:r w:rsidR="0070561C" w:rsidRPr="00DA2B8C">
        <w:rPr>
          <w:rFonts w:ascii="Times New Roman" w:hAnsi="Times New Roman" w:cs="Times New Roman"/>
          <w:sz w:val="28"/>
          <w:szCs w:val="28"/>
        </w:rPr>
        <w:t xml:space="preserve">, </w:t>
      </w:r>
      <w:r w:rsidR="0070561C" w:rsidRPr="00DA2B8C">
        <w:rPr>
          <w:rFonts w:ascii="Times New Roman" w:hAnsi="Times New Roman" w:cs="Times New Roman"/>
          <w:i/>
          <w:sz w:val="28"/>
          <w:szCs w:val="28"/>
        </w:rPr>
        <w:t>„Ministerul Finanțelor asigură anual întocmirea și publicarea, pe pagina oficială a ministerului, a rapoartelor financiare consolidate pentru Guvernul central”</w:t>
      </w:r>
      <w:r w:rsidR="0070561C" w:rsidRPr="00DA2B8C">
        <w:rPr>
          <w:rFonts w:ascii="Times New Roman" w:hAnsi="Times New Roman" w:cs="Times New Roman"/>
          <w:sz w:val="28"/>
          <w:szCs w:val="28"/>
        </w:rPr>
        <w:t>.</w:t>
      </w:r>
    </w:p>
    <w:p w:rsidR="00DA404B" w:rsidRPr="00DA2B8C" w:rsidRDefault="0070561C" w:rsidP="0072590C">
      <w:pPr>
        <w:spacing w:after="0" w:line="276" w:lineRule="auto"/>
        <w:ind w:firstLine="709"/>
        <w:jc w:val="both"/>
        <w:rPr>
          <w:rFonts w:ascii="Times New Roman" w:hAnsi="Times New Roman" w:cs="Times New Roman"/>
          <w:sz w:val="28"/>
          <w:szCs w:val="28"/>
        </w:rPr>
      </w:pPr>
      <w:r w:rsidRPr="00DA2B8C">
        <w:rPr>
          <w:rFonts w:ascii="Times New Roman" w:hAnsi="Times New Roman" w:cs="Times New Roman"/>
          <w:sz w:val="28"/>
          <w:szCs w:val="28"/>
        </w:rPr>
        <w:t xml:space="preserve">Verificările efectuate de audit constată că Formularul nr.10, „Bilanțul contabil privind executarea bugetului de stat pe anul 2017”, întocmit de Direcția Trezoreria de Stat, reflectă indicatorii care reprezintă executarea de casă a bugetului de stat, după cum urmează: </w:t>
      </w:r>
      <w:r w:rsidRPr="006771F9">
        <w:rPr>
          <w:rFonts w:ascii="Times New Roman" w:hAnsi="Times New Roman" w:cs="Times New Roman"/>
          <w:i/>
          <w:sz w:val="28"/>
          <w:szCs w:val="28"/>
        </w:rPr>
        <w:t>i)</w:t>
      </w:r>
      <w:r w:rsidRPr="00DA2B8C">
        <w:rPr>
          <w:rFonts w:ascii="Times New Roman" w:hAnsi="Times New Roman" w:cs="Times New Roman"/>
          <w:sz w:val="28"/>
          <w:szCs w:val="28"/>
        </w:rPr>
        <w:t xml:space="preserve"> la activ – mijloace bănești, cheltuieli și active nefinanciare, și </w:t>
      </w:r>
      <w:r w:rsidRPr="006771F9">
        <w:rPr>
          <w:rFonts w:ascii="Times New Roman" w:hAnsi="Times New Roman" w:cs="Times New Roman"/>
          <w:i/>
          <w:sz w:val="28"/>
          <w:szCs w:val="28"/>
        </w:rPr>
        <w:t>ii)</w:t>
      </w:r>
      <w:r w:rsidRPr="00DA2B8C">
        <w:rPr>
          <w:rFonts w:ascii="Times New Roman" w:hAnsi="Times New Roman" w:cs="Times New Roman"/>
          <w:b/>
          <w:i/>
          <w:sz w:val="28"/>
          <w:szCs w:val="28"/>
        </w:rPr>
        <w:t xml:space="preserve"> </w:t>
      </w:r>
      <w:r w:rsidRPr="00DA2B8C">
        <w:rPr>
          <w:rFonts w:ascii="Times New Roman" w:hAnsi="Times New Roman" w:cs="Times New Roman"/>
          <w:sz w:val="28"/>
          <w:szCs w:val="28"/>
        </w:rPr>
        <w:t>la pasiv – surse</w:t>
      </w:r>
      <w:r w:rsidR="00DA2B8C">
        <w:rPr>
          <w:rFonts w:ascii="Times New Roman" w:hAnsi="Times New Roman" w:cs="Times New Roman"/>
          <w:sz w:val="28"/>
          <w:szCs w:val="28"/>
        </w:rPr>
        <w:t>le</w:t>
      </w:r>
      <w:r w:rsidRPr="00DA2B8C">
        <w:rPr>
          <w:rFonts w:ascii="Times New Roman" w:hAnsi="Times New Roman" w:cs="Times New Roman"/>
          <w:sz w:val="28"/>
          <w:szCs w:val="28"/>
        </w:rPr>
        <w:t xml:space="preserve"> de finanțare, </w:t>
      </w:r>
      <w:r w:rsidR="00DA2B8C" w:rsidRPr="00DA2B8C">
        <w:rPr>
          <w:rFonts w:ascii="Times New Roman" w:hAnsi="Times New Roman" w:cs="Times New Roman"/>
          <w:sz w:val="28"/>
          <w:szCs w:val="28"/>
        </w:rPr>
        <w:t>rezultatul executării bugetului</w:t>
      </w:r>
      <w:r w:rsidR="00DA2B8C">
        <w:rPr>
          <w:rFonts w:ascii="Times New Roman" w:hAnsi="Times New Roman" w:cs="Times New Roman"/>
          <w:sz w:val="28"/>
          <w:szCs w:val="28"/>
        </w:rPr>
        <w:t xml:space="preserve"> de stat</w:t>
      </w:r>
      <w:r w:rsidRPr="00DA2B8C">
        <w:rPr>
          <w:rFonts w:ascii="Times New Roman" w:hAnsi="Times New Roman" w:cs="Times New Roman"/>
          <w:sz w:val="28"/>
          <w:szCs w:val="28"/>
        </w:rPr>
        <w:t xml:space="preserve">. Astfel, potrivit „Bilanțului contabil privind executarea bugetului de stat pe anul 2017” la situația din 31.12.2017, în activ sunt reflectate mijloace bănești în sumă de 4933,9 mil.lei (plasate în conturile curente în sistemul trezorerial și în afara </w:t>
      </w:r>
      <w:r w:rsidR="00DA2B8C">
        <w:rPr>
          <w:rFonts w:ascii="Times New Roman" w:hAnsi="Times New Roman" w:cs="Times New Roman"/>
          <w:sz w:val="28"/>
          <w:szCs w:val="28"/>
        </w:rPr>
        <w:t>acestuia</w:t>
      </w:r>
      <w:r w:rsidRPr="00DA2B8C">
        <w:rPr>
          <w:rFonts w:ascii="Times New Roman" w:hAnsi="Times New Roman" w:cs="Times New Roman"/>
          <w:sz w:val="28"/>
          <w:szCs w:val="28"/>
        </w:rPr>
        <w:t>) și la pasiv – rezultatul executării bugetului</w:t>
      </w:r>
      <w:r w:rsidR="00DA2B8C">
        <w:rPr>
          <w:rFonts w:ascii="Times New Roman" w:hAnsi="Times New Roman" w:cs="Times New Roman"/>
          <w:sz w:val="28"/>
          <w:szCs w:val="28"/>
        </w:rPr>
        <w:t xml:space="preserve"> de stat</w:t>
      </w:r>
      <w:r w:rsidRPr="00DA2B8C">
        <w:rPr>
          <w:rFonts w:ascii="Times New Roman" w:hAnsi="Times New Roman" w:cs="Times New Roman"/>
          <w:sz w:val="28"/>
          <w:szCs w:val="28"/>
        </w:rPr>
        <w:t xml:space="preserve"> în sumă de 4933,9 mil.lei.</w:t>
      </w:r>
    </w:p>
    <w:p w:rsidR="004F701D" w:rsidRPr="00DA2B8C" w:rsidRDefault="007D0DAA" w:rsidP="004F701D">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Î</w:t>
      </w:r>
      <w:r w:rsidR="004F701D" w:rsidRPr="00DA2B8C">
        <w:rPr>
          <w:rFonts w:ascii="Times New Roman" w:hAnsi="Times New Roman" w:cs="Times New Roman"/>
          <w:sz w:val="28"/>
          <w:szCs w:val="28"/>
        </w:rPr>
        <w:t>n Raportul privind executarea bugetului de stat, în special nu se regăsesc situațiile patrimoniale.</w:t>
      </w:r>
      <w:r w:rsidR="004F701D" w:rsidRPr="00DA2B8C">
        <w:rPr>
          <w:rFonts w:ascii="Times New Roman" w:hAnsi="Times New Roman" w:cs="Times New Roman"/>
          <w:b/>
          <w:i/>
          <w:sz w:val="28"/>
          <w:szCs w:val="28"/>
        </w:rPr>
        <w:t xml:space="preserve"> </w:t>
      </w:r>
      <w:r w:rsidR="004F701D" w:rsidRPr="00DA2B8C">
        <w:rPr>
          <w:rFonts w:ascii="Times New Roman" w:hAnsi="Times New Roman" w:cs="Times New Roman"/>
          <w:sz w:val="28"/>
          <w:szCs w:val="28"/>
        </w:rPr>
        <w:t>Aceste circumstanțe au determinat limitarea auditorului în posibilitatea verificării, contrapunerii și confirmării informațiilor raportate</w:t>
      </w:r>
      <w:r w:rsidR="004862D7" w:rsidRPr="00DA2B8C">
        <w:rPr>
          <w:rFonts w:ascii="Times New Roman" w:hAnsi="Times New Roman" w:cs="Times New Roman"/>
          <w:sz w:val="28"/>
          <w:szCs w:val="28"/>
        </w:rPr>
        <w:t>, în special ce țin de creanțe,</w:t>
      </w:r>
      <w:r w:rsidR="004F701D" w:rsidRPr="00DA2B8C">
        <w:rPr>
          <w:rFonts w:ascii="Times New Roman" w:hAnsi="Times New Roman" w:cs="Times New Roman"/>
          <w:sz w:val="28"/>
          <w:szCs w:val="28"/>
        </w:rPr>
        <w:t xml:space="preserve"> datorii</w:t>
      </w:r>
      <w:r w:rsidR="004862D7" w:rsidRPr="00DA2B8C">
        <w:rPr>
          <w:rFonts w:ascii="Times New Roman" w:hAnsi="Times New Roman" w:cs="Times New Roman"/>
          <w:sz w:val="28"/>
          <w:szCs w:val="28"/>
        </w:rPr>
        <w:t xml:space="preserve"> și situații patrimoniale</w:t>
      </w:r>
      <w:r w:rsidR="004F701D" w:rsidRPr="00DA2B8C">
        <w:rPr>
          <w:rFonts w:ascii="Times New Roman" w:hAnsi="Times New Roman" w:cs="Times New Roman"/>
          <w:sz w:val="28"/>
          <w:szCs w:val="28"/>
        </w:rPr>
        <w:t xml:space="preserve">. </w:t>
      </w:r>
      <w:r w:rsidR="004862D7" w:rsidRPr="00DA2B8C">
        <w:rPr>
          <w:rFonts w:ascii="Times New Roman" w:hAnsi="Times New Roman" w:cs="Times New Roman"/>
          <w:sz w:val="28"/>
          <w:szCs w:val="28"/>
        </w:rPr>
        <w:t xml:space="preserve">Urmare </w:t>
      </w:r>
      <w:r w:rsidR="00DA2B8C">
        <w:rPr>
          <w:rFonts w:ascii="Times New Roman" w:hAnsi="Times New Roman" w:cs="Times New Roman"/>
          <w:sz w:val="28"/>
          <w:szCs w:val="28"/>
        </w:rPr>
        <w:t xml:space="preserve">a </w:t>
      </w:r>
      <w:r w:rsidR="004862D7" w:rsidRPr="00DA2B8C">
        <w:rPr>
          <w:rFonts w:ascii="Times New Roman" w:hAnsi="Times New Roman" w:cs="Times New Roman"/>
          <w:sz w:val="28"/>
          <w:szCs w:val="28"/>
        </w:rPr>
        <w:t>verificărilor efectuate</w:t>
      </w:r>
      <w:r w:rsidR="004F701D" w:rsidRPr="00DA2B8C">
        <w:rPr>
          <w:rFonts w:ascii="Times New Roman" w:hAnsi="Times New Roman" w:cs="Times New Roman"/>
          <w:sz w:val="28"/>
          <w:szCs w:val="28"/>
        </w:rPr>
        <w:t xml:space="preserve">, auditul relevă </w:t>
      </w:r>
      <w:r w:rsidR="00DA2B8C">
        <w:rPr>
          <w:rFonts w:ascii="Times New Roman" w:hAnsi="Times New Roman" w:cs="Times New Roman"/>
          <w:sz w:val="28"/>
          <w:szCs w:val="28"/>
        </w:rPr>
        <w:t xml:space="preserve">caracterul </w:t>
      </w:r>
      <w:r w:rsidR="004F701D" w:rsidRPr="00DA2B8C">
        <w:rPr>
          <w:rFonts w:ascii="Times New Roman" w:hAnsi="Times New Roman" w:cs="Times New Roman"/>
          <w:sz w:val="28"/>
          <w:szCs w:val="28"/>
        </w:rPr>
        <w:t>neidentic</w:t>
      </w:r>
      <w:r w:rsidR="00DA2B8C">
        <w:rPr>
          <w:rFonts w:ascii="Times New Roman" w:hAnsi="Times New Roman" w:cs="Times New Roman"/>
          <w:sz w:val="28"/>
          <w:szCs w:val="28"/>
        </w:rPr>
        <w:t xml:space="preserve"> al</w:t>
      </w:r>
      <w:r w:rsidR="004F701D" w:rsidRPr="00DA2B8C">
        <w:rPr>
          <w:rFonts w:ascii="Times New Roman" w:hAnsi="Times New Roman" w:cs="Times New Roman"/>
          <w:sz w:val="28"/>
          <w:szCs w:val="28"/>
        </w:rPr>
        <w:t xml:space="preserve"> creanțelor și datoriilor raportate în Formularul nr.7 „Raport privind creanțele și datoriile la cheltuieli și active nefinanciare formate în autoritățile/instituțiile bugetare finanțate de la bugetul de stat conform clasificației economice” </w:t>
      </w:r>
      <w:r w:rsidR="00F778FB" w:rsidRPr="00DA2B8C">
        <w:rPr>
          <w:rFonts w:ascii="Times New Roman" w:hAnsi="Times New Roman" w:cs="Times New Roman"/>
          <w:sz w:val="28"/>
          <w:szCs w:val="28"/>
        </w:rPr>
        <w:t>cu</w:t>
      </w:r>
      <w:r w:rsidR="004F701D" w:rsidRPr="00DA2B8C">
        <w:rPr>
          <w:rFonts w:ascii="Times New Roman" w:hAnsi="Times New Roman" w:cs="Times New Roman"/>
          <w:sz w:val="28"/>
          <w:szCs w:val="28"/>
        </w:rPr>
        <w:t xml:space="preserve"> </w:t>
      </w:r>
      <w:r w:rsidR="00F778FB" w:rsidRPr="00DA2B8C">
        <w:rPr>
          <w:rFonts w:ascii="Times New Roman" w:hAnsi="Times New Roman" w:cs="Times New Roman"/>
          <w:sz w:val="28"/>
          <w:szCs w:val="28"/>
        </w:rPr>
        <w:t>datele agregate din Bilanțurile contabile prezentate de autorități/instituții bugetare, respectiv</w:t>
      </w:r>
      <w:r w:rsidR="00DA2B8C">
        <w:rPr>
          <w:rFonts w:ascii="Times New Roman" w:hAnsi="Times New Roman" w:cs="Times New Roman"/>
          <w:sz w:val="28"/>
          <w:szCs w:val="28"/>
        </w:rPr>
        <w:t>,</w:t>
      </w:r>
      <w:r w:rsidR="00F778FB" w:rsidRPr="00DA2B8C">
        <w:rPr>
          <w:rFonts w:ascii="Times New Roman" w:hAnsi="Times New Roman" w:cs="Times New Roman"/>
          <w:sz w:val="28"/>
          <w:szCs w:val="28"/>
        </w:rPr>
        <w:t xml:space="preserve"> de 89,9 mil.lei la creanțe și de 24,6 mil.lei la datorii, </w:t>
      </w:r>
      <w:r w:rsidR="00DA2B8C">
        <w:rPr>
          <w:rFonts w:ascii="Times New Roman" w:hAnsi="Times New Roman" w:cs="Times New Roman"/>
          <w:sz w:val="28"/>
          <w:szCs w:val="28"/>
        </w:rPr>
        <w:t xml:space="preserve">astfel </w:t>
      </w:r>
      <w:r w:rsidR="00F778FB" w:rsidRPr="00DA2B8C">
        <w:rPr>
          <w:rFonts w:ascii="Times New Roman" w:hAnsi="Times New Roman" w:cs="Times New Roman"/>
          <w:sz w:val="28"/>
          <w:szCs w:val="28"/>
        </w:rPr>
        <w:t>depășind pragul de materialitate.</w:t>
      </w:r>
    </w:p>
    <w:p w:rsidR="00112532" w:rsidRPr="00DA2B8C" w:rsidRDefault="00DA2B8C" w:rsidP="004F701D">
      <w:pPr>
        <w:spacing w:after="0" w:line="276" w:lineRule="auto"/>
        <w:ind w:firstLine="709"/>
        <w:jc w:val="both"/>
        <w:rPr>
          <w:rFonts w:ascii="Times New Roman" w:hAnsi="Times New Roman" w:cs="Times New Roman"/>
          <w:b/>
          <w:i/>
          <w:sz w:val="28"/>
          <w:szCs w:val="28"/>
        </w:rPr>
      </w:pPr>
      <w:r>
        <w:rPr>
          <w:rFonts w:ascii="Times New Roman" w:hAnsi="Times New Roman" w:cs="Times New Roman"/>
          <w:sz w:val="28"/>
          <w:szCs w:val="28"/>
        </w:rPr>
        <w:t>P</w:t>
      </w:r>
      <w:r w:rsidR="004930B1" w:rsidRPr="00DA2B8C">
        <w:rPr>
          <w:rFonts w:ascii="Times New Roman" w:hAnsi="Times New Roman" w:cs="Times New Roman"/>
          <w:sz w:val="28"/>
          <w:szCs w:val="28"/>
        </w:rPr>
        <w:t>otrivit datelor agregate din sistemul de evidență al Ministerului Finanțelor,</w:t>
      </w:r>
      <w:r w:rsidR="00E5357F" w:rsidRPr="00DA2B8C">
        <w:rPr>
          <w:rFonts w:ascii="Times New Roman" w:hAnsi="Times New Roman" w:cs="Times New Roman"/>
          <w:sz w:val="28"/>
          <w:szCs w:val="28"/>
        </w:rPr>
        <w:t xml:space="preserve"> </w:t>
      </w:r>
      <w:r w:rsidR="004930B1" w:rsidRPr="00DA2B8C">
        <w:rPr>
          <w:rFonts w:ascii="Times New Roman" w:hAnsi="Times New Roman" w:cs="Times New Roman"/>
          <w:sz w:val="28"/>
          <w:szCs w:val="28"/>
        </w:rPr>
        <w:t xml:space="preserve">totalul activelor </w:t>
      </w:r>
      <w:r w:rsidR="00E43320" w:rsidRPr="00DA2B8C">
        <w:rPr>
          <w:rFonts w:ascii="Times New Roman" w:hAnsi="Times New Roman" w:cs="Times New Roman"/>
          <w:sz w:val="28"/>
          <w:szCs w:val="28"/>
        </w:rPr>
        <w:t xml:space="preserve">APC (fără </w:t>
      </w:r>
      <w:r w:rsidR="004862D7" w:rsidRPr="00DA2B8C">
        <w:rPr>
          <w:rFonts w:ascii="Times New Roman" w:hAnsi="Times New Roman" w:cs="Times New Roman"/>
          <w:sz w:val="28"/>
          <w:szCs w:val="28"/>
        </w:rPr>
        <w:t xml:space="preserve">datele aferente </w:t>
      </w:r>
      <w:r w:rsidR="00E43320" w:rsidRPr="00DA2B8C">
        <w:rPr>
          <w:rFonts w:ascii="Times New Roman" w:hAnsi="Times New Roman" w:cs="Times New Roman"/>
          <w:sz w:val="28"/>
          <w:szCs w:val="28"/>
        </w:rPr>
        <w:t xml:space="preserve">autoritățile cu statut „secret”, în volum de circa 1039,0 mil.lei) din </w:t>
      </w:r>
      <w:r w:rsidR="00E15775" w:rsidRPr="00DA2B8C">
        <w:rPr>
          <w:rFonts w:ascii="Times New Roman" w:hAnsi="Times New Roman" w:cs="Times New Roman"/>
          <w:sz w:val="28"/>
          <w:szCs w:val="28"/>
        </w:rPr>
        <w:t>B</w:t>
      </w:r>
      <w:r w:rsidR="004930B1" w:rsidRPr="00DA2B8C">
        <w:rPr>
          <w:rFonts w:ascii="Times New Roman" w:hAnsi="Times New Roman" w:cs="Times New Roman"/>
          <w:sz w:val="28"/>
          <w:szCs w:val="28"/>
        </w:rPr>
        <w:t>ilanțul contabil consolidat constituie 20474,6 mil.lei</w:t>
      </w:r>
      <w:r w:rsidR="00E5357F" w:rsidRPr="00DA2B8C">
        <w:rPr>
          <w:rFonts w:ascii="Times New Roman" w:hAnsi="Times New Roman" w:cs="Times New Roman"/>
          <w:sz w:val="28"/>
          <w:szCs w:val="28"/>
        </w:rPr>
        <w:t>,</w:t>
      </w:r>
      <w:r w:rsidR="004930B1" w:rsidRPr="00DA2B8C">
        <w:rPr>
          <w:rFonts w:ascii="Times New Roman" w:hAnsi="Times New Roman" w:cs="Times New Roman"/>
          <w:sz w:val="28"/>
          <w:szCs w:val="28"/>
        </w:rPr>
        <w:t xml:space="preserve"> inclusiv: </w:t>
      </w:r>
      <w:r w:rsidR="00E15775" w:rsidRPr="00DA2B8C">
        <w:rPr>
          <w:rFonts w:ascii="Times New Roman" w:hAnsi="Times New Roman" w:cs="Times New Roman"/>
          <w:sz w:val="28"/>
          <w:szCs w:val="28"/>
        </w:rPr>
        <w:t>m</w:t>
      </w:r>
      <w:r w:rsidR="004930B1" w:rsidRPr="00DA2B8C">
        <w:rPr>
          <w:rFonts w:ascii="Times New Roman" w:hAnsi="Times New Roman" w:cs="Times New Roman"/>
          <w:sz w:val="28"/>
          <w:szCs w:val="28"/>
        </w:rPr>
        <w:t xml:space="preserve">ijloace fixe </w:t>
      </w:r>
      <w:r w:rsidR="00E15775" w:rsidRPr="00DA2B8C">
        <w:rPr>
          <w:rFonts w:ascii="Times New Roman" w:hAnsi="Times New Roman" w:cs="Times New Roman"/>
          <w:sz w:val="28"/>
          <w:szCs w:val="28"/>
        </w:rPr>
        <w:t>–</w:t>
      </w:r>
      <w:r w:rsidR="00F157A8" w:rsidRPr="00DA2B8C">
        <w:rPr>
          <w:rFonts w:ascii="Times New Roman" w:hAnsi="Times New Roman" w:cs="Times New Roman"/>
          <w:sz w:val="28"/>
          <w:szCs w:val="28"/>
        </w:rPr>
        <w:t xml:space="preserve"> </w:t>
      </w:r>
      <w:r w:rsidR="004930B1" w:rsidRPr="00DA2B8C">
        <w:rPr>
          <w:rFonts w:ascii="Times New Roman" w:hAnsi="Times New Roman" w:cs="Times New Roman"/>
          <w:sz w:val="28"/>
          <w:szCs w:val="28"/>
        </w:rPr>
        <w:t xml:space="preserve">15749,0 mil.lei; </w:t>
      </w:r>
      <w:r w:rsidR="00E15775" w:rsidRPr="00DA2B8C">
        <w:rPr>
          <w:rFonts w:ascii="Times New Roman" w:hAnsi="Times New Roman" w:cs="Times New Roman"/>
          <w:sz w:val="28"/>
          <w:szCs w:val="28"/>
        </w:rPr>
        <w:t>s</w:t>
      </w:r>
      <w:r w:rsidR="004930B1" w:rsidRPr="00DA2B8C">
        <w:rPr>
          <w:rFonts w:ascii="Times New Roman" w:hAnsi="Times New Roman" w:cs="Times New Roman"/>
          <w:sz w:val="28"/>
          <w:szCs w:val="28"/>
        </w:rPr>
        <w:t>tocuri de materiale circulante</w:t>
      </w:r>
      <w:r w:rsidR="00E5357F" w:rsidRPr="00DA2B8C">
        <w:rPr>
          <w:rFonts w:ascii="Times New Roman" w:hAnsi="Times New Roman" w:cs="Times New Roman"/>
          <w:sz w:val="28"/>
          <w:szCs w:val="28"/>
        </w:rPr>
        <w:t xml:space="preserve"> </w:t>
      </w:r>
      <w:r w:rsidR="00E15775" w:rsidRPr="00DA2B8C">
        <w:rPr>
          <w:rFonts w:ascii="Times New Roman" w:hAnsi="Times New Roman" w:cs="Times New Roman"/>
          <w:sz w:val="28"/>
          <w:szCs w:val="28"/>
        </w:rPr>
        <w:t>–</w:t>
      </w:r>
      <w:r w:rsidR="00F157A8" w:rsidRPr="00DA2B8C">
        <w:rPr>
          <w:rFonts w:ascii="Times New Roman" w:hAnsi="Times New Roman" w:cs="Times New Roman"/>
          <w:sz w:val="28"/>
          <w:szCs w:val="28"/>
        </w:rPr>
        <w:t xml:space="preserve"> </w:t>
      </w:r>
      <w:r w:rsidR="004930B1" w:rsidRPr="00DA2B8C">
        <w:rPr>
          <w:rFonts w:ascii="Times New Roman" w:hAnsi="Times New Roman" w:cs="Times New Roman"/>
          <w:sz w:val="28"/>
          <w:szCs w:val="28"/>
        </w:rPr>
        <w:t>1560,8 mil.lei</w:t>
      </w:r>
      <w:r w:rsidR="00E5357F" w:rsidRPr="00DA2B8C">
        <w:rPr>
          <w:rFonts w:ascii="Times New Roman" w:hAnsi="Times New Roman" w:cs="Times New Roman"/>
          <w:sz w:val="28"/>
          <w:szCs w:val="28"/>
        </w:rPr>
        <w:t xml:space="preserve">; </w:t>
      </w:r>
      <w:r w:rsidR="00E15775" w:rsidRPr="00DA2B8C">
        <w:rPr>
          <w:rFonts w:ascii="Times New Roman" w:hAnsi="Times New Roman" w:cs="Times New Roman"/>
          <w:sz w:val="28"/>
          <w:szCs w:val="28"/>
        </w:rPr>
        <w:t>p</w:t>
      </w:r>
      <w:r w:rsidR="00E5357F" w:rsidRPr="00DA2B8C">
        <w:rPr>
          <w:rFonts w:ascii="Times New Roman" w:hAnsi="Times New Roman" w:cs="Times New Roman"/>
          <w:sz w:val="28"/>
          <w:szCs w:val="28"/>
        </w:rPr>
        <w:t>roducție în curs de execuție</w:t>
      </w:r>
      <w:r w:rsidR="004930B1" w:rsidRPr="00DA2B8C">
        <w:rPr>
          <w:rFonts w:ascii="Times New Roman" w:hAnsi="Times New Roman" w:cs="Times New Roman"/>
          <w:sz w:val="28"/>
          <w:szCs w:val="28"/>
        </w:rPr>
        <w:t xml:space="preserve"> </w:t>
      </w:r>
      <w:r w:rsidR="00E15775" w:rsidRPr="00DA2B8C">
        <w:rPr>
          <w:rFonts w:ascii="Times New Roman" w:hAnsi="Times New Roman" w:cs="Times New Roman"/>
          <w:sz w:val="28"/>
          <w:szCs w:val="28"/>
        </w:rPr>
        <w:t>–</w:t>
      </w:r>
      <w:r w:rsidR="004930B1" w:rsidRPr="00DA2B8C">
        <w:rPr>
          <w:rFonts w:ascii="Times New Roman" w:hAnsi="Times New Roman" w:cs="Times New Roman"/>
          <w:sz w:val="28"/>
          <w:szCs w:val="28"/>
        </w:rPr>
        <w:t xml:space="preserve"> 18,5 mil.lei</w:t>
      </w:r>
      <w:r w:rsidR="00E15775" w:rsidRPr="00DA2B8C">
        <w:rPr>
          <w:rFonts w:ascii="Times New Roman" w:hAnsi="Times New Roman" w:cs="Times New Roman"/>
          <w:sz w:val="28"/>
          <w:szCs w:val="28"/>
        </w:rPr>
        <w:t>;</w:t>
      </w:r>
      <w:r w:rsidR="004930B1" w:rsidRPr="00DA2B8C">
        <w:rPr>
          <w:rFonts w:ascii="Times New Roman" w:hAnsi="Times New Roman" w:cs="Times New Roman"/>
          <w:sz w:val="28"/>
          <w:szCs w:val="28"/>
        </w:rPr>
        <w:t xml:space="preserve"> </w:t>
      </w:r>
      <w:r w:rsidR="00E15775" w:rsidRPr="00DA2B8C">
        <w:rPr>
          <w:rFonts w:ascii="Times New Roman" w:hAnsi="Times New Roman" w:cs="Times New Roman"/>
          <w:sz w:val="28"/>
          <w:szCs w:val="28"/>
        </w:rPr>
        <w:t>c</w:t>
      </w:r>
      <w:r w:rsidR="004930B1" w:rsidRPr="00DA2B8C">
        <w:rPr>
          <w:rFonts w:ascii="Times New Roman" w:hAnsi="Times New Roman" w:cs="Times New Roman"/>
          <w:sz w:val="28"/>
          <w:szCs w:val="28"/>
        </w:rPr>
        <w:t xml:space="preserve">reanțe interne </w:t>
      </w:r>
      <w:r w:rsidR="00E15775" w:rsidRPr="00DA2B8C">
        <w:rPr>
          <w:rFonts w:ascii="Times New Roman" w:hAnsi="Times New Roman" w:cs="Times New Roman"/>
          <w:sz w:val="28"/>
          <w:szCs w:val="28"/>
        </w:rPr>
        <w:t>–</w:t>
      </w:r>
      <w:r w:rsidR="00E5357F" w:rsidRPr="00DA2B8C">
        <w:rPr>
          <w:rFonts w:ascii="Times New Roman" w:hAnsi="Times New Roman" w:cs="Times New Roman"/>
          <w:sz w:val="28"/>
          <w:szCs w:val="28"/>
        </w:rPr>
        <w:t xml:space="preserve"> </w:t>
      </w:r>
      <w:r w:rsidR="004930B1" w:rsidRPr="00DA2B8C">
        <w:rPr>
          <w:rFonts w:ascii="Times New Roman" w:hAnsi="Times New Roman" w:cs="Times New Roman"/>
          <w:sz w:val="28"/>
          <w:szCs w:val="28"/>
        </w:rPr>
        <w:t xml:space="preserve">6959,9 mil.lei; </w:t>
      </w:r>
      <w:r w:rsidR="00E15775" w:rsidRPr="00DA2B8C">
        <w:rPr>
          <w:rFonts w:ascii="Times New Roman" w:hAnsi="Times New Roman" w:cs="Times New Roman"/>
          <w:sz w:val="28"/>
          <w:szCs w:val="28"/>
        </w:rPr>
        <w:t>m</w:t>
      </w:r>
      <w:r w:rsidR="004930B1" w:rsidRPr="00DA2B8C">
        <w:rPr>
          <w:rFonts w:ascii="Times New Roman" w:hAnsi="Times New Roman" w:cs="Times New Roman"/>
          <w:sz w:val="28"/>
          <w:szCs w:val="28"/>
        </w:rPr>
        <w:t xml:space="preserve">ijloace bănești – 675,0 mil.lei. </w:t>
      </w:r>
      <w:r w:rsidR="00D82BE4" w:rsidRPr="00DA2B8C">
        <w:rPr>
          <w:rFonts w:ascii="Times New Roman" w:hAnsi="Times New Roman" w:cs="Times New Roman"/>
          <w:sz w:val="28"/>
          <w:szCs w:val="28"/>
        </w:rPr>
        <w:t>Se menționează că</w:t>
      </w:r>
      <w:r w:rsidR="00D377FC" w:rsidRPr="00DA2B8C">
        <w:rPr>
          <w:rFonts w:ascii="Times New Roman" w:hAnsi="Times New Roman" w:cs="Times New Roman"/>
          <w:sz w:val="28"/>
          <w:szCs w:val="28"/>
        </w:rPr>
        <w:t>,</w:t>
      </w:r>
      <w:r w:rsidR="00D82BE4" w:rsidRPr="00DA2B8C">
        <w:rPr>
          <w:rFonts w:ascii="Times New Roman" w:hAnsi="Times New Roman" w:cs="Times New Roman"/>
          <w:sz w:val="28"/>
          <w:szCs w:val="28"/>
        </w:rPr>
        <w:t xml:space="preserve"> la capitolul </w:t>
      </w:r>
      <w:r w:rsidR="00D377FC" w:rsidRPr="00DA2B8C">
        <w:rPr>
          <w:rFonts w:ascii="Times New Roman" w:hAnsi="Times New Roman" w:cs="Times New Roman"/>
          <w:sz w:val="28"/>
          <w:szCs w:val="28"/>
        </w:rPr>
        <w:t>„</w:t>
      </w:r>
      <w:r w:rsidR="00D82BE4" w:rsidRPr="00DA2B8C">
        <w:rPr>
          <w:rFonts w:ascii="Times New Roman" w:hAnsi="Times New Roman" w:cs="Times New Roman"/>
          <w:sz w:val="28"/>
          <w:szCs w:val="28"/>
        </w:rPr>
        <w:t>Creanțe interne</w:t>
      </w:r>
      <w:r w:rsidR="00D377FC" w:rsidRPr="00DA2B8C">
        <w:rPr>
          <w:rFonts w:ascii="Times New Roman" w:hAnsi="Times New Roman" w:cs="Times New Roman"/>
          <w:sz w:val="28"/>
          <w:szCs w:val="28"/>
        </w:rPr>
        <w:t>”</w:t>
      </w:r>
      <w:r w:rsidR="00D82BE4" w:rsidRPr="00DA2B8C">
        <w:rPr>
          <w:rFonts w:ascii="Times New Roman" w:hAnsi="Times New Roman" w:cs="Times New Roman"/>
          <w:sz w:val="28"/>
          <w:szCs w:val="28"/>
        </w:rPr>
        <w:t>, „acțiuni și alte forme de participare în capital în interiorul țării”</w:t>
      </w:r>
      <w:r w:rsidR="00D377FC" w:rsidRPr="00DA2B8C">
        <w:rPr>
          <w:rFonts w:ascii="Times New Roman" w:hAnsi="Times New Roman" w:cs="Times New Roman"/>
          <w:sz w:val="28"/>
          <w:szCs w:val="28"/>
        </w:rPr>
        <w:t>,</w:t>
      </w:r>
      <w:r w:rsidR="00D82BE4" w:rsidRPr="00DA2B8C">
        <w:rPr>
          <w:rFonts w:ascii="Times New Roman" w:hAnsi="Times New Roman" w:cs="Times New Roman"/>
          <w:sz w:val="28"/>
          <w:szCs w:val="28"/>
        </w:rPr>
        <w:t xml:space="preserve"> la începutul anului au înregistrat suma de 8417</w:t>
      </w:r>
      <w:r w:rsidR="009C16B1" w:rsidRPr="00DA2B8C">
        <w:rPr>
          <w:rFonts w:ascii="Times New Roman" w:hAnsi="Times New Roman" w:cs="Times New Roman"/>
          <w:sz w:val="28"/>
          <w:szCs w:val="28"/>
        </w:rPr>
        <w:t>,5 mil.lei, iar la sfârșitul anului aceasta s-a diminuat cu 2349,2 mil.lei, înregistrând 6068,3 mil.lei.</w:t>
      </w:r>
      <w:r w:rsidR="00D82BE4" w:rsidRPr="00DA2B8C">
        <w:rPr>
          <w:rFonts w:ascii="Times New Roman" w:hAnsi="Times New Roman" w:cs="Times New Roman"/>
          <w:sz w:val="28"/>
          <w:szCs w:val="28"/>
        </w:rPr>
        <w:t xml:space="preserve"> </w:t>
      </w:r>
      <w:r w:rsidR="004930B1" w:rsidRPr="00DA2B8C">
        <w:rPr>
          <w:rFonts w:ascii="Times New Roman" w:hAnsi="Times New Roman" w:cs="Times New Roman"/>
          <w:sz w:val="28"/>
          <w:szCs w:val="28"/>
        </w:rPr>
        <w:t>Totodată</w:t>
      </w:r>
      <w:r w:rsidR="00F157A8" w:rsidRPr="00DA2B8C">
        <w:rPr>
          <w:rFonts w:ascii="Times New Roman" w:hAnsi="Times New Roman" w:cs="Times New Roman"/>
          <w:sz w:val="28"/>
          <w:szCs w:val="28"/>
        </w:rPr>
        <w:t>,</w:t>
      </w:r>
      <w:r w:rsidR="004930B1" w:rsidRPr="00DA2B8C">
        <w:rPr>
          <w:rFonts w:ascii="Times New Roman" w:hAnsi="Times New Roman" w:cs="Times New Roman"/>
          <w:sz w:val="28"/>
          <w:szCs w:val="28"/>
        </w:rPr>
        <w:t xml:space="preserve"> totalul pasivelor înregistrează</w:t>
      </w:r>
      <w:r w:rsidR="00E15775" w:rsidRPr="00DA2B8C">
        <w:rPr>
          <w:rFonts w:ascii="Times New Roman" w:hAnsi="Times New Roman" w:cs="Times New Roman"/>
          <w:sz w:val="28"/>
          <w:szCs w:val="28"/>
        </w:rPr>
        <w:t>:</w:t>
      </w:r>
      <w:r w:rsidR="004930B1" w:rsidRPr="00DA2B8C">
        <w:rPr>
          <w:rFonts w:ascii="Times New Roman" w:hAnsi="Times New Roman" w:cs="Times New Roman"/>
          <w:sz w:val="28"/>
          <w:szCs w:val="28"/>
        </w:rPr>
        <w:t xml:space="preserve"> datorii</w:t>
      </w:r>
      <w:r w:rsidR="00E5357F" w:rsidRPr="00DA2B8C">
        <w:rPr>
          <w:rFonts w:ascii="Times New Roman" w:hAnsi="Times New Roman" w:cs="Times New Roman"/>
          <w:sz w:val="28"/>
          <w:szCs w:val="28"/>
        </w:rPr>
        <w:t xml:space="preserve"> </w:t>
      </w:r>
      <w:r w:rsidR="00E15775" w:rsidRPr="00DA2B8C">
        <w:rPr>
          <w:rFonts w:ascii="Times New Roman" w:hAnsi="Times New Roman" w:cs="Times New Roman"/>
          <w:sz w:val="28"/>
          <w:szCs w:val="28"/>
        </w:rPr>
        <w:t>–</w:t>
      </w:r>
      <w:r w:rsidR="00E5357F" w:rsidRPr="00DA2B8C">
        <w:rPr>
          <w:rFonts w:ascii="Times New Roman" w:hAnsi="Times New Roman" w:cs="Times New Roman"/>
          <w:sz w:val="28"/>
          <w:szCs w:val="28"/>
        </w:rPr>
        <w:t xml:space="preserve"> 741,8 mil.</w:t>
      </w:r>
      <w:r w:rsidR="004930B1" w:rsidRPr="00DA2B8C">
        <w:rPr>
          <w:rFonts w:ascii="Times New Roman" w:hAnsi="Times New Roman" w:cs="Times New Roman"/>
          <w:sz w:val="28"/>
          <w:szCs w:val="28"/>
        </w:rPr>
        <w:t>lei</w:t>
      </w:r>
      <w:r w:rsidR="00E15775" w:rsidRPr="00DA2B8C">
        <w:rPr>
          <w:rFonts w:ascii="Times New Roman" w:hAnsi="Times New Roman" w:cs="Times New Roman"/>
          <w:sz w:val="28"/>
          <w:szCs w:val="28"/>
        </w:rPr>
        <w:t>,</w:t>
      </w:r>
      <w:r w:rsidR="00CD57FD" w:rsidRPr="00DA2B8C">
        <w:rPr>
          <w:rFonts w:ascii="Times New Roman" w:hAnsi="Times New Roman" w:cs="Times New Roman"/>
          <w:sz w:val="28"/>
          <w:szCs w:val="28"/>
        </w:rPr>
        <w:t xml:space="preserve"> dintre care datorii ale instituțiilor bugetare – 718,5 mil.lei,</w:t>
      </w:r>
      <w:r w:rsidR="00E5357F" w:rsidRPr="00DA2B8C">
        <w:rPr>
          <w:rFonts w:ascii="Times New Roman" w:hAnsi="Times New Roman" w:cs="Times New Roman"/>
          <w:sz w:val="28"/>
          <w:szCs w:val="28"/>
        </w:rPr>
        <w:t xml:space="preserve"> și</w:t>
      </w:r>
      <w:r w:rsidR="004930B1" w:rsidRPr="00DA2B8C">
        <w:rPr>
          <w:rFonts w:ascii="Times New Roman" w:hAnsi="Times New Roman" w:cs="Times New Roman"/>
          <w:sz w:val="28"/>
          <w:szCs w:val="28"/>
        </w:rPr>
        <w:t xml:space="preserve"> total</w:t>
      </w:r>
      <w:r>
        <w:rPr>
          <w:rFonts w:ascii="Times New Roman" w:hAnsi="Times New Roman" w:cs="Times New Roman"/>
          <w:sz w:val="28"/>
          <w:szCs w:val="28"/>
        </w:rPr>
        <w:t>ul</w:t>
      </w:r>
      <w:r w:rsidR="004930B1" w:rsidRPr="00DA2B8C">
        <w:rPr>
          <w:rFonts w:ascii="Times New Roman" w:hAnsi="Times New Roman" w:cs="Times New Roman"/>
          <w:sz w:val="28"/>
          <w:szCs w:val="28"/>
        </w:rPr>
        <w:t xml:space="preserve"> </w:t>
      </w:r>
      <w:r w:rsidR="004930B1" w:rsidRPr="00DA2B8C">
        <w:rPr>
          <w:rFonts w:ascii="Times New Roman" w:hAnsi="Times New Roman" w:cs="Times New Roman"/>
          <w:sz w:val="28"/>
          <w:szCs w:val="28"/>
        </w:rPr>
        <w:lastRenderedPageBreak/>
        <w:t>rezultatul</w:t>
      </w:r>
      <w:r>
        <w:rPr>
          <w:rFonts w:ascii="Times New Roman" w:hAnsi="Times New Roman" w:cs="Times New Roman"/>
          <w:sz w:val="28"/>
          <w:szCs w:val="28"/>
        </w:rPr>
        <w:t>ui</w:t>
      </w:r>
      <w:r w:rsidR="004930B1" w:rsidRPr="00DA2B8C">
        <w:rPr>
          <w:rFonts w:ascii="Times New Roman" w:hAnsi="Times New Roman" w:cs="Times New Roman"/>
          <w:sz w:val="28"/>
          <w:szCs w:val="28"/>
        </w:rPr>
        <w:t xml:space="preserve"> financiar </w:t>
      </w:r>
      <w:r w:rsidR="00E15775" w:rsidRPr="00DA2B8C">
        <w:rPr>
          <w:rFonts w:ascii="Times New Roman" w:hAnsi="Times New Roman" w:cs="Times New Roman"/>
          <w:sz w:val="28"/>
          <w:szCs w:val="28"/>
        </w:rPr>
        <w:t>–</w:t>
      </w:r>
      <w:r w:rsidR="00E5357F" w:rsidRPr="00DA2B8C">
        <w:rPr>
          <w:rFonts w:ascii="Times New Roman" w:hAnsi="Times New Roman" w:cs="Times New Roman"/>
          <w:sz w:val="28"/>
          <w:szCs w:val="28"/>
        </w:rPr>
        <w:t xml:space="preserve"> </w:t>
      </w:r>
      <w:r w:rsidR="004930B1" w:rsidRPr="00DA2B8C">
        <w:rPr>
          <w:rFonts w:ascii="Times New Roman" w:hAnsi="Times New Roman" w:cs="Times New Roman"/>
          <w:sz w:val="28"/>
          <w:szCs w:val="28"/>
        </w:rPr>
        <w:t>19732,7 mil.lei. De asemenea</w:t>
      </w:r>
      <w:r w:rsidR="00E15775" w:rsidRPr="00DA2B8C">
        <w:rPr>
          <w:rFonts w:ascii="Times New Roman" w:hAnsi="Times New Roman" w:cs="Times New Roman"/>
          <w:sz w:val="28"/>
          <w:szCs w:val="28"/>
        </w:rPr>
        <w:t>,</w:t>
      </w:r>
      <w:r w:rsidR="004930B1" w:rsidRPr="00DA2B8C">
        <w:rPr>
          <w:rFonts w:ascii="Times New Roman" w:hAnsi="Times New Roman" w:cs="Times New Roman"/>
          <w:sz w:val="28"/>
          <w:szCs w:val="28"/>
        </w:rPr>
        <w:t xml:space="preserve"> totalul conturilor extrabilanțiere însumează 947,4 mil.lei.</w:t>
      </w:r>
    </w:p>
    <w:p w:rsidR="009870FD" w:rsidRPr="00DC704E" w:rsidRDefault="00DC704E" w:rsidP="009870FD">
      <w:pPr>
        <w:spacing w:after="0"/>
        <w:ind w:firstLine="709"/>
        <w:jc w:val="both"/>
        <w:rPr>
          <w:rFonts w:ascii="Times New Roman" w:hAnsi="Times New Roman" w:cs="Times New Roman"/>
          <w:sz w:val="28"/>
          <w:szCs w:val="28"/>
        </w:rPr>
      </w:pPr>
      <w:r w:rsidRPr="00DA2B8C">
        <w:rPr>
          <w:rFonts w:ascii="Times New Roman" w:hAnsi="Times New Roman" w:cs="Times New Roman"/>
          <w:sz w:val="28"/>
          <w:szCs w:val="28"/>
        </w:rPr>
        <w:t xml:space="preserve">Examinările </w:t>
      </w:r>
      <w:r w:rsidR="00DA2B8C">
        <w:rPr>
          <w:rFonts w:ascii="Times New Roman" w:hAnsi="Times New Roman" w:cs="Times New Roman"/>
          <w:sz w:val="28"/>
          <w:szCs w:val="28"/>
        </w:rPr>
        <w:t xml:space="preserve">auditului denotă </w:t>
      </w:r>
      <w:r w:rsidRPr="00DA2B8C">
        <w:rPr>
          <w:rFonts w:ascii="Times New Roman" w:hAnsi="Times New Roman" w:cs="Times New Roman"/>
          <w:sz w:val="28"/>
          <w:szCs w:val="28"/>
        </w:rPr>
        <w:t>că</w:t>
      </w:r>
      <w:r w:rsidR="00DA2B8C">
        <w:rPr>
          <w:rFonts w:ascii="Times New Roman" w:hAnsi="Times New Roman" w:cs="Times New Roman"/>
          <w:sz w:val="28"/>
          <w:szCs w:val="28"/>
        </w:rPr>
        <w:t>,</w:t>
      </w:r>
      <w:r w:rsidRPr="00DA2B8C">
        <w:rPr>
          <w:rFonts w:ascii="Times New Roman" w:hAnsi="Times New Roman" w:cs="Times New Roman"/>
          <w:sz w:val="28"/>
          <w:szCs w:val="28"/>
        </w:rPr>
        <w:t xml:space="preserve"> în vederea întocmirii Raportului Guvernului privind executarea bugetului de stat, Ministerul Finanțelor utilizează următoarele sisteme informaționale: Sistemul de gestionare a alocațiilor bugetare, Planificarea bugetului, Sistemul Informațional de Executare a Bugetului, Colectarea rapoartelor (ne)financiare. Politica de securitate a sistemelor informaționale </w:t>
      </w:r>
      <w:r w:rsidR="00D377FC" w:rsidRPr="00DA2B8C">
        <w:rPr>
          <w:rFonts w:ascii="Times New Roman" w:hAnsi="Times New Roman" w:cs="Times New Roman"/>
          <w:sz w:val="28"/>
          <w:szCs w:val="28"/>
        </w:rPr>
        <w:t>este</w:t>
      </w:r>
      <w:r w:rsidRPr="00DA2B8C">
        <w:rPr>
          <w:rFonts w:ascii="Times New Roman" w:hAnsi="Times New Roman" w:cs="Times New Roman"/>
          <w:sz w:val="28"/>
          <w:szCs w:val="28"/>
        </w:rPr>
        <w:t xml:space="preserve"> reglementată prin Ordinul MF nr.147 din 21.11.2016. Raportul privind executarea bugetului este elaborat automatizat, cu excepț</w:t>
      </w:r>
      <w:r w:rsidR="00DA2B8C">
        <w:rPr>
          <w:rFonts w:ascii="Times New Roman" w:hAnsi="Times New Roman" w:cs="Times New Roman"/>
          <w:sz w:val="28"/>
          <w:szCs w:val="28"/>
        </w:rPr>
        <w:t xml:space="preserve">ia informațiilor </w:t>
      </w:r>
      <w:r w:rsidRPr="00DA2B8C">
        <w:rPr>
          <w:rFonts w:ascii="Times New Roman" w:hAnsi="Times New Roman" w:cs="Times New Roman"/>
          <w:sz w:val="28"/>
          <w:szCs w:val="28"/>
        </w:rPr>
        <w:t xml:space="preserve">ce țin de </w:t>
      </w:r>
      <w:r w:rsidR="00DA2B8C">
        <w:rPr>
          <w:rFonts w:ascii="Times New Roman" w:hAnsi="Times New Roman" w:cs="Times New Roman"/>
          <w:sz w:val="28"/>
          <w:szCs w:val="28"/>
        </w:rPr>
        <w:t>APC</w:t>
      </w:r>
      <w:r w:rsidRPr="00DA2B8C">
        <w:rPr>
          <w:rFonts w:ascii="Times New Roman" w:hAnsi="Times New Roman" w:cs="Times New Roman"/>
          <w:sz w:val="28"/>
          <w:szCs w:val="28"/>
        </w:rPr>
        <w:t xml:space="preserve"> cu regim secret. Deservirea sistemelor informaționale ale MF în anul 2017 a fost efectuată de către Î.S. „Fintehinform”</w:t>
      </w:r>
      <w:r w:rsidR="00D377FC" w:rsidRPr="00DA2B8C">
        <w:rPr>
          <w:rFonts w:ascii="Times New Roman" w:hAnsi="Times New Roman" w:cs="Times New Roman"/>
          <w:sz w:val="28"/>
          <w:szCs w:val="28"/>
        </w:rPr>
        <w:t>,</w:t>
      </w:r>
      <w:r w:rsidRPr="00DA2B8C">
        <w:rPr>
          <w:rFonts w:ascii="Times New Roman" w:hAnsi="Times New Roman" w:cs="Times New Roman"/>
          <w:sz w:val="28"/>
          <w:szCs w:val="28"/>
        </w:rPr>
        <w:t xml:space="preserve"> în baza Contractului de prestare a serviciilor informatice nr.69 din 28.02.2017, în sumă de 12706,2 mii lei.</w:t>
      </w:r>
    </w:p>
    <w:p w:rsidR="00112532" w:rsidRDefault="00112532" w:rsidP="00112532">
      <w:pPr>
        <w:spacing w:after="0" w:line="276" w:lineRule="auto"/>
        <w:ind w:firstLine="709"/>
        <w:jc w:val="both"/>
        <w:rPr>
          <w:rFonts w:ascii="Times New Roman" w:eastAsia="Times New Roman" w:hAnsi="Times New Roman" w:cs="Times New Roman"/>
          <w:sz w:val="28"/>
          <w:szCs w:val="28"/>
          <w:lang w:eastAsia="ru-RU"/>
        </w:rPr>
      </w:pPr>
    </w:p>
    <w:p w:rsidR="007461C3" w:rsidRPr="00B45AF1" w:rsidRDefault="008F47D4" w:rsidP="009870FD">
      <w:pPr>
        <w:pStyle w:val="1"/>
        <w:numPr>
          <w:ilvl w:val="0"/>
          <w:numId w:val="1"/>
        </w:numPr>
        <w:spacing w:before="0"/>
        <w:ind w:left="0" w:firstLine="0"/>
        <w:jc w:val="center"/>
        <w:rPr>
          <w:rFonts w:ascii="Times New Roman" w:hAnsi="Times New Roman"/>
          <w:b/>
          <w:color w:val="000000" w:themeColor="text1"/>
        </w:rPr>
      </w:pPr>
      <w:bookmarkStart w:id="26" w:name="_Toc515518999"/>
      <w:r w:rsidRPr="00B45AF1">
        <w:rPr>
          <w:rFonts w:ascii="Times New Roman" w:hAnsi="Times New Roman"/>
          <w:b/>
          <w:color w:val="000000" w:themeColor="text1"/>
        </w:rPr>
        <w:t>MENȚIUNE PRIVIND CONTINUITATEA ACTIVITĂȚII</w:t>
      </w:r>
      <w:bookmarkEnd w:id="26"/>
    </w:p>
    <w:p w:rsidR="00AC7C6C" w:rsidRDefault="005445B5" w:rsidP="00C8026F">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În cadrul auditului au fost aplicate prevederile ISSAI 1570 „Continuitatea activității”, cu referire la constatarea evenimentelor/condițiilor, care ar pune la îndoială în mod semnificativ capacitatea entității de a asigura îndeplinirea sarcinii de bază. </w:t>
      </w:r>
    </w:p>
    <w:p w:rsidR="00AC7C6C" w:rsidRDefault="00AC7C6C" w:rsidP="00C8026F">
      <w:pPr>
        <w:spacing w:after="0" w:line="276" w:lineRule="auto"/>
        <w:ind w:firstLine="708"/>
        <w:jc w:val="both"/>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O incertitudine semnificativă în anul 2017 a </w:t>
      </w:r>
      <w:r w:rsidR="001E69D9">
        <w:rPr>
          <w:rFonts w:ascii="Times New Roman" w:hAnsi="Times New Roman" w:cs="Times New Roman"/>
          <w:sz w:val="28"/>
          <w:szCs w:val="28"/>
        </w:rPr>
        <w:t>creat</w:t>
      </w:r>
      <w:r>
        <w:rPr>
          <w:rFonts w:ascii="Times New Roman" w:hAnsi="Times New Roman" w:cs="Times New Roman"/>
          <w:sz w:val="28"/>
          <w:szCs w:val="28"/>
        </w:rPr>
        <w:t xml:space="preserve"> </w:t>
      </w:r>
      <w:r w:rsidR="002D14B7">
        <w:rPr>
          <w:rFonts w:ascii="Times New Roman" w:eastAsia="Times New Roman" w:hAnsi="Times New Roman" w:cs="Times New Roman"/>
          <w:color w:val="000000"/>
          <w:sz w:val="28"/>
          <w:szCs w:val="28"/>
        </w:rPr>
        <w:t>reforma</w:t>
      </w:r>
      <w:r w:rsidRPr="00F92648">
        <w:rPr>
          <w:rFonts w:ascii="Times New Roman" w:eastAsia="Times New Roman" w:hAnsi="Times New Roman" w:cs="Times New Roman"/>
          <w:color w:val="000000"/>
          <w:sz w:val="28"/>
          <w:szCs w:val="28"/>
        </w:rPr>
        <w:t xml:space="preserve"> APC</w:t>
      </w:r>
      <w:r>
        <w:rPr>
          <w:rFonts w:ascii="Times New Roman" w:eastAsia="Times New Roman" w:hAnsi="Times New Roman" w:cs="Times New Roman"/>
          <w:color w:val="000000"/>
          <w:sz w:val="28"/>
          <w:szCs w:val="28"/>
        </w:rPr>
        <w:t>, inclusiv reforma/</w:t>
      </w:r>
      <w:r w:rsidRPr="00F92648">
        <w:rPr>
          <w:rFonts w:ascii="Times New Roman" w:eastAsia="Times New Roman" w:hAnsi="Times New Roman" w:cs="Times New Roman"/>
          <w:color w:val="000000"/>
          <w:sz w:val="28"/>
          <w:szCs w:val="28"/>
        </w:rPr>
        <w:t>reorganizarea</w:t>
      </w:r>
      <w:r w:rsidRPr="00F92648">
        <w:rPr>
          <w:rFonts w:ascii="Times New Roman" w:hAnsi="Times New Roman" w:cs="Times New Roman"/>
          <w:sz w:val="28"/>
          <w:szCs w:val="28"/>
          <w:vertAlign w:val="superscript"/>
        </w:rPr>
        <w:footnoteReference w:id="76"/>
      </w:r>
      <w:r w:rsidRPr="00F92648">
        <w:rPr>
          <w:rFonts w:ascii="Times New Roman" w:eastAsia="Times New Roman" w:hAnsi="Times New Roman" w:cs="Times New Roman"/>
          <w:color w:val="000000"/>
          <w:sz w:val="28"/>
          <w:szCs w:val="28"/>
        </w:rPr>
        <w:t xml:space="preserve"> structural-instituțională </w:t>
      </w:r>
      <w:r>
        <w:rPr>
          <w:rFonts w:ascii="Times New Roman" w:eastAsia="Times New Roman" w:hAnsi="Times New Roman" w:cs="Times New Roman"/>
          <w:color w:val="000000"/>
          <w:sz w:val="28"/>
          <w:szCs w:val="28"/>
        </w:rPr>
        <w:t xml:space="preserve">a </w:t>
      </w:r>
      <w:r w:rsidRPr="00F92648">
        <w:rPr>
          <w:rFonts w:ascii="Times New Roman" w:eastAsia="Times New Roman" w:hAnsi="Times New Roman" w:cs="Times New Roman"/>
          <w:color w:val="000000"/>
          <w:sz w:val="28"/>
          <w:szCs w:val="28"/>
        </w:rPr>
        <w:t>Ministerul</w:t>
      </w:r>
      <w:r>
        <w:rPr>
          <w:rFonts w:ascii="Times New Roman" w:eastAsia="Times New Roman" w:hAnsi="Times New Roman" w:cs="Times New Roman"/>
          <w:color w:val="000000"/>
          <w:sz w:val="28"/>
          <w:szCs w:val="28"/>
        </w:rPr>
        <w:t>ui</w:t>
      </w:r>
      <w:r w:rsidRPr="00F92648">
        <w:rPr>
          <w:rFonts w:ascii="Times New Roman" w:eastAsia="Times New Roman" w:hAnsi="Times New Roman" w:cs="Times New Roman"/>
          <w:color w:val="000000"/>
          <w:sz w:val="28"/>
          <w:szCs w:val="28"/>
        </w:rPr>
        <w:t xml:space="preserve"> Finanțelor</w:t>
      </w:r>
      <w:r>
        <w:rPr>
          <w:rFonts w:ascii="Times New Roman" w:eastAsia="Times New Roman" w:hAnsi="Times New Roman" w:cs="Times New Roman"/>
          <w:color w:val="000000"/>
          <w:sz w:val="28"/>
          <w:szCs w:val="28"/>
        </w:rPr>
        <w:t xml:space="preserve">, </w:t>
      </w:r>
      <w:r w:rsidRPr="00F92648">
        <w:rPr>
          <w:rFonts w:ascii="Times New Roman" w:eastAsia="Times New Roman" w:hAnsi="Times New Roman" w:cs="Times New Roman"/>
          <w:color w:val="000000"/>
          <w:sz w:val="28"/>
          <w:szCs w:val="28"/>
        </w:rPr>
        <w:t>c</w:t>
      </w:r>
      <w:r>
        <w:rPr>
          <w:rFonts w:ascii="Times New Roman" w:eastAsia="Times New Roman" w:hAnsi="Times New Roman" w:cs="Times New Roman"/>
          <w:color w:val="000000"/>
          <w:sz w:val="28"/>
          <w:szCs w:val="28"/>
        </w:rPr>
        <w:t xml:space="preserve">are a generat unele situații cu impact asupra capacităților instituționale </w:t>
      </w:r>
      <w:r w:rsidR="001E69D9">
        <w:rPr>
          <w:rFonts w:ascii="Times New Roman" w:eastAsia="Times New Roman" w:hAnsi="Times New Roman" w:cs="Times New Roman"/>
          <w:color w:val="000000"/>
          <w:sz w:val="28"/>
          <w:szCs w:val="28"/>
        </w:rPr>
        <w:t xml:space="preserve">ale entității </w:t>
      </w:r>
      <w:r>
        <w:rPr>
          <w:rFonts w:ascii="Times New Roman" w:eastAsia="Times New Roman" w:hAnsi="Times New Roman" w:cs="Times New Roman"/>
          <w:color w:val="000000"/>
          <w:sz w:val="28"/>
          <w:szCs w:val="28"/>
        </w:rPr>
        <w:t xml:space="preserve">de a-și continua activitatea în mod adecvat. </w:t>
      </w:r>
      <w:r w:rsidR="00455833">
        <w:rPr>
          <w:rFonts w:ascii="Times New Roman" w:eastAsia="Times New Roman" w:hAnsi="Times New Roman" w:cs="Times New Roman"/>
          <w:color w:val="000000"/>
          <w:sz w:val="28"/>
          <w:szCs w:val="28"/>
        </w:rPr>
        <w:t>De menționat că aceste circumstanțe au avut impact și asupra respectării întregului calendar bugetar.</w:t>
      </w:r>
    </w:p>
    <w:p w:rsidR="00E5301F" w:rsidRDefault="005445B5" w:rsidP="00C8026F">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În consecinț</w:t>
      </w:r>
      <w:r w:rsidR="00D377FC">
        <w:rPr>
          <w:rFonts w:ascii="Times New Roman" w:hAnsi="Times New Roman" w:cs="Times New Roman"/>
          <w:sz w:val="28"/>
          <w:szCs w:val="28"/>
        </w:rPr>
        <w:t>ă</w:t>
      </w:r>
      <w:r>
        <w:rPr>
          <w:rFonts w:ascii="Times New Roman" w:hAnsi="Times New Roman" w:cs="Times New Roman"/>
          <w:sz w:val="28"/>
          <w:szCs w:val="28"/>
        </w:rPr>
        <w:t>, a fost prelungit termenul de prezentare a rapoartelor pentru</w:t>
      </w:r>
      <w:r w:rsidR="00455833">
        <w:rPr>
          <w:rFonts w:ascii="Times New Roman" w:hAnsi="Times New Roman" w:cs="Times New Roman"/>
          <w:sz w:val="28"/>
          <w:szCs w:val="28"/>
        </w:rPr>
        <w:t xml:space="preserve"> 10 autorități publice centrale, iar </w:t>
      </w:r>
      <w:r>
        <w:rPr>
          <w:rFonts w:ascii="Times New Roman" w:hAnsi="Times New Roman" w:cs="Times New Roman"/>
          <w:sz w:val="28"/>
          <w:szCs w:val="28"/>
        </w:rPr>
        <w:t>Ministerul Educației</w:t>
      </w:r>
      <w:r w:rsidR="00D377FC">
        <w:rPr>
          <w:rFonts w:ascii="Times New Roman" w:hAnsi="Times New Roman" w:cs="Times New Roman"/>
          <w:sz w:val="28"/>
          <w:szCs w:val="28"/>
        </w:rPr>
        <w:t>,</w:t>
      </w:r>
      <w:r>
        <w:rPr>
          <w:rFonts w:ascii="Times New Roman" w:hAnsi="Times New Roman" w:cs="Times New Roman"/>
          <w:sz w:val="28"/>
          <w:szCs w:val="28"/>
        </w:rPr>
        <w:t xml:space="preserve"> Culturii și Cercetării a prezentat </w:t>
      </w:r>
      <w:r w:rsidR="00E66B17">
        <w:rPr>
          <w:rFonts w:ascii="Times New Roman" w:hAnsi="Times New Roman"/>
          <w:sz w:val="28"/>
          <w:szCs w:val="28"/>
        </w:rPr>
        <w:t xml:space="preserve">Ministerului Finanțelor </w:t>
      </w:r>
      <w:r>
        <w:rPr>
          <w:rFonts w:ascii="Times New Roman" w:hAnsi="Times New Roman" w:cs="Times New Roman"/>
          <w:sz w:val="28"/>
          <w:szCs w:val="28"/>
        </w:rPr>
        <w:t>Raportul financiar pentru anul 2017</w:t>
      </w:r>
      <w:r w:rsidR="00E66B17" w:rsidRPr="00E66B17">
        <w:rPr>
          <w:rFonts w:ascii="Times New Roman" w:hAnsi="Times New Roman"/>
          <w:sz w:val="28"/>
          <w:szCs w:val="28"/>
        </w:rPr>
        <w:t xml:space="preserve"> </w:t>
      </w:r>
      <w:r w:rsidR="00E66B17">
        <w:rPr>
          <w:rFonts w:ascii="Times New Roman" w:hAnsi="Times New Roman"/>
          <w:sz w:val="28"/>
          <w:szCs w:val="28"/>
        </w:rPr>
        <w:t xml:space="preserve">după finalizarea auditului </w:t>
      </w:r>
      <w:r w:rsidR="00A648C8">
        <w:rPr>
          <w:rFonts w:ascii="Times New Roman" w:hAnsi="Times New Roman"/>
          <w:sz w:val="28"/>
          <w:szCs w:val="28"/>
        </w:rPr>
        <w:t>(</w:t>
      </w:r>
      <w:r w:rsidR="00E66B17">
        <w:rPr>
          <w:rFonts w:ascii="Times New Roman" w:hAnsi="Times New Roman"/>
          <w:sz w:val="28"/>
          <w:szCs w:val="28"/>
        </w:rPr>
        <w:t>24.05.2018</w:t>
      </w:r>
      <w:r w:rsidR="00A648C8">
        <w:rPr>
          <w:rFonts w:ascii="Times New Roman" w:hAnsi="Times New Roman"/>
          <w:sz w:val="28"/>
          <w:szCs w:val="28"/>
        </w:rPr>
        <w:t>)</w:t>
      </w:r>
      <w:r>
        <w:rPr>
          <w:rFonts w:ascii="Times New Roman" w:hAnsi="Times New Roman" w:cs="Times New Roman"/>
          <w:sz w:val="28"/>
          <w:szCs w:val="28"/>
        </w:rPr>
        <w:t>.</w:t>
      </w:r>
      <w:r w:rsidR="00E66B17">
        <w:rPr>
          <w:rFonts w:ascii="Times New Roman" w:hAnsi="Times New Roman" w:cs="Times New Roman"/>
          <w:sz w:val="28"/>
          <w:szCs w:val="28"/>
        </w:rPr>
        <w:t xml:space="preserve"> </w:t>
      </w:r>
    </w:p>
    <w:p w:rsidR="00455833" w:rsidRDefault="00455833" w:rsidP="00C8026F">
      <w:pPr>
        <w:spacing w:after="0" w:line="276" w:lineRule="auto"/>
        <w:ind w:firstLine="708"/>
        <w:jc w:val="both"/>
        <w:rPr>
          <w:rFonts w:ascii="Times New Roman" w:eastAsia="Times New Roman" w:hAnsi="Times New Roman" w:cs="Times New Roman"/>
          <w:sz w:val="28"/>
          <w:szCs w:val="28"/>
          <w:lang w:bidi="he-IL"/>
        </w:rPr>
      </w:pPr>
      <w:r>
        <w:rPr>
          <w:rFonts w:ascii="Times New Roman" w:hAnsi="Times New Roman" w:cs="Times New Roman"/>
          <w:sz w:val="28"/>
          <w:szCs w:val="28"/>
        </w:rPr>
        <w:t xml:space="preserve">În alte </w:t>
      </w:r>
      <w:r w:rsidR="001E69D9">
        <w:rPr>
          <w:rFonts w:ascii="Times New Roman" w:hAnsi="Times New Roman" w:cs="Times New Roman"/>
          <w:sz w:val="28"/>
          <w:szCs w:val="28"/>
        </w:rPr>
        <w:t>condiții</w:t>
      </w:r>
      <w:r>
        <w:rPr>
          <w:rFonts w:ascii="Times New Roman" w:hAnsi="Times New Roman" w:cs="Times New Roman"/>
          <w:sz w:val="28"/>
          <w:szCs w:val="28"/>
        </w:rPr>
        <w:t xml:space="preserve">, se atestă și </w:t>
      </w:r>
      <w:r w:rsidRPr="00F92648">
        <w:rPr>
          <w:rFonts w:ascii="Times New Roman" w:eastAsia="Times New Roman" w:hAnsi="Times New Roman" w:cs="Times New Roman"/>
          <w:color w:val="000000"/>
          <w:sz w:val="28"/>
          <w:szCs w:val="28"/>
        </w:rPr>
        <w:t>organiza</w:t>
      </w:r>
      <w:r>
        <w:rPr>
          <w:rFonts w:ascii="Times New Roman" w:eastAsia="Times New Roman" w:hAnsi="Times New Roman" w:cs="Times New Roman"/>
          <w:color w:val="000000"/>
          <w:sz w:val="28"/>
          <w:szCs w:val="28"/>
        </w:rPr>
        <w:t>r</w:t>
      </w:r>
      <w:r w:rsidRPr="00F92648">
        <w:rPr>
          <w:rFonts w:ascii="Times New Roman" w:eastAsia="Times New Roman" w:hAnsi="Times New Roman" w:cs="Times New Roman"/>
          <w:color w:val="000000"/>
          <w:sz w:val="28"/>
          <w:szCs w:val="28"/>
        </w:rPr>
        <w:t>e</w:t>
      </w:r>
      <w:r>
        <w:rPr>
          <w:rFonts w:ascii="Times New Roman" w:eastAsia="Times New Roman" w:hAnsi="Times New Roman" w:cs="Times New Roman"/>
          <w:color w:val="000000"/>
          <w:sz w:val="28"/>
          <w:szCs w:val="28"/>
        </w:rPr>
        <w:t>a</w:t>
      </w:r>
      <w:r w:rsidRPr="00F92648">
        <w:rPr>
          <w:rFonts w:ascii="Times New Roman" w:eastAsia="Times New Roman" w:hAnsi="Times New Roman" w:cs="Times New Roman"/>
          <w:color w:val="000000"/>
          <w:sz w:val="28"/>
          <w:szCs w:val="28"/>
        </w:rPr>
        <w:t xml:space="preserve"> trezoreriil</w:t>
      </w:r>
      <w:r>
        <w:rPr>
          <w:rFonts w:ascii="Times New Roman" w:eastAsia="Times New Roman" w:hAnsi="Times New Roman" w:cs="Times New Roman"/>
          <w:color w:val="000000"/>
          <w:sz w:val="28"/>
          <w:szCs w:val="28"/>
        </w:rPr>
        <w:t>or</w:t>
      </w:r>
      <w:r w:rsidRPr="00F92648">
        <w:rPr>
          <w:rFonts w:ascii="Times New Roman" w:eastAsia="Times New Roman" w:hAnsi="Times New Roman" w:cs="Times New Roman"/>
          <w:color w:val="000000"/>
          <w:sz w:val="28"/>
          <w:szCs w:val="28"/>
        </w:rPr>
        <w:t xml:space="preserve"> regionale</w:t>
      </w:r>
      <w:r>
        <w:rPr>
          <w:rFonts w:ascii="Times New Roman" w:eastAsia="Times New Roman" w:hAnsi="Times New Roman" w:cs="Times New Roman"/>
          <w:color w:val="000000"/>
          <w:sz w:val="28"/>
          <w:szCs w:val="28"/>
        </w:rPr>
        <w:t xml:space="preserve"> în perioada </w:t>
      </w:r>
      <w:r w:rsidR="002D14B7">
        <w:rPr>
          <w:rFonts w:ascii="Times New Roman" w:eastAsia="Times New Roman" w:hAnsi="Times New Roman" w:cs="Times New Roman"/>
          <w:color w:val="000000"/>
          <w:sz w:val="28"/>
          <w:szCs w:val="28"/>
        </w:rPr>
        <w:t xml:space="preserve">auditată, </w:t>
      </w:r>
      <w:r>
        <w:rPr>
          <w:rFonts w:ascii="Times New Roman" w:eastAsia="Times New Roman" w:hAnsi="Times New Roman" w:cs="Times New Roman"/>
          <w:color w:val="000000"/>
          <w:sz w:val="28"/>
          <w:szCs w:val="28"/>
        </w:rPr>
        <w:t xml:space="preserve">care </w:t>
      </w:r>
      <w:r w:rsidR="001E69D9">
        <w:rPr>
          <w:rFonts w:ascii="Times New Roman" w:eastAsia="Times New Roman" w:hAnsi="Times New Roman" w:cs="Times New Roman"/>
          <w:color w:val="000000"/>
          <w:sz w:val="28"/>
          <w:szCs w:val="28"/>
        </w:rPr>
        <w:t xml:space="preserve">a </w:t>
      </w:r>
      <w:r>
        <w:rPr>
          <w:rFonts w:ascii="Times New Roman" w:eastAsia="Times New Roman" w:hAnsi="Times New Roman" w:cs="Times New Roman"/>
          <w:color w:val="000000"/>
          <w:sz w:val="28"/>
          <w:szCs w:val="28"/>
        </w:rPr>
        <w:t>implic</w:t>
      </w:r>
      <w:r w:rsidR="001E69D9">
        <w:rPr>
          <w:rFonts w:ascii="Times New Roman" w:eastAsia="Times New Roman" w:hAnsi="Times New Roman" w:cs="Times New Roman"/>
          <w:color w:val="000000"/>
          <w:sz w:val="28"/>
          <w:szCs w:val="28"/>
        </w:rPr>
        <w:t>at</w:t>
      </w:r>
      <w:r>
        <w:rPr>
          <w:rFonts w:ascii="Times New Roman" w:eastAsia="Times New Roman" w:hAnsi="Times New Roman" w:cs="Times New Roman"/>
          <w:color w:val="000000"/>
          <w:sz w:val="28"/>
          <w:szCs w:val="28"/>
        </w:rPr>
        <w:t xml:space="preserve"> multiple incertitudini legate de numărul de personal rămas după reorganizare, în număr </w:t>
      </w:r>
      <w:r w:rsidR="00D7453F">
        <w:rPr>
          <w:rFonts w:ascii="Times New Roman" w:eastAsia="Times New Roman" w:hAnsi="Times New Roman" w:cs="Times New Roman"/>
          <w:color w:val="000000"/>
          <w:sz w:val="28"/>
          <w:szCs w:val="28"/>
        </w:rPr>
        <w:t xml:space="preserve">de </w:t>
      </w:r>
      <w:r w:rsidRPr="00AC7C6C">
        <w:rPr>
          <w:rFonts w:ascii="Times New Roman" w:eastAsia="Times New Roman" w:hAnsi="Times New Roman" w:cs="Times New Roman"/>
          <w:sz w:val="28"/>
          <w:szCs w:val="28"/>
          <w:lang w:bidi="he-IL"/>
        </w:rPr>
        <w:t>298 unități, față de 498</w:t>
      </w:r>
      <w:r>
        <w:rPr>
          <w:rFonts w:ascii="Times New Roman" w:eastAsia="Times New Roman" w:hAnsi="Times New Roman" w:cs="Times New Roman"/>
          <w:sz w:val="28"/>
          <w:szCs w:val="28"/>
          <w:lang w:bidi="he-IL"/>
        </w:rPr>
        <w:t>, sau mai puțin cu 200 unități, volumul obligațiunilor și povara muncii fiind dublată. Aceste situații ar putea invoca riscuri privind continuitatea activității sistemului trezorerial.</w:t>
      </w:r>
    </w:p>
    <w:p w:rsidR="002D14B7" w:rsidRDefault="002D14B7" w:rsidP="00A8337A">
      <w:pPr>
        <w:spacing w:after="0" w:line="276" w:lineRule="auto"/>
        <w:jc w:val="both"/>
        <w:rPr>
          <w:rFonts w:ascii="Times New Roman" w:hAnsi="Times New Roman"/>
          <w:sz w:val="28"/>
          <w:szCs w:val="28"/>
        </w:rPr>
      </w:pPr>
    </w:p>
    <w:p w:rsidR="00290089" w:rsidRDefault="00290089" w:rsidP="00A8337A">
      <w:pPr>
        <w:spacing w:after="0" w:line="276" w:lineRule="auto"/>
        <w:jc w:val="both"/>
        <w:rPr>
          <w:rFonts w:ascii="Times New Roman" w:hAnsi="Times New Roman"/>
          <w:sz w:val="28"/>
          <w:szCs w:val="28"/>
        </w:rPr>
      </w:pPr>
    </w:p>
    <w:p w:rsidR="00290089" w:rsidRDefault="00290089" w:rsidP="00A8337A">
      <w:pPr>
        <w:spacing w:after="0" w:line="276" w:lineRule="auto"/>
        <w:jc w:val="both"/>
        <w:rPr>
          <w:rFonts w:ascii="Times New Roman" w:hAnsi="Times New Roman"/>
          <w:sz w:val="28"/>
          <w:szCs w:val="28"/>
        </w:rPr>
      </w:pPr>
    </w:p>
    <w:p w:rsidR="00290089" w:rsidRDefault="00290089" w:rsidP="00A8337A">
      <w:pPr>
        <w:spacing w:after="0" w:line="276" w:lineRule="auto"/>
        <w:jc w:val="both"/>
        <w:rPr>
          <w:rFonts w:ascii="Times New Roman" w:hAnsi="Times New Roman"/>
          <w:sz w:val="28"/>
          <w:szCs w:val="28"/>
        </w:rPr>
      </w:pPr>
    </w:p>
    <w:p w:rsidR="00290089" w:rsidRDefault="00290089" w:rsidP="00A8337A">
      <w:pPr>
        <w:spacing w:after="0" w:line="276" w:lineRule="auto"/>
        <w:jc w:val="both"/>
        <w:rPr>
          <w:rFonts w:ascii="Times New Roman" w:hAnsi="Times New Roman"/>
          <w:sz w:val="28"/>
          <w:szCs w:val="28"/>
        </w:rPr>
      </w:pPr>
    </w:p>
    <w:p w:rsidR="00106753" w:rsidRDefault="008F47D4" w:rsidP="00F231DB">
      <w:pPr>
        <w:pStyle w:val="a5"/>
        <w:numPr>
          <w:ilvl w:val="0"/>
          <w:numId w:val="1"/>
        </w:numPr>
        <w:spacing w:after="0" w:line="276" w:lineRule="auto"/>
        <w:ind w:left="0" w:firstLine="0"/>
        <w:jc w:val="center"/>
        <w:outlineLvl w:val="0"/>
        <w:rPr>
          <w:rFonts w:ascii="Times New Roman" w:hAnsi="Times New Roman"/>
          <w:b/>
          <w:sz w:val="32"/>
          <w:szCs w:val="32"/>
        </w:rPr>
      </w:pPr>
      <w:bookmarkStart w:id="27" w:name="_Toc515519000"/>
      <w:r>
        <w:rPr>
          <w:rFonts w:ascii="Times New Roman" w:hAnsi="Times New Roman"/>
          <w:b/>
          <w:sz w:val="32"/>
          <w:szCs w:val="32"/>
        </w:rPr>
        <w:lastRenderedPageBreak/>
        <w:t>ALTE INFORMAȚII</w:t>
      </w:r>
      <w:bookmarkEnd w:id="27"/>
    </w:p>
    <w:p w:rsidR="00106753" w:rsidRPr="009870FD" w:rsidRDefault="009870FD" w:rsidP="00634A77">
      <w:pPr>
        <w:spacing w:after="0" w:line="276" w:lineRule="auto"/>
        <w:ind w:firstLine="709"/>
        <w:jc w:val="both"/>
        <w:rPr>
          <w:rFonts w:ascii="Times New Roman" w:eastAsia="Times New Roman" w:hAnsi="Times New Roman" w:cs="Times New Roman"/>
          <w:b/>
          <w:i/>
          <w:sz w:val="28"/>
          <w:szCs w:val="28"/>
          <w:lang w:bidi="he-IL"/>
        </w:rPr>
      </w:pPr>
      <w:r w:rsidRPr="009870FD">
        <w:rPr>
          <w:rFonts w:ascii="Times New Roman" w:eastAsia="Times New Roman" w:hAnsi="Times New Roman" w:cs="Times New Roman"/>
          <w:b/>
          <w:i/>
          <w:sz w:val="28"/>
          <w:szCs w:val="28"/>
          <w:lang w:bidi="he-IL"/>
        </w:rPr>
        <w:t>Executarea cerințelor și implementarea recomandărilor auditului precedent</w:t>
      </w:r>
    </w:p>
    <w:p w:rsidR="00634A77" w:rsidRDefault="00584ED2" w:rsidP="00634A77">
      <w:pPr>
        <w:spacing w:after="0" w:line="276"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bidi="he-IL"/>
        </w:rPr>
        <w:t>Verificarea executării cerințelor și implementării recomandărilor din Hotărârea Curții de Conturi nr.23 din 31.05.2017</w:t>
      </w:r>
      <w:r w:rsidR="009F0E03">
        <w:rPr>
          <w:rFonts w:ascii="Times New Roman" w:eastAsia="Times New Roman" w:hAnsi="Times New Roman" w:cs="Times New Roman"/>
          <w:sz w:val="28"/>
          <w:szCs w:val="28"/>
          <w:lang w:bidi="he-IL"/>
        </w:rPr>
        <w:t xml:space="preserve"> </w:t>
      </w:r>
      <w:r w:rsidR="009F0E03" w:rsidRPr="00951F86">
        <w:rPr>
          <w:rFonts w:ascii="Times New Roman" w:eastAsia="Times New Roman" w:hAnsi="Times New Roman" w:cs="Times New Roman"/>
          <w:i/>
          <w:sz w:val="28"/>
          <w:szCs w:val="28"/>
          <w:lang w:bidi="he-IL"/>
        </w:rPr>
        <w:t>„</w:t>
      </w:r>
      <w:r w:rsidR="00D15F6E">
        <w:rPr>
          <w:rFonts w:ascii="Times New Roman" w:eastAsia="Times New Roman" w:hAnsi="Times New Roman" w:cs="Times New Roman"/>
          <w:i/>
          <w:sz w:val="28"/>
          <w:szCs w:val="28"/>
          <w:lang w:bidi="he-IL"/>
        </w:rPr>
        <w:t>C</w:t>
      </w:r>
      <w:r w:rsidR="009F0E03" w:rsidRPr="00951F86">
        <w:rPr>
          <w:rFonts w:ascii="Times New Roman" w:eastAsia="Times New Roman" w:hAnsi="Times New Roman" w:cs="Times New Roman"/>
          <w:i/>
          <w:sz w:val="28"/>
          <w:szCs w:val="28"/>
          <w:lang w:bidi="he-IL"/>
        </w:rPr>
        <w:t>u privire la Raportul auditului asupra Raportului Guvernului privind executarea bugetului de stat pe anul 2016 și la Raportul auditului performanței managementului datoriei sectorului public pe anul 2016”</w:t>
      </w:r>
      <w:r w:rsidR="00D15F6E" w:rsidRPr="00331335">
        <w:rPr>
          <w:rFonts w:ascii="Times New Roman" w:eastAsia="Times New Roman" w:hAnsi="Times New Roman" w:cs="Times New Roman"/>
          <w:sz w:val="28"/>
          <w:szCs w:val="28"/>
          <w:lang w:bidi="he-IL"/>
        </w:rPr>
        <w:t>,</w:t>
      </w:r>
      <w:r w:rsidR="009F0E03">
        <w:rPr>
          <w:rFonts w:ascii="Times New Roman" w:eastAsia="Times New Roman" w:hAnsi="Times New Roman" w:cs="Times New Roman"/>
          <w:sz w:val="28"/>
          <w:szCs w:val="28"/>
          <w:lang w:bidi="he-IL"/>
        </w:rPr>
        <w:t xml:space="preserve"> cu termenul de executare </w:t>
      </w:r>
      <w:r w:rsidR="00D15F6E">
        <w:rPr>
          <w:rFonts w:ascii="Times New Roman" w:eastAsia="Times New Roman" w:hAnsi="Times New Roman" w:cs="Times New Roman"/>
          <w:sz w:val="28"/>
          <w:szCs w:val="28"/>
          <w:lang w:bidi="he-IL"/>
        </w:rPr>
        <w:t xml:space="preserve">de </w:t>
      </w:r>
      <w:r w:rsidR="009F0E03">
        <w:rPr>
          <w:rFonts w:ascii="Times New Roman" w:eastAsia="Times New Roman" w:hAnsi="Times New Roman" w:cs="Times New Roman"/>
          <w:sz w:val="28"/>
          <w:szCs w:val="28"/>
          <w:lang w:bidi="he-IL"/>
        </w:rPr>
        <w:t xml:space="preserve">10 luni din data </w:t>
      </w:r>
      <w:r w:rsidR="009F0E03" w:rsidRPr="0056779F">
        <w:rPr>
          <w:rFonts w:ascii="Times New Roman" w:hAnsi="Times New Roman" w:cs="Times New Roman"/>
          <w:sz w:val="28"/>
          <w:szCs w:val="28"/>
        </w:rPr>
        <w:t>publicării în Monitorul Oficial al Republicii Moldova</w:t>
      </w:r>
      <w:r w:rsidR="009F0E03">
        <w:rPr>
          <w:rFonts w:ascii="Times New Roman" w:hAnsi="Times New Roman" w:cs="Times New Roman"/>
          <w:sz w:val="28"/>
          <w:szCs w:val="28"/>
        </w:rPr>
        <w:t xml:space="preserve"> </w:t>
      </w:r>
      <w:r w:rsidR="00890346">
        <w:rPr>
          <w:rFonts w:ascii="Times New Roman" w:hAnsi="Times New Roman" w:cs="Times New Roman"/>
          <w:sz w:val="28"/>
          <w:szCs w:val="28"/>
        </w:rPr>
        <w:t>(</w:t>
      </w:r>
      <w:r w:rsidR="009F0E03">
        <w:rPr>
          <w:rFonts w:ascii="Times New Roman" w:hAnsi="Times New Roman" w:cs="Times New Roman"/>
          <w:sz w:val="28"/>
          <w:szCs w:val="28"/>
        </w:rPr>
        <w:t xml:space="preserve">din </w:t>
      </w:r>
      <w:r w:rsidR="00951F86">
        <w:rPr>
          <w:rFonts w:ascii="Times New Roman" w:hAnsi="Times New Roman" w:cs="Times New Roman"/>
          <w:sz w:val="28"/>
          <w:szCs w:val="28"/>
        </w:rPr>
        <w:t>21.07.2017</w:t>
      </w:r>
      <w:r w:rsidR="00890346">
        <w:rPr>
          <w:rFonts w:ascii="Times New Roman" w:hAnsi="Times New Roman" w:cs="Times New Roman"/>
          <w:sz w:val="28"/>
          <w:szCs w:val="28"/>
        </w:rPr>
        <w:t>)</w:t>
      </w:r>
      <w:r w:rsidR="00951F86">
        <w:rPr>
          <w:rFonts w:ascii="Times New Roman" w:hAnsi="Times New Roman" w:cs="Times New Roman"/>
          <w:sz w:val="28"/>
          <w:szCs w:val="28"/>
        </w:rPr>
        <w:t xml:space="preserve">, relevă că </w:t>
      </w:r>
      <w:r w:rsidR="00890346">
        <w:rPr>
          <w:rFonts w:ascii="Times New Roman" w:hAnsi="Times New Roman" w:cs="Times New Roman"/>
          <w:sz w:val="28"/>
          <w:szCs w:val="28"/>
        </w:rPr>
        <w:t xml:space="preserve">prin </w:t>
      </w:r>
      <w:r w:rsidR="00951F86">
        <w:rPr>
          <w:rFonts w:ascii="Times New Roman" w:hAnsi="Times New Roman" w:cs="Times New Roman"/>
          <w:sz w:val="28"/>
          <w:szCs w:val="28"/>
        </w:rPr>
        <w:t xml:space="preserve">Raportul </w:t>
      </w:r>
      <w:r w:rsidR="00890346">
        <w:rPr>
          <w:rFonts w:ascii="Times New Roman" w:hAnsi="Times New Roman" w:cs="Times New Roman"/>
          <w:sz w:val="28"/>
          <w:szCs w:val="28"/>
        </w:rPr>
        <w:t xml:space="preserve">de </w:t>
      </w:r>
      <w:r w:rsidR="00951F86">
        <w:rPr>
          <w:rFonts w:ascii="Times New Roman" w:hAnsi="Times New Roman" w:cs="Times New Roman"/>
          <w:sz w:val="28"/>
          <w:szCs w:val="28"/>
        </w:rPr>
        <w:t>audit</w:t>
      </w:r>
      <w:r w:rsidR="0059476A">
        <w:rPr>
          <w:rFonts w:ascii="Times New Roman" w:hAnsi="Times New Roman" w:cs="Times New Roman"/>
          <w:sz w:val="28"/>
          <w:szCs w:val="28"/>
        </w:rPr>
        <w:t xml:space="preserve"> respectiv </w:t>
      </w:r>
      <w:r w:rsidR="00951F86">
        <w:rPr>
          <w:rFonts w:ascii="Times New Roman" w:hAnsi="Times New Roman" w:cs="Times New Roman"/>
          <w:sz w:val="28"/>
          <w:szCs w:val="28"/>
        </w:rPr>
        <w:t>au fost înaintate 4 cerințe și 13 recomandări</w:t>
      </w:r>
      <w:r w:rsidR="00634A77">
        <w:rPr>
          <w:rFonts w:ascii="Times New Roman" w:hAnsi="Times New Roman" w:cs="Times New Roman"/>
          <w:sz w:val="28"/>
          <w:szCs w:val="28"/>
        </w:rPr>
        <w:t>.</w:t>
      </w:r>
      <w:r w:rsidR="00951F86">
        <w:rPr>
          <w:rFonts w:ascii="Times New Roman" w:hAnsi="Times New Roman" w:cs="Times New Roman"/>
          <w:sz w:val="28"/>
          <w:szCs w:val="28"/>
        </w:rPr>
        <w:t xml:space="preserve"> </w:t>
      </w:r>
      <w:r w:rsidR="00634A77">
        <w:rPr>
          <w:rFonts w:ascii="Times New Roman" w:hAnsi="Times New Roman" w:cs="Times New Roman"/>
          <w:sz w:val="28"/>
          <w:szCs w:val="28"/>
        </w:rPr>
        <w:t>T</w:t>
      </w:r>
      <w:r w:rsidR="00951F86">
        <w:rPr>
          <w:rFonts w:ascii="Times New Roman" w:hAnsi="Times New Roman" w:cs="Times New Roman"/>
          <w:sz w:val="28"/>
          <w:szCs w:val="28"/>
        </w:rPr>
        <w:t xml:space="preserve">ermenul </w:t>
      </w:r>
      <w:r w:rsidR="00634A77">
        <w:rPr>
          <w:rFonts w:ascii="Times New Roman" w:hAnsi="Times New Roman" w:cs="Times New Roman"/>
          <w:sz w:val="28"/>
          <w:szCs w:val="28"/>
        </w:rPr>
        <w:t>de executare a cerințelor și recomandărilor a</w:t>
      </w:r>
      <w:r w:rsidR="00951F86">
        <w:rPr>
          <w:rFonts w:ascii="Times New Roman" w:hAnsi="Times New Roman" w:cs="Times New Roman"/>
          <w:sz w:val="28"/>
          <w:szCs w:val="28"/>
        </w:rPr>
        <w:t xml:space="preserve"> expira</w:t>
      </w:r>
      <w:r w:rsidR="00BA6C0F">
        <w:rPr>
          <w:rFonts w:ascii="Times New Roman" w:hAnsi="Times New Roman" w:cs="Times New Roman"/>
          <w:sz w:val="28"/>
          <w:szCs w:val="28"/>
        </w:rPr>
        <w:t>t la 21.05.2018</w:t>
      </w:r>
      <w:r w:rsidR="00F36A27">
        <w:rPr>
          <w:rFonts w:ascii="Times New Roman" w:hAnsi="Times New Roman" w:cs="Times New Roman"/>
          <w:sz w:val="28"/>
          <w:szCs w:val="28"/>
        </w:rPr>
        <w:t xml:space="preserve">. </w:t>
      </w:r>
    </w:p>
    <w:p w:rsidR="00634A77" w:rsidRDefault="00634A77" w:rsidP="00634A77">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Rezultatele examinării informațiilor prezentate de MF referitor la executarea cerințelor și implementarea recomandărilor </w:t>
      </w:r>
      <w:r w:rsidR="008C1A76">
        <w:rPr>
          <w:rFonts w:ascii="Times New Roman" w:hAnsi="Times New Roman" w:cs="Times New Roman"/>
          <w:sz w:val="28"/>
          <w:szCs w:val="28"/>
        </w:rPr>
        <w:t>denotă</w:t>
      </w:r>
      <w:r>
        <w:rPr>
          <w:rFonts w:ascii="Times New Roman" w:hAnsi="Times New Roman" w:cs="Times New Roman"/>
          <w:sz w:val="28"/>
          <w:szCs w:val="28"/>
        </w:rPr>
        <w:t xml:space="preserve"> că n</w:t>
      </w:r>
      <w:r w:rsidR="00F36A27">
        <w:rPr>
          <w:rFonts w:ascii="Times New Roman" w:hAnsi="Times New Roman" w:cs="Times New Roman"/>
          <w:sz w:val="28"/>
          <w:szCs w:val="28"/>
        </w:rPr>
        <w:t>ivelul general de implementare a</w:t>
      </w:r>
      <w:r>
        <w:rPr>
          <w:rFonts w:ascii="Times New Roman" w:hAnsi="Times New Roman" w:cs="Times New Roman"/>
          <w:sz w:val="28"/>
          <w:szCs w:val="28"/>
        </w:rPr>
        <w:t>l acestora</w:t>
      </w:r>
      <w:r w:rsidR="00F36A27">
        <w:rPr>
          <w:rFonts w:ascii="Times New Roman" w:hAnsi="Times New Roman" w:cs="Times New Roman"/>
          <w:sz w:val="28"/>
          <w:szCs w:val="28"/>
        </w:rPr>
        <w:t xml:space="preserve"> constituie </w:t>
      </w:r>
      <w:r>
        <w:rPr>
          <w:rFonts w:ascii="Times New Roman" w:hAnsi="Times New Roman" w:cs="Times New Roman"/>
          <w:sz w:val="28"/>
          <w:szCs w:val="28"/>
        </w:rPr>
        <w:t>în medi</w:t>
      </w:r>
      <w:r w:rsidR="008C1A76">
        <w:rPr>
          <w:rFonts w:ascii="Times New Roman" w:hAnsi="Times New Roman" w:cs="Times New Roman"/>
          <w:sz w:val="28"/>
          <w:szCs w:val="28"/>
        </w:rPr>
        <w:t>e</w:t>
      </w:r>
      <w:r>
        <w:rPr>
          <w:rFonts w:ascii="Times New Roman" w:hAnsi="Times New Roman" w:cs="Times New Roman"/>
          <w:sz w:val="28"/>
          <w:szCs w:val="28"/>
        </w:rPr>
        <w:t xml:space="preserve"> circa </w:t>
      </w:r>
      <w:r w:rsidR="006C3FA5">
        <w:rPr>
          <w:rFonts w:ascii="Times New Roman" w:hAnsi="Times New Roman" w:cs="Times New Roman"/>
          <w:sz w:val="28"/>
          <w:szCs w:val="28"/>
        </w:rPr>
        <w:t>47,1%</w:t>
      </w:r>
      <w:r w:rsidR="00810A46">
        <w:rPr>
          <w:rFonts w:ascii="Times New Roman" w:hAnsi="Times New Roman" w:cs="Times New Roman"/>
          <w:sz w:val="28"/>
          <w:szCs w:val="28"/>
        </w:rPr>
        <w:t>.</w:t>
      </w:r>
      <w:r w:rsidR="006C3FA5">
        <w:rPr>
          <w:rFonts w:ascii="Times New Roman" w:hAnsi="Times New Roman" w:cs="Times New Roman"/>
          <w:sz w:val="28"/>
          <w:szCs w:val="28"/>
        </w:rPr>
        <w:t xml:space="preserve"> </w:t>
      </w:r>
    </w:p>
    <w:p w:rsidR="00634A77" w:rsidRDefault="00810A46" w:rsidP="00634A77">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Astfel, din 4 cerințe înaintate</w:t>
      </w:r>
      <w:r w:rsidR="00634A77">
        <w:rPr>
          <w:rFonts w:ascii="Times New Roman" w:hAnsi="Times New Roman" w:cs="Times New Roman"/>
          <w:sz w:val="28"/>
          <w:szCs w:val="28"/>
        </w:rPr>
        <w:t>,</w:t>
      </w:r>
      <w:r>
        <w:rPr>
          <w:rFonts w:ascii="Times New Roman" w:hAnsi="Times New Roman" w:cs="Times New Roman"/>
          <w:sz w:val="28"/>
          <w:szCs w:val="28"/>
        </w:rPr>
        <w:t xml:space="preserve"> 2 au fost executate și 2 – parțial </w:t>
      </w:r>
      <w:r w:rsidR="00634A77">
        <w:rPr>
          <w:rFonts w:ascii="Times New Roman" w:hAnsi="Times New Roman" w:cs="Times New Roman"/>
          <w:sz w:val="28"/>
          <w:szCs w:val="28"/>
        </w:rPr>
        <w:t>execut</w:t>
      </w:r>
      <w:r>
        <w:rPr>
          <w:rFonts w:ascii="Times New Roman" w:hAnsi="Times New Roman" w:cs="Times New Roman"/>
          <w:sz w:val="28"/>
          <w:szCs w:val="28"/>
        </w:rPr>
        <w:t xml:space="preserve">ate. Totodată, </w:t>
      </w:r>
      <w:r w:rsidR="00416A69">
        <w:rPr>
          <w:rFonts w:ascii="Times New Roman" w:hAnsi="Times New Roman" w:cs="Times New Roman"/>
          <w:sz w:val="28"/>
          <w:szCs w:val="28"/>
        </w:rPr>
        <w:t>din 13 recomandări înaintate pentru implementare</w:t>
      </w:r>
      <w:r>
        <w:rPr>
          <w:rFonts w:ascii="Times New Roman" w:hAnsi="Times New Roman" w:cs="Times New Roman"/>
          <w:sz w:val="28"/>
          <w:szCs w:val="28"/>
        </w:rPr>
        <w:t xml:space="preserve">, auditul </w:t>
      </w:r>
      <w:r w:rsidR="00416A69">
        <w:rPr>
          <w:rFonts w:ascii="Times New Roman" w:hAnsi="Times New Roman" w:cs="Times New Roman"/>
          <w:sz w:val="28"/>
          <w:szCs w:val="28"/>
        </w:rPr>
        <w:t xml:space="preserve">a </w:t>
      </w:r>
      <w:r>
        <w:rPr>
          <w:rFonts w:ascii="Times New Roman" w:hAnsi="Times New Roman" w:cs="Times New Roman"/>
          <w:sz w:val="28"/>
          <w:szCs w:val="28"/>
        </w:rPr>
        <w:t>constat</w:t>
      </w:r>
      <w:r w:rsidR="00416A69">
        <w:rPr>
          <w:rFonts w:ascii="Times New Roman" w:hAnsi="Times New Roman" w:cs="Times New Roman"/>
          <w:sz w:val="28"/>
          <w:szCs w:val="28"/>
        </w:rPr>
        <w:t xml:space="preserve">at că au fost </w:t>
      </w:r>
      <w:r w:rsidR="00634A77">
        <w:rPr>
          <w:rFonts w:ascii="Times New Roman" w:hAnsi="Times New Roman" w:cs="Times New Roman"/>
          <w:sz w:val="28"/>
          <w:szCs w:val="28"/>
        </w:rPr>
        <w:t>executate integral</w:t>
      </w:r>
      <w:r>
        <w:rPr>
          <w:rFonts w:ascii="Times New Roman" w:hAnsi="Times New Roman" w:cs="Times New Roman"/>
          <w:sz w:val="28"/>
          <w:szCs w:val="28"/>
        </w:rPr>
        <w:t xml:space="preserve"> 6 recomandări, parțial </w:t>
      </w:r>
      <w:r w:rsidR="00634A77">
        <w:rPr>
          <w:rFonts w:ascii="Times New Roman" w:hAnsi="Times New Roman" w:cs="Times New Roman"/>
          <w:sz w:val="28"/>
          <w:szCs w:val="28"/>
        </w:rPr>
        <w:t xml:space="preserve">executate </w:t>
      </w:r>
      <w:r w:rsidR="008C1A76">
        <w:rPr>
          <w:rFonts w:ascii="Times New Roman" w:hAnsi="Times New Roman" w:cs="Times New Roman"/>
          <w:sz w:val="28"/>
          <w:szCs w:val="28"/>
        </w:rPr>
        <w:t>–</w:t>
      </w:r>
      <w:r w:rsidR="00634A77">
        <w:rPr>
          <w:rFonts w:ascii="Times New Roman" w:hAnsi="Times New Roman" w:cs="Times New Roman"/>
          <w:sz w:val="28"/>
          <w:szCs w:val="28"/>
        </w:rPr>
        <w:t xml:space="preserve"> 5 recomandări,</w:t>
      </w:r>
      <w:r w:rsidR="00416A69">
        <w:rPr>
          <w:rFonts w:ascii="Times New Roman" w:hAnsi="Times New Roman" w:cs="Times New Roman"/>
          <w:sz w:val="28"/>
          <w:szCs w:val="28"/>
        </w:rPr>
        <w:t xml:space="preserve"> </w:t>
      </w:r>
      <w:r>
        <w:rPr>
          <w:rFonts w:ascii="Times New Roman" w:hAnsi="Times New Roman" w:cs="Times New Roman"/>
          <w:sz w:val="28"/>
          <w:szCs w:val="28"/>
        </w:rPr>
        <w:t>i</w:t>
      </w:r>
      <w:r w:rsidR="00634A77">
        <w:rPr>
          <w:rFonts w:ascii="Times New Roman" w:hAnsi="Times New Roman" w:cs="Times New Roman"/>
          <w:sz w:val="28"/>
          <w:szCs w:val="28"/>
        </w:rPr>
        <w:t>ar</w:t>
      </w:r>
      <w:r>
        <w:rPr>
          <w:rFonts w:ascii="Times New Roman" w:hAnsi="Times New Roman" w:cs="Times New Roman"/>
          <w:sz w:val="28"/>
          <w:szCs w:val="28"/>
        </w:rPr>
        <w:t xml:space="preserve"> 2  </w:t>
      </w:r>
      <w:r w:rsidR="00634A77">
        <w:rPr>
          <w:rFonts w:ascii="Times New Roman" w:hAnsi="Times New Roman" w:cs="Times New Roman"/>
          <w:sz w:val="28"/>
          <w:szCs w:val="28"/>
        </w:rPr>
        <w:t xml:space="preserve">nu au fost </w:t>
      </w:r>
      <w:r>
        <w:rPr>
          <w:rFonts w:ascii="Times New Roman" w:hAnsi="Times New Roman" w:cs="Times New Roman"/>
          <w:sz w:val="28"/>
          <w:szCs w:val="28"/>
        </w:rPr>
        <w:t>realizate.</w:t>
      </w:r>
      <w:r w:rsidR="00416A69">
        <w:rPr>
          <w:rFonts w:ascii="Times New Roman" w:hAnsi="Times New Roman" w:cs="Times New Roman"/>
          <w:sz w:val="28"/>
          <w:szCs w:val="28"/>
        </w:rPr>
        <w:t xml:space="preserve"> </w:t>
      </w:r>
    </w:p>
    <w:p w:rsidR="009870FD" w:rsidRDefault="00D45E35" w:rsidP="00634A77">
      <w:pPr>
        <w:spacing w:after="0" w:line="276" w:lineRule="auto"/>
        <w:ind w:firstLine="709"/>
        <w:jc w:val="both"/>
        <w:rPr>
          <w:rFonts w:ascii="Times New Roman" w:hAnsi="Times New Roman" w:cs="Times New Roman"/>
          <w:i/>
          <w:sz w:val="28"/>
          <w:szCs w:val="28"/>
        </w:rPr>
      </w:pPr>
      <w:r w:rsidRPr="00D45E35">
        <w:rPr>
          <w:rFonts w:ascii="Times New Roman" w:hAnsi="Times New Roman" w:cs="Times New Roman"/>
          <w:i/>
          <w:sz w:val="28"/>
          <w:szCs w:val="28"/>
        </w:rPr>
        <w:t>Rezultatele verificărilor efectuate</w:t>
      </w:r>
      <w:r w:rsidR="00634A77">
        <w:rPr>
          <w:rFonts w:ascii="Times New Roman" w:hAnsi="Times New Roman" w:cs="Times New Roman"/>
          <w:i/>
          <w:sz w:val="28"/>
          <w:szCs w:val="28"/>
        </w:rPr>
        <w:t xml:space="preserve">, precum și informațiile </w:t>
      </w:r>
      <w:r w:rsidRPr="00D45E35">
        <w:rPr>
          <w:rFonts w:ascii="Times New Roman" w:hAnsi="Times New Roman" w:cs="Times New Roman"/>
          <w:i/>
          <w:sz w:val="28"/>
          <w:szCs w:val="28"/>
        </w:rPr>
        <w:t>prez</w:t>
      </w:r>
      <w:r w:rsidR="00634A77">
        <w:rPr>
          <w:rFonts w:ascii="Times New Roman" w:hAnsi="Times New Roman" w:cs="Times New Roman"/>
          <w:i/>
          <w:sz w:val="28"/>
          <w:szCs w:val="28"/>
        </w:rPr>
        <w:t>e</w:t>
      </w:r>
      <w:r w:rsidRPr="00D45E35">
        <w:rPr>
          <w:rFonts w:ascii="Times New Roman" w:hAnsi="Times New Roman" w:cs="Times New Roman"/>
          <w:i/>
          <w:sz w:val="28"/>
          <w:szCs w:val="28"/>
        </w:rPr>
        <w:t>n</w:t>
      </w:r>
      <w:r w:rsidR="00634A77">
        <w:rPr>
          <w:rFonts w:ascii="Times New Roman" w:hAnsi="Times New Roman" w:cs="Times New Roman"/>
          <w:i/>
          <w:sz w:val="28"/>
          <w:szCs w:val="28"/>
        </w:rPr>
        <w:t>ta</w:t>
      </w:r>
      <w:r w:rsidRPr="00D45E35">
        <w:rPr>
          <w:rFonts w:ascii="Times New Roman" w:hAnsi="Times New Roman" w:cs="Times New Roman"/>
          <w:i/>
          <w:sz w:val="28"/>
          <w:szCs w:val="28"/>
        </w:rPr>
        <w:t>t</w:t>
      </w:r>
      <w:r w:rsidR="00634A77">
        <w:rPr>
          <w:rFonts w:ascii="Times New Roman" w:hAnsi="Times New Roman" w:cs="Times New Roman"/>
          <w:i/>
          <w:sz w:val="28"/>
          <w:szCs w:val="28"/>
        </w:rPr>
        <w:t>e</w:t>
      </w:r>
      <w:r w:rsidRPr="00D45E35">
        <w:rPr>
          <w:rFonts w:ascii="Times New Roman" w:hAnsi="Times New Roman" w:cs="Times New Roman"/>
          <w:i/>
          <w:sz w:val="28"/>
          <w:szCs w:val="28"/>
        </w:rPr>
        <w:t xml:space="preserve"> </w:t>
      </w:r>
      <w:r w:rsidR="00E51D84">
        <w:rPr>
          <w:rFonts w:ascii="Times New Roman" w:hAnsi="Times New Roman" w:cs="Times New Roman"/>
          <w:i/>
          <w:sz w:val="28"/>
          <w:szCs w:val="28"/>
        </w:rPr>
        <w:t xml:space="preserve">de MF în vederea executării cerințelor și recomandărilor se prezintă </w:t>
      </w:r>
      <w:r w:rsidR="00634A77">
        <w:rPr>
          <w:rFonts w:ascii="Times New Roman" w:hAnsi="Times New Roman" w:cs="Times New Roman"/>
          <w:i/>
          <w:sz w:val="28"/>
          <w:szCs w:val="28"/>
        </w:rPr>
        <w:t xml:space="preserve">în detaliu </w:t>
      </w:r>
      <w:r w:rsidRPr="00D45E35">
        <w:rPr>
          <w:rFonts w:ascii="Times New Roman" w:hAnsi="Times New Roman" w:cs="Times New Roman"/>
          <w:i/>
          <w:sz w:val="28"/>
          <w:szCs w:val="28"/>
        </w:rPr>
        <w:t>în Anexa nr.5 la prezentul Raport</w:t>
      </w:r>
      <w:r w:rsidR="008C1A76">
        <w:rPr>
          <w:rFonts w:ascii="Times New Roman" w:hAnsi="Times New Roman" w:cs="Times New Roman"/>
          <w:i/>
          <w:sz w:val="28"/>
          <w:szCs w:val="28"/>
        </w:rPr>
        <w:t xml:space="preserve"> de audit</w:t>
      </w:r>
      <w:r w:rsidRPr="00D45E35">
        <w:rPr>
          <w:rFonts w:ascii="Times New Roman" w:hAnsi="Times New Roman" w:cs="Times New Roman"/>
          <w:i/>
          <w:sz w:val="28"/>
          <w:szCs w:val="28"/>
        </w:rPr>
        <w:t>.</w:t>
      </w:r>
    </w:p>
    <w:p w:rsidR="00196688" w:rsidRDefault="00196688" w:rsidP="00634A77">
      <w:pPr>
        <w:spacing w:after="0" w:line="276" w:lineRule="auto"/>
        <w:ind w:firstLine="709"/>
        <w:jc w:val="both"/>
        <w:rPr>
          <w:rFonts w:ascii="Times New Roman" w:hAnsi="Times New Roman" w:cs="Times New Roman"/>
          <w:sz w:val="28"/>
          <w:szCs w:val="28"/>
        </w:rPr>
      </w:pPr>
    </w:p>
    <w:p w:rsidR="004E6B92" w:rsidRPr="003466CF" w:rsidRDefault="008F47D4" w:rsidP="008F47D4">
      <w:pPr>
        <w:pStyle w:val="a5"/>
        <w:numPr>
          <w:ilvl w:val="0"/>
          <w:numId w:val="1"/>
        </w:numPr>
        <w:spacing w:after="0" w:line="276" w:lineRule="auto"/>
        <w:ind w:left="0" w:firstLine="0"/>
        <w:jc w:val="center"/>
        <w:outlineLvl w:val="0"/>
        <w:rPr>
          <w:rFonts w:ascii="Times New Roman" w:hAnsi="Times New Roman"/>
          <w:b/>
          <w:sz w:val="32"/>
          <w:szCs w:val="32"/>
        </w:rPr>
      </w:pPr>
      <w:bookmarkStart w:id="28" w:name="_Toc515519001"/>
      <w:r w:rsidRPr="0026470C">
        <w:rPr>
          <w:rFonts w:ascii="Times New Roman" w:hAnsi="Times New Roman"/>
          <w:b/>
          <w:sz w:val="32"/>
          <w:szCs w:val="32"/>
        </w:rPr>
        <w:t>RECOMANDĂRI</w:t>
      </w:r>
      <w:r>
        <w:rPr>
          <w:rFonts w:ascii="Times New Roman" w:hAnsi="Times New Roman"/>
          <w:b/>
          <w:sz w:val="32"/>
          <w:szCs w:val="32"/>
        </w:rPr>
        <w:t xml:space="preserve"> CONDUCERII </w:t>
      </w:r>
      <w:r w:rsidRPr="003466CF">
        <w:rPr>
          <w:rFonts w:ascii="Times New Roman" w:hAnsi="Times New Roman"/>
          <w:b/>
          <w:sz w:val="32"/>
          <w:szCs w:val="32"/>
        </w:rPr>
        <w:t>MINISTERULUI FINANȚELOR</w:t>
      </w:r>
      <w:bookmarkEnd w:id="28"/>
    </w:p>
    <w:p w:rsidR="003A4030" w:rsidRPr="009F04C8" w:rsidRDefault="00472FDC" w:rsidP="003F12B5">
      <w:pPr>
        <w:pStyle w:val="a5"/>
        <w:numPr>
          <w:ilvl w:val="0"/>
          <w:numId w:val="2"/>
        </w:numPr>
        <w:tabs>
          <w:tab w:val="left" w:pos="0"/>
          <w:tab w:val="left" w:pos="993"/>
        </w:tabs>
        <w:spacing w:after="200" w:line="276" w:lineRule="auto"/>
        <w:ind w:left="0" w:firstLine="720"/>
        <w:jc w:val="both"/>
        <w:rPr>
          <w:rFonts w:ascii="Times New Roman" w:hAnsi="Times New Roman" w:cs="Times New Roman"/>
          <w:bCs/>
          <w:sz w:val="28"/>
          <w:szCs w:val="28"/>
        </w:rPr>
      </w:pPr>
      <w:r>
        <w:rPr>
          <w:rFonts w:ascii="Times New Roman" w:hAnsi="Times New Roman" w:cs="Times New Roman"/>
          <w:bCs/>
          <w:sz w:val="28"/>
          <w:szCs w:val="28"/>
        </w:rPr>
        <w:t xml:space="preserve">Să asigure </w:t>
      </w:r>
      <w:r w:rsidR="00163269">
        <w:rPr>
          <w:rFonts w:ascii="Times New Roman" w:hAnsi="Times New Roman" w:cs="Times New Roman"/>
          <w:bCs/>
          <w:sz w:val="28"/>
          <w:szCs w:val="28"/>
        </w:rPr>
        <w:t xml:space="preserve">efectuarea </w:t>
      </w:r>
      <w:r>
        <w:rPr>
          <w:rFonts w:ascii="Times New Roman" w:hAnsi="Times New Roman" w:cs="Times New Roman"/>
          <w:bCs/>
          <w:sz w:val="28"/>
          <w:szCs w:val="28"/>
        </w:rPr>
        <w:t>verific</w:t>
      </w:r>
      <w:r w:rsidR="00163269">
        <w:rPr>
          <w:rFonts w:ascii="Times New Roman" w:hAnsi="Times New Roman" w:cs="Times New Roman"/>
          <w:bCs/>
          <w:sz w:val="28"/>
          <w:szCs w:val="28"/>
        </w:rPr>
        <w:t>ă</w:t>
      </w:r>
      <w:r>
        <w:rPr>
          <w:rFonts w:ascii="Times New Roman" w:hAnsi="Times New Roman" w:cs="Times New Roman"/>
          <w:bCs/>
          <w:sz w:val="28"/>
          <w:szCs w:val="28"/>
        </w:rPr>
        <w:t>r</w:t>
      </w:r>
      <w:r w:rsidR="00163269">
        <w:rPr>
          <w:rFonts w:ascii="Times New Roman" w:hAnsi="Times New Roman" w:cs="Times New Roman"/>
          <w:bCs/>
          <w:sz w:val="28"/>
          <w:szCs w:val="28"/>
        </w:rPr>
        <w:t>ilor reciproce în aspectul tipurilor de ve</w:t>
      </w:r>
      <w:r>
        <w:rPr>
          <w:rFonts w:ascii="Times New Roman" w:hAnsi="Times New Roman" w:cs="Times New Roman"/>
          <w:bCs/>
          <w:sz w:val="28"/>
          <w:szCs w:val="28"/>
        </w:rPr>
        <w:t xml:space="preserve">nituri administrate de Serviciul Fiscal de Stat, inclusiv „Plata obligatorie a producătorilor de produse vitivinicole” </w:t>
      </w:r>
      <w:r>
        <w:rPr>
          <w:rFonts w:ascii="Times New Roman" w:hAnsi="Times New Roman" w:cs="Times New Roman"/>
          <w:sz w:val="28"/>
          <w:szCs w:val="28"/>
        </w:rPr>
        <w:t>(cod-</w:t>
      </w:r>
      <w:r w:rsidRPr="003E614C">
        <w:rPr>
          <w:rFonts w:ascii="Times New Roman" w:hAnsi="Times New Roman" w:cs="Times New Roman"/>
          <w:sz w:val="28"/>
          <w:szCs w:val="28"/>
        </w:rPr>
        <w:t>114640</w:t>
      </w:r>
      <w:r>
        <w:rPr>
          <w:rFonts w:ascii="Times New Roman" w:hAnsi="Times New Roman" w:cs="Times New Roman"/>
          <w:sz w:val="28"/>
          <w:szCs w:val="28"/>
        </w:rPr>
        <w:t>)</w:t>
      </w:r>
      <w:r>
        <w:rPr>
          <w:rFonts w:ascii="Times New Roman" w:hAnsi="Times New Roman" w:cs="Times New Roman"/>
          <w:bCs/>
          <w:sz w:val="28"/>
          <w:szCs w:val="28"/>
        </w:rPr>
        <w:t xml:space="preserve"> </w:t>
      </w:r>
      <w:r w:rsidRPr="007E4DF8">
        <w:rPr>
          <w:rFonts w:ascii="Times New Roman" w:hAnsi="Times New Roman" w:cs="Times New Roman"/>
          <w:sz w:val="28"/>
          <w:szCs w:val="28"/>
        </w:rPr>
        <w:t>(</w:t>
      </w:r>
      <w:r w:rsidRPr="007E4DF8">
        <w:rPr>
          <w:rFonts w:ascii="Times New Roman" w:hAnsi="Times New Roman" w:cs="Times New Roman"/>
          <w:i/>
          <w:sz w:val="28"/>
          <w:szCs w:val="28"/>
        </w:rPr>
        <w:t xml:space="preserve">constatarea din capitolul </w:t>
      </w:r>
      <w:r>
        <w:rPr>
          <w:rFonts w:ascii="Times New Roman" w:hAnsi="Times New Roman" w:cs="Times New Roman"/>
          <w:i/>
          <w:sz w:val="28"/>
          <w:szCs w:val="28"/>
        </w:rPr>
        <w:t>4</w:t>
      </w:r>
      <w:r w:rsidRPr="007E4DF8">
        <w:rPr>
          <w:rFonts w:ascii="Times New Roman" w:hAnsi="Times New Roman" w:cs="Times New Roman"/>
          <w:i/>
          <w:sz w:val="28"/>
          <w:szCs w:val="28"/>
        </w:rPr>
        <w:t>.</w:t>
      </w:r>
      <w:r>
        <w:rPr>
          <w:rFonts w:ascii="Times New Roman" w:hAnsi="Times New Roman" w:cs="Times New Roman"/>
          <w:i/>
          <w:sz w:val="28"/>
          <w:szCs w:val="28"/>
        </w:rPr>
        <w:t>1</w:t>
      </w:r>
      <w:r w:rsidRPr="007E4DF8">
        <w:rPr>
          <w:rFonts w:ascii="Times New Roman" w:hAnsi="Times New Roman" w:cs="Times New Roman"/>
          <w:i/>
          <w:sz w:val="28"/>
          <w:szCs w:val="28"/>
        </w:rPr>
        <w:t>.</w:t>
      </w:r>
      <w:r w:rsidR="000F3BBE">
        <w:rPr>
          <w:rFonts w:ascii="Times New Roman" w:hAnsi="Times New Roman" w:cs="Times New Roman"/>
          <w:i/>
          <w:sz w:val="28"/>
          <w:szCs w:val="28"/>
        </w:rPr>
        <w:t>1</w:t>
      </w:r>
      <w:r w:rsidRPr="007E4DF8">
        <w:rPr>
          <w:rFonts w:ascii="Times New Roman" w:hAnsi="Times New Roman" w:cs="Times New Roman"/>
          <w:sz w:val="28"/>
          <w:szCs w:val="28"/>
        </w:rPr>
        <w:t>)</w:t>
      </w:r>
      <w:r>
        <w:rPr>
          <w:rFonts w:ascii="Times New Roman" w:hAnsi="Times New Roman" w:cs="Times New Roman"/>
          <w:sz w:val="28"/>
          <w:szCs w:val="28"/>
        </w:rPr>
        <w:t>;</w:t>
      </w:r>
    </w:p>
    <w:p w:rsidR="00637BA2" w:rsidRPr="00163269" w:rsidRDefault="00472FDC" w:rsidP="003F12B5">
      <w:pPr>
        <w:pStyle w:val="a5"/>
        <w:numPr>
          <w:ilvl w:val="0"/>
          <w:numId w:val="2"/>
        </w:numPr>
        <w:tabs>
          <w:tab w:val="left" w:pos="567"/>
          <w:tab w:val="left" w:pos="851"/>
          <w:tab w:val="left" w:pos="993"/>
        </w:tabs>
        <w:spacing w:after="0" w:line="276" w:lineRule="auto"/>
        <w:ind w:left="0" w:firstLine="709"/>
        <w:jc w:val="both"/>
        <w:rPr>
          <w:rFonts w:ascii="Times New Roman" w:hAnsi="Times New Roman" w:cs="Times New Roman"/>
          <w:b/>
          <w:i/>
          <w:sz w:val="28"/>
          <w:szCs w:val="28"/>
        </w:rPr>
      </w:pPr>
      <w:r>
        <w:rPr>
          <w:rFonts w:ascii="Times New Roman" w:hAnsi="Times New Roman" w:cs="Times New Roman"/>
          <w:sz w:val="28"/>
          <w:szCs w:val="28"/>
        </w:rPr>
        <w:t xml:space="preserve">Să </w:t>
      </w:r>
      <w:r w:rsidR="00163269">
        <w:rPr>
          <w:rFonts w:ascii="Times New Roman" w:hAnsi="Times New Roman" w:cs="Times New Roman"/>
          <w:sz w:val="28"/>
          <w:szCs w:val="28"/>
        </w:rPr>
        <w:t>conformeze efectuarea</w:t>
      </w:r>
      <w:r>
        <w:rPr>
          <w:rFonts w:ascii="Times New Roman" w:hAnsi="Times New Roman" w:cs="Times New Roman"/>
          <w:sz w:val="28"/>
          <w:szCs w:val="28"/>
        </w:rPr>
        <w:t xml:space="preserve"> restituir</w:t>
      </w:r>
      <w:r w:rsidR="00163269">
        <w:rPr>
          <w:rFonts w:ascii="Times New Roman" w:hAnsi="Times New Roman" w:cs="Times New Roman"/>
          <w:sz w:val="28"/>
          <w:szCs w:val="28"/>
        </w:rPr>
        <w:t>ilor</w:t>
      </w:r>
      <w:r>
        <w:rPr>
          <w:rFonts w:ascii="Times New Roman" w:hAnsi="Times New Roman" w:cs="Times New Roman"/>
          <w:sz w:val="28"/>
          <w:szCs w:val="28"/>
        </w:rPr>
        <w:t xml:space="preserve"> TVA </w:t>
      </w:r>
      <w:r w:rsidR="00163269">
        <w:rPr>
          <w:rFonts w:ascii="Times New Roman" w:hAnsi="Times New Roman" w:cs="Times New Roman"/>
          <w:sz w:val="28"/>
          <w:szCs w:val="28"/>
        </w:rPr>
        <w:t xml:space="preserve">la rigorile </w:t>
      </w:r>
      <w:r>
        <w:rPr>
          <w:rFonts w:ascii="Times New Roman" w:hAnsi="Times New Roman" w:cs="Times New Roman"/>
          <w:sz w:val="28"/>
          <w:szCs w:val="28"/>
        </w:rPr>
        <w:t xml:space="preserve">Codului </w:t>
      </w:r>
      <w:r w:rsidR="008C1A76">
        <w:rPr>
          <w:rFonts w:ascii="Times New Roman" w:hAnsi="Times New Roman" w:cs="Times New Roman"/>
          <w:sz w:val="28"/>
          <w:szCs w:val="28"/>
        </w:rPr>
        <w:t>f</w:t>
      </w:r>
      <w:r>
        <w:rPr>
          <w:rFonts w:ascii="Times New Roman" w:hAnsi="Times New Roman" w:cs="Times New Roman"/>
          <w:sz w:val="28"/>
          <w:szCs w:val="28"/>
        </w:rPr>
        <w:t>iscal</w:t>
      </w:r>
      <w:r w:rsidR="00163269">
        <w:rPr>
          <w:rFonts w:ascii="Times New Roman" w:hAnsi="Times New Roman" w:cs="Times New Roman"/>
          <w:sz w:val="28"/>
          <w:szCs w:val="28"/>
        </w:rPr>
        <w:t xml:space="preserve">, fiind excluse </w:t>
      </w:r>
      <w:r w:rsidR="00C7420E">
        <w:rPr>
          <w:rFonts w:ascii="Times New Roman" w:hAnsi="Times New Roman" w:cs="Times New Roman"/>
          <w:sz w:val="28"/>
          <w:szCs w:val="28"/>
        </w:rPr>
        <w:t xml:space="preserve">restituirile efectuate </w:t>
      </w:r>
      <w:r w:rsidR="00C7420E" w:rsidRPr="00C7420E">
        <w:rPr>
          <w:rFonts w:ascii="Times New Roman" w:hAnsi="Times New Roman" w:cs="Times New Roman"/>
          <w:sz w:val="28"/>
          <w:szCs w:val="28"/>
        </w:rPr>
        <w:t>persoanelor juridice și fizice secundar</w:t>
      </w:r>
      <w:r w:rsidR="008C1A76">
        <w:rPr>
          <w:rFonts w:ascii="Times New Roman" w:hAnsi="Times New Roman" w:cs="Times New Roman"/>
          <w:sz w:val="28"/>
          <w:szCs w:val="28"/>
        </w:rPr>
        <w:t>e</w:t>
      </w:r>
      <w:r>
        <w:rPr>
          <w:rFonts w:ascii="Times New Roman" w:hAnsi="Times New Roman" w:cs="Times New Roman"/>
          <w:sz w:val="28"/>
          <w:szCs w:val="28"/>
        </w:rPr>
        <w:t xml:space="preserve"> </w:t>
      </w:r>
      <w:r w:rsidRPr="007E4DF8">
        <w:rPr>
          <w:rFonts w:ascii="Times New Roman" w:hAnsi="Times New Roman" w:cs="Times New Roman"/>
          <w:sz w:val="28"/>
          <w:szCs w:val="28"/>
        </w:rPr>
        <w:t>(</w:t>
      </w:r>
      <w:r w:rsidRPr="007E4DF8">
        <w:rPr>
          <w:rFonts w:ascii="Times New Roman" w:hAnsi="Times New Roman" w:cs="Times New Roman"/>
          <w:i/>
          <w:sz w:val="28"/>
          <w:szCs w:val="28"/>
        </w:rPr>
        <w:t xml:space="preserve">constatarea din capitolul </w:t>
      </w:r>
      <w:r>
        <w:rPr>
          <w:rFonts w:ascii="Times New Roman" w:hAnsi="Times New Roman" w:cs="Times New Roman"/>
          <w:i/>
          <w:sz w:val="28"/>
          <w:szCs w:val="28"/>
        </w:rPr>
        <w:t>4.1.</w:t>
      </w:r>
      <w:r w:rsidR="00163269">
        <w:rPr>
          <w:rFonts w:ascii="Times New Roman" w:hAnsi="Times New Roman" w:cs="Times New Roman"/>
          <w:i/>
          <w:sz w:val="28"/>
          <w:szCs w:val="28"/>
        </w:rPr>
        <w:t>3</w:t>
      </w:r>
      <w:r w:rsidRPr="007E4DF8">
        <w:rPr>
          <w:rFonts w:ascii="Times New Roman" w:hAnsi="Times New Roman" w:cs="Times New Roman"/>
          <w:sz w:val="28"/>
          <w:szCs w:val="28"/>
        </w:rPr>
        <w:t>)</w:t>
      </w:r>
      <w:r w:rsidR="001E4F1C">
        <w:rPr>
          <w:rFonts w:ascii="Times New Roman" w:hAnsi="Times New Roman" w:cs="Times New Roman"/>
          <w:sz w:val="28"/>
          <w:szCs w:val="28"/>
        </w:rPr>
        <w:t>;</w:t>
      </w:r>
    </w:p>
    <w:p w:rsidR="00D42F14" w:rsidRPr="001A26D5" w:rsidRDefault="00D42F14" w:rsidP="003F12B5">
      <w:pPr>
        <w:pStyle w:val="a5"/>
        <w:numPr>
          <w:ilvl w:val="0"/>
          <w:numId w:val="2"/>
        </w:numPr>
        <w:tabs>
          <w:tab w:val="left" w:pos="567"/>
          <w:tab w:val="left" w:pos="851"/>
          <w:tab w:val="left" w:pos="993"/>
        </w:tabs>
        <w:spacing w:after="0" w:line="276" w:lineRule="auto"/>
        <w:ind w:left="0" w:firstLine="709"/>
        <w:jc w:val="both"/>
        <w:rPr>
          <w:rFonts w:ascii="Times New Roman" w:hAnsi="Times New Roman" w:cs="Times New Roman"/>
          <w:b/>
          <w:i/>
          <w:sz w:val="28"/>
          <w:szCs w:val="28"/>
        </w:rPr>
      </w:pPr>
      <w:r w:rsidRPr="003B38CE">
        <w:rPr>
          <w:rFonts w:ascii="Times New Roman" w:hAnsi="Times New Roman" w:cs="Times New Roman"/>
          <w:sz w:val="28"/>
          <w:szCs w:val="28"/>
        </w:rPr>
        <w:t xml:space="preserve">Să </w:t>
      </w:r>
      <w:r w:rsidR="001A26D5" w:rsidRPr="003B38CE">
        <w:rPr>
          <w:rFonts w:ascii="Times New Roman" w:hAnsi="Times New Roman" w:cs="Times New Roman"/>
          <w:sz w:val="28"/>
          <w:szCs w:val="28"/>
        </w:rPr>
        <w:t>continue realizarea acțiunilor privind consolidarea bazei de venituri locale proprii ale administrațiilor APL, prevăzute în documentele strategice naționale</w:t>
      </w:r>
      <w:r w:rsidR="008D4C2D" w:rsidRPr="001A26D5">
        <w:rPr>
          <w:rFonts w:ascii="Times New Roman" w:hAnsi="Times New Roman" w:cs="Times New Roman"/>
          <w:sz w:val="28"/>
          <w:szCs w:val="28"/>
        </w:rPr>
        <w:t xml:space="preserve"> </w:t>
      </w:r>
      <w:r w:rsidR="006F6D20" w:rsidRPr="001A26D5">
        <w:rPr>
          <w:rFonts w:ascii="Times New Roman" w:hAnsi="Times New Roman" w:cs="Times New Roman"/>
          <w:sz w:val="28"/>
          <w:szCs w:val="28"/>
        </w:rPr>
        <w:t>(</w:t>
      </w:r>
      <w:r w:rsidR="006F6D20" w:rsidRPr="001A26D5">
        <w:rPr>
          <w:rFonts w:ascii="Times New Roman" w:hAnsi="Times New Roman" w:cs="Times New Roman"/>
          <w:i/>
          <w:sz w:val="28"/>
          <w:szCs w:val="28"/>
        </w:rPr>
        <w:t>constatarea din capitolul 4.1.7</w:t>
      </w:r>
      <w:r w:rsidR="006F6D20" w:rsidRPr="001A26D5">
        <w:rPr>
          <w:rFonts w:ascii="Times New Roman" w:hAnsi="Times New Roman" w:cs="Times New Roman"/>
          <w:sz w:val="28"/>
          <w:szCs w:val="28"/>
        </w:rPr>
        <w:t>);</w:t>
      </w:r>
      <w:r w:rsidRPr="001A26D5">
        <w:rPr>
          <w:rFonts w:ascii="Times New Roman" w:hAnsi="Times New Roman" w:cs="Times New Roman"/>
          <w:sz w:val="28"/>
          <w:szCs w:val="28"/>
        </w:rPr>
        <w:t xml:space="preserve"> </w:t>
      </w:r>
    </w:p>
    <w:p w:rsidR="009E1E40" w:rsidRPr="006272AB" w:rsidRDefault="004B1A19" w:rsidP="003F12B5">
      <w:pPr>
        <w:pStyle w:val="a5"/>
        <w:numPr>
          <w:ilvl w:val="0"/>
          <w:numId w:val="2"/>
        </w:numPr>
        <w:tabs>
          <w:tab w:val="left" w:pos="567"/>
          <w:tab w:val="left" w:pos="851"/>
          <w:tab w:val="left" w:pos="993"/>
        </w:tabs>
        <w:spacing w:after="0" w:line="276" w:lineRule="auto"/>
        <w:ind w:left="0" w:firstLine="709"/>
        <w:jc w:val="both"/>
        <w:rPr>
          <w:rFonts w:ascii="Times New Roman" w:hAnsi="Times New Roman" w:cs="Times New Roman"/>
          <w:b/>
          <w:i/>
          <w:sz w:val="28"/>
          <w:szCs w:val="28"/>
        </w:rPr>
      </w:pPr>
      <w:r w:rsidRPr="003B38CE">
        <w:rPr>
          <w:rFonts w:ascii="Times New Roman" w:hAnsi="Times New Roman" w:cs="Times New Roman"/>
          <w:sz w:val="28"/>
          <w:szCs w:val="28"/>
        </w:rPr>
        <w:t>Să asigure respectarea principiului transparenței în relațiile dintre bugetul de stat și bugetele locale</w:t>
      </w:r>
      <w:r w:rsidR="00DA2B8C" w:rsidRPr="003B38CE">
        <w:rPr>
          <w:rFonts w:ascii="Times New Roman" w:hAnsi="Times New Roman" w:cs="Times New Roman"/>
          <w:sz w:val="28"/>
          <w:szCs w:val="28"/>
        </w:rPr>
        <w:t>,</w:t>
      </w:r>
      <w:r w:rsidRPr="003B38CE">
        <w:rPr>
          <w:rFonts w:ascii="Times New Roman" w:hAnsi="Times New Roman" w:cs="Times New Roman"/>
          <w:sz w:val="28"/>
          <w:szCs w:val="28"/>
        </w:rPr>
        <w:t xml:space="preserve"> prin aplicarea procedurilor de modificare a legilor bugetare anuale p</w:t>
      </w:r>
      <w:r w:rsidR="001A26D5" w:rsidRPr="003B38CE">
        <w:rPr>
          <w:rFonts w:ascii="Times New Roman" w:hAnsi="Times New Roman" w:cs="Times New Roman"/>
          <w:sz w:val="28"/>
          <w:szCs w:val="28"/>
        </w:rPr>
        <w:t>entru</w:t>
      </w:r>
      <w:r w:rsidRPr="003B38CE">
        <w:rPr>
          <w:rFonts w:ascii="Times New Roman" w:hAnsi="Times New Roman" w:cs="Times New Roman"/>
          <w:sz w:val="28"/>
          <w:szCs w:val="28"/>
        </w:rPr>
        <w:t xml:space="preserve"> </w:t>
      </w:r>
      <w:r w:rsidR="001A26D5" w:rsidRPr="003B38CE">
        <w:rPr>
          <w:rFonts w:ascii="Times New Roman" w:hAnsi="Times New Roman" w:cs="Times New Roman"/>
          <w:sz w:val="28"/>
          <w:szCs w:val="28"/>
        </w:rPr>
        <w:t>î</w:t>
      </w:r>
      <w:r w:rsidRPr="003B38CE">
        <w:rPr>
          <w:rFonts w:ascii="Times New Roman" w:hAnsi="Times New Roman" w:cs="Times New Roman"/>
          <w:sz w:val="28"/>
          <w:szCs w:val="28"/>
        </w:rPr>
        <w:t xml:space="preserve">ncorporarea </w:t>
      </w:r>
      <w:r w:rsidR="001A26D5" w:rsidRPr="003B38CE">
        <w:rPr>
          <w:rFonts w:ascii="Times New Roman" w:hAnsi="Times New Roman" w:cs="Times New Roman"/>
          <w:sz w:val="28"/>
          <w:szCs w:val="28"/>
        </w:rPr>
        <w:t xml:space="preserve">în acestea a </w:t>
      </w:r>
      <w:r w:rsidRPr="003B38CE">
        <w:rPr>
          <w:rFonts w:ascii="Times New Roman" w:hAnsi="Times New Roman" w:cs="Times New Roman"/>
          <w:sz w:val="28"/>
          <w:szCs w:val="28"/>
        </w:rPr>
        <w:t>tuturor transferurilor</w:t>
      </w:r>
      <w:r w:rsidRPr="001A26D5">
        <w:rPr>
          <w:rFonts w:ascii="Times New Roman" w:hAnsi="Times New Roman" w:cs="Times New Roman"/>
          <w:sz w:val="28"/>
          <w:szCs w:val="28"/>
        </w:rPr>
        <w:t xml:space="preserve"> </w:t>
      </w:r>
      <w:r w:rsidR="009E1E40">
        <w:rPr>
          <w:rFonts w:ascii="Times New Roman" w:hAnsi="Times New Roman" w:cs="Times New Roman"/>
          <w:sz w:val="28"/>
          <w:szCs w:val="28"/>
        </w:rPr>
        <w:t>(</w:t>
      </w:r>
      <w:r w:rsidR="009E1E40" w:rsidRPr="007E4DF8">
        <w:rPr>
          <w:rFonts w:ascii="Times New Roman" w:hAnsi="Times New Roman" w:cs="Times New Roman"/>
          <w:i/>
          <w:sz w:val="28"/>
          <w:szCs w:val="28"/>
        </w:rPr>
        <w:t xml:space="preserve">constatarea din capitolul </w:t>
      </w:r>
      <w:r w:rsidR="009E1E40">
        <w:rPr>
          <w:rFonts w:ascii="Times New Roman" w:hAnsi="Times New Roman" w:cs="Times New Roman"/>
          <w:i/>
          <w:sz w:val="28"/>
          <w:szCs w:val="28"/>
        </w:rPr>
        <w:t>4.1.7</w:t>
      </w:r>
      <w:r w:rsidR="009E1E40" w:rsidRPr="007E4DF8">
        <w:rPr>
          <w:rFonts w:ascii="Times New Roman" w:hAnsi="Times New Roman" w:cs="Times New Roman"/>
          <w:sz w:val="28"/>
          <w:szCs w:val="28"/>
        </w:rPr>
        <w:t>)</w:t>
      </w:r>
      <w:r w:rsidR="009E1E40">
        <w:rPr>
          <w:rFonts w:ascii="Times New Roman" w:hAnsi="Times New Roman" w:cs="Times New Roman"/>
          <w:sz w:val="28"/>
          <w:szCs w:val="28"/>
        </w:rPr>
        <w:t>;</w:t>
      </w:r>
    </w:p>
    <w:p w:rsidR="00D10629" w:rsidRDefault="00D10629" w:rsidP="003F12B5">
      <w:pPr>
        <w:pStyle w:val="a5"/>
        <w:numPr>
          <w:ilvl w:val="0"/>
          <w:numId w:val="2"/>
        </w:numPr>
        <w:tabs>
          <w:tab w:val="left" w:pos="993"/>
        </w:tabs>
        <w:spacing w:after="0" w:line="240" w:lineRule="auto"/>
        <w:ind w:left="0" w:firstLine="709"/>
        <w:contextualSpacing w:val="0"/>
        <w:jc w:val="both"/>
        <w:rPr>
          <w:rFonts w:ascii="Times New Roman" w:hAnsi="Times New Roman" w:cs="Times New Roman"/>
          <w:sz w:val="28"/>
          <w:szCs w:val="28"/>
          <w:lang w:val="en-US"/>
        </w:rPr>
      </w:pPr>
      <w:r>
        <w:rPr>
          <w:rFonts w:ascii="Times New Roman" w:hAnsi="Times New Roman" w:cs="Times New Roman"/>
          <w:sz w:val="28"/>
          <w:szCs w:val="28"/>
        </w:rPr>
        <w:lastRenderedPageBreak/>
        <w:t xml:space="preserve">Să asigure respectarea prevederilor regulamentare privind procesul de examinare și de confirmare a eligibilității propunerilor de proiecte pentru investiții capitale, respectând principiile de prioritizare și de conformitate ale acestora cu documentele de planificare strategică națională și sectorială </w:t>
      </w:r>
      <w:r w:rsidRPr="00D10629">
        <w:rPr>
          <w:rFonts w:ascii="Times New Roman" w:hAnsi="Times New Roman" w:cs="Times New Roman"/>
          <w:sz w:val="28"/>
          <w:szCs w:val="28"/>
        </w:rPr>
        <w:t>(</w:t>
      </w:r>
      <w:r w:rsidRPr="00D10629">
        <w:rPr>
          <w:rFonts w:ascii="Times New Roman" w:hAnsi="Times New Roman" w:cs="Times New Roman"/>
          <w:i/>
          <w:sz w:val="28"/>
          <w:szCs w:val="28"/>
        </w:rPr>
        <w:t>constatarea din capitolul 4.2.</w:t>
      </w:r>
      <w:r>
        <w:rPr>
          <w:rFonts w:ascii="Times New Roman" w:hAnsi="Times New Roman" w:cs="Times New Roman"/>
          <w:i/>
          <w:sz w:val="28"/>
          <w:szCs w:val="28"/>
        </w:rPr>
        <w:t>6</w:t>
      </w:r>
      <w:r w:rsidRPr="00D10629">
        <w:rPr>
          <w:rFonts w:ascii="Times New Roman" w:hAnsi="Times New Roman" w:cs="Times New Roman"/>
          <w:sz w:val="28"/>
          <w:szCs w:val="28"/>
        </w:rPr>
        <w:t>)</w:t>
      </w:r>
      <w:r w:rsidR="008D4C2D">
        <w:rPr>
          <w:rFonts w:ascii="Times New Roman" w:hAnsi="Times New Roman" w:cs="Times New Roman"/>
          <w:sz w:val="28"/>
          <w:szCs w:val="28"/>
        </w:rPr>
        <w:t>;</w:t>
      </w:r>
    </w:p>
    <w:p w:rsidR="001E4F1C" w:rsidRPr="008D4C2D" w:rsidRDefault="00D42F14" w:rsidP="003F12B5">
      <w:pPr>
        <w:pStyle w:val="a5"/>
        <w:numPr>
          <w:ilvl w:val="0"/>
          <w:numId w:val="2"/>
        </w:numPr>
        <w:tabs>
          <w:tab w:val="left" w:pos="567"/>
          <w:tab w:val="left" w:pos="709"/>
          <w:tab w:val="left" w:pos="993"/>
        </w:tabs>
        <w:spacing w:after="0" w:line="276" w:lineRule="auto"/>
        <w:ind w:left="0" w:firstLine="709"/>
        <w:jc w:val="both"/>
        <w:rPr>
          <w:rFonts w:ascii="Times New Roman" w:hAnsi="Times New Roman" w:cs="Times New Roman"/>
          <w:b/>
          <w:i/>
          <w:sz w:val="28"/>
          <w:szCs w:val="28"/>
        </w:rPr>
      </w:pPr>
      <w:r>
        <w:rPr>
          <w:rFonts w:ascii="Times New Roman" w:hAnsi="Times New Roman" w:cs="Times New Roman"/>
          <w:sz w:val="28"/>
          <w:szCs w:val="28"/>
        </w:rPr>
        <w:t xml:space="preserve">Să </w:t>
      </w:r>
      <w:r w:rsidR="00DB7D40">
        <w:rPr>
          <w:rFonts w:ascii="Times New Roman" w:hAnsi="Times New Roman" w:cs="Times New Roman"/>
          <w:sz w:val="28"/>
          <w:szCs w:val="28"/>
        </w:rPr>
        <w:t xml:space="preserve">asigure </w:t>
      </w:r>
      <w:r w:rsidR="00634A77">
        <w:rPr>
          <w:rFonts w:ascii="Times New Roman" w:hAnsi="Times New Roman" w:cs="Times New Roman"/>
          <w:sz w:val="28"/>
          <w:szCs w:val="28"/>
        </w:rPr>
        <w:t>includerea și prezentarea</w:t>
      </w:r>
      <w:r w:rsidR="00DB7D40">
        <w:rPr>
          <w:rFonts w:ascii="Times New Roman" w:hAnsi="Times New Roman" w:cs="Times New Roman"/>
          <w:sz w:val="28"/>
          <w:szCs w:val="28"/>
        </w:rPr>
        <w:t xml:space="preserve"> în componența și formatul f</w:t>
      </w:r>
      <w:r w:rsidR="00DB7D40" w:rsidRPr="00437EF7">
        <w:rPr>
          <w:rFonts w:ascii="Times New Roman" w:hAnsi="Times New Roman" w:cs="Times New Roman"/>
          <w:sz w:val="28"/>
          <w:szCs w:val="28"/>
        </w:rPr>
        <w:t>ormularel</w:t>
      </w:r>
      <w:r w:rsidR="00DB7D40">
        <w:rPr>
          <w:rFonts w:ascii="Times New Roman" w:hAnsi="Times New Roman" w:cs="Times New Roman"/>
          <w:sz w:val="28"/>
          <w:szCs w:val="28"/>
        </w:rPr>
        <w:t xml:space="preserve">or Raportului anual privind executarea bugetului de stat a informației consolidate aferente rapoartelor financiare ale APC și UAT, în special situațiile patrimoniale reflectate în „Bilanțul contabil” </w:t>
      </w:r>
      <w:r w:rsidR="004331A8">
        <w:rPr>
          <w:rFonts w:ascii="Times New Roman" w:hAnsi="Times New Roman" w:cs="Times New Roman"/>
          <w:sz w:val="28"/>
          <w:szCs w:val="28"/>
        </w:rPr>
        <w:t>(</w:t>
      </w:r>
      <w:r w:rsidR="00DB7D40">
        <w:rPr>
          <w:rFonts w:ascii="Times New Roman" w:hAnsi="Times New Roman" w:cs="Times New Roman"/>
          <w:sz w:val="28"/>
          <w:szCs w:val="28"/>
        </w:rPr>
        <w:t>f</w:t>
      </w:r>
      <w:r w:rsidR="00DB7D40" w:rsidRPr="00437EF7">
        <w:rPr>
          <w:rFonts w:ascii="Times New Roman" w:hAnsi="Times New Roman" w:cs="Times New Roman"/>
          <w:sz w:val="28"/>
          <w:szCs w:val="28"/>
        </w:rPr>
        <w:t>orma</w:t>
      </w:r>
      <w:r w:rsidR="00DB7D40">
        <w:rPr>
          <w:rFonts w:ascii="Times New Roman" w:hAnsi="Times New Roman" w:cs="Times New Roman"/>
          <w:sz w:val="28"/>
          <w:szCs w:val="28"/>
        </w:rPr>
        <w:t xml:space="preserve"> D-41</w:t>
      </w:r>
      <w:r w:rsidR="004331A8">
        <w:rPr>
          <w:rFonts w:ascii="Times New Roman" w:hAnsi="Times New Roman" w:cs="Times New Roman"/>
          <w:sz w:val="28"/>
          <w:szCs w:val="28"/>
        </w:rPr>
        <w:t>)</w:t>
      </w:r>
      <w:r w:rsidR="00DB7D40">
        <w:rPr>
          <w:rFonts w:ascii="Times New Roman" w:hAnsi="Times New Roman" w:cs="Times New Roman"/>
          <w:sz w:val="28"/>
          <w:szCs w:val="28"/>
        </w:rPr>
        <w:t xml:space="preserve"> (</w:t>
      </w:r>
      <w:r w:rsidR="00DB7D40">
        <w:rPr>
          <w:rFonts w:ascii="Times New Roman" w:hAnsi="Times New Roman" w:cs="Times New Roman"/>
          <w:i/>
          <w:sz w:val="28"/>
          <w:szCs w:val="28"/>
        </w:rPr>
        <w:t>constatarea din capitolul 4.2.9</w:t>
      </w:r>
      <w:r w:rsidR="00DB7D40">
        <w:rPr>
          <w:rFonts w:ascii="Times New Roman" w:hAnsi="Times New Roman" w:cs="Times New Roman"/>
          <w:sz w:val="28"/>
          <w:szCs w:val="28"/>
        </w:rPr>
        <w:t>)</w:t>
      </w:r>
      <w:r w:rsidR="004331A8">
        <w:rPr>
          <w:rFonts w:ascii="Times New Roman" w:hAnsi="Times New Roman" w:cs="Times New Roman"/>
          <w:sz w:val="28"/>
          <w:szCs w:val="28"/>
        </w:rPr>
        <w:t>.</w:t>
      </w:r>
    </w:p>
    <w:p w:rsidR="00D10629" w:rsidRDefault="00D10629" w:rsidP="004A44F2">
      <w:pPr>
        <w:pStyle w:val="a5"/>
        <w:tabs>
          <w:tab w:val="left" w:pos="567"/>
          <w:tab w:val="left" w:pos="851"/>
          <w:tab w:val="left" w:pos="993"/>
        </w:tabs>
        <w:spacing w:after="0" w:line="276" w:lineRule="auto"/>
        <w:ind w:left="709"/>
        <w:jc w:val="both"/>
        <w:rPr>
          <w:rFonts w:ascii="Times New Roman" w:hAnsi="Times New Roman" w:cs="Times New Roman"/>
          <w:sz w:val="28"/>
          <w:szCs w:val="28"/>
        </w:rPr>
      </w:pPr>
    </w:p>
    <w:p w:rsidR="00C02768" w:rsidRPr="00EB26BE" w:rsidRDefault="008F47D4" w:rsidP="008F47D4">
      <w:pPr>
        <w:pStyle w:val="a5"/>
        <w:numPr>
          <w:ilvl w:val="0"/>
          <w:numId w:val="1"/>
        </w:numPr>
        <w:tabs>
          <w:tab w:val="left" w:pos="567"/>
          <w:tab w:val="left" w:pos="851"/>
          <w:tab w:val="left" w:pos="993"/>
        </w:tabs>
        <w:spacing w:after="0" w:line="276" w:lineRule="auto"/>
        <w:ind w:left="0" w:firstLine="0"/>
        <w:jc w:val="center"/>
        <w:outlineLvl w:val="0"/>
        <w:rPr>
          <w:rFonts w:ascii="Times New Roman" w:hAnsi="Times New Roman" w:cs="Times New Roman"/>
          <w:b/>
          <w:sz w:val="32"/>
          <w:szCs w:val="32"/>
        </w:rPr>
      </w:pPr>
      <w:bookmarkStart w:id="29" w:name="_Toc515519002"/>
      <w:r w:rsidRPr="0026470C">
        <w:rPr>
          <w:rFonts w:ascii="Times New Roman" w:hAnsi="Times New Roman" w:cs="Times New Roman"/>
          <w:b/>
          <w:sz w:val="32"/>
          <w:szCs w:val="32"/>
        </w:rPr>
        <w:t xml:space="preserve">RESPONSABILITĂȚILE </w:t>
      </w:r>
      <w:r w:rsidRPr="00EB26BE">
        <w:rPr>
          <w:rFonts w:ascii="Times New Roman" w:hAnsi="Times New Roman" w:cs="Times New Roman"/>
          <w:b/>
          <w:sz w:val="32"/>
          <w:szCs w:val="32"/>
        </w:rPr>
        <w:t>CONDUCERII ȘI CELOR ÎN</w:t>
      </w:r>
      <w:r>
        <w:rPr>
          <w:rFonts w:ascii="Times New Roman" w:hAnsi="Times New Roman" w:cs="Times New Roman"/>
          <w:b/>
          <w:sz w:val="32"/>
          <w:szCs w:val="32"/>
        </w:rPr>
        <w:t>SĂRCINAȚI CU GUVERNANȚA PENTRU SITUAȚIILE FINANCIARE</w:t>
      </w:r>
      <w:bookmarkEnd w:id="29"/>
    </w:p>
    <w:p w:rsidR="00F625E0" w:rsidRPr="00F625E0" w:rsidRDefault="00063A6D" w:rsidP="004A44F2">
      <w:pPr>
        <w:tabs>
          <w:tab w:val="left" w:pos="1134"/>
        </w:tabs>
        <w:spacing w:after="0" w:line="276" w:lineRule="auto"/>
        <w:ind w:firstLine="709"/>
        <w:jc w:val="both"/>
        <w:rPr>
          <w:rFonts w:ascii="Times New Roman" w:eastAsia="Calibri" w:hAnsi="Times New Roman" w:cs="Times New Roman"/>
          <w:sz w:val="28"/>
          <w:szCs w:val="28"/>
          <w:lang w:eastAsia="ru-RU"/>
        </w:rPr>
      </w:pPr>
      <w:r w:rsidRPr="00EB26BE">
        <w:rPr>
          <w:rFonts w:ascii="Times New Roman" w:eastAsia="Times New Roman" w:hAnsi="Times New Roman" w:cs="Times New Roman"/>
          <w:sz w:val="28"/>
          <w:szCs w:val="28"/>
        </w:rPr>
        <w:tab/>
      </w:r>
      <w:r w:rsidR="00F625E0" w:rsidRPr="00F625E0">
        <w:rPr>
          <w:rFonts w:ascii="Times New Roman" w:eastAsia="Calibri" w:hAnsi="Times New Roman" w:cs="Times New Roman"/>
          <w:i/>
          <w:sz w:val="28"/>
          <w:szCs w:val="28"/>
          <w:lang w:eastAsia="ru-RU"/>
        </w:rPr>
        <w:t>Responsabilitatea Guvernului, în condițiile prevederilor legale</w:t>
      </w:r>
      <w:r w:rsidR="00F625E0" w:rsidRPr="00F625E0">
        <w:rPr>
          <w:rFonts w:ascii="Times New Roman" w:eastAsia="Calibri" w:hAnsi="Times New Roman" w:cs="Times New Roman"/>
          <w:i/>
          <w:sz w:val="28"/>
          <w:szCs w:val="28"/>
          <w:vertAlign w:val="superscript"/>
          <w:lang w:eastAsia="ru-RU"/>
        </w:rPr>
        <w:footnoteReference w:id="77"/>
      </w:r>
      <w:r w:rsidR="00F625E0" w:rsidRPr="00F625E0">
        <w:rPr>
          <w:rFonts w:ascii="Times New Roman" w:eastAsia="Calibri" w:hAnsi="Times New Roman" w:cs="Times New Roman"/>
          <w:i/>
          <w:sz w:val="28"/>
          <w:szCs w:val="28"/>
          <w:lang w:eastAsia="ru-RU"/>
        </w:rPr>
        <w:t xml:space="preserve">, </w:t>
      </w:r>
      <w:r w:rsidR="00F625E0" w:rsidRPr="00F625E0">
        <w:rPr>
          <w:rFonts w:ascii="Times New Roman" w:eastAsia="Calibri" w:hAnsi="Times New Roman" w:cs="Times New Roman"/>
          <w:sz w:val="28"/>
          <w:szCs w:val="28"/>
          <w:lang w:eastAsia="ru-RU"/>
        </w:rPr>
        <w:t xml:space="preserve">constă în conducerea generală a activității executive în domeniul finanțelor publice, în conformitate cu condițiile și regulile stabilite, asigurarea durabilității programului de guvernare și altor documente de politici din punct de vedere bugetar-fiscal, asigurarea administrării datoriei de stat și monitorizarea datoriei publice, aprobarea cadrului bugetar pe termen mediu, aprobarea și prezentarea în Parlament a proiectelor legilor bugetare anuale, precum și a proiectelor de legi privind modificarea bugetelor, asigurarea gestionării eficiente și transparente a </w:t>
      </w:r>
      <w:r w:rsidR="002B3A86">
        <w:rPr>
          <w:rFonts w:ascii="Times New Roman" w:eastAsia="Calibri" w:hAnsi="Times New Roman" w:cs="Times New Roman"/>
          <w:sz w:val="28"/>
          <w:szCs w:val="28"/>
          <w:lang w:eastAsia="ru-RU"/>
        </w:rPr>
        <w:t>f</w:t>
      </w:r>
      <w:r w:rsidR="00F625E0" w:rsidRPr="00F625E0">
        <w:rPr>
          <w:rFonts w:ascii="Times New Roman" w:eastAsia="Calibri" w:hAnsi="Times New Roman" w:cs="Times New Roman"/>
          <w:sz w:val="28"/>
          <w:szCs w:val="28"/>
          <w:lang w:eastAsia="ru-RU"/>
        </w:rPr>
        <w:t xml:space="preserve">ondului de rezervă și </w:t>
      </w:r>
      <w:r w:rsidR="002B3A86">
        <w:rPr>
          <w:rFonts w:ascii="Times New Roman" w:eastAsia="Calibri" w:hAnsi="Times New Roman" w:cs="Times New Roman"/>
          <w:sz w:val="28"/>
          <w:szCs w:val="28"/>
          <w:lang w:eastAsia="ru-RU"/>
        </w:rPr>
        <w:t>f</w:t>
      </w:r>
      <w:r w:rsidR="00F625E0" w:rsidRPr="00F625E0">
        <w:rPr>
          <w:rFonts w:ascii="Times New Roman" w:eastAsia="Calibri" w:hAnsi="Times New Roman" w:cs="Times New Roman"/>
          <w:sz w:val="28"/>
          <w:szCs w:val="28"/>
          <w:lang w:eastAsia="ru-RU"/>
        </w:rPr>
        <w:t>ondului de intervenție ale Guvernului etc.</w:t>
      </w:r>
    </w:p>
    <w:p w:rsidR="00F625E0" w:rsidRPr="00F625E0" w:rsidRDefault="00F625E0" w:rsidP="004A44F2">
      <w:pPr>
        <w:tabs>
          <w:tab w:val="left" w:pos="1134"/>
        </w:tabs>
        <w:spacing w:after="0" w:line="276" w:lineRule="auto"/>
        <w:ind w:firstLine="709"/>
        <w:jc w:val="both"/>
        <w:rPr>
          <w:rFonts w:ascii="Times New Roman" w:eastAsia="Calibri" w:hAnsi="Times New Roman" w:cs="Times New Roman"/>
          <w:sz w:val="28"/>
          <w:szCs w:val="28"/>
          <w:lang w:eastAsia="ru-RU"/>
        </w:rPr>
      </w:pPr>
      <w:r w:rsidRPr="00F625E0">
        <w:rPr>
          <w:rFonts w:ascii="Times New Roman" w:eastAsia="Calibri" w:hAnsi="Times New Roman" w:cs="Times New Roman"/>
          <w:i/>
          <w:sz w:val="28"/>
          <w:szCs w:val="28"/>
          <w:lang w:eastAsia="ru-RU"/>
        </w:rPr>
        <w:t>Responsabilitatea Ministerului Finanțelor</w:t>
      </w:r>
      <w:r w:rsidRPr="00F625E0">
        <w:rPr>
          <w:rFonts w:ascii="Times New Roman" w:eastAsia="Calibri" w:hAnsi="Times New Roman" w:cs="Times New Roman"/>
          <w:i/>
          <w:sz w:val="28"/>
          <w:szCs w:val="28"/>
          <w:vertAlign w:val="superscript"/>
          <w:lang w:eastAsia="ru-RU"/>
        </w:rPr>
        <w:footnoteReference w:id="78"/>
      </w:r>
      <w:r w:rsidRPr="00F625E0">
        <w:rPr>
          <w:rFonts w:ascii="Times New Roman" w:eastAsia="Calibri" w:hAnsi="Times New Roman" w:cs="Times New Roman"/>
          <w:sz w:val="28"/>
          <w:szCs w:val="28"/>
          <w:lang w:eastAsia="ru-RU"/>
        </w:rPr>
        <w:t xml:space="preserve">, în calitate de autoritate publică centrală în domeniul finanțelor publice, este asigurarea coordonării generale a procesului bugetar, elaborarea și asigurarea implementării politicii bugetar-fiscale în conformitate cu principiile și regulile bugetar-fiscale stabilite de cadrul regulator, elaborarea și prezentarea către Guvern a CBTM, a proiectului Legii bugetului de stat pe anul respectiv și a modificărilor la aceasta, administrarea datoriei de stat și garanțiilor de stat, precum și monitorizarea datoriei </w:t>
      </w:r>
      <w:r w:rsidR="00725C7B">
        <w:rPr>
          <w:rFonts w:ascii="Times New Roman" w:eastAsia="Calibri" w:hAnsi="Times New Roman" w:cs="Times New Roman"/>
          <w:sz w:val="28"/>
          <w:szCs w:val="28"/>
          <w:lang w:eastAsia="ru-RU"/>
        </w:rPr>
        <w:t xml:space="preserve">sectorului </w:t>
      </w:r>
      <w:r w:rsidRPr="00F625E0">
        <w:rPr>
          <w:rFonts w:ascii="Times New Roman" w:eastAsia="Calibri" w:hAnsi="Times New Roman" w:cs="Times New Roman"/>
          <w:sz w:val="28"/>
          <w:szCs w:val="28"/>
          <w:lang w:eastAsia="ru-RU"/>
        </w:rPr>
        <w:t>public, elaborarea și aprobarea actelor normative și legislative aferente domeniului bugetar și finanțelor publice, asigurarea gestionării mijloacelor financiare ale bugetului public național prin CUT și prin conturile deschise la BNM și în instituțiile financiare, monitorizarea executării bugetelor pe componentele BPN, organizarea și asigurarea funcționării sistemului trezorerial, întocmirea și publicarea rapoartelor periodice și anuale privind executarea bugetului de stat, precum și executarea bugetului public național etc.</w:t>
      </w:r>
    </w:p>
    <w:p w:rsidR="00F625E0" w:rsidRPr="00F625E0" w:rsidRDefault="00F625E0" w:rsidP="004A44F2">
      <w:pPr>
        <w:tabs>
          <w:tab w:val="left" w:pos="1134"/>
        </w:tabs>
        <w:spacing w:after="0" w:line="276" w:lineRule="auto"/>
        <w:ind w:firstLine="709"/>
        <w:jc w:val="both"/>
        <w:rPr>
          <w:rFonts w:ascii="Times New Roman" w:eastAsia="Calibri" w:hAnsi="Times New Roman" w:cs="Times New Roman"/>
          <w:sz w:val="28"/>
          <w:szCs w:val="28"/>
          <w:lang w:eastAsia="ru-RU"/>
        </w:rPr>
      </w:pPr>
      <w:r w:rsidRPr="00F625E0">
        <w:rPr>
          <w:rFonts w:ascii="Times New Roman" w:eastAsia="Calibri" w:hAnsi="Times New Roman" w:cs="Times New Roman"/>
          <w:i/>
          <w:sz w:val="28"/>
          <w:szCs w:val="28"/>
          <w:lang w:eastAsia="ru-RU"/>
        </w:rPr>
        <w:lastRenderedPageBreak/>
        <w:t xml:space="preserve">Responsabilitatea Trezoreriei de Stat </w:t>
      </w:r>
      <w:r w:rsidRPr="00F625E0">
        <w:rPr>
          <w:rFonts w:ascii="Times New Roman" w:eastAsia="Calibri" w:hAnsi="Times New Roman" w:cs="Times New Roman"/>
          <w:sz w:val="28"/>
          <w:szCs w:val="28"/>
          <w:lang w:eastAsia="ru-RU"/>
        </w:rPr>
        <w:t xml:space="preserve">se rezumă la executarea de casă prin intermediul sistemului trezorerial a operațiunilor bugetelor de toate nivelurile care sunt parte a bugetului public național, asigurând evidența veniturilor în baza încasărilor efective în ordinea colectării; efectuarea de cheltuieli în conformitate cu Legea bugetară anuală; administrarea veniturilor și cheltuielilor prin conturi distincte, bazate pe </w:t>
      </w:r>
      <w:r w:rsidR="005562CE">
        <w:rPr>
          <w:rFonts w:ascii="Times New Roman" w:eastAsia="Calibri" w:hAnsi="Times New Roman" w:cs="Times New Roman"/>
          <w:sz w:val="28"/>
          <w:szCs w:val="28"/>
          <w:lang w:eastAsia="ru-RU"/>
        </w:rPr>
        <w:t>C</w:t>
      </w:r>
      <w:r w:rsidRPr="00F625E0">
        <w:rPr>
          <w:rFonts w:ascii="Times New Roman" w:eastAsia="Calibri" w:hAnsi="Times New Roman" w:cs="Times New Roman"/>
          <w:sz w:val="28"/>
          <w:szCs w:val="28"/>
          <w:lang w:eastAsia="ru-RU"/>
        </w:rPr>
        <w:t>lasificația bugetară</w:t>
      </w:r>
      <w:r w:rsidRPr="00F625E0">
        <w:rPr>
          <w:rFonts w:ascii="Times New Roman" w:eastAsia="Calibri" w:hAnsi="Times New Roman" w:cs="Times New Roman"/>
          <w:sz w:val="28"/>
          <w:szCs w:val="28"/>
          <w:vertAlign w:val="superscript"/>
          <w:lang w:eastAsia="ru-RU"/>
        </w:rPr>
        <w:footnoteReference w:id="79"/>
      </w:r>
      <w:r w:rsidRPr="00F625E0">
        <w:rPr>
          <w:rFonts w:ascii="Times New Roman" w:eastAsia="Calibri" w:hAnsi="Times New Roman" w:cs="Times New Roman"/>
          <w:sz w:val="28"/>
          <w:szCs w:val="28"/>
          <w:lang w:eastAsia="ru-RU"/>
        </w:rPr>
        <w:t xml:space="preserve">, și asigurarea </w:t>
      </w:r>
      <w:r w:rsidR="00725C7B">
        <w:rPr>
          <w:rFonts w:ascii="Times New Roman" w:eastAsia="Calibri" w:hAnsi="Times New Roman" w:cs="Times New Roman"/>
          <w:sz w:val="28"/>
          <w:szCs w:val="28"/>
          <w:lang w:eastAsia="ru-RU"/>
        </w:rPr>
        <w:t xml:space="preserve">deservirii </w:t>
      </w:r>
      <w:r w:rsidRPr="00F625E0">
        <w:rPr>
          <w:rFonts w:ascii="Times New Roman" w:eastAsia="Calibri" w:hAnsi="Times New Roman" w:cs="Times New Roman"/>
          <w:sz w:val="28"/>
          <w:szCs w:val="28"/>
          <w:lang w:eastAsia="ru-RU"/>
        </w:rPr>
        <w:t>datoriei de stat, reglementarea metodologiei contabile, evidența, întocmirea și raportarea fidelă a executării bugetului de stat în conformitate cu practicile contabile general acceptate în Republica Moldova. Aceste rapoarte trebuie să reflecte în mod echitabil poziția financiară a Guvernului la situația din 31.12.2017.</w:t>
      </w:r>
    </w:p>
    <w:p w:rsidR="001E4F1C" w:rsidRPr="0026470C" w:rsidRDefault="00F625E0" w:rsidP="004A44F2">
      <w:pPr>
        <w:pStyle w:val="a5"/>
        <w:tabs>
          <w:tab w:val="left" w:pos="567"/>
          <w:tab w:val="left" w:pos="851"/>
          <w:tab w:val="left" w:pos="993"/>
        </w:tabs>
        <w:spacing w:after="0" w:line="276" w:lineRule="auto"/>
        <w:ind w:left="0" w:firstLine="709"/>
        <w:jc w:val="both"/>
        <w:rPr>
          <w:rFonts w:ascii="Times New Roman" w:eastAsia="Times New Roman" w:hAnsi="Times New Roman" w:cs="Times New Roman"/>
          <w:sz w:val="28"/>
          <w:szCs w:val="28"/>
        </w:rPr>
      </w:pPr>
      <w:r w:rsidRPr="00F625E0">
        <w:rPr>
          <w:rFonts w:ascii="Times New Roman" w:eastAsia="Calibri" w:hAnsi="Times New Roman" w:cs="Times New Roman"/>
          <w:i/>
          <w:sz w:val="28"/>
          <w:szCs w:val="28"/>
          <w:lang w:eastAsia="ru-RU"/>
        </w:rPr>
        <w:t xml:space="preserve">Responsabilitatea </w:t>
      </w:r>
      <w:r w:rsidR="00FC5B51">
        <w:rPr>
          <w:rFonts w:ascii="Times New Roman" w:eastAsia="Calibri" w:hAnsi="Times New Roman" w:cs="Times New Roman"/>
          <w:i/>
          <w:sz w:val="28"/>
          <w:szCs w:val="28"/>
          <w:lang w:eastAsia="ru-RU"/>
        </w:rPr>
        <w:t>autorităților/instituțiilor bugetare</w:t>
      </w:r>
      <w:r w:rsidRPr="00F625E0">
        <w:rPr>
          <w:rFonts w:ascii="Times New Roman" w:eastAsia="Calibri" w:hAnsi="Times New Roman" w:cs="Times New Roman"/>
          <w:sz w:val="28"/>
          <w:szCs w:val="28"/>
          <w:lang w:eastAsia="ru-RU"/>
        </w:rPr>
        <w:t xml:space="preserve"> constă în organizarea și controlul asupra planificării, utilizării alocațiilor conform destinației prevăzute în bugetele proprii și ale instituțiilor subordonate, efectuarea operațiunilor în corespundere cu cadrul general, ținerea evidenței contabile și raportarea conform cadrului regulator, elaborarea și implementarea unui sistem de management financiar și control intern eficient, asigurând buna guvernare a fondurilor publice, precum și gestionarea eficientă a patrimoniului public, inclusiv prevenirea și descoperirea erorilor și fraudelor. De asemenea, </w:t>
      </w:r>
      <w:r w:rsidR="00725C7B">
        <w:rPr>
          <w:rFonts w:ascii="Times New Roman" w:eastAsia="Calibri" w:hAnsi="Times New Roman" w:cs="Times New Roman"/>
          <w:sz w:val="28"/>
          <w:szCs w:val="28"/>
          <w:lang w:eastAsia="ru-RU"/>
        </w:rPr>
        <w:t>autoritățile/instituțiile bugetare</w:t>
      </w:r>
      <w:r w:rsidRPr="00F625E0">
        <w:rPr>
          <w:rFonts w:ascii="Times New Roman" w:eastAsia="Calibri" w:hAnsi="Times New Roman" w:cs="Times New Roman"/>
          <w:sz w:val="28"/>
          <w:szCs w:val="28"/>
          <w:lang w:eastAsia="ru-RU"/>
        </w:rPr>
        <w:t>, în calitate de organe ierarhic superioare pentru instituțiile din subordine, sunt responsabili de prezentarea către Ministerul Finanțelor, în termenele stabilite, a rapoartelor consolidate pe domeniul patronat.</w:t>
      </w:r>
    </w:p>
    <w:p w:rsidR="00E5301F" w:rsidRPr="0026470C" w:rsidRDefault="00E5301F" w:rsidP="004A44F2">
      <w:pPr>
        <w:pStyle w:val="a5"/>
        <w:tabs>
          <w:tab w:val="left" w:pos="567"/>
          <w:tab w:val="left" w:pos="851"/>
          <w:tab w:val="left" w:pos="993"/>
        </w:tabs>
        <w:spacing w:after="0" w:line="276" w:lineRule="auto"/>
        <w:ind w:left="0"/>
        <w:jc w:val="both"/>
        <w:rPr>
          <w:rFonts w:ascii="Times New Roman" w:eastAsia="Times New Roman" w:hAnsi="Times New Roman" w:cs="Times New Roman"/>
          <w:sz w:val="28"/>
          <w:szCs w:val="28"/>
        </w:rPr>
      </w:pPr>
    </w:p>
    <w:p w:rsidR="003B2FB5" w:rsidRPr="000641CB" w:rsidRDefault="00086E7B" w:rsidP="004A44F2">
      <w:pPr>
        <w:pStyle w:val="a5"/>
        <w:numPr>
          <w:ilvl w:val="0"/>
          <w:numId w:val="1"/>
        </w:numPr>
        <w:tabs>
          <w:tab w:val="left" w:pos="567"/>
          <w:tab w:val="left" w:pos="851"/>
          <w:tab w:val="left" w:pos="993"/>
        </w:tabs>
        <w:spacing w:after="0" w:line="276" w:lineRule="auto"/>
        <w:ind w:left="0" w:firstLine="0"/>
        <w:jc w:val="center"/>
        <w:outlineLvl w:val="0"/>
        <w:rPr>
          <w:rFonts w:ascii="Times New Roman" w:hAnsi="Times New Roman" w:cs="Times New Roman"/>
          <w:b/>
          <w:sz w:val="32"/>
          <w:szCs w:val="32"/>
        </w:rPr>
      </w:pPr>
      <w:bookmarkStart w:id="30" w:name="_Toc515519003"/>
      <w:r w:rsidRPr="00035E95">
        <w:rPr>
          <w:rFonts w:ascii="Times New Roman" w:hAnsi="Times New Roman" w:cs="Times New Roman"/>
          <w:b/>
          <w:sz w:val="32"/>
          <w:szCs w:val="32"/>
        </w:rPr>
        <w:t>RESPONSABILITĂȚILE AUDITOR</w:t>
      </w:r>
      <w:r w:rsidRPr="008847E8">
        <w:rPr>
          <w:rFonts w:ascii="Times New Roman" w:hAnsi="Times New Roman" w:cs="Times New Roman"/>
          <w:b/>
          <w:sz w:val="32"/>
          <w:szCs w:val="32"/>
        </w:rPr>
        <w:t>ULUI</w:t>
      </w:r>
      <w:bookmarkEnd w:id="30"/>
    </w:p>
    <w:p w:rsidR="00AA148D" w:rsidRDefault="00F625E0" w:rsidP="004A44F2">
      <w:pPr>
        <w:pStyle w:val="ad"/>
        <w:spacing w:line="276" w:lineRule="auto"/>
        <w:ind w:firstLine="709"/>
        <w:rPr>
          <w:sz w:val="28"/>
          <w:szCs w:val="28"/>
          <w:lang w:val="ro-RO"/>
        </w:rPr>
      </w:pPr>
      <w:r w:rsidRPr="00437EF7">
        <w:rPr>
          <w:sz w:val="28"/>
          <w:szCs w:val="28"/>
          <w:lang w:val="ro-RO"/>
        </w:rPr>
        <w:t xml:space="preserve">Activitatea echipei de audit a constat în obținerea probelor de audit suficiente și adecvate pentru susținerea constatărilor </w:t>
      </w:r>
      <w:r w:rsidR="00AA148D">
        <w:rPr>
          <w:sz w:val="28"/>
          <w:szCs w:val="28"/>
          <w:lang w:val="ro-RO"/>
        </w:rPr>
        <w:t xml:space="preserve">referitor la faptul </w:t>
      </w:r>
      <w:r w:rsidR="00AA148D" w:rsidRPr="00AA148D">
        <w:rPr>
          <w:bCs/>
          <w:iCs/>
          <w:sz w:val="28"/>
          <w:szCs w:val="28"/>
          <w:lang w:val="ro-MD"/>
        </w:rPr>
        <w:t xml:space="preserve">că Raportul Guvernului privind executarea bugetului de stat pe anul 2017, întocmit de Ministerul Finanțelor și prezentat Guvernului spre aprobare este elaborat, în toate aspectele semnificative, în conformitate cu prevederile legale și prezintă informația financiară, bazată pe datele evidenței sistemului trezorerial și datele consolidate ale rapoartelor </w:t>
      </w:r>
      <w:r w:rsidR="00AA148D" w:rsidRPr="00AA148D">
        <w:rPr>
          <w:sz w:val="28"/>
          <w:szCs w:val="28"/>
          <w:lang w:val="ro-MD"/>
        </w:rPr>
        <w:t>autorităților/instituțiilor bugetare</w:t>
      </w:r>
      <w:r w:rsidR="00AA148D" w:rsidRPr="00AA148D">
        <w:rPr>
          <w:bCs/>
          <w:iCs/>
          <w:sz w:val="28"/>
          <w:szCs w:val="28"/>
          <w:lang w:val="ro-MD"/>
        </w:rPr>
        <w:t>, iar operațiunile sunt corecte și conforme prevederilor legale</w:t>
      </w:r>
      <w:r w:rsidR="00AA148D">
        <w:rPr>
          <w:bCs/>
          <w:iCs/>
          <w:sz w:val="28"/>
          <w:szCs w:val="28"/>
          <w:lang w:val="ro-MD"/>
        </w:rPr>
        <w:t xml:space="preserve"> </w:t>
      </w:r>
      <w:r w:rsidR="00AA148D" w:rsidRPr="00437EF7">
        <w:rPr>
          <w:sz w:val="28"/>
          <w:szCs w:val="28"/>
          <w:lang w:val="ro-RO"/>
        </w:rPr>
        <w:t xml:space="preserve">cu exprimarea opiniei de audit și formularea ulterioară a recomandărilor. </w:t>
      </w:r>
    </w:p>
    <w:p w:rsidR="00AA148D" w:rsidRPr="00AA148D" w:rsidRDefault="00AA148D" w:rsidP="004A44F2">
      <w:pPr>
        <w:pStyle w:val="ad"/>
        <w:spacing w:line="276" w:lineRule="auto"/>
        <w:ind w:firstLine="709"/>
        <w:rPr>
          <w:sz w:val="28"/>
          <w:szCs w:val="28"/>
          <w:lang w:val="ro-MD"/>
        </w:rPr>
      </w:pPr>
      <w:r w:rsidRPr="00437EF7">
        <w:rPr>
          <w:sz w:val="28"/>
          <w:szCs w:val="28"/>
          <w:lang w:val="ro-RO"/>
        </w:rPr>
        <w:t>Auditorii nu sunt responsabili de prevenirea faptelor de fraudă și eroare.</w:t>
      </w:r>
    </w:p>
    <w:p w:rsidR="003710CC" w:rsidRPr="00035E95" w:rsidRDefault="003710CC" w:rsidP="004A44F2">
      <w:pPr>
        <w:pStyle w:val="ad"/>
        <w:spacing w:line="276" w:lineRule="auto"/>
        <w:ind w:firstLine="709"/>
        <w:rPr>
          <w:sz w:val="28"/>
          <w:szCs w:val="28"/>
          <w:lang w:val="ro-RO"/>
        </w:rPr>
      </w:pPr>
    </w:p>
    <w:p w:rsidR="00E5301F" w:rsidRDefault="00E5301F" w:rsidP="004A44F2">
      <w:pPr>
        <w:pStyle w:val="ad"/>
        <w:spacing w:line="276" w:lineRule="auto"/>
        <w:ind w:firstLine="709"/>
        <w:rPr>
          <w:sz w:val="28"/>
          <w:szCs w:val="28"/>
          <w:lang w:val="ro-RO"/>
        </w:rPr>
      </w:pPr>
    </w:p>
    <w:p w:rsidR="00B868AF" w:rsidRDefault="00B868AF" w:rsidP="004A44F2">
      <w:pPr>
        <w:pStyle w:val="ad"/>
        <w:spacing w:line="276" w:lineRule="auto"/>
        <w:ind w:firstLine="709"/>
        <w:rPr>
          <w:sz w:val="28"/>
          <w:szCs w:val="28"/>
          <w:lang w:val="ro-RO"/>
        </w:rPr>
      </w:pPr>
    </w:p>
    <w:p w:rsidR="004D5DFD" w:rsidRDefault="004D5DFD" w:rsidP="004A44F2">
      <w:pPr>
        <w:pStyle w:val="ad"/>
        <w:spacing w:line="276" w:lineRule="auto"/>
        <w:ind w:firstLine="709"/>
        <w:rPr>
          <w:sz w:val="28"/>
          <w:szCs w:val="28"/>
          <w:lang w:val="ro-RO"/>
        </w:rPr>
      </w:pPr>
    </w:p>
    <w:p w:rsidR="00160878" w:rsidRPr="0026470C" w:rsidRDefault="00250486" w:rsidP="004A44F2">
      <w:pPr>
        <w:pStyle w:val="a5"/>
        <w:spacing w:line="276" w:lineRule="auto"/>
        <w:ind w:left="0"/>
        <w:rPr>
          <w:rFonts w:ascii="Times New Roman" w:hAnsi="Times New Roman"/>
          <w:b/>
          <w:i/>
          <w:sz w:val="32"/>
          <w:szCs w:val="32"/>
        </w:rPr>
      </w:pPr>
      <w:r w:rsidRPr="0026470C">
        <w:rPr>
          <w:rFonts w:ascii="Times New Roman" w:hAnsi="Times New Roman"/>
          <w:b/>
          <w:i/>
          <w:sz w:val="32"/>
          <w:szCs w:val="32"/>
        </w:rPr>
        <w:t xml:space="preserve">Semnăturile </w:t>
      </w:r>
      <w:r w:rsidR="00160878" w:rsidRPr="0026470C">
        <w:rPr>
          <w:rFonts w:ascii="Times New Roman" w:hAnsi="Times New Roman"/>
          <w:b/>
          <w:i/>
          <w:sz w:val="32"/>
          <w:szCs w:val="32"/>
        </w:rPr>
        <w:t xml:space="preserve">responsabilului de audit </w:t>
      </w:r>
    </w:p>
    <w:p w:rsidR="00250486" w:rsidRPr="0026470C" w:rsidRDefault="00160878" w:rsidP="004A44F2">
      <w:pPr>
        <w:pStyle w:val="a5"/>
        <w:spacing w:line="276" w:lineRule="auto"/>
        <w:ind w:left="0"/>
        <w:rPr>
          <w:rFonts w:ascii="Times New Roman" w:hAnsi="Times New Roman"/>
          <w:b/>
          <w:i/>
          <w:sz w:val="32"/>
          <w:szCs w:val="32"/>
        </w:rPr>
      </w:pPr>
      <w:r w:rsidRPr="0026470C">
        <w:rPr>
          <w:rFonts w:ascii="Times New Roman" w:hAnsi="Times New Roman"/>
          <w:b/>
          <w:i/>
          <w:sz w:val="32"/>
          <w:szCs w:val="32"/>
        </w:rPr>
        <w:t>și a</w:t>
      </w:r>
      <w:r w:rsidR="00D31CDD">
        <w:rPr>
          <w:rFonts w:ascii="Times New Roman" w:hAnsi="Times New Roman"/>
          <w:b/>
          <w:i/>
          <w:sz w:val="32"/>
          <w:szCs w:val="32"/>
        </w:rPr>
        <w:t>le</w:t>
      </w:r>
      <w:r w:rsidRPr="0026470C">
        <w:rPr>
          <w:rFonts w:ascii="Times New Roman" w:hAnsi="Times New Roman"/>
          <w:b/>
          <w:i/>
          <w:sz w:val="32"/>
          <w:szCs w:val="32"/>
        </w:rPr>
        <w:t xml:space="preserve"> membrilor echipei de audit</w:t>
      </w:r>
    </w:p>
    <w:p w:rsidR="00F67536" w:rsidRPr="00B45AF1" w:rsidRDefault="00F67536" w:rsidP="00F67536">
      <w:pPr>
        <w:spacing w:after="0" w:line="276" w:lineRule="auto"/>
        <w:jc w:val="both"/>
        <w:rPr>
          <w:rFonts w:ascii="Times New Roman" w:eastAsia="Times New Roman" w:hAnsi="Times New Roman" w:cs="Times New Roman"/>
          <w:i/>
          <w:iCs/>
          <w:sz w:val="28"/>
          <w:szCs w:val="28"/>
          <w:lang w:eastAsia="ru-RU"/>
        </w:rPr>
      </w:pPr>
      <w:r w:rsidRPr="00B45AF1">
        <w:rPr>
          <w:rFonts w:ascii="Times New Roman" w:eastAsia="Times New Roman" w:hAnsi="Times New Roman" w:cs="Times New Roman"/>
          <w:i/>
          <w:iCs/>
          <w:sz w:val="28"/>
          <w:szCs w:val="28"/>
          <w:lang w:eastAsia="ru-RU"/>
        </w:rPr>
        <w:t>Responsabil de audit:</w:t>
      </w:r>
    </w:p>
    <w:p w:rsidR="00F67536" w:rsidRPr="00B45AF1" w:rsidRDefault="00F67536" w:rsidP="00F67536">
      <w:pPr>
        <w:spacing w:after="0" w:line="276" w:lineRule="auto"/>
        <w:jc w:val="both"/>
        <w:rPr>
          <w:rFonts w:ascii="Times New Roman" w:eastAsia="Times New Roman" w:hAnsi="Times New Roman" w:cs="Times New Roman"/>
          <w:i/>
          <w:iCs/>
          <w:sz w:val="28"/>
          <w:szCs w:val="28"/>
          <w:lang w:eastAsia="ru-RU"/>
        </w:rPr>
      </w:pPr>
      <w:r w:rsidRPr="00B45AF1">
        <w:rPr>
          <w:rFonts w:ascii="Times New Roman" w:eastAsia="Times New Roman" w:hAnsi="Times New Roman" w:cs="Times New Roman"/>
          <w:bCs/>
          <w:sz w:val="28"/>
          <w:szCs w:val="28"/>
          <w:lang w:eastAsia="ru-RU"/>
        </w:rPr>
        <w:t xml:space="preserve">Șeful Direcției generale auditul finanțelor publice/ </w:t>
      </w:r>
    </w:p>
    <w:p w:rsidR="00F67536" w:rsidRDefault="00F67536" w:rsidP="00F67536">
      <w:pPr>
        <w:spacing w:after="0" w:line="276" w:lineRule="auto"/>
        <w:jc w:val="both"/>
        <w:rPr>
          <w:rFonts w:ascii="Times New Roman" w:eastAsia="Times New Roman" w:hAnsi="Times New Roman" w:cs="Times New Roman"/>
          <w:b/>
          <w:bCs/>
          <w:i/>
          <w:iCs/>
          <w:sz w:val="28"/>
          <w:szCs w:val="28"/>
          <w:lang w:eastAsia="ru-RU"/>
        </w:rPr>
      </w:pPr>
      <w:r w:rsidRPr="00B45AF1">
        <w:rPr>
          <w:rFonts w:ascii="Times New Roman" w:eastAsia="Times New Roman" w:hAnsi="Times New Roman" w:cs="Times New Roman"/>
          <w:bCs/>
          <w:sz w:val="28"/>
          <w:szCs w:val="28"/>
          <w:lang w:eastAsia="ru-RU"/>
        </w:rPr>
        <w:t>auditor public</w:t>
      </w:r>
      <w:r w:rsidRPr="007F1776">
        <w:rPr>
          <w:rFonts w:ascii="Times New Roman" w:eastAsia="Times New Roman" w:hAnsi="Times New Roman" w:cs="Times New Roman"/>
          <w:b/>
          <w:bCs/>
          <w:i/>
          <w:iCs/>
          <w:sz w:val="28"/>
          <w:szCs w:val="28"/>
          <w:lang w:eastAsia="ru-RU"/>
        </w:rPr>
        <w:t xml:space="preserve">                                                             </w:t>
      </w:r>
      <w:r>
        <w:rPr>
          <w:rFonts w:ascii="Times New Roman" w:eastAsia="Times New Roman" w:hAnsi="Times New Roman" w:cs="Times New Roman"/>
          <w:b/>
          <w:bCs/>
          <w:i/>
          <w:iCs/>
          <w:sz w:val="28"/>
          <w:szCs w:val="28"/>
          <w:lang w:eastAsia="ru-RU"/>
        </w:rPr>
        <w:t xml:space="preserve">                     </w:t>
      </w:r>
      <w:r w:rsidRPr="007F1776">
        <w:rPr>
          <w:rFonts w:ascii="Times New Roman" w:eastAsia="Times New Roman" w:hAnsi="Times New Roman" w:cs="Times New Roman"/>
          <w:b/>
          <w:bCs/>
          <w:i/>
          <w:iCs/>
          <w:sz w:val="28"/>
          <w:szCs w:val="28"/>
          <w:lang w:eastAsia="ru-RU"/>
        </w:rPr>
        <w:t xml:space="preserve"> </w:t>
      </w:r>
      <w:r>
        <w:rPr>
          <w:rFonts w:ascii="Times New Roman" w:eastAsia="Times New Roman" w:hAnsi="Times New Roman" w:cs="Times New Roman"/>
          <w:b/>
          <w:bCs/>
          <w:i/>
          <w:iCs/>
          <w:sz w:val="28"/>
          <w:szCs w:val="28"/>
          <w:lang w:eastAsia="ru-RU"/>
        </w:rPr>
        <w:t xml:space="preserve">       </w:t>
      </w:r>
      <w:r w:rsidRPr="007F1776">
        <w:rPr>
          <w:rFonts w:ascii="Times New Roman" w:eastAsia="Times New Roman" w:hAnsi="Times New Roman" w:cs="Times New Roman"/>
          <w:b/>
          <w:bCs/>
          <w:i/>
          <w:iCs/>
          <w:sz w:val="28"/>
          <w:szCs w:val="28"/>
          <w:lang w:eastAsia="ru-RU"/>
        </w:rPr>
        <w:t>Nata</w:t>
      </w:r>
      <w:r w:rsidRPr="00A01DFE">
        <w:rPr>
          <w:rFonts w:ascii="Times New Roman" w:eastAsia="Times New Roman" w:hAnsi="Times New Roman" w:cs="Times New Roman"/>
          <w:b/>
          <w:bCs/>
          <w:i/>
          <w:iCs/>
          <w:sz w:val="28"/>
          <w:szCs w:val="28"/>
          <w:lang w:eastAsia="ru-RU"/>
        </w:rPr>
        <w:t>lia Trofim</w:t>
      </w:r>
    </w:p>
    <w:p w:rsidR="00F67536" w:rsidRDefault="00F67536" w:rsidP="004A44F2">
      <w:pPr>
        <w:spacing w:after="0" w:line="276" w:lineRule="auto"/>
        <w:rPr>
          <w:rFonts w:ascii="Times New Roman" w:eastAsia="Times New Roman" w:hAnsi="Times New Roman" w:cs="Times New Roman"/>
          <w:iCs/>
          <w:sz w:val="28"/>
          <w:szCs w:val="28"/>
          <w:lang w:eastAsia="ru-RU"/>
        </w:rPr>
      </w:pPr>
    </w:p>
    <w:p w:rsidR="00FC2FA6" w:rsidRPr="00B45AF1" w:rsidRDefault="00FC2FA6" w:rsidP="004A44F2">
      <w:pPr>
        <w:spacing w:after="0" w:line="276" w:lineRule="auto"/>
        <w:rPr>
          <w:rFonts w:ascii="Times New Roman" w:eastAsia="Times New Roman" w:hAnsi="Times New Roman" w:cs="Times New Roman"/>
          <w:bCs/>
          <w:sz w:val="28"/>
          <w:szCs w:val="28"/>
          <w:lang w:eastAsia="ru-RU"/>
        </w:rPr>
      </w:pPr>
      <w:r w:rsidRPr="00B45AF1">
        <w:rPr>
          <w:rFonts w:ascii="Times New Roman" w:eastAsia="Times New Roman" w:hAnsi="Times New Roman" w:cs="Times New Roman"/>
          <w:iCs/>
          <w:sz w:val="28"/>
          <w:szCs w:val="28"/>
          <w:lang w:eastAsia="ru-RU"/>
        </w:rPr>
        <w:t>Șeful echipei de audit,</w:t>
      </w:r>
      <w:r w:rsidRPr="00B45AF1">
        <w:rPr>
          <w:rFonts w:ascii="Times New Roman" w:eastAsia="Times New Roman" w:hAnsi="Times New Roman" w:cs="Times New Roman"/>
          <w:bCs/>
          <w:sz w:val="28"/>
          <w:szCs w:val="28"/>
          <w:lang w:eastAsia="ru-RU"/>
        </w:rPr>
        <w:t xml:space="preserve"> </w:t>
      </w:r>
    </w:p>
    <w:p w:rsidR="00B868AF" w:rsidRDefault="00BB3E78" w:rsidP="004A44F2">
      <w:pPr>
        <w:spacing w:after="0" w:line="276" w:lineRule="auto"/>
        <w:rPr>
          <w:rFonts w:ascii="Times New Roman" w:eastAsia="Times New Roman" w:hAnsi="Times New Roman" w:cs="Times New Roman"/>
          <w:iCs/>
          <w:sz w:val="28"/>
          <w:szCs w:val="28"/>
          <w:lang w:eastAsia="ru-RU"/>
        </w:rPr>
      </w:pPr>
      <w:r w:rsidRPr="00BB3E78">
        <w:rPr>
          <w:rFonts w:ascii="Times New Roman" w:hAnsi="Times New Roman" w:cs="Times New Roman"/>
          <w:sz w:val="28"/>
          <w:szCs w:val="28"/>
        </w:rPr>
        <w:t>Șef Direcția administrarea veniturilor</w:t>
      </w:r>
      <w:r w:rsidR="00923BF4" w:rsidRPr="00923BF4">
        <w:rPr>
          <w:rFonts w:ascii="Times New Roman" w:eastAsia="Times New Roman" w:hAnsi="Times New Roman" w:cs="Times New Roman"/>
          <w:iCs/>
          <w:sz w:val="28"/>
          <w:szCs w:val="28"/>
          <w:lang w:eastAsia="ru-RU"/>
        </w:rPr>
        <w:t xml:space="preserve">   </w:t>
      </w:r>
      <w:r w:rsidR="00923BF4">
        <w:rPr>
          <w:rFonts w:ascii="Times New Roman" w:eastAsia="Times New Roman" w:hAnsi="Times New Roman" w:cs="Times New Roman"/>
          <w:b/>
          <w:iCs/>
          <w:sz w:val="28"/>
          <w:szCs w:val="28"/>
          <w:lang w:eastAsia="ru-RU"/>
        </w:rPr>
        <w:t xml:space="preserve">                </w:t>
      </w:r>
      <w:r w:rsidR="00F625E0">
        <w:rPr>
          <w:rFonts w:ascii="Times New Roman" w:eastAsia="Times New Roman" w:hAnsi="Times New Roman" w:cs="Times New Roman"/>
          <w:b/>
          <w:iCs/>
          <w:sz w:val="28"/>
          <w:szCs w:val="28"/>
          <w:lang w:eastAsia="ru-RU"/>
        </w:rPr>
        <w:t xml:space="preserve">                    </w:t>
      </w:r>
      <w:r w:rsidR="00923BF4">
        <w:rPr>
          <w:rFonts w:ascii="Times New Roman" w:eastAsia="Times New Roman" w:hAnsi="Times New Roman" w:cs="Times New Roman"/>
          <w:b/>
          <w:iCs/>
          <w:sz w:val="28"/>
          <w:szCs w:val="28"/>
          <w:lang w:eastAsia="ru-RU"/>
        </w:rPr>
        <w:t xml:space="preserve"> </w:t>
      </w:r>
      <w:r w:rsidR="00F625E0">
        <w:rPr>
          <w:rFonts w:ascii="Times New Roman" w:eastAsia="Times New Roman" w:hAnsi="Times New Roman" w:cs="Times New Roman"/>
          <w:b/>
          <w:bCs/>
          <w:i/>
          <w:sz w:val="28"/>
          <w:szCs w:val="28"/>
          <w:lang w:eastAsia="ru-RU"/>
        </w:rPr>
        <w:t>Tatiana Carajeleascov</w:t>
      </w:r>
      <w:r w:rsidR="00F633FF" w:rsidRPr="00BB6C75">
        <w:rPr>
          <w:rFonts w:ascii="Times New Roman" w:eastAsia="Times New Roman" w:hAnsi="Times New Roman" w:cs="Times New Roman"/>
          <w:iCs/>
          <w:sz w:val="28"/>
          <w:szCs w:val="28"/>
          <w:lang w:eastAsia="ru-RU"/>
        </w:rPr>
        <w:t xml:space="preserve"> </w:t>
      </w:r>
    </w:p>
    <w:p w:rsidR="00FC2FA6" w:rsidRPr="00B45AF1" w:rsidRDefault="00F633FF" w:rsidP="004A44F2">
      <w:pPr>
        <w:spacing w:after="0" w:line="276" w:lineRule="auto"/>
        <w:rPr>
          <w:rFonts w:ascii="Times New Roman" w:eastAsia="Times New Roman" w:hAnsi="Times New Roman" w:cs="Times New Roman"/>
          <w:b/>
          <w:bCs/>
          <w:i/>
          <w:sz w:val="28"/>
          <w:szCs w:val="28"/>
          <w:lang w:eastAsia="ru-RU"/>
        </w:rPr>
      </w:pPr>
      <w:r w:rsidRPr="00BB6C75">
        <w:rPr>
          <w:rFonts w:ascii="Times New Roman" w:eastAsia="Times New Roman" w:hAnsi="Times New Roman" w:cs="Times New Roman"/>
          <w:iCs/>
          <w:sz w:val="28"/>
          <w:szCs w:val="28"/>
          <w:lang w:eastAsia="ru-RU"/>
        </w:rPr>
        <w:t xml:space="preserve"> </w:t>
      </w:r>
      <w:r w:rsidRPr="00BB6C75">
        <w:rPr>
          <w:rFonts w:ascii="Times New Roman" w:eastAsia="Times New Roman" w:hAnsi="Times New Roman" w:cs="Times New Roman"/>
          <w:b/>
          <w:bCs/>
          <w:sz w:val="28"/>
          <w:szCs w:val="28"/>
          <w:lang w:eastAsia="ru-RU"/>
        </w:rPr>
        <w:t xml:space="preserve">                                                                                                     </w:t>
      </w:r>
      <w:r w:rsidR="00923BF4">
        <w:rPr>
          <w:rFonts w:ascii="Times New Roman" w:eastAsia="Times New Roman" w:hAnsi="Times New Roman" w:cs="Times New Roman"/>
          <w:b/>
          <w:bCs/>
          <w:sz w:val="28"/>
          <w:szCs w:val="28"/>
          <w:lang w:eastAsia="ru-RU"/>
        </w:rPr>
        <w:t xml:space="preserve">                             </w:t>
      </w:r>
    </w:p>
    <w:p w:rsidR="003A2A5F" w:rsidRDefault="00FC2FA6" w:rsidP="002359E9">
      <w:pPr>
        <w:spacing w:after="0" w:line="360" w:lineRule="auto"/>
        <w:rPr>
          <w:rFonts w:ascii="Times New Roman" w:eastAsia="Times New Roman" w:hAnsi="Times New Roman" w:cs="Times New Roman"/>
          <w:b/>
          <w:bCs/>
          <w:i/>
          <w:sz w:val="28"/>
          <w:szCs w:val="28"/>
          <w:lang w:eastAsia="ru-RU"/>
        </w:rPr>
      </w:pPr>
      <w:r w:rsidRPr="00B45AF1">
        <w:rPr>
          <w:rFonts w:ascii="Times New Roman" w:eastAsia="Times New Roman" w:hAnsi="Times New Roman" w:cs="Times New Roman"/>
          <w:bCs/>
          <w:sz w:val="28"/>
          <w:szCs w:val="28"/>
          <w:lang w:eastAsia="ru-RU"/>
        </w:rPr>
        <w:t xml:space="preserve">Controlor de </w:t>
      </w:r>
      <w:r w:rsidR="00B868AF">
        <w:rPr>
          <w:rFonts w:ascii="Times New Roman" w:eastAsia="Times New Roman" w:hAnsi="Times New Roman" w:cs="Times New Roman"/>
          <w:bCs/>
          <w:sz w:val="28"/>
          <w:szCs w:val="28"/>
          <w:lang w:eastAsia="ru-RU"/>
        </w:rPr>
        <w:t xml:space="preserve">stat </w:t>
      </w:r>
      <w:r w:rsidR="00BB3E78">
        <w:rPr>
          <w:rFonts w:ascii="Times New Roman" w:eastAsia="Times New Roman" w:hAnsi="Times New Roman" w:cs="Times New Roman"/>
          <w:bCs/>
          <w:sz w:val="28"/>
          <w:szCs w:val="28"/>
          <w:lang w:eastAsia="ru-RU"/>
        </w:rPr>
        <w:t xml:space="preserve">principal                                                                             </w:t>
      </w:r>
      <w:r w:rsidR="00BB3E78" w:rsidRPr="00BB3E78">
        <w:rPr>
          <w:rFonts w:ascii="Times New Roman" w:eastAsia="Times New Roman" w:hAnsi="Times New Roman" w:cs="Times New Roman"/>
          <w:b/>
          <w:bCs/>
          <w:i/>
          <w:sz w:val="28"/>
          <w:szCs w:val="28"/>
          <w:lang w:eastAsia="ru-RU"/>
        </w:rPr>
        <w:t>Irina Buga</w:t>
      </w:r>
    </w:p>
    <w:p w:rsidR="003A2A5F" w:rsidRDefault="003A2A5F" w:rsidP="002359E9">
      <w:pPr>
        <w:spacing w:after="0" w:line="360" w:lineRule="auto"/>
        <w:rPr>
          <w:rFonts w:ascii="Times New Roman" w:eastAsia="Times New Roman" w:hAnsi="Times New Roman" w:cs="Times New Roman"/>
          <w:b/>
          <w:bCs/>
          <w:i/>
          <w:sz w:val="28"/>
          <w:szCs w:val="28"/>
          <w:lang w:eastAsia="ru-RU"/>
        </w:rPr>
      </w:pPr>
      <w:r>
        <w:rPr>
          <w:rFonts w:ascii="Times New Roman" w:eastAsia="Times New Roman" w:hAnsi="Times New Roman" w:cs="Times New Roman"/>
          <w:bCs/>
          <w:sz w:val="28"/>
          <w:szCs w:val="28"/>
          <w:lang w:eastAsia="ru-RU"/>
        </w:rPr>
        <w:t xml:space="preserve">Controlor de stat superior                                                                       </w:t>
      </w:r>
      <w:r w:rsidRPr="003A2A5F">
        <w:rPr>
          <w:rFonts w:ascii="Times New Roman" w:eastAsia="Times New Roman" w:hAnsi="Times New Roman" w:cs="Times New Roman"/>
          <w:b/>
          <w:bCs/>
          <w:i/>
          <w:sz w:val="28"/>
          <w:szCs w:val="28"/>
          <w:lang w:eastAsia="ru-RU"/>
        </w:rPr>
        <w:t>Diana Croitoru</w:t>
      </w:r>
    </w:p>
    <w:p w:rsidR="0092305B" w:rsidRDefault="003A2A5F" w:rsidP="002359E9">
      <w:pPr>
        <w:spacing w:after="0" w:line="360" w:lineRule="auto"/>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bCs/>
          <w:sz w:val="28"/>
          <w:szCs w:val="28"/>
          <w:lang w:eastAsia="ru-RU"/>
        </w:rPr>
        <w:t xml:space="preserve">Controlor de stat       </w:t>
      </w:r>
      <w:r w:rsidR="00B868AF" w:rsidRPr="00BB3E78">
        <w:rPr>
          <w:rFonts w:ascii="Times New Roman" w:eastAsia="Times New Roman" w:hAnsi="Times New Roman" w:cs="Times New Roman"/>
          <w:b/>
          <w:bCs/>
          <w:sz w:val="28"/>
          <w:szCs w:val="28"/>
          <w:lang w:eastAsia="ru-RU"/>
        </w:rPr>
        <w:t xml:space="preserve">                                                                            </w:t>
      </w:r>
      <w:r w:rsidR="00B868AF" w:rsidRPr="00B45AF1">
        <w:rPr>
          <w:rFonts w:ascii="Times New Roman" w:eastAsia="Times New Roman" w:hAnsi="Times New Roman" w:cs="Times New Roman"/>
          <w:b/>
          <w:bCs/>
          <w:i/>
          <w:sz w:val="28"/>
          <w:szCs w:val="28"/>
          <w:lang w:eastAsia="ru-RU"/>
        </w:rPr>
        <w:t>Vera</w:t>
      </w:r>
      <w:r w:rsidR="0092305B">
        <w:rPr>
          <w:rFonts w:ascii="Times New Roman" w:eastAsia="Times New Roman" w:hAnsi="Times New Roman" w:cs="Times New Roman"/>
          <w:b/>
          <w:bCs/>
          <w:i/>
          <w:sz w:val="28"/>
          <w:szCs w:val="28"/>
          <w:lang w:eastAsia="ru-RU"/>
        </w:rPr>
        <w:t xml:space="preserve"> Borșevschi</w:t>
      </w:r>
      <w:r w:rsidR="00B868AF" w:rsidRPr="00B45AF1">
        <w:rPr>
          <w:rFonts w:ascii="Times New Roman" w:eastAsia="Times New Roman" w:hAnsi="Times New Roman" w:cs="Times New Roman"/>
          <w:b/>
          <w:bCs/>
          <w:i/>
          <w:sz w:val="28"/>
          <w:szCs w:val="28"/>
          <w:lang w:eastAsia="ru-RU"/>
        </w:rPr>
        <w:t xml:space="preserve"> </w:t>
      </w:r>
    </w:p>
    <w:p w:rsidR="0092305B" w:rsidRDefault="0092305B" w:rsidP="004A44F2">
      <w:pPr>
        <w:spacing w:after="0" w:line="276" w:lineRule="auto"/>
        <w:jc w:val="both"/>
        <w:rPr>
          <w:rFonts w:ascii="Times New Roman" w:eastAsia="Times New Roman" w:hAnsi="Times New Roman" w:cs="Times New Roman"/>
          <w:i/>
          <w:iCs/>
          <w:sz w:val="28"/>
          <w:szCs w:val="28"/>
          <w:lang w:eastAsia="ru-RU"/>
        </w:rPr>
      </w:pPr>
    </w:p>
    <w:p w:rsidR="00F67536" w:rsidRDefault="00F67536" w:rsidP="004A44F2">
      <w:pPr>
        <w:spacing w:after="0" w:line="276" w:lineRule="auto"/>
        <w:jc w:val="both"/>
        <w:rPr>
          <w:rFonts w:ascii="Times New Roman" w:eastAsia="Times New Roman" w:hAnsi="Times New Roman" w:cs="Times New Roman"/>
          <w:i/>
          <w:iCs/>
          <w:sz w:val="28"/>
          <w:szCs w:val="28"/>
          <w:lang w:eastAsia="ru-RU"/>
        </w:rPr>
      </w:pPr>
    </w:p>
    <w:p w:rsidR="00F67536" w:rsidRDefault="00F67536" w:rsidP="004A44F2">
      <w:pPr>
        <w:spacing w:after="0" w:line="276" w:lineRule="auto"/>
        <w:jc w:val="both"/>
        <w:rPr>
          <w:rFonts w:ascii="Times New Roman" w:eastAsia="Times New Roman" w:hAnsi="Times New Roman" w:cs="Times New Roman"/>
          <w:i/>
          <w:iCs/>
          <w:sz w:val="28"/>
          <w:szCs w:val="28"/>
          <w:lang w:eastAsia="ru-RU"/>
        </w:rPr>
      </w:pPr>
    </w:p>
    <w:p w:rsidR="00F67536" w:rsidRDefault="00F67536" w:rsidP="004A44F2">
      <w:pPr>
        <w:spacing w:after="0" w:line="276" w:lineRule="auto"/>
        <w:jc w:val="both"/>
        <w:rPr>
          <w:rFonts w:ascii="Times New Roman" w:eastAsia="Times New Roman" w:hAnsi="Times New Roman" w:cs="Times New Roman"/>
          <w:i/>
          <w:iCs/>
          <w:sz w:val="28"/>
          <w:szCs w:val="28"/>
          <w:lang w:eastAsia="ru-RU"/>
        </w:rPr>
      </w:pPr>
    </w:p>
    <w:p w:rsidR="00F67536" w:rsidRDefault="00F67536" w:rsidP="004A44F2">
      <w:pPr>
        <w:spacing w:after="0" w:line="276" w:lineRule="auto"/>
        <w:jc w:val="both"/>
        <w:rPr>
          <w:rFonts w:ascii="Times New Roman" w:eastAsia="Times New Roman" w:hAnsi="Times New Roman" w:cs="Times New Roman"/>
          <w:i/>
          <w:iCs/>
          <w:sz w:val="28"/>
          <w:szCs w:val="28"/>
          <w:lang w:eastAsia="ru-RU"/>
        </w:rPr>
      </w:pPr>
    </w:p>
    <w:p w:rsidR="00F67536" w:rsidRDefault="00F67536" w:rsidP="004A44F2">
      <w:pPr>
        <w:spacing w:after="0" w:line="276" w:lineRule="auto"/>
        <w:jc w:val="both"/>
        <w:rPr>
          <w:rFonts w:ascii="Times New Roman" w:eastAsia="Times New Roman" w:hAnsi="Times New Roman" w:cs="Times New Roman"/>
          <w:i/>
          <w:iCs/>
          <w:sz w:val="28"/>
          <w:szCs w:val="28"/>
          <w:lang w:eastAsia="ru-RU"/>
        </w:rPr>
      </w:pPr>
    </w:p>
    <w:p w:rsidR="00F67536" w:rsidRDefault="00F67536" w:rsidP="004A44F2">
      <w:pPr>
        <w:spacing w:after="0" w:line="276" w:lineRule="auto"/>
        <w:jc w:val="both"/>
        <w:rPr>
          <w:rFonts w:ascii="Times New Roman" w:eastAsia="Times New Roman" w:hAnsi="Times New Roman" w:cs="Times New Roman"/>
          <w:i/>
          <w:iCs/>
          <w:sz w:val="28"/>
          <w:szCs w:val="28"/>
          <w:lang w:eastAsia="ru-RU"/>
        </w:rPr>
      </w:pPr>
    </w:p>
    <w:p w:rsidR="00F67536" w:rsidRDefault="00F67536" w:rsidP="004A44F2">
      <w:pPr>
        <w:spacing w:after="0" w:line="276" w:lineRule="auto"/>
        <w:jc w:val="both"/>
        <w:rPr>
          <w:rFonts w:ascii="Times New Roman" w:eastAsia="Times New Roman" w:hAnsi="Times New Roman" w:cs="Times New Roman"/>
          <w:i/>
          <w:iCs/>
          <w:sz w:val="28"/>
          <w:szCs w:val="28"/>
          <w:lang w:eastAsia="ru-RU"/>
        </w:rPr>
      </w:pPr>
    </w:p>
    <w:p w:rsidR="002359E9" w:rsidRDefault="002359E9" w:rsidP="004A44F2">
      <w:pPr>
        <w:spacing w:after="0" w:line="276" w:lineRule="auto"/>
        <w:jc w:val="both"/>
        <w:rPr>
          <w:rFonts w:ascii="Times New Roman" w:eastAsia="Times New Roman" w:hAnsi="Times New Roman" w:cs="Times New Roman"/>
          <w:i/>
          <w:iCs/>
          <w:sz w:val="28"/>
          <w:szCs w:val="28"/>
          <w:lang w:eastAsia="ru-RU"/>
        </w:rPr>
      </w:pPr>
    </w:p>
    <w:p w:rsidR="002359E9" w:rsidRDefault="002359E9" w:rsidP="004A44F2">
      <w:pPr>
        <w:spacing w:after="0" w:line="276" w:lineRule="auto"/>
        <w:jc w:val="both"/>
        <w:rPr>
          <w:rFonts w:ascii="Times New Roman" w:eastAsia="Times New Roman" w:hAnsi="Times New Roman" w:cs="Times New Roman"/>
          <w:i/>
          <w:iCs/>
          <w:sz w:val="28"/>
          <w:szCs w:val="28"/>
          <w:lang w:eastAsia="ru-RU"/>
        </w:rPr>
      </w:pPr>
    </w:p>
    <w:p w:rsidR="002359E9" w:rsidRDefault="002359E9" w:rsidP="004A44F2">
      <w:pPr>
        <w:spacing w:after="0" w:line="276" w:lineRule="auto"/>
        <w:jc w:val="both"/>
        <w:rPr>
          <w:rFonts w:ascii="Times New Roman" w:eastAsia="Times New Roman" w:hAnsi="Times New Roman" w:cs="Times New Roman"/>
          <w:i/>
          <w:iCs/>
          <w:sz w:val="28"/>
          <w:szCs w:val="28"/>
          <w:lang w:eastAsia="ru-RU"/>
        </w:rPr>
      </w:pPr>
    </w:p>
    <w:p w:rsidR="002359E9" w:rsidRDefault="002359E9" w:rsidP="004A44F2">
      <w:pPr>
        <w:spacing w:after="0" w:line="276" w:lineRule="auto"/>
        <w:jc w:val="both"/>
        <w:rPr>
          <w:rFonts w:ascii="Times New Roman" w:eastAsia="Times New Roman" w:hAnsi="Times New Roman" w:cs="Times New Roman"/>
          <w:i/>
          <w:iCs/>
          <w:sz w:val="28"/>
          <w:szCs w:val="28"/>
          <w:lang w:eastAsia="ru-RU"/>
        </w:rPr>
      </w:pPr>
    </w:p>
    <w:p w:rsidR="002359E9" w:rsidRDefault="002359E9" w:rsidP="004A44F2">
      <w:pPr>
        <w:spacing w:after="0" w:line="276" w:lineRule="auto"/>
        <w:jc w:val="both"/>
        <w:rPr>
          <w:rFonts w:ascii="Times New Roman" w:eastAsia="Times New Roman" w:hAnsi="Times New Roman" w:cs="Times New Roman"/>
          <w:i/>
          <w:iCs/>
          <w:sz w:val="28"/>
          <w:szCs w:val="28"/>
          <w:lang w:eastAsia="ru-RU"/>
        </w:rPr>
      </w:pPr>
    </w:p>
    <w:p w:rsidR="002359E9" w:rsidRDefault="002359E9" w:rsidP="004A44F2">
      <w:pPr>
        <w:spacing w:after="0" w:line="276" w:lineRule="auto"/>
        <w:jc w:val="both"/>
        <w:rPr>
          <w:rFonts w:ascii="Times New Roman" w:eastAsia="Times New Roman" w:hAnsi="Times New Roman" w:cs="Times New Roman"/>
          <w:i/>
          <w:iCs/>
          <w:sz w:val="28"/>
          <w:szCs w:val="28"/>
          <w:lang w:eastAsia="ru-RU"/>
        </w:rPr>
      </w:pPr>
    </w:p>
    <w:p w:rsidR="004D5DFD" w:rsidRDefault="004D5DFD" w:rsidP="004A44F2">
      <w:pPr>
        <w:spacing w:after="0" w:line="276" w:lineRule="auto"/>
        <w:jc w:val="both"/>
        <w:rPr>
          <w:rFonts w:ascii="Times New Roman" w:eastAsia="Times New Roman" w:hAnsi="Times New Roman" w:cs="Times New Roman"/>
          <w:i/>
          <w:iCs/>
          <w:sz w:val="28"/>
          <w:szCs w:val="28"/>
          <w:lang w:eastAsia="ru-RU"/>
        </w:rPr>
      </w:pPr>
    </w:p>
    <w:p w:rsidR="004D5DFD" w:rsidRDefault="004D5DFD" w:rsidP="004A44F2">
      <w:pPr>
        <w:spacing w:after="0" w:line="276" w:lineRule="auto"/>
        <w:jc w:val="both"/>
        <w:rPr>
          <w:rFonts w:ascii="Times New Roman" w:eastAsia="Times New Roman" w:hAnsi="Times New Roman" w:cs="Times New Roman"/>
          <w:i/>
          <w:iCs/>
          <w:sz w:val="28"/>
          <w:szCs w:val="28"/>
          <w:lang w:eastAsia="ru-RU"/>
        </w:rPr>
      </w:pPr>
    </w:p>
    <w:p w:rsidR="004D5DFD" w:rsidRDefault="004D5DFD" w:rsidP="004A44F2">
      <w:pPr>
        <w:spacing w:after="0" w:line="276" w:lineRule="auto"/>
        <w:jc w:val="both"/>
        <w:rPr>
          <w:rFonts w:ascii="Times New Roman" w:eastAsia="Times New Roman" w:hAnsi="Times New Roman" w:cs="Times New Roman"/>
          <w:i/>
          <w:iCs/>
          <w:sz w:val="28"/>
          <w:szCs w:val="28"/>
          <w:lang w:eastAsia="ru-RU"/>
        </w:rPr>
      </w:pPr>
    </w:p>
    <w:p w:rsidR="004D5DFD" w:rsidRDefault="004D5DFD" w:rsidP="004A44F2">
      <w:pPr>
        <w:spacing w:after="0" w:line="276" w:lineRule="auto"/>
        <w:jc w:val="both"/>
        <w:rPr>
          <w:rFonts w:ascii="Times New Roman" w:eastAsia="Times New Roman" w:hAnsi="Times New Roman" w:cs="Times New Roman"/>
          <w:i/>
          <w:iCs/>
          <w:sz w:val="28"/>
          <w:szCs w:val="28"/>
          <w:lang w:eastAsia="ru-RU"/>
        </w:rPr>
      </w:pPr>
    </w:p>
    <w:p w:rsidR="004D5DFD" w:rsidRDefault="004D5DFD" w:rsidP="004A44F2">
      <w:pPr>
        <w:spacing w:after="0" w:line="276" w:lineRule="auto"/>
        <w:jc w:val="both"/>
        <w:rPr>
          <w:rFonts w:ascii="Times New Roman" w:eastAsia="Times New Roman" w:hAnsi="Times New Roman" w:cs="Times New Roman"/>
          <w:i/>
          <w:iCs/>
          <w:sz w:val="28"/>
          <w:szCs w:val="28"/>
          <w:lang w:eastAsia="ru-RU"/>
        </w:rPr>
      </w:pPr>
    </w:p>
    <w:p w:rsidR="004D5DFD" w:rsidRDefault="004D5DFD" w:rsidP="004A44F2">
      <w:pPr>
        <w:spacing w:after="0" w:line="276" w:lineRule="auto"/>
        <w:jc w:val="both"/>
        <w:rPr>
          <w:rFonts w:ascii="Times New Roman" w:eastAsia="Times New Roman" w:hAnsi="Times New Roman" w:cs="Times New Roman"/>
          <w:i/>
          <w:iCs/>
          <w:sz w:val="28"/>
          <w:szCs w:val="28"/>
          <w:lang w:eastAsia="ru-RU"/>
        </w:rPr>
      </w:pPr>
    </w:p>
    <w:p w:rsidR="004D5DFD" w:rsidRDefault="004D5DFD" w:rsidP="004A44F2">
      <w:pPr>
        <w:spacing w:after="0" w:line="276" w:lineRule="auto"/>
        <w:jc w:val="both"/>
        <w:rPr>
          <w:rFonts w:ascii="Times New Roman" w:eastAsia="Times New Roman" w:hAnsi="Times New Roman" w:cs="Times New Roman"/>
          <w:i/>
          <w:iCs/>
          <w:sz w:val="28"/>
          <w:szCs w:val="28"/>
          <w:lang w:eastAsia="ru-RU"/>
        </w:rPr>
      </w:pPr>
    </w:p>
    <w:p w:rsidR="00F67536" w:rsidRDefault="00F67536" w:rsidP="004A44F2">
      <w:pPr>
        <w:spacing w:after="0" w:line="276" w:lineRule="auto"/>
        <w:jc w:val="both"/>
        <w:rPr>
          <w:rFonts w:ascii="Times New Roman" w:eastAsia="Times New Roman" w:hAnsi="Times New Roman" w:cs="Times New Roman"/>
          <w:i/>
          <w:iCs/>
          <w:sz w:val="28"/>
          <w:szCs w:val="28"/>
          <w:lang w:eastAsia="ru-RU"/>
        </w:rPr>
      </w:pPr>
    </w:p>
    <w:p w:rsidR="00D31CDD" w:rsidRPr="00554099" w:rsidRDefault="00086E7B" w:rsidP="004A44F2">
      <w:pPr>
        <w:pStyle w:val="a5"/>
        <w:numPr>
          <w:ilvl w:val="0"/>
          <w:numId w:val="1"/>
        </w:numPr>
        <w:spacing w:after="0" w:line="276" w:lineRule="auto"/>
        <w:ind w:left="0" w:firstLine="0"/>
        <w:jc w:val="center"/>
        <w:outlineLvl w:val="0"/>
        <w:rPr>
          <w:rFonts w:ascii="Times New Roman" w:eastAsia="Times New Roman" w:hAnsi="Times New Roman" w:cs="Times New Roman"/>
          <w:b/>
          <w:bCs/>
          <w:iCs/>
          <w:sz w:val="32"/>
          <w:szCs w:val="28"/>
          <w:lang w:eastAsia="ru-RU"/>
        </w:rPr>
      </w:pPr>
      <w:bookmarkStart w:id="31" w:name="_Toc515519004"/>
      <w:r w:rsidRPr="00554099">
        <w:rPr>
          <w:rFonts w:ascii="Times New Roman" w:eastAsia="Times New Roman" w:hAnsi="Times New Roman" w:cs="Times New Roman"/>
          <w:b/>
          <w:bCs/>
          <w:iCs/>
          <w:sz w:val="32"/>
          <w:szCs w:val="28"/>
          <w:lang w:eastAsia="ru-RU"/>
        </w:rPr>
        <w:lastRenderedPageBreak/>
        <w:t>ANEXE</w:t>
      </w:r>
      <w:bookmarkEnd w:id="31"/>
    </w:p>
    <w:p w:rsidR="007974EB" w:rsidRPr="001B21DB" w:rsidRDefault="008E7A98" w:rsidP="004A44F2">
      <w:pPr>
        <w:pStyle w:val="2"/>
        <w:spacing w:line="276" w:lineRule="auto"/>
        <w:jc w:val="right"/>
        <w:rPr>
          <w:rFonts w:ascii="Times New Roman" w:eastAsia="Times New Roman" w:hAnsi="Times New Roman" w:cs="Times New Roman"/>
          <w:b/>
          <w:bCs/>
          <w:i/>
          <w:iCs/>
          <w:color w:val="auto"/>
          <w:sz w:val="28"/>
          <w:szCs w:val="28"/>
          <w:lang w:eastAsia="ru-RU"/>
        </w:rPr>
      </w:pPr>
      <w:bookmarkStart w:id="32" w:name="_Toc514828148"/>
      <w:bookmarkStart w:id="33" w:name="_Toc515440056"/>
      <w:bookmarkStart w:id="34" w:name="_Toc515444927"/>
      <w:bookmarkStart w:id="35" w:name="_Toc515519005"/>
      <w:r w:rsidRPr="001B21DB">
        <w:rPr>
          <w:rFonts w:ascii="Times New Roman" w:eastAsia="Times New Roman" w:hAnsi="Times New Roman" w:cs="Times New Roman"/>
          <w:b/>
          <w:bCs/>
          <w:i/>
          <w:iCs/>
          <w:color w:val="auto"/>
          <w:sz w:val="28"/>
          <w:szCs w:val="28"/>
          <w:lang w:eastAsia="ru-RU"/>
        </w:rPr>
        <w:t>Anexa nr.</w:t>
      </w:r>
      <w:r w:rsidR="009B00AC" w:rsidRPr="001B21DB">
        <w:rPr>
          <w:rFonts w:ascii="Times New Roman" w:eastAsia="Times New Roman" w:hAnsi="Times New Roman" w:cs="Times New Roman"/>
          <w:b/>
          <w:bCs/>
          <w:i/>
          <w:iCs/>
          <w:color w:val="auto"/>
          <w:sz w:val="28"/>
          <w:szCs w:val="28"/>
          <w:lang w:eastAsia="ru-RU"/>
        </w:rPr>
        <w:t>1</w:t>
      </w:r>
      <w:bookmarkEnd w:id="32"/>
      <w:bookmarkEnd w:id="33"/>
      <w:bookmarkEnd w:id="34"/>
      <w:bookmarkEnd w:id="35"/>
    </w:p>
    <w:p w:rsidR="00E169DE" w:rsidRPr="00E169DE" w:rsidRDefault="00C42A14" w:rsidP="00E169DE">
      <w:pPr>
        <w:spacing w:after="0" w:line="276" w:lineRule="auto"/>
        <w:jc w:val="center"/>
        <w:rPr>
          <w:rFonts w:ascii="Times New Roman" w:eastAsia="Times New Roman" w:hAnsi="Times New Roman" w:cs="Times New Roman"/>
          <w:b/>
          <w:bCs/>
          <w:i/>
          <w:iCs/>
          <w:sz w:val="28"/>
          <w:szCs w:val="28"/>
          <w:lang w:eastAsia="ru-RU"/>
        </w:rPr>
      </w:pPr>
      <w:r w:rsidRPr="00E169DE">
        <w:rPr>
          <w:rFonts w:ascii="Times New Roman" w:eastAsia="Times New Roman" w:hAnsi="Times New Roman" w:cs="Times New Roman"/>
          <w:b/>
          <w:bCs/>
          <w:i/>
          <w:iCs/>
          <w:sz w:val="28"/>
          <w:szCs w:val="28"/>
          <w:lang w:eastAsia="ru-RU"/>
        </w:rPr>
        <w:t>Metodologia și sfera de abordare a auditului</w:t>
      </w:r>
    </w:p>
    <w:p w:rsidR="00E169DE" w:rsidRPr="00065877" w:rsidRDefault="00E169DE" w:rsidP="00E169DE">
      <w:pPr>
        <w:spacing w:after="0" w:line="276" w:lineRule="auto"/>
        <w:ind w:firstLine="709"/>
        <w:jc w:val="both"/>
        <w:rPr>
          <w:rFonts w:ascii="Times New Roman" w:eastAsia="Times New Roman" w:hAnsi="Times New Roman" w:cs="Times New Roman"/>
          <w:bCs/>
          <w:iCs/>
          <w:sz w:val="28"/>
          <w:szCs w:val="28"/>
          <w:lang w:eastAsia="ru-RU"/>
        </w:rPr>
      </w:pPr>
      <w:r w:rsidRPr="00065877">
        <w:rPr>
          <w:rFonts w:ascii="Times New Roman" w:eastAsia="Times New Roman" w:hAnsi="Times New Roman" w:cs="Times New Roman"/>
          <w:bCs/>
          <w:iCs/>
          <w:sz w:val="28"/>
          <w:szCs w:val="28"/>
          <w:lang w:eastAsia="ru-RU"/>
        </w:rPr>
        <w:t xml:space="preserve">Curtea de Conturi, în temeiul mandatului legal, prevăzut de Legea </w:t>
      </w:r>
      <w:r>
        <w:rPr>
          <w:rFonts w:ascii="Times New Roman" w:eastAsia="Times New Roman" w:hAnsi="Times New Roman" w:cs="Times New Roman"/>
          <w:bCs/>
          <w:iCs/>
          <w:sz w:val="28"/>
          <w:szCs w:val="28"/>
          <w:lang w:eastAsia="ru-RU"/>
        </w:rPr>
        <w:t xml:space="preserve">privind organizarea și funcționarea </w:t>
      </w:r>
      <w:r w:rsidRPr="00065877">
        <w:rPr>
          <w:rFonts w:ascii="Times New Roman" w:eastAsia="Times New Roman" w:hAnsi="Times New Roman" w:cs="Times New Roman"/>
          <w:bCs/>
          <w:iCs/>
          <w:sz w:val="28"/>
          <w:szCs w:val="28"/>
          <w:lang w:eastAsia="ru-RU"/>
        </w:rPr>
        <w:t xml:space="preserve">Curții de Conturi </w:t>
      </w:r>
      <w:r>
        <w:rPr>
          <w:rFonts w:ascii="Times New Roman" w:eastAsia="Times New Roman" w:hAnsi="Times New Roman" w:cs="Times New Roman"/>
          <w:bCs/>
          <w:iCs/>
          <w:sz w:val="28"/>
          <w:szCs w:val="28"/>
          <w:lang w:eastAsia="ru-RU"/>
        </w:rPr>
        <w:t xml:space="preserve">a Republicii Moldova </w:t>
      </w:r>
      <w:r w:rsidRPr="00065877">
        <w:rPr>
          <w:rFonts w:ascii="Times New Roman" w:eastAsia="Times New Roman" w:hAnsi="Times New Roman" w:cs="Times New Roman"/>
          <w:bCs/>
          <w:iCs/>
          <w:sz w:val="28"/>
          <w:szCs w:val="28"/>
          <w:lang w:eastAsia="ru-RU"/>
        </w:rPr>
        <w:t>nr.26</w:t>
      </w:r>
      <w:r>
        <w:rPr>
          <w:rFonts w:ascii="Times New Roman" w:eastAsia="Times New Roman" w:hAnsi="Times New Roman" w:cs="Times New Roman"/>
          <w:bCs/>
          <w:iCs/>
          <w:sz w:val="28"/>
          <w:szCs w:val="28"/>
          <w:lang w:eastAsia="ru-RU"/>
        </w:rPr>
        <w:t>0</w:t>
      </w:r>
      <w:r w:rsidRPr="00065877">
        <w:rPr>
          <w:rFonts w:ascii="Times New Roman" w:eastAsia="Times New Roman" w:hAnsi="Times New Roman" w:cs="Times New Roman"/>
          <w:bCs/>
          <w:iCs/>
          <w:sz w:val="28"/>
          <w:szCs w:val="28"/>
          <w:lang w:eastAsia="ru-RU"/>
        </w:rPr>
        <w:t xml:space="preserve"> din 0</w:t>
      </w:r>
      <w:r>
        <w:rPr>
          <w:rFonts w:ascii="Times New Roman" w:eastAsia="Times New Roman" w:hAnsi="Times New Roman" w:cs="Times New Roman"/>
          <w:bCs/>
          <w:iCs/>
          <w:sz w:val="28"/>
          <w:szCs w:val="28"/>
          <w:lang w:eastAsia="ru-RU"/>
        </w:rPr>
        <w:t>7</w:t>
      </w:r>
      <w:r w:rsidRPr="00065877">
        <w:rPr>
          <w:rFonts w:ascii="Times New Roman" w:eastAsia="Times New Roman" w:hAnsi="Times New Roman" w:cs="Times New Roman"/>
          <w:bCs/>
          <w:iCs/>
          <w:sz w:val="28"/>
          <w:szCs w:val="28"/>
          <w:lang w:eastAsia="ru-RU"/>
        </w:rPr>
        <w:t>.12.20</w:t>
      </w:r>
      <w:r>
        <w:rPr>
          <w:rFonts w:ascii="Times New Roman" w:eastAsia="Times New Roman" w:hAnsi="Times New Roman" w:cs="Times New Roman"/>
          <w:bCs/>
          <w:iCs/>
          <w:sz w:val="28"/>
          <w:szCs w:val="28"/>
          <w:lang w:eastAsia="ru-RU"/>
        </w:rPr>
        <w:t>17</w:t>
      </w:r>
      <w:r w:rsidR="00F2597C">
        <w:rPr>
          <w:rStyle w:val="a9"/>
          <w:rFonts w:ascii="Times New Roman" w:eastAsia="Times New Roman" w:hAnsi="Times New Roman" w:cs="Times New Roman"/>
          <w:bCs/>
          <w:iCs/>
          <w:sz w:val="28"/>
          <w:szCs w:val="28"/>
          <w:lang w:eastAsia="ru-RU"/>
        </w:rPr>
        <w:footnoteReference w:id="80"/>
      </w:r>
      <w:r w:rsidRPr="00065877">
        <w:rPr>
          <w:rFonts w:ascii="Times New Roman" w:eastAsia="Times New Roman" w:hAnsi="Times New Roman" w:cs="Times New Roman"/>
          <w:bCs/>
          <w:iCs/>
          <w:sz w:val="28"/>
          <w:szCs w:val="28"/>
          <w:lang w:eastAsia="ru-RU"/>
        </w:rPr>
        <w:t xml:space="preserve">, </w:t>
      </w:r>
      <w:r w:rsidR="00F2597C" w:rsidRPr="00F2597C">
        <w:rPr>
          <w:rFonts w:ascii="Times New Roman" w:eastAsia="Times New Roman" w:hAnsi="Times New Roman" w:cs="Times New Roman"/>
          <w:bCs/>
          <w:iCs/>
          <w:sz w:val="28"/>
          <w:szCs w:val="28"/>
          <w:lang w:eastAsia="ru-RU"/>
        </w:rPr>
        <w:t>Legea finanțelor publice și responsabilității bugetar-fiscale nr.181 din 25.07.2014</w:t>
      </w:r>
      <w:r w:rsidR="00A9296E">
        <w:rPr>
          <w:rStyle w:val="a9"/>
          <w:rFonts w:ascii="Times New Roman" w:eastAsia="Times New Roman" w:hAnsi="Times New Roman" w:cs="Times New Roman"/>
          <w:bCs/>
          <w:iCs/>
          <w:sz w:val="28"/>
          <w:szCs w:val="28"/>
          <w:lang w:eastAsia="ru-RU"/>
        </w:rPr>
        <w:footnoteReference w:id="81"/>
      </w:r>
      <w:r w:rsidR="00F2597C" w:rsidRPr="00F2597C">
        <w:rPr>
          <w:rFonts w:ascii="Times New Roman" w:eastAsia="Times New Roman" w:hAnsi="Times New Roman" w:cs="Times New Roman"/>
          <w:bCs/>
          <w:iCs/>
          <w:sz w:val="28"/>
          <w:szCs w:val="28"/>
          <w:lang w:eastAsia="ru-RU"/>
        </w:rPr>
        <w:t>,</w:t>
      </w:r>
      <w:r w:rsidR="00F2597C">
        <w:rPr>
          <w:rFonts w:ascii="Times New Roman" w:eastAsia="Times New Roman" w:hAnsi="Times New Roman" w:cs="Times New Roman"/>
          <w:bCs/>
          <w:iCs/>
          <w:sz w:val="28"/>
          <w:szCs w:val="28"/>
          <w:lang w:eastAsia="ru-RU"/>
        </w:rPr>
        <w:t xml:space="preserve"> </w:t>
      </w:r>
      <w:r w:rsidRPr="00065877">
        <w:rPr>
          <w:rFonts w:ascii="Times New Roman" w:eastAsia="Times New Roman" w:hAnsi="Times New Roman" w:cs="Times New Roman"/>
          <w:bCs/>
          <w:iCs/>
          <w:sz w:val="28"/>
          <w:szCs w:val="28"/>
          <w:lang w:eastAsia="ru-RU"/>
        </w:rPr>
        <w:t xml:space="preserve">precum și conform Programului activității de audit a Curții de Conturi pe anul </w:t>
      </w:r>
      <w:r w:rsidR="00F2597C" w:rsidRPr="00F2597C">
        <w:rPr>
          <w:rFonts w:ascii="Times New Roman" w:eastAsia="Times New Roman" w:hAnsi="Times New Roman" w:cs="Times New Roman"/>
          <w:bCs/>
          <w:iCs/>
          <w:sz w:val="28"/>
          <w:szCs w:val="28"/>
          <w:lang w:eastAsia="ru-RU"/>
        </w:rPr>
        <w:t>2018</w:t>
      </w:r>
      <w:r w:rsidR="00F2597C" w:rsidRPr="00F2597C">
        <w:rPr>
          <w:rFonts w:ascii="Times New Roman" w:eastAsia="Times New Roman" w:hAnsi="Times New Roman" w:cs="Times New Roman"/>
          <w:bCs/>
          <w:iCs/>
          <w:sz w:val="28"/>
          <w:szCs w:val="28"/>
          <w:vertAlign w:val="superscript"/>
          <w:lang w:eastAsia="ru-RU"/>
        </w:rPr>
        <w:footnoteReference w:id="82"/>
      </w:r>
      <w:r w:rsidR="00F2597C" w:rsidRPr="00F2597C">
        <w:rPr>
          <w:rFonts w:ascii="Times New Roman" w:eastAsia="Times New Roman" w:hAnsi="Times New Roman" w:cs="Times New Roman"/>
          <w:bCs/>
          <w:iCs/>
          <w:sz w:val="28"/>
          <w:szCs w:val="28"/>
          <w:lang w:eastAsia="ru-RU"/>
        </w:rPr>
        <w:t>,</w:t>
      </w:r>
      <w:r>
        <w:rPr>
          <w:rFonts w:ascii="Times New Roman" w:eastAsia="Times New Roman" w:hAnsi="Times New Roman" w:cs="Times New Roman"/>
          <w:bCs/>
          <w:iCs/>
          <w:sz w:val="28"/>
          <w:szCs w:val="28"/>
          <w:lang w:eastAsia="ru-RU"/>
        </w:rPr>
        <w:t xml:space="preserve"> </w:t>
      </w:r>
      <w:r w:rsidRPr="00065877">
        <w:rPr>
          <w:rFonts w:ascii="Times New Roman" w:eastAsia="Times New Roman" w:hAnsi="Times New Roman" w:cs="Times New Roman"/>
          <w:bCs/>
          <w:iCs/>
          <w:sz w:val="28"/>
          <w:szCs w:val="28"/>
          <w:lang w:eastAsia="ru-RU"/>
        </w:rPr>
        <w:t>a realizat</w:t>
      </w:r>
      <w:r>
        <w:rPr>
          <w:rFonts w:ascii="Times New Roman" w:eastAsia="Times New Roman" w:hAnsi="Times New Roman" w:cs="Times New Roman"/>
          <w:bCs/>
          <w:iCs/>
          <w:sz w:val="28"/>
          <w:szCs w:val="28"/>
          <w:lang w:eastAsia="ru-RU"/>
        </w:rPr>
        <w:t xml:space="preserve"> auditul financiar </w:t>
      </w:r>
      <w:r w:rsidRPr="00E169DE">
        <w:rPr>
          <w:rFonts w:ascii="Times New Roman" w:eastAsia="Times New Roman" w:hAnsi="Times New Roman" w:cs="Times New Roman"/>
          <w:bCs/>
          <w:iCs/>
          <w:sz w:val="28"/>
          <w:szCs w:val="28"/>
          <w:lang w:eastAsia="ru-RU"/>
        </w:rPr>
        <w:t>al Raportului Guvernului privind executarea bugetului de stat pe anul 2017</w:t>
      </w:r>
      <w:r>
        <w:rPr>
          <w:rFonts w:ascii="Times New Roman" w:eastAsia="Times New Roman" w:hAnsi="Times New Roman" w:cs="Times New Roman"/>
          <w:bCs/>
          <w:iCs/>
          <w:sz w:val="28"/>
          <w:szCs w:val="28"/>
          <w:lang w:eastAsia="ru-RU"/>
        </w:rPr>
        <w:t xml:space="preserve"> la Ministerul Finanțelor. </w:t>
      </w:r>
    </w:p>
    <w:p w:rsidR="00CE2A72" w:rsidRPr="00CE2A72" w:rsidRDefault="00CE2A72" w:rsidP="00CE2A72">
      <w:pPr>
        <w:spacing w:after="0" w:line="276" w:lineRule="auto"/>
        <w:ind w:firstLine="709"/>
        <w:jc w:val="both"/>
        <w:rPr>
          <w:rFonts w:ascii="Times New Roman" w:eastAsia="Times New Roman" w:hAnsi="Times New Roman" w:cs="Times New Roman"/>
          <w:bCs/>
          <w:iCs/>
          <w:sz w:val="28"/>
          <w:szCs w:val="28"/>
          <w:lang w:eastAsia="ru-RU"/>
        </w:rPr>
      </w:pPr>
      <w:r w:rsidRPr="00CE2A72">
        <w:rPr>
          <w:rFonts w:ascii="Times New Roman" w:eastAsia="Times New Roman" w:hAnsi="Times New Roman" w:cs="Times New Roman"/>
          <w:bCs/>
          <w:i/>
          <w:iCs/>
          <w:sz w:val="28"/>
          <w:szCs w:val="28"/>
          <w:lang w:eastAsia="ru-RU"/>
        </w:rPr>
        <w:t>Scopul auditului.</w:t>
      </w:r>
      <w:r>
        <w:rPr>
          <w:rFonts w:ascii="Times New Roman" w:eastAsia="Times New Roman" w:hAnsi="Times New Roman" w:cs="Times New Roman"/>
          <w:bCs/>
          <w:i/>
          <w:iCs/>
          <w:sz w:val="28"/>
          <w:szCs w:val="28"/>
          <w:lang w:eastAsia="ru-RU"/>
        </w:rPr>
        <w:t xml:space="preserve"> </w:t>
      </w:r>
      <w:r w:rsidRPr="00CE2A72">
        <w:rPr>
          <w:rFonts w:ascii="Times New Roman" w:eastAsia="Times New Roman" w:hAnsi="Times New Roman" w:cs="Times New Roman"/>
          <w:bCs/>
          <w:iCs/>
          <w:sz w:val="28"/>
          <w:szCs w:val="28"/>
          <w:lang w:eastAsia="ru-RU"/>
        </w:rPr>
        <w:t>Auditul financiar exercitat a avut drept scop obținerea unei asigurări rezonabile referitor la faptul că Raportul Guvernului privind executarea bugetului de stat pe anul 2017, întocmit de Ministerul Finanțelor și prezentat Guvernului este elaborat</w:t>
      </w:r>
      <w:r w:rsidR="00AE6040" w:rsidRPr="00CE2A72">
        <w:rPr>
          <w:rFonts w:ascii="Times New Roman" w:eastAsia="Times New Roman" w:hAnsi="Times New Roman" w:cs="Times New Roman"/>
          <w:bCs/>
          <w:iCs/>
          <w:sz w:val="28"/>
          <w:szCs w:val="28"/>
          <w:lang w:eastAsia="ru-RU"/>
        </w:rPr>
        <w:t>, în toate aspectele semnificative</w:t>
      </w:r>
      <w:r w:rsidR="00AE6040">
        <w:rPr>
          <w:rFonts w:ascii="Times New Roman" w:eastAsia="Times New Roman" w:hAnsi="Times New Roman" w:cs="Times New Roman"/>
          <w:bCs/>
          <w:iCs/>
          <w:sz w:val="28"/>
          <w:szCs w:val="28"/>
          <w:lang w:eastAsia="ru-RU"/>
        </w:rPr>
        <w:t>,</w:t>
      </w:r>
      <w:r w:rsidRPr="00CE2A72">
        <w:rPr>
          <w:rFonts w:ascii="Times New Roman" w:eastAsia="Times New Roman" w:hAnsi="Times New Roman" w:cs="Times New Roman"/>
          <w:bCs/>
          <w:iCs/>
          <w:sz w:val="28"/>
          <w:szCs w:val="28"/>
          <w:lang w:eastAsia="ru-RU"/>
        </w:rPr>
        <w:t xml:space="preserve"> în conformitate cu prevederile legale și prezintă informația financiară, bazată pe datele evidenței sistemului trezorerial și datele consolidate ale rapoartelor </w:t>
      </w:r>
      <w:r w:rsidR="00925B6C">
        <w:rPr>
          <w:rFonts w:ascii="Times New Roman" w:hAnsi="Times New Roman" w:cs="Times New Roman"/>
          <w:sz w:val="28"/>
          <w:szCs w:val="28"/>
        </w:rPr>
        <w:t>autorităților/instituțiilor bugetare</w:t>
      </w:r>
      <w:r w:rsidRPr="00CE2A72">
        <w:rPr>
          <w:rFonts w:ascii="Times New Roman" w:eastAsia="Times New Roman" w:hAnsi="Times New Roman" w:cs="Times New Roman"/>
          <w:bCs/>
          <w:iCs/>
          <w:sz w:val="28"/>
          <w:szCs w:val="28"/>
          <w:lang w:eastAsia="ru-RU"/>
        </w:rPr>
        <w:t>, iar operațiunile sunt corecte și conforme prevederilor legale</w:t>
      </w:r>
      <w:r>
        <w:rPr>
          <w:rFonts w:ascii="Times New Roman" w:eastAsia="Times New Roman" w:hAnsi="Times New Roman" w:cs="Times New Roman"/>
          <w:bCs/>
          <w:iCs/>
          <w:sz w:val="28"/>
          <w:szCs w:val="28"/>
          <w:lang w:eastAsia="ru-RU"/>
        </w:rPr>
        <w:t xml:space="preserve">. </w:t>
      </w:r>
    </w:p>
    <w:p w:rsidR="00D5155A" w:rsidRDefault="00CE2A72" w:rsidP="00CE2A72">
      <w:pPr>
        <w:spacing w:after="0" w:line="276" w:lineRule="auto"/>
        <w:ind w:firstLine="709"/>
        <w:jc w:val="both"/>
        <w:rPr>
          <w:rFonts w:ascii="Times New Roman" w:eastAsia="Times New Roman" w:hAnsi="Times New Roman" w:cs="Times New Roman"/>
          <w:bCs/>
          <w:iCs/>
          <w:sz w:val="28"/>
          <w:szCs w:val="28"/>
          <w:lang w:eastAsia="ru-RU"/>
        </w:rPr>
      </w:pPr>
      <w:r w:rsidRPr="00CE2A72">
        <w:rPr>
          <w:rFonts w:ascii="Times New Roman" w:eastAsia="Times New Roman" w:hAnsi="Times New Roman" w:cs="Times New Roman"/>
          <w:bCs/>
          <w:i/>
          <w:iCs/>
          <w:sz w:val="28"/>
          <w:szCs w:val="28"/>
          <w:lang w:eastAsia="ru-RU"/>
        </w:rPr>
        <w:t xml:space="preserve">Sfera </w:t>
      </w:r>
      <w:r>
        <w:rPr>
          <w:rFonts w:ascii="Times New Roman" w:eastAsia="Times New Roman" w:hAnsi="Times New Roman" w:cs="Times New Roman"/>
          <w:bCs/>
          <w:i/>
          <w:iCs/>
          <w:sz w:val="28"/>
          <w:szCs w:val="28"/>
          <w:lang w:eastAsia="ru-RU"/>
        </w:rPr>
        <w:t xml:space="preserve">de abordare </w:t>
      </w:r>
      <w:r w:rsidR="00E61DF0">
        <w:rPr>
          <w:rFonts w:ascii="Times New Roman" w:eastAsia="Times New Roman" w:hAnsi="Times New Roman" w:cs="Times New Roman"/>
          <w:bCs/>
          <w:i/>
          <w:iCs/>
          <w:sz w:val="28"/>
          <w:szCs w:val="28"/>
          <w:lang w:eastAsia="ru-RU"/>
        </w:rPr>
        <w:t>a</w:t>
      </w:r>
      <w:r w:rsidRPr="00CE2A72">
        <w:rPr>
          <w:rFonts w:ascii="Times New Roman" w:eastAsia="Times New Roman" w:hAnsi="Times New Roman" w:cs="Times New Roman"/>
          <w:bCs/>
          <w:i/>
          <w:iCs/>
          <w:sz w:val="28"/>
          <w:szCs w:val="28"/>
          <w:lang w:eastAsia="ru-RU"/>
        </w:rPr>
        <w:t xml:space="preserve"> auditului.</w:t>
      </w:r>
      <w:r w:rsidRPr="00CE2A72">
        <w:rPr>
          <w:rFonts w:ascii="Times New Roman" w:eastAsia="Times New Roman" w:hAnsi="Times New Roman" w:cs="Times New Roman"/>
          <w:bCs/>
          <w:iCs/>
          <w:sz w:val="28"/>
          <w:szCs w:val="28"/>
          <w:lang w:eastAsia="ru-RU"/>
        </w:rPr>
        <w:t xml:space="preserve"> Misiunea de audit a fost planificată și realizată în conformitate cu Standardele de audit aplicate de Curtea de Conturi</w:t>
      </w:r>
      <w:r w:rsidR="00301347">
        <w:rPr>
          <w:rStyle w:val="a9"/>
          <w:rFonts w:ascii="Times New Roman" w:eastAsia="Times New Roman" w:hAnsi="Times New Roman" w:cs="Times New Roman"/>
          <w:bCs/>
          <w:iCs/>
          <w:sz w:val="28"/>
          <w:szCs w:val="28"/>
          <w:lang w:eastAsia="ru-RU"/>
        </w:rPr>
        <w:footnoteReference w:id="83"/>
      </w:r>
      <w:r w:rsidRPr="00CE2A72">
        <w:rPr>
          <w:rFonts w:ascii="Times New Roman" w:eastAsia="Times New Roman" w:hAnsi="Times New Roman" w:cs="Times New Roman"/>
          <w:bCs/>
          <w:iCs/>
          <w:sz w:val="28"/>
          <w:szCs w:val="28"/>
          <w:lang w:eastAsia="ru-RU"/>
        </w:rPr>
        <w:t xml:space="preserve"> și cu bunele practici în domeniul auditului financiar. </w:t>
      </w:r>
    </w:p>
    <w:p w:rsidR="00A37AEB" w:rsidRDefault="00301347" w:rsidP="00CE2A72">
      <w:pPr>
        <w:spacing w:after="0" w:line="276" w:lineRule="auto"/>
        <w:ind w:firstLine="709"/>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În vederea susținerii constatărilor, formulării concluziilor și recomandărilor, p</w:t>
      </w:r>
      <w:r w:rsidR="00CE2A72" w:rsidRPr="00CE2A72">
        <w:rPr>
          <w:rFonts w:ascii="Times New Roman" w:eastAsia="Times New Roman" w:hAnsi="Times New Roman" w:cs="Times New Roman"/>
          <w:bCs/>
          <w:iCs/>
          <w:sz w:val="28"/>
          <w:szCs w:val="28"/>
          <w:lang w:eastAsia="ru-RU"/>
        </w:rPr>
        <w:t xml:space="preserve">robele de audit au fost obținute </w:t>
      </w:r>
      <w:r>
        <w:rPr>
          <w:rFonts w:ascii="Times New Roman" w:eastAsia="Times New Roman" w:hAnsi="Times New Roman" w:cs="Times New Roman"/>
          <w:bCs/>
          <w:iCs/>
          <w:sz w:val="28"/>
          <w:szCs w:val="28"/>
          <w:lang w:eastAsia="ru-RU"/>
        </w:rPr>
        <w:t xml:space="preserve">în urma </w:t>
      </w:r>
      <w:r w:rsidR="00CE2A72" w:rsidRPr="00CE2A72">
        <w:rPr>
          <w:rFonts w:ascii="Times New Roman" w:eastAsia="Times New Roman" w:hAnsi="Times New Roman" w:cs="Times New Roman"/>
          <w:bCs/>
          <w:iCs/>
          <w:sz w:val="28"/>
          <w:szCs w:val="28"/>
          <w:lang w:eastAsia="ru-RU"/>
        </w:rPr>
        <w:t>aplic</w:t>
      </w:r>
      <w:r>
        <w:rPr>
          <w:rFonts w:ascii="Times New Roman" w:eastAsia="Times New Roman" w:hAnsi="Times New Roman" w:cs="Times New Roman"/>
          <w:bCs/>
          <w:iCs/>
          <w:sz w:val="28"/>
          <w:szCs w:val="28"/>
          <w:lang w:eastAsia="ru-RU"/>
        </w:rPr>
        <w:t>ă</w:t>
      </w:r>
      <w:r w:rsidR="00CE2A72" w:rsidRPr="00CE2A72">
        <w:rPr>
          <w:rFonts w:ascii="Times New Roman" w:eastAsia="Times New Roman" w:hAnsi="Times New Roman" w:cs="Times New Roman"/>
          <w:bCs/>
          <w:iCs/>
          <w:sz w:val="28"/>
          <w:szCs w:val="28"/>
          <w:lang w:eastAsia="ru-RU"/>
        </w:rPr>
        <w:t>r</w:t>
      </w:r>
      <w:r>
        <w:rPr>
          <w:rFonts w:ascii="Times New Roman" w:eastAsia="Times New Roman" w:hAnsi="Times New Roman" w:cs="Times New Roman"/>
          <w:bCs/>
          <w:iCs/>
          <w:sz w:val="28"/>
          <w:szCs w:val="28"/>
          <w:lang w:eastAsia="ru-RU"/>
        </w:rPr>
        <w:t>ii</w:t>
      </w:r>
      <w:r w:rsidR="00CE2A72" w:rsidRPr="00CE2A72">
        <w:rPr>
          <w:rFonts w:ascii="Times New Roman" w:eastAsia="Times New Roman" w:hAnsi="Times New Roman" w:cs="Times New Roman"/>
          <w:bCs/>
          <w:iCs/>
          <w:sz w:val="28"/>
          <w:szCs w:val="28"/>
          <w:lang w:eastAsia="ru-RU"/>
        </w:rPr>
        <w:t xml:space="preserve"> procedurilor </w:t>
      </w:r>
      <w:r>
        <w:rPr>
          <w:rFonts w:ascii="Times New Roman" w:eastAsia="Times New Roman" w:hAnsi="Times New Roman" w:cs="Times New Roman"/>
          <w:bCs/>
          <w:iCs/>
          <w:sz w:val="28"/>
          <w:szCs w:val="28"/>
          <w:lang w:eastAsia="ru-RU"/>
        </w:rPr>
        <w:t>de fond</w:t>
      </w:r>
      <w:r w:rsidR="00CE2A72" w:rsidRPr="00CE2A72">
        <w:rPr>
          <w:rFonts w:ascii="Times New Roman" w:eastAsia="Times New Roman" w:hAnsi="Times New Roman" w:cs="Times New Roman"/>
          <w:bCs/>
          <w:iCs/>
          <w:sz w:val="28"/>
          <w:szCs w:val="28"/>
          <w:lang w:eastAsia="ru-RU"/>
        </w:rPr>
        <w:t xml:space="preserve"> și testelor de detaliu</w:t>
      </w:r>
      <w:r>
        <w:rPr>
          <w:rFonts w:ascii="Times New Roman" w:eastAsia="Times New Roman" w:hAnsi="Times New Roman" w:cs="Times New Roman"/>
          <w:bCs/>
          <w:iCs/>
          <w:sz w:val="28"/>
          <w:szCs w:val="28"/>
          <w:lang w:eastAsia="ru-RU"/>
        </w:rPr>
        <w:t>, ținându-se cont de nivelul materialității, semnificația și riscurile identificate</w:t>
      </w:r>
      <w:r w:rsidR="003551E5">
        <w:rPr>
          <w:rFonts w:ascii="Times New Roman" w:eastAsia="Times New Roman" w:hAnsi="Times New Roman" w:cs="Times New Roman"/>
          <w:bCs/>
          <w:iCs/>
          <w:sz w:val="28"/>
          <w:szCs w:val="28"/>
          <w:lang w:eastAsia="ru-RU"/>
        </w:rPr>
        <w:t>. A</w:t>
      </w:r>
      <w:r w:rsidR="003551E5" w:rsidRPr="00A37AEB">
        <w:rPr>
          <w:rFonts w:ascii="Times New Roman" w:eastAsia="Times New Roman" w:hAnsi="Times New Roman" w:cs="Times New Roman"/>
          <w:bCs/>
          <w:iCs/>
          <w:sz w:val="28"/>
          <w:szCs w:val="28"/>
          <w:lang w:eastAsia="ru-RU"/>
        </w:rPr>
        <w:t>uditul a efectuat verificarea informațiilor prezentate în Raportul privind executarea bugetului de stat</w:t>
      </w:r>
      <w:r w:rsidR="003551E5">
        <w:rPr>
          <w:rFonts w:ascii="Times New Roman" w:eastAsia="Times New Roman" w:hAnsi="Times New Roman" w:cs="Times New Roman"/>
          <w:bCs/>
          <w:iCs/>
          <w:sz w:val="28"/>
          <w:szCs w:val="28"/>
          <w:lang w:eastAsia="ru-RU"/>
        </w:rPr>
        <w:t xml:space="preserve"> pe anul 2017</w:t>
      </w:r>
      <w:r w:rsidR="003551E5" w:rsidRPr="00A37AEB">
        <w:rPr>
          <w:rFonts w:ascii="Times New Roman" w:eastAsia="Times New Roman" w:hAnsi="Times New Roman" w:cs="Times New Roman"/>
          <w:bCs/>
          <w:iCs/>
          <w:sz w:val="28"/>
          <w:szCs w:val="28"/>
          <w:lang w:eastAsia="ru-RU"/>
        </w:rPr>
        <w:t xml:space="preserve">, precum și analiza indicatorilor bugetari și datelor semnificative din formularele </w:t>
      </w:r>
      <w:r w:rsidR="003551E5">
        <w:rPr>
          <w:rFonts w:ascii="Times New Roman" w:eastAsia="Times New Roman" w:hAnsi="Times New Roman" w:cs="Times New Roman"/>
          <w:bCs/>
          <w:iCs/>
          <w:sz w:val="28"/>
          <w:szCs w:val="28"/>
          <w:lang w:eastAsia="ru-RU"/>
        </w:rPr>
        <w:t xml:space="preserve">componente, </w:t>
      </w:r>
      <w:r w:rsidR="00CE2A72" w:rsidRPr="00CE2A72">
        <w:rPr>
          <w:rFonts w:ascii="Times New Roman" w:eastAsia="Times New Roman" w:hAnsi="Times New Roman" w:cs="Times New Roman"/>
          <w:bCs/>
          <w:iCs/>
          <w:sz w:val="28"/>
          <w:szCs w:val="28"/>
          <w:lang w:eastAsia="ru-RU"/>
        </w:rPr>
        <w:t xml:space="preserve">cu </w:t>
      </w:r>
      <w:r>
        <w:rPr>
          <w:rFonts w:ascii="Times New Roman" w:eastAsia="Times New Roman" w:hAnsi="Times New Roman" w:cs="Times New Roman"/>
          <w:bCs/>
          <w:iCs/>
          <w:sz w:val="28"/>
          <w:szCs w:val="28"/>
          <w:lang w:eastAsia="ru-RU"/>
        </w:rPr>
        <w:t>aplica</w:t>
      </w:r>
      <w:r w:rsidR="00CE2A72" w:rsidRPr="00CE2A72">
        <w:rPr>
          <w:rFonts w:ascii="Times New Roman" w:eastAsia="Times New Roman" w:hAnsi="Times New Roman" w:cs="Times New Roman"/>
          <w:bCs/>
          <w:iCs/>
          <w:sz w:val="28"/>
          <w:szCs w:val="28"/>
          <w:lang w:eastAsia="ru-RU"/>
        </w:rPr>
        <w:t>rea diferitor tehnici</w:t>
      </w:r>
      <w:r>
        <w:rPr>
          <w:rFonts w:ascii="Times New Roman" w:eastAsia="Times New Roman" w:hAnsi="Times New Roman" w:cs="Times New Roman"/>
          <w:bCs/>
          <w:iCs/>
          <w:sz w:val="28"/>
          <w:szCs w:val="28"/>
          <w:lang w:eastAsia="ru-RU"/>
        </w:rPr>
        <w:t xml:space="preserve"> și metode</w:t>
      </w:r>
      <w:r w:rsidR="00A37AEB">
        <w:rPr>
          <w:rFonts w:ascii="Times New Roman" w:eastAsia="Times New Roman" w:hAnsi="Times New Roman" w:cs="Times New Roman"/>
          <w:bCs/>
          <w:iCs/>
          <w:sz w:val="28"/>
          <w:szCs w:val="28"/>
          <w:lang w:eastAsia="ru-RU"/>
        </w:rPr>
        <w:t xml:space="preserve"> specifice domeniului auditat</w:t>
      </w:r>
      <w:r w:rsidR="00CE2A72" w:rsidRPr="00CE2A72">
        <w:rPr>
          <w:rFonts w:ascii="Times New Roman" w:eastAsia="Times New Roman" w:hAnsi="Times New Roman" w:cs="Times New Roman"/>
          <w:bCs/>
          <w:iCs/>
          <w:sz w:val="28"/>
          <w:szCs w:val="28"/>
          <w:lang w:eastAsia="ru-RU"/>
        </w:rPr>
        <w:t xml:space="preserve">: </w:t>
      </w:r>
    </w:p>
    <w:p w:rsidR="00D5155A" w:rsidRDefault="00D5155A" w:rsidP="003F12B5">
      <w:pPr>
        <w:pStyle w:val="a5"/>
        <w:numPr>
          <w:ilvl w:val="0"/>
          <w:numId w:val="5"/>
        </w:numPr>
        <w:tabs>
          <w:tab w:val="left" w:pos="851"/>
        </w:tabs>
        <w:spacing w:after="0" w:line="276" w:lineRule="auto"/>
        <w:ind w:left="0" w:firstLine="709"/>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stabilirea</w:t>
      </w:r>
      <w:r w:rsidRPr="00C42A14">
        <w:rPr>
          <w:rFonts w:ascii="Times New Roman" w:eastAsia="Times New Roman" w:hAnsi="Times New Roman" w:cs="Times New Roman"/>
          <w:bCs/>
          <w:iCs/>
          <w:sz w:val="28"/>
          <w:szCs w:val="28"/>
          <w:lang w:eastAsia="ru-RU"/>
        </w:rPr>
        <w:t xml:space="preserve"> </w:t>
      </w:r>
      <w:r>
        <w:rPr>
          <w:rFonts w:ascii="Times New Roman" w:eastAsia="Times New Roman" w:hAnsi="Times New Roman" w:cs="Times New Roman"/>
          <w:bCs/>
          <w:iCs/>
          <w:sz w:val="28"/>
          <w:szCs w:val="28"/>
          <w:lang w:eastAsia="ru-RU"/>
        </w:rPr>
        <w:t xml:space="preserve">faptului că </w:t>
      </w:r>
      <w:r w:rsidRPr="00C42A14">
        <w:rPr>
          <w:rFonts w:ascii="Times New Roman" w:eastAsia="Times New Roman" w:hAnsi="Times New Roman" w:cs="Times New Roman"/>
          <w:bCs/>
          <w:iCs/>
          <w:sz w:val="28"/>
          <w:szCs w:val="28"/>
          <w:lang w:eastAsia="ru-RU"/>
        </w:rPr>
        <w:t>informațiil</w:t>
      </w:r>
      <w:r>
        <w:rPr>
          <w:rFonts w:ascii="Times New Roman" w:eastAsia="Times New Roman" w:hAnsi="Times New Roman" w:cs="Times New Roman"/>
          <w:bCs/>
          <w:iCs/>
          <w:sz w:val="28"/>
          <w:szCs w:val="28"/>
          <w:lang w:eastAsia="ru-RU"/>
        </w:rPr>
        <w:t>e</w:t>
      </w:r>
      <w:r w:rsidRPr="00C42A14">
        <w:rPr>
          <w:rFonts w:ascii="Times New Roman" w:eastAsia="Times New Roman" w:hAnsi="Times New Roman" w:cs="Times New Roman"/>
          <w:bCs/>
          <w:iCs/>
          <w:sz w:val="28"/>
          <w:szCs w:val="28"/>
          <w:lang w:eastAsia="ru-RU"/>
        </w:rPr>
        <w:t xml:space="preserve"> cuprinse în Raportul privind executarea bugetului de stat pe anul 201</w:t>
      </w:r>
      <w:r>
        <w:rPr>
          <w:rFonts w:ascii="Times New Roman" w:eastAsia="Times New Roman" w:hAnsi="Times New Roman" w:cs="Times New Roman"/>
          <w:bCs/>
          <w:iCs/>
          <w:sz w:val="28"/>
          <w:szCs w:val="28"/>
          <w:lang w:eastAsia="ru-RU"/>
        </w:rPr>
        <w:t>7 sunt veridice datorită funcționalității controalelor</w:t>
      </w:r>
      <w:r w:rsidRPr="00C42A14">
        <w:rPr>
          <w:rFonts w:ascii="Times New Roman" w:eastAsia="Times New Roman" w:hAnsi="Times New Roman" w:cs="Times New Roman"/>
          <w:bCs/>
          <w:iCs/>
          <w:sz w:val="28"/>
          <w:szCs w:val="28"/>
          <w:lang w:eastAsia="ru-RU"/>
        </w:rPr>
        <w:t xml:space="preserve"> financiare și manageriale </w:t>
      </w:r>
      <w:r>
        <w:rPr>
          <w:rFonts w:ascii="Times New Roman" w:eastAsia="Times New Roman" w:hAnsi="Times New Roman" w:cs="Times New Roman"/>
          <w:bCs/>
          <w:iCs/>
          <w:sz w:val="28"/>
          <w:szCs w:val="28"/>
          <w:lang w:eastAsia="ru-RU"/>
        </w:rPr>
        <w:t>din cadrul Ministerului Finanțelor</w:t>
      </w:r>
      <w:r w:rsidR="00AE6040">
        <w:rPr>
          <w:rFonts w:ascii="Times New Roman" w:eastAsia="Times New Roman" w:hAnsi="Times New Roman" w:cs="Times New Roman"/>
          <w:bCs/>
          <w:iCs/>
          <w:sz w:val="28"/>
          <w:szCs w:val="28"/>
          <w:lang w:eastAsia="ru-RU"/>
        </w:rPr>
        <w:t>;</w:t>
      </w:r>
    </w:p>
    <w:p w:rsidR="00A37AEB" w:rsidRPr="00D5155A" w:rsidRDefault="00A37AEB" w:rsidP="003F12B5">
      <w:pPr>
        <w:pStyle w:val="a5"/>
        <w:numPr>
          <w:ilvl w:val="0"/>
          <w:numId w:val="5"/>
        </w:numPr>
        <w:tabs>
          <w:tab w:val="left" w:pos="851"/>
        </w:tabs>
        <w:spacing w:after="0" w:line="276" w:lineRule="auto"/>
        <w:ind w:left="0" w:firstLine="709"/>
        <w:jc w:val="both"/>
        <w:rPr>
          <w:rFonts w:ascii="Times New Roman" w:eastAsia="Times New Roman" w:hAnsi="Times New Roman" w:cs="Times New Roman"/>
          <w:bCs/>
          <w:iCs/>
          <w:sz w:val="28"/>
          <w:szCs w:val="28"/>
          <w:lang w:eastAsia="ru-RU"/>
        </w:rPr>
      </w:pPr>
      <w:r w:rsidRPr="00A37AEB">
        <w:rPr>
          <w:rFonts w:ascii="Times New Roman" w:eastAsia="Times New Roman" w:hAnsi="Times New Roman" w:cs="Times New Roman"/>
          <w:bCs/>
          <w:iCs/>
          <w:sz w:val="28"/>
          <w:szCs w:val="28"/>
          <w:lang w:eastAsia="ru-RU"/>
        </w:rPr>
        <w:t>examinarea registrelor trezoreriale de evidență</w:t>
      </w:r>
      <w:r w:rsidR="00CE2A72" w:rsidRPr="00A37AEB">
        <w:rPr>
          <w:rFonts w:ascii="Times New Roman" w:eastAsia="Times New Roman" w:hAnsi="Times New Roman" w:cs="Times New Roman"/>
          <w:bCs/>
          <w:iCs/>
          <w:sz w:val="28"/>
          <w:szCs w:val="28"/>
          <w:lang w:eastAsia="ru-RU"/>
        </w:rPr>
        <w:t>,</w:t>
      </w:r>
      <w:r w:rsidRPr="00A37AEB">
        <w:rPr>
          <w:rFonts w:ascii="Times New Roman" w:eastAsia="Times New Roman" w:hAnsi="Times New Roman" w:cs="Times New Roman"/>
          <w:bCs/>
          <w:iCs/>
          <w:sz w:val="28"/>
          <w:szCs w:val="28"/>
          <w:lang w:eastAsia="ru-RU"/>
        </w:rPr>
        <w:t xml:space="preserve"> rapoartelor lunare, trimestriale și anuale privind executarea de casă a bugetului de stat prin sistemul trezorerial, rapoartelor </w:t>
      </w:r>
      <w:r w:rsidR="00925B6C">
        <w:rPr>
          <w:rFonts w:ascii="Times New Roman" w:hAnsi="Times New Roman" w:cs="Times New Roman"/>
          <w:sz w:val="28"/>
          <w:szCs w:val="28"/>
        </w:rPr>
        <w:t>autorităților/instituțiilor bugetare</w:t>
      </w:r>
      <w:r w:rsidRPr="00A37AEB">
        <w:rPr>
          <w:rFonts w:ascii="Times New Roman" w:eastAsia="Times New Roman" w:hAnsi="Times New Roman" w:cs="Times New Roman"/>
          <w:bCs/>
          <w:iCs/>
          <w:sz w:val="28"/>
          <w:szCs w:val="28"/>
          <w:lang w:eastAsia="ru-RU"/>
        </w:rPr>
        <w:t xml:space="preserve"> etc.</w:t>
      </w:r>
      <w:r>
        <w:rPr>
          <w:rFonts w:ascii="Times New Roman" w:eastAsia="Times New Roman" w:hAnsi="Times New Roman" w:cs="Times New Roman"/>
          <w:bCs/>
          <w:iCs/>
          <w:sz w:val="28"/>
          <w:szCs w:val="28"/>
          <w:lang w:eastAsia="ru-RU"/>
        </w:rPr>
        <w:t>;</w:t>
      </w:r>
    </w:p>
    <w:p w:rsidR="00A37AEB" w:rsidRPr="00C42A14" w:rsidRDefault="00A37AEB" w:rsidP="003F12B5">
      <w:pPr>
        <w:pStyle w:val="a5"/>
        <w:numPr>
          <w:ilvl w:val="0"/>
          <w:numId w:val="5"/>
        </w:numPr>
        <w:tabs>
          <w:tab w:val="left" w:pos="851"/>
        </w:tabs>
        <w:spacing w:after="0" w:line="276" w:lineRule="auto"/>
        <w:ind w:left="0" w:firstLine="709"/>
        <w:jc w:val="both"/>
        <w:rPr>
          <w:rFonts w:ascii="Times New Roman" w:eastAsia="Times New Roman" w:hAnsi="Times New Roman" w:cs="Times New Roman"/>
          <w:bCs/>
          <w:iCs/>
          <w:sz w:val="28"/>
          <w:szCs w:val="28"/>
          <w:lang w:eastAsia="ru-RU"/>
        </w:rPr>
      </w:pPr>
      <w:r w:rsidRPr="00C42A14">
        <w:rPr>
          <w:rFonts w:ascii="Times New Roman" w:eastAsia="Times New Roman" w:hAnsi="Times New Roman" w:cs="Times New Roman"/>
          <w:bCs/>
          <w:iCs/>
          <w:sz w:val="28"/>
          <w:szCs w:val="28"/>
          <w:lang w:eastAsia="ru-RU"/>
        </w:rPr>
        <w:lastRenderedPageBreak/>
        <w:t xml:space="preserve">verificarea soldurilor conturilor </w:t>
      </w:r>
      <w:r w:rsidR="003551E5" w:rsidRPr="003551E5">
        <w:rPr>
          <w:rFonts w:ascii="Times New Roman" w:eastAsia="Times New Roman" w:hAnsi="Times New Roman" w:cs="Times New Roman"/>
          <w:bCs/>
          <w:iCs/>
          <w:sz w:val="28"/>
          <w:szCs w:val="28"/>
          <w:lang w:eastAsia="ru-RU"/>
        </w:rPr>
        <w:t xml:space="preserve">la </w:t>
      </w:r>
      <w:r w:rsidR="00D5155A">
        <w:rPr>
          <w:rFonts w:ascii="Times New Roman" w:eastAsia="Times New Roman" w:hAnsi="Times New Roman" w:cs="Times New Roman"/>
          <w:bCs/>
          <w:iCs/>
          <w:sz w:val="28"/>
          <w:szCs w:val="28"/>
          <w:lang w:eastAsia="ru-RU"/>
        </w:rPr>
        <w:t xml:space="preserve">situația din 01.01.2017 </w:t>
      </w:r>
      <w:r w:rsidR="003551E5" w:rsidRPr="003551E5">
        <w:rPr>
          <w:rFonts w:ascii="Times New Roman" w:eastAsia="Times New Roman" w:hAnsi="Times New Roman" w:cs="Times New Roman"/>
          <w:bCs/>
          <w:iCs/>
          <w:sz w:val="28"/>
          <w:szCs w:val="28"/>
          <w:lang w:eastAsia="ru-RU"/>
        </w:rPr>
        <w:t>și la finele anului bugetar</w:t>
      </w:r>
      <w:r w:rsidR="003551E5">
        <w:rPr>
          <w:rFonts w:ascii="Times New Roman" w:eastAsia="Times New Roman" w:hAnsi="Times New Roman" w:cs="Times New Roman"/>
          <w:bCs/>
          <w:iCs/>
          <w:sz w:val="28"/>
          <w:szCs w:val="28"/>
          <w:lang w:eastAsia="ru-RU"/>
        </w:rPr>
        <w:t>,</w:t>
      </w:r>
      <w:r w:rsidR="00D5155A">
        <w:rPr>
          <w:rFonts w:ascii="Times New Roman" w:eastAsia="Times New Roman" w:hAnsi="Times New Roman" w:cs="Times New Roman"/>
          <w:bCs/>
          <w:iCs/>
          <w:sz w:val="28"/>
          <w:szCs w:val="28"/>
          <w:lang w:eastAsia="ru-RU"/>
        </w:rPr>
        <w:t xml:space="preserve"> 31.12.2017,</w:t>
      </w:r>
      <w:r w:rsidR="003551E5">
        <w:rPr>
          <w:rFonts w:ascii="Times New Roman" w:eastAsia="Times New Roman" w:hAnsi="Times New Roman" w:cs="Times New Roman"/>
          <w:bCs/>
          <w:iCs/>
          <w:sz w:val="28"/>
          <w:szCs w:val="28"/>
          <w:lang w:eastAsia="ru-RU"/>
        </w:rPr>
        <w:t xml:space="preserve"> precum</w:t>
      </w:r>
      <w:r w:rsidR="003551E5" w:rsidRPr="003551E5">
        <w:rPr>
          <w:rFonts w:ascii="Times New Roman" w:eastAsia="Times New Roman" w:hAnsi="Times New Roman" w:cs="Times New Roman"/>
          <w:bCs/>
          <w:iCs/>
          <w:sz w:val="28"/>
          <w:szCs w:val="28"/>
          <w:lang w:eastAsia="ru-RU"/>
        </w:rPr>
        <w:t xml:space="preserve"> </w:t>
      </w:r>
      <w:r w:rsidRPr="00C42A14">
        <w:rPr>
          <w:rFonts w:ascii="Times New Roman" w:eastAsia="Times New Roman" w:hAnsi="Times New Roman" w:cs="Times New Roman"/>
          <w:bCs/>
          <w:iCs/>
          <w:sz w:val="28"/>
          <w:szCs w:val="28"/>
          <w:lang w:eastAsia="ru-RU"/>
        </w:rPr>
        <w:t>și a unor tranzacții</w:t>
      </w:r>
      <w:r w:rsidR="003551E5">
        <w:rPr>
          <w:rFonts w:ascii="Times New Roman" w:eastAsia="Times New Roman" w:hAnsi="Times New Roman" w:cs="Times New Roman"/>
          <w:bCs/>
          <w:iCs/>
          <w:sz w:val="28"/>
          <w:szCs w:val="28"/>
          <w:lang w:eastAsia="ru-RU"/>
        </w:rPr>
        <w:t xml:space="preserve"> specifice</w:t>
      </w:r>
      <w:r w:rsidRPr="00C42A14">
        <w:rPr>
          <w:rFonts w:ascii="Times New Roman" w:eastAsia="Times New Roman" w:hAnsi="Times New Roman" w:cs="Times New Roman"/>
          <w:bCs/>
          <w:iCs/>
          <w:sz w:val="28"/>
          <w:szCs w:val="28"/>
          <w:lang w:eastAsia="ru-RU"/>
        </w:rPr>
        <w:t>;</w:t>
      </w:r>
    </w:p>
    <w:p w:rsidR="00A37AEB" w:rsidRPr="00C42A14" w:rsidRDefault="00A37AEB" w:rsidP="003F12B5">
      <w:pPr>
        <w:pStyle w:val="a5"/>
        <w:numPr>
          <w:ilvl w:val="0"/>
          <w:numId w:val="5"/>
        </w:numPr>
        <w:tabs>
          <w:tab w:val="left" w:pos="851"/>
        </w:tabs>
        <w:spacing w:after="0" w:line="276" w:lineRule="auto"/>
        <w:ind w:left="0" w:firstLine="709"/>
        <w:jc w:val="both"/>
        <w:rPr>
          <w:rFonts w:ascii="Times New Roman" w:eastAsia="Times New Roman" w:hAnsi="Times New Roman" w:cs="Times New Roman"/>
          <w:bCs/>
          <w:iCs/>
          <w:sz w:val="28"/>
          <w:szCs w:val="28"/>
          <w:lang w:eastAsia="ru-RU"/>
        </w:rPr>
      </w:pPr>
      <w:r w:rsidRPr="00C42A14">
        <w:rPr>
          <w:rFonts w:ascii="Times New Roman" w:eastAsia="Times New Roman" w:hAnsi="Times New Roman" w:cs="Times New Roman"/>
          <w:bCs/>
          <w:iCs/>
          <w:sz w:val="28"/>
          <w:szCs w:val="28"/>
          <w:lang w:eastAsia="ru-RU"/>
        </w:rPr>
        <w:t>analiz</w:t>
      </w:r>
      <w:r>
        <w:rPr>
          <w:rFonts w:ascii="Times New Roman" w:eastAsia="Times New Roman" w:hAnsi="Times New Roman" w:cs="Times New Roman"/>
          <w:bCs/>
          <w:iCs/>
          <w:sz w:val="28"/>
          <w:szCs w:val="28"/>
          <w:lang w:eastAsia="ru-RU"/>
        </w:rPr>
        <w:t>a</w:t>
      </w:r>
      <w:r w:rsidRPr="00C42A14">
        <w:rPr>
          <w:rFonts w:ascii="Times New Roman" w:eastAsia="Times New Roman" w:hAnsi="Times New Roman" w:cs="Times New Roman"/>
          <w:bCs/>
          <w:iCs/>
          <w:sz w:val="28"/>
          <w:szCs w:val="28"/>
          <w:lang w:eastAsia="ru-RU"/>
        </w:rPr>
        <w:t xml:space="preserve"> </w:t>
      </w:r>
      <w:r w:rsidR="00D5155A">
        <w:rPr>
          <w:rFonts w:ascii="Times New Roman" w:eastAsia="Times New Roman" w:hAnsi="Times New Roman" w:cs="Times New Roman"/>
          <w:bCs/>
          <w:iCs/>
          <w:sz w:val="28"/>
          <w:szCs w:val="28"/>
          <w:lang w:eastAsia="ru-RU"/>
        </w:rPr>
        <w:t xml:space="preserve">comparativă </w:t>
      </w:r>
      <w:r w:rsidRPr="00C42A14">
        <w:rPr>
          <w:rFonts w:ascii="Times New Roman" w:eastAsia="Times New Roman" w:hAnsi="Times New Roman" w:cs="Times New Roman"/>
          <w:bCs/>
          <w:iCs/>
          <w:sz w:val="28"/>
          <w:szCs w:val="28"/>
          <w:lang w:eastAsia="ru-RU"/>
        </w:rPr>
        <w:t xml:space="preserve">pentru identificarea neconformităților în datele raportate; </w:t>
      </w:r>
    </w:p>
    <w:p w:rsidR="00A37AEB" w:rsidRPr="00C42A14" w:rsidRDefault="00A37AEB" w:rsidP="003F12B5">
      <w:pPr>
        <w:pStyle w:val="a5"/>
        <w:numPr>
          <w:ilvl w:val="0"/>
          <w:numId w:val="5"/>
        </w:numPr>
        <w:tabs>
          <w:tab w:val="left" w:pos="851"/>
        </w:tabs>
        <w:spacing w:after="0" w:line="276" w:lineRule="auto"/>
        <w:ind w:left="0" w:firstLine="709"/>
        <w:jc w:val="both"/>
        <w:rPr>
          <w:rFonts w:ascii="Times New Roman" w:eastAsia="Times New Roman" w:hAnsi="Times New Roman" w:cs="Times New Roman"/>
          <w:bCs/>
          <w:iCs/>
          <w:sz w:val="28"/>
          <w:szCs w:val="28"/>
          <w:lang w:eastAsia="ru-RU"/>
        </w:rPr>
      </w:pPr>
      <w:r w:rsidRPr="00C42A14">
        <w:rPr>
          <w:rFonts w:ascii="Times New Roman" w:eastAsia="Times New Roman" w:hAnsi="Times New Roman" w:cs="Times New Roman"/>
          <w:bCs/>
          <w:iCs/>
          <w:sz w:val="28"/>
          <w:szCs w:val="28"/>
          <w:lang w:eastAsia="ru-RU"/>
        </w:rPr>
        <w:t xml:space="preserve">efectuarea de analize pentru determinarea conformității executării </w:t>
      </w:r>
      <w:r w:rsidR="00D5155A">
        <w:rPr>
          <w:rFonts w:ascii="Times New Roman" w:eastAsia="Times New Roman" w:hAnsi="Times New Roman" w:cs="Times New Roman"/>
          <w:bCs/>
          <w:iCs/>
          <w:sz w:val="28"/>
          <w:szCs w:val="28"/>
          <w:lang w:eastAsia="ru-RU"/>
        </w:rPr>
        <w:t>transferurilor la bugetele componente ale BPN;</w:t>
      </w:r>
    </w:p>
    <w:p w:rsidR="00A37AEB" w:rsidRPr="00C42A14" w:rsidRDefault="003551E5" w:rsidP="003F12B5">
      <w:pPr>
        <w:pStyle w:val="a5"/>
        <w:numPr>
          <w:ilvl w:val="0"/>
          <w:numId w:val="5"/>
        </w:numPr>
        <w:tabs>
          <w:tab w:val="left" w:pos="851"/>
        </w:tabs>
        <w:spacing w:after="0" w:line="276" w:lineRule="auto"/>
        <w:ind w:left="0" w:firstLine="709"/>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analiza aplicării consecvente și adecvate a</w:t>
      </w:r>
      <w:r w:rsidR="00A37AEB" w:rsidRPr="00C42A14">
        <w:rPr>
          <w:rFonts w:ascii="Times New Roman" w:eastAsia="Times New Roman" w:hAnsi="Times New Roman" w:cs="Times New Roman"/>
          <w:bCs/>
          <w:iCs/>
          <w:sz w:val="28"/>
          <w:szCs w:val="28"/>
          <w:lang w:eastAsia="ru-RU"/>
        </w:rPr>
        <w:t xml:space="preserve"> politicil</w:t>
      </w:r>
      <w:r>
        <w:rPr>
          <w:rFonts w:ascii="Times New Roman" w:eastAsia="Times New Roman" w:hAnsi="Times New Roman" w:cs="Times New Roman"/>
          <w:bCs/>
          <w:iCs/>
          <w:sz w:val="28"/>
          <w:szCs w:val="28"/>
          <w:lang w:eastAsia="ru-RU"/>
        </w:rPr>
        <w:t>or</w:t>
      </w:r>
      <w:r w:rsidR="00A37AEB" w:rsidRPr="00C42A14">
        <w:rPr>
          <w:rFonts w:ascii="Times New Roman" w:eastAsia="Times New Roman" w:hAnsi="Times New Roman" w:cs="Times New Roman"/>
          <w:bCs/>
          <w:iCs/>
          <w:sz w:val="28"/>
          <w:szCs w:val="28"/>
          <w:lang w:eastAsia="ru-RU"/>
        </w:rPr>
        <w:t xml:space="preserve"> de evidență și raportare;</w:t>
      </w:r>
    </w:p>
    <w:p w:rsidR="00A37AEB" w:rsidRPr="00C42A14" w:rsidRDefault="00A37AEB" w:rsidP="003F12B5">
      <w:pPr>
        <w:pStyle w:val="a5"/>
        <w:numPr>
          <w:ilvl w:val="0"/>
          <w:numId w:val="5"/>
        </w:numPr>
        <w:tabs>
          <w:tab w:val="left" w:pos="851"/>
        </w:tabs>
        <w:spacing w:after="0" w:line="276" w:lineRule="auto"/>
        <w:ind w:left="0" w:firstLine="709"/>
        <w:jc w:val="both"/>
        <w:rPr>
          <w:rFonts w:ascii="Times New Roman" w:eastAsia="Times New Roman" w:hAnsi="Times New Roman" w:cs="Times New Roman"/>
          <w:bCs/>
          <w:iCs/>
          <w:sz w:val="28"/>
          <w:szCs w:val="28"/>
          <w:lang w:eastAsia="ru-RU"/>
        </w:rPr>
      </w:pPr>
      <w:r w:rsidRPr="00C42A14">
        <w:rPr>
          <w:rFonts w:ascii="Times New Roman" w:eastAsia="Times New Roman" w:hAnsi="Times New Roman" w:cs="Times New Roman"/>
          <w:bCs/>
          <w:iCs/>
          <w:sz w:val="28"/>
          <w:szCs w:val="28"/>
          <w:lang w:eastAsia="ru-RU"/>
        </w:rPr>
        <w:t>stabilirea faptului dacă situațiile privind executarea bugetului de stat pe anul 201</w:t>
      </w:r>
      <w:r w:rsidR="00D5155A">
        <w:rPr>
          <w:rFonts w:ascii="Times New Roman" w:eastAsia="Times New Roman" w:hAnsi="Times New Roman" w:cs="Times New Roman"/>
          <w:bCs/>
          <w:iCs/>
          <w:sz w:val="28"/>
          <w:szCs w:val="28"/>
          <w:lang w:eastAsia="ru-RU"/>
        </w:rPr>
        <w:t>7</w:t>
      </w:r>
      <w:r w:rsidRPr="00C42A14">
        <w:rPr>
          <w:rFonts w:ascii="Times New Roman" w:eastAsia="Times New Roman" w:hAnsi="Times New Roman" w:cs="Times New Roman"/>
          <w:bCs/>
          <w:iCs/>
          <w:sz w:val="28"/>
          <w:szCs w:val="28"/>
          <w:lang w:eastAsia="ru-RU"/>
        </w:rPr>
        <w:t xml:space="preserve"> prezentate sunt adecvate și realiste.</w:t>
      </w:r>
    </w:p>
    <w:p w:rsidR="00CE2A72" w:rsidRDefault="003551E5" w:rsidP="003551E5">
      <w:pPr>
        <w:spacing w:after="0" w:line="276" w:lineRule="auto"/>
        <w:ind w:firstLine="709"/>
        <w:jc w:val="both"/>
        <w:rPr>
          <w:rFonts w:ascii="Times New Roman" w:eastAsia="Times New Roman" w:hAnsi="Times New Roman" w:cs="Times New Roman"/>
          <w:bCs/>
          <w:iCs/>
          <w:sz w:val="28"/>
          <w:szCs w:val="28"/>
          <w:lang w:eastAsia="ru-RU"/>
        </w:rPr>
      </w:pPr>
      <w:r w:rsidRPr="00C42A14">
        <w:rPr>
          <w:rFonts w:ascii="Times New Roman" w:eastAsia="Times New Roman" w:hAnsi="Times New Roman" w:cs="Times New Roman"/>
          <w:bCs/>
          <w:iCs/>
          <w:sz w:val="28"/>
          <w:szCs w:val="28"/>
          <w:lang w:eastAsia="ru-RU"/>
        </w:rPr>
        <w:t>Se relevă că nu au fost supuse examinării de audit toate tranzacțiile, motiv din care auditul nu poate garanta o asigurare absolută privind exactitatea și completitudinea indicatorilor incluși în Raportul privind executarea bugetului de stat pe anul 201</w:t>
      </w:r>
      <w:r>
        <w:rPr>
          <w:rFonts w:ascii="Times New Roman" w:eastAsia="Times New Roman" w:hAnsi="Times New Roman" w:cs="Times New Roman"/>
          <w:bCs/>
          <w:iCs/>
          <w:sz w:val="28"/>
          <w:szCs w:val="28"/>
          <w:lang w:eastAsia="ru-RU"/>
        </w:rPr>
        <w:t>7</w:t>
      </w:r>
      <w:r w:rsidRPr="00C42A14">
        <w:rPr>
          <w:rFonts w:ascii="Times New Roman" w:eastAsia="Times New Roman" w:hAnsi="Times New Roman" w:cs="Times New Roman"/>
          <w:bCs/>
          <w:iCs/>
          <w:sz w:val="28"/>
          <w:szCs w:val="28"/>
          <w:lang w:eastAsia="ru-RU"/>
        </w:rPr>
        <w:t>.</w:t>
      </w:r>
      <w:r>
        <w:rPr>
          <w:rFonts w:ascii="Times New Roman" w:eastAsia="Times New Roman" w:hAnsi="Times New Roman" w:cs="Times New Roman"/>
          <w:bCs/>
          <w:iCs/>
          <w:sz w:val="28"/>
          <w:szCs w:val="28"/>
          <w:lang w:eastAsia="ru-RU"/>
        </w:rPr>
        <w:t xml:space="preserve"> </w:t>
      </w:r>
    </w:p>
    <w:p w:rsidR="003551E5" w:rsidRPr="00C42A14" w:rsidRDefault="003551E5" w:rsidP="003551E5">
      <w:pPr>
        <w:spacing w:after="0" w:line="276" w:lineRule="auto"/>
        <w:ind w:firstLine="709"/>
        <w:jc w:val="both"/>
        <w:rPr>
          <w:rFonts w:ascii="Times New Roman" w:eastAsia="Times New Roman" w:hAnsi="Times New Roman" w:cs="Times New Roman"/>
          <w:bCs/>
          <w:iCs/>
          <w:sz w:val="28"/>
          <w:szCs w:val="28"/>
          <w:lang w:eastAsia="ru-RU"/>
        </w:rPr>
      </w:pPr>
      <w:r w:rsidRPr="00C42A14">
        <w:rPr>
          <w:rFonts w:ascii="Times New Roman" w:eastAsia="Times New Roman" w:hAnsi="Times New Roman" w:cs="Times New Roman"/>
          <w:bCs/>
          <w:iCs/>
          <w:sz w:val="28"/>
          <w:szCs w:val="28"/>
          <w:lang w:eastAsia="ru-RU"/>
        </w:rPr>
        <w:t>În cadrul misiunii de audit au fost colectate și analizate probe de audit analitice și atestate documentar, solicitate explicații și informații de la persoanele responsabile din cadrul M</w:t>
      </w:r>
      <w:r w:rsidR="00D5155A">
        <w:rPr>
          <w:rFonts w:ascii="Times New Roman" w:eastAsia="Times New Roman" w:hAnsi="Times New Roman" w:cs="Times New Roman"/>
          <w:bCs/>
          <w:iCs/>
          <w:sz w:val="28"/>
          <w:szCs w:val="28"/>
          <w:lang w:eastAsia="ru-RU"/>
        </w:rPr>
        <w:t xml:space="preserve">inisterului </w:t>
      </w:r>
      <w:r w:rsidRPr="00C42A14">
        <w:rPr>
          <w:rFonts w:ascii="Times New Roman" w:eastAsia="Times New Roman" w:hAnsi="Times New Roman" w:cs="Times New Roman"/>
          <w:bCs/>
          <w:iCs/>
          <w:sz w:val="28"/>
          <w:szCs w:val="28"/>
          <w:lang w:eastAsia="ru-RU"/>
        </w:rPr>
        <w:t>F</w:t>
      </w:r>
      <w:r w:rsidR="00D5155A">
        <w:rPr>
          <w:rFonts w:ascii="Times New Roman" w:eastAsia="Times New Roman" w:hAnsi="Times New Roman" w:cs="Times New Roman"/>
          <w:bCs/>
          <w:iCs/>
          <w:sz w:val="28"/>
          <w:szCs w:val="28"/>
          <w:lang w:eastAsia="ru-RU"/>
        </w:rPr>
        <w:t>inanțelor</w:t>
      </w:r>
      <w:r w:rsidRPr="00C42A14">
        <w:rPr>
          <w:rFonts w:ascii="Times New Roman" w:eastAsia="Times New Roman" w:hAnsi="Times New Roman" w:cs="Times New Roman"/>
          <w:bCs/>
          <w:iCs/>
          <w:sz w:val="28"/>
          <w:szCs w:val="28"/>
          <w:lang w:eastAsia="ru-RU"/>
        </w:rPr>
        <w:t xml:space="preserve"> și de la </w:t>
      </w:r>
      <w:r w:rsidR="00925B6C">
        <w:rPr>
          <w:rFonts w:ascii="Times New Roman" w:hAnsi="Times New Roman" w:cs="Times New Roman"/>
          <w:sz w:val="28"/>
          <w:szCs w:val="28"/>
        </w:rPr>
        <w:t>autoritățile/instituțiile bugetare</w:t>
      </w:r>
      <w:r w:rsidR="007813D0">
        <w:rPr>
          <w:rFonts w:ascii="Times New Roman" w:eastAsia="Times New Roman" w:hAnsi="Times New Roman" w:cs="Times New Roman"/>
          <w:bCs/>
          <w:iCs/>
          <w:sz w:val="28"/>
          <w:szCs w:val="28"/>
          <w:lang w:eastAsia="ru-RU"/>
        </w:rPr>
        <w:t xml:space="preserve">, precum și </w:t>
      </w:r>
      <w:r w:rsidRPr="00C42A14">
        <w:rPr>
          <w:rFonts w:ascii="Times New Roman" w:eastAsia="Times New Roman" w:hAnsi="Times New Roman" w:cs="Times New Roman"/>
          <w:bCs/>
          <w:iCs/>
          <w:sz w:val="28"/>
          <w:szCs w:val="28"/>
          <w:lang w:eastAsia="ru-RU"/>
        </w:rPr>
        <w:t xml:space="preserve">au </w:t>
      </w:r>
      <w:r w:rsidR="007813D0">
        <w:rPr>
          <w:rFonts w:ascii="Times New Roman" w:eastAsia="Times New Roman" w:hAnsi="Times New Roman" w:cs="Times New Roman"/>
          <w:bCs/>
          <w:iCs/>
          <w:sz w:val="28"/>
          <w:szCs w:val="28"/>
          <w:lang w:eastAsia="ru-RU"/>
        </w:rPr>
        <w:t xml:space="preserve">fost </w:t>
      </w:r>
      <w:r w:rsidRPr="00C42A14">
        <w:rPr>
          <w:rFonts w:ascii="Times New Roman" w:eastAsia="Times New Roman" w:hAnsi="Times New Roman" w:cs="Times New Roman"/>
          <w:bCs/>
          <w:iCs/>
          <w:sz w:val="28"/>
          <w:szCs w:val="28"/>
          <w:lang w:eastAsia="ru-RU"/>
        </w:rPr>
        <w:t>discutat</w:t>
      </w:r>
      <w:r w:rsidR="007813D0">
        <w:rPr>
          <w:rFonts w:ascii="Times New Roman" w:eastAsia="Times New Roman" w:hAnsi="Times New Roman" w:cs="Times New Roman"/>
          <w:bCs/>
          <w:iCs/>
          <w:sz w:val="28"/>
          <w:szCs w:val="28"/>
          <w:lang w:eastAsia="ru-RU"/>
        </w:rPr>
        <w:t>e</w:t>
      </w:r>
      <w:r w:rsidRPr="00C42A14">
        <w:rPr>
          <w:rFonts w:ascii="Times New Roman" w:eastAsia="Times New Roman" w:hAnsi="Times New Roman" w:cs="Times New Roman"/>
          <w:bCs/>
          <w:iCs/>
          <w:sz w:val="28"/>
          <w:szCs w:val="28"/>
          <w:lang w:eastAsia="ru-RU"/>
        </w:rPr>
        <w:t xml:space="preserve"> unele problematici aferente domeniului auditat.</w:t>
      </w:r>
    </w:p>
    <w:p w:rsidR="003551E5" w:rsidRDefault="003551E5" w:rsidP="003551E5">
      <w:pPr>
        <w:spacing w:after="0" w:line="276" w:lineRule="auto"/>
        <w:ind w:firstLine="709"/>
        <w:jc w:val="both"/>
        <w:rPr>
          <w:rFonts w:ascii="Times New Roman" w:eastAsia="Times New Roman" w:hAnsi="Times New Roman" w:cs="Times New Roman"/>
          <w:bCs/>
          <w:iCs/>
          <w:sz w:val="28"/>
          <w:szCs w:val="28"/>
          <w:lang w:eastAsia="ru-RU"/>
        </w:rPr>
      </w:pPr>
      <w:r w:rsidRPr="00C42A14">
        <w:rPr>
          <w:rFonts w:ascii="Times New Roman" w:eastAsia="Times New Roman" w:hAnsi="Times New Roman" w:cs="Times New Roman"/>
          <w:bCs/>
          <w:iCs/>
          <w:sz w:val="28"/>
          <w:szCs w:val="28"/>
          <w:lang w:eastAsia="ru-RU"/>
        </w:rPr>
        <w:t xml:space="preserve">În vederea realizării scopului propus, urmare </w:t>
      </w:r>
      <w:r w:rsidR="007872D8">
        <w:rPr>
          <w:rFonts w:ascii="Times New Roman" w:eastAsia="Times New Roman" w:hAnsi="Times New Roman" w:cs="Times New Roman"/>
          <w:bCs/>
          <w:iCs/>
          <w:sz w:val="28"/>
          <w:szCs w:val="28"/>
          <w:lang w:eastAsia="ru-RU"/>
        </w:rPr>
        <w:t xml:space="preserve">a </w:t>
      </w:r>
      <w:r w:rsidRPr="00C42A14">
        <w:rPr>
          <w:rFonts w:ascii="Times New Roman" w:eastAsia="Times New Roman" w:hAnsi="Times New Roman" w:cs="Times New Roman"/>
          <w:bCs/>
          <w:iCs/>
          <w:sz w:val="28"/>
          <w:szCs w:val="28"/>
          <w:lang w:eastAsia="ru-RU"/>
        </w:rPr>
        <w:t xml:space="preserve">identificării domeniilor cu probabilitate de apariție a riscurilor și posibilului impact asupra </w:t>
      </w:r>
      <w:r w:rsidR="007813D0">
        <w:rPr>
          <w:rFonts w:ascii="Times New Roman" w:eastAsia="Times New Roman" w:hAnsi="Times New Roman" w:cs="Times New Roman"/>
          <w:bCs/>
          <w:iCs/>
          <w:sz w:val="28"/>
          <w:szCs w:val="28"/>
          <w:lang w:eastAsia="ru-RU"/>
        </w:rPr>
        <w:t xml:space="preserve">executării </w:t>
      </w:r>
      <w:r w:rsidRPr="00C42A14">
        <w:rPr>
          <w:rFonts w:ascii="Times New Roman" w:eastAsia="Times New Roman" w:hAnsi="Times New Roman" w:cs="Times New Roman"/>
          <w:bCs/>
          <w:iCs/>
          <w:sz w:val="28"/>
          <w:szCs w:val="28"/>
          <w:lang w:eastAsia="ru-RU"/>
        </w:rPr>
        <w:t>bugetului de stat, au fost auditate următoarele subiecte/aspecte: veniturile; cheltuielile; deficitul bugetar; sursele de finanțare a deficitului; datoriile debitoare și creditoare; resursele alocate din fondurile de rezer</w:t>
      </w:r>
      <w:r w:rsidR="007813D0">
        <w:rPr>
          <w:rFonts w:ascii="Times New Roman" w:eastAsia="Times New Roman" w:hAnsi="Times New Roman" w:cs="Times New Roman"/>
          <w:bCs/>
          <w:iCs/>
          <w:sz w:val="28"/>
          <w:szCs w:val="28"/>
          <w:lang w:eastAsia="ru-RU"/>
        </w:rPr>
        <w:t>vă și de urgență ale Guvernului;</w:t>
      </w:r>
      <w:r w:rsidR="00D5155A">
        <w:rPr>
          <w:rFonts w:ascii="Times New Roman" w:eastAsia="Times New Roman" w:hAnsi="Times New Roman" w:cs="Times New Roman"/>
          <w:bCs/>
          <w:iCs/>
          <w:sz w:val="28"/>
          <w:szCs w:val="28"/>
          <w:lang w:eastAsia="ru-RU"/>
        </w:rPr>
        <w:t xml:space="preserve"> executarea investițiilor capitale; transferurile interbugetare;</w:t>
      </w:r>
      <w:r w:rsidR="007813D0">
        <w:rPr>
          <w:rFonts w:ascii="Times New Roman" w:eastAsia="Times New Roman" w:hAnsi="Times New Roman" w:cs="Times New Roman"/>
          <w:bCs/>
          <w:iCs/>
          <w:sz w:val="28"/>
          <w:szCs w:val="28"/>
          <w:lang w:eastAsia="ru-RU"/>
        </w:rPr>
        <w:t xml:space="preserve"> </w:t>
      </w:r>
      <w:r w:rsidR="007813D0" w:rsidRPr="007813D0">
        <w:rPr>
          <w:rFonts w:ascii="Times New Roman" w:eastAsia="Times New Roman" w:hAnsi="Times New Roman" w:cs="Times New Roman"/>
          <w:bCs/>
          <w:iCs/>
          <w:sz w:val="28"/>
          <w:szCs w:val="28"/>
          <w:lang w:eastAsia="ru-RU"/>
        </w:rPr>
        <w:t>deschider</w:t>
      </w:r>
      <w:r w:rsidR="007813D0">
        <w:rPr>
          <w:rFonts w:ascii="Times New Roman" w:eastAsia="Times New Roman" w:hAnsi="Times New Roman" w:cs="Times New Roman"/>
          <w:bCs/>
          <w:iCs/>
          <w:sz w:val="28"/>
          <w:szCs w:val="28"/>
          <w:lang w:eastAsia="ru-RU"/>
        </w:rPr>
        <w:t>ea</w:t>
      </w:r>
      <w:r w:rsidR="007813D0" w:rsidRPr="007813D0">
        <w:rPr>
          <w:rFonts w:ascii="Times New Roman" w:eastAsia="Times New Roman" w:hAnsi="Times New Roman" w:cs="Times New Roman"/>
          <w:bCs/>
          <w:iCs/>
          <w:sz w:val="28"/>
          <w:szCs w:val="28"/>
          <w:lang w:eastAsia="ru-RU"/>
        </w:rPr>
        <w:t>/închider</w:t>
      </w:r>
      <w:r w:rsidR="007813D0">
        <w:rPr>
          <w:rFonts w:ascii="Times New Roman" w:eastAsia="Times New Roman" w:hAnsi="Times New Roman" w:cs="Times New Roman"/>
          <w:bCs/>
          <w:iCs/>
          <w:sz w:val="28"/>
          <w:szCs w:val="28"/>
          <w:lang w:eastAsia="ru-RU"/>
        </w:rPr>
        <w:t>ea</w:t>
      </w:r>
      <w:r w:rsidR="007813D0" w:rsidRPr="007813D0">
        <w:rPr>
          <w:rFonts w:ascii="Times New Roman" w:eastAsia="Times New Roman" w:hAnsi="Times New Roman" w:cs="Times New Roman"/>
          <w:bCs/>
          <w:iCs/>
          <w:sz w:val="28"/>
          <w:szCs w:val="28"/>
          <w:lang w:eastAsia="ru-RU"/>
        </w:rPr>
        <w:t xml:space="preserve"> conturilor trezoreriale </w:t>
      </w:r>
      <w:r w:rsidR="007813D0">
        <w:rPr>
          <w:rFonts w:ascii="Times New Roman" w:eastAsia="Times New Roman" w:hAnsi="Times New Roman" w:cs="Times New Roman"/>
          <w:bCs/>
          <w:iCs/>
          <w:sz w:val="28"/>
          <w:szCs w:val="28"/>
          <w:lang w:eastAsia="ru-RU"/>
        </w:rPr>
        <w:t xml:space="preserve">ale </w:t>
      </w:r>
      <w:r w:rsidR="007813D0" w:rsidRPr="007813D0">
        <w:rPr>
          <w:rFonts w:ascii="Times New Roman" w:eastAsia="Times New Roman" w:hAnsi="Times New Roman" w:cs="Times New Roman"/>
          <w:bCs/>
          <w:iCs/>
          <w:sz w:val="28"/>
          <w:szCs w:val="28"/>
          <w:lang w:eastAsia="ru-RU"/>
        </w:rPr>
        <w:t xml:space="preserve">autorităților/instituțiilor bugetare, urmare </w:t>
      </w:r>
      <w:r w:rsidR="007872D8">
        <w:rPr>
          <w:rFonts w:ascii="Times New Roman" w:eastAsia="Times New Roman" w:hAnsi="Times New Roman" w:cs="Times New Roman"/>
          <w:bCs/>
          <w:iCs/>
          <w:sz w:val="28"/>
          <w:szCs w:val="28"/>
          <w:lang w:eastAsia="ru-RU"/>
        </w:rPr>
        <w:t xml:space="preserve">a </w:t>
      </w:r>
      <w:r w:rsidR="007813D0" w:rsidRPr="007813D0">
        <w:rPr>
          <w:rFonts w:ascii="Times New Roman" w:eastAsia="Times New Roman" w:hAnsi="Times New Roman" w:cs="Times New Roman"/>
          <w:bCs/>
          <w:iCs/>
          <w:sz w:val="28"/>
          <w:szCs w:val="28"/>
          <w:lang w:eastAsia="ru-RU"/>
        </w:rPr>
        <w:t>reorganizării unor APC</w:t>
      </w:r>
      <w:r w:rsidR="00D5155A">
        <w:rPr>
          <w:rFonts w:ascii="Times New Roman" w:eastAsia="Times New Roman" w:hAnsi="Times New Roman" w:cs="Times New Roman"/>
          <w:bCs/>
          <w:iCs/>
          <w:sz w:val="28"/>
          <w:szCs w:val="28"/>
          <w:lang w:eastAsia="ru-RU"/>
        </w:rPr>
        <w:t>;</w:t>
      </w:r>
      <w:r w:rsidR="007813D0">
        <w:rPr>
          <w:rFonts w:ascii="Times New Roman" w:eastAsia="Times New Roman" w:hAnsi="Times New Roman" w:cs="Times New Roman"/>
          <w:bCs/>
          <w:iCs/>
          <w:sz w:val="28"/>
          <w:szCs w:val="28"/>
          <w:lang w:eastAsia="ru-RU"/>
        </w:rPr>
        <w:t xml:space="preserve"> c</w:t>
      </w:r>
      <w:r w:rsidR="007813D0" w:rsidRPr="007813D0">
        <w:rPr>
          <w:rFonts w:ascii="Times New Roman" w:eastAsia="Times New Roman" w:hAnsi="Times New Roman" w:cs="Times New Roman"/>
          <w:bCs/>
          <w:iCs/>
          <w:sz w:val="28"/>
          <w:szCs w:val="28"/>
          <w:lang w:eastAsia="ru-RU"/>
        </w:rPr>
        <w:t xml:space="preserve">adrul de evidență contabilă trezorerială și </w:t>
      </w:r>
      <w:r w:rsidR="007872D8">
        <w:rPr>
          <w:rFonts w:ascii="Times New Roman" w:eastAsia="Times New Roman" w:hAnsi="Times New Roman" w:cs="Times New Roman"/>
          <w:bCs/>
          <w:iCs/>
          <w:sz w:val="28"/>
          <w:szCs w:val="28"/>
          <w:lang w:eastAsia="ru-RU"/>
        </w:rPr>
        <w:t xml:space="preserve">de </w:t>
      </w:r>
      <w:r w:rsidR="007813D0" w:rsidRPr="007813D0">
        <w:rPr>
          <w:rFonts w:ascii="Times New Roman" w:eastAsia="Times New Roman" w:hAnsi="Times New Roman" w:cs="Times New Roman"/>
          <w:bCs/>
          <w:iCs/>
          <w:sz w:val="28"/>
          <w:szCs w:val="28"/>
          <w:lang w:eastAsia="ru-RU"/>
        </w:rPr>
        <w:t>raportare bugetară</w:t>
      </w:r>
      <w:r w:rsidRPr="00C42A14">
        <w:rPr>
          <w:rFonts w:ascii="Times New Roman" w:eastAsia="Times New Roman" w:hAnsi="Times New Roman" w:cs="Times New Roman"/>
          <w:bCs/>
          <w:iCs/>
          <w:sz w:val="28"/>
          <w:szCs w:val="28"/>
          <w:lang w:eastAsia="ru-RU"/>
        </w:rPr>
        <w:t xml:space="preserve"> etc.</w:t>
      </w:r>
    </w:p>
    <w:p w:rsidR="007813D0" w:rsidRPr="00C42A14" w:rsidRDefault="007813D0" w:rsidP="007813D0">
      <w:pPr>
        <w:spacing w:after="0" w:line="276" w:lineRule="auto"/>
        <w:ind w:firstLine="709"/>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A</w:t>
      </w:r>
      <w:r w:rsidRPr="00C42A14">
        <w:rPr>
          <w:rFonts w:ascii="Times New Roman" w:eastAsia="Times New Roman" w:hAnsi="Times New Roman" w:cs="Times New Roman"/>
          <w:bCs/>
          <w:iCs/>
          <w:sz w:val="28"/>
          <w:szCs w:val="28"/>
          <w:lang w:eastAsia="ru-RU"/>
        </w:rPr>
        <w:t>udit</w:t>
      </w:r>
      <w:r>
        <w:rPr>
          <w:rFonts w:ascii="Times New Roman" w:eastAsia="Times New Roman" w:hAnsi="Times New Roman" w:cs="Times New Roman"/>
          <w:bCs/>
          <w:iCs/>
          <w:sz w:val="28"/>
          <w:szCs w:val="28"/>
          <w:lang w:eastAsia="ru-RU"/>
        </w:rPr>
        <w:t>ul</w:t>
      </w:r>
      <w:r w:rsidRPr="00C42A14">
        <w:rPr>
          <w:rFonts w:ascii="Times New Roman" w:eastAsia="Times New Roman" w:hAnsi="Times New Roman" w:cs="Times New Roman"/>
          <w:bCs/>
          <w:iCs/>
          <w:sz w:val="28"/>
          <w:szCs w:val="28"/>
          <w:lang w:eastAsia="ru-RU"/>
        </w:rPr>
        <w:t xml:space="preserve"> a evaluat toate informațiile necesare și explicațiile obținute</w:t>
      </w:r>
      <w:r w:rsidR="007872D8">
        <w:rPr>
          <w:rFonts w:ascii="Times New Roman" w:eastAsia="Times New Roman" w:hAnsi="Times New Roman" w:cs="Times New Roman"/>
          <w:bCs/>
          <w:iCs/>
          <w:sz w:val="28"/>
          <w:szCs w:val="28"/>
          <w:lang w:eastAsia="ru-RU"/>
        </w:rPr>
        <w:t>,</w:t>
      </w:r>
      <w:r w:rsidRPr="00C42A14">
        <w:rPr>
          <w:rFonts w:ascii="Times New Roman" w:eastAsia="Times New Roman" w:hAnsi="Times New Roman" w:cs="Times New Roman"/>
          <w:bCs/>
          <w:iCs/>
          <w:sz w:val="28"/>
          <w:szCs w:val="28"/>
          <w:lang w:eastAsia="ru-RU"/>
        </w:rPr>
        <w:t xml:space="preserve"> pentru a sprijini constatările asupra Raportului Guvernului privind executarea bugetului de stat pe anul 201</w:t>
      </w:r>
      <w:r>
        <w:rPr>
          <w:rFonts w:ascii="Times New Roman" w:eastAsia="Times New Roman" w:hAnsi="Times New Roman" w:cs="Times New Roman"/>
          <w:bCs/>
          <w:iCs/>
          <w:sz w:val="28"/>
          <w:szCs w:val="28"/>
          <w:lang w:eastAsia="ru-RU"/>
        </w:rPr>
        <w:t>7</w:t>
      </w:r>
      <w:r w:rsidRPr="00C42A14">
        <w:rPr>
          <w:rFonts w:ascii="Times New Roman" w:eastAsia="Times New Roman" w:hAnsi="Times New Roman" w:cs="Times New Roman"/>
          <w:bCs/>
          <w:iCs/>
          <w:sz w:val="28"/>
          <w:szCs w:val="28"/>
          <w:lang w:eastAsia="ru-RU"/>
        </w:rPr>
        <w:t>.</w:t>
      </w:r>
    </w:p>
    <w:p w:rsidR="007813D0" w:rsidRPr="007813D0" w:rsidRDefault="00E61DF0" w:rsidP="003551E5">
      <w:pPr>
        <w:spacing w:after="0" w:line="276" w:lineRule="auto"/>
        <w:ind w:firstLine="709"/>
        <w:jc w:val="both"/>
        <w:rPr>
          <w:rFonts w:ascii="Times New Roman" w:eastAsia="Times New Roman" w:hAnsi="Times New Roman" w:cs="Times New Roman"/>
          <w:bCs/>
          <w:iCs/>
          <w:sz w:val="28"/>
          <w:szCs w:val="28"/>
          <w:lang w:eastAsia="ru-RU"/>
        </w:rPr>
      </w:pPr>
      <w:r w:rsidRPr="00C42A14">
        <w:rPr>
          <w:rFonts w:ascii="Times New Roman" w:eastAsia="Times New Roman" w:hAnsi="Times New Roman" w:cs="Times New Roman"/>
          <w:bCs/>
          <w:iCs/>
          <w:sz w:val="28"/>
          <w:szCs w:val="28"/>
          <w:lang w:eastAsia="ru-RU"/>
        </w:rPr>
        <w:t>Criteriile de audit definite pentru auditarea subiectelor de referință au fost</w:t>
      </w:r>
      <w:r w:rsidR="007872D8">
        <w:rPr>
          <w:rFonts w:ascii="Times New Roman" w:eastAsia="Times New Roman" w:hAnsi="Times New Roman" w:cs="Times New Roman"/>
          <w:bCs/>
          <w:iCs/>
          <w:sz w:val="28"/>
          <w:szCs w:val="28"/>
          <w:lang w:eastAsia="ru-RU"/>
        </w:rPr>
        <w:t>;</w:t>
      </w:r>
      <w:r w:rsidRPr="00C42A14">
        <w:rPr>
          <w:rFonts w:ascii="Times New Roman" w:eastAsia="Times New Roman" w:hAnsi="Times New Roman" w:cs="Times New Roman"/>
          <w:bCs/>
          <w:iCs/>
          <w:sz w:val="28"/>
          <w:szCs w:val="28"/>
          <w:lang w:eastAsia="ru-RU"/>
        </w:rPr>
        <w:t xml:space="preserve"> legislația și reglementările aplicabile subiectelor auditate, precum și cadrul regulator aferent evidenței și raportării</w:t>
      </w:r>
      <w:r w:rsidR="007872D8">
        <w:rPr>
          <w:rFonts w:ascii="Times New Roman" w:eastAsia="Times New Roman" w:hAnsi="Times New Roman" w:cs="Times New Roman"/>
          <w:bCs/>
          <w:iCs/>
          <w:sz w:val="28"/>
          <w:szCs w:val="28"/>
          <w:lang w:eastAsia="ru-RU"/>
        </w:rPr>
        <w:t xml:space="preserve"> </w:t>
      </w:r>
      <w:r w:rsidR="007872D8" w:rsidRPr="00C42A14">
        <w:rPr>
          <w:rFonts w:ascii="Times New Roman" w:eastAsia="Times New Roman" w:hAnsi="Times New Roman" w:cs="Times New Roman"/>
          <w:bCs/>
          <w:iCs/>
          <w:sz w:val="28"/>
          <w:szCs w:val="28"/>
          <w:lang w:eastAsia="ru-RU"/>
        </w:rPr>
        <w:t>contabile</w:t>
      </w:r>
      <w:r w:rsidRPr="00C42A14">
        <w:rPr>
          <w:rFonts w:ascii="Times New Roman" w:eastAsia="Times New Roman" w:hAnsi="Times New Roman" w:cs="Times New Roman"/>
          <w:bCs/>
          <w:iCs/>
          <w:sz w:val="28"/>
          <w:szCs w:val="28"/>
          <w:lang w:eastAsia="ru-RU"/>
        </w:rPr>
        <w:t>.</w:t>
      </w:r>
    </w:p>
    <w:p w:rsidR="00A37AEB" w:rsidRPr="00CE2A72" w:rsidRDefault="00A37AEB" w:rsidP="00CE2A72">
      <w:pPr>
        <w:spacing w:after="0" w:line="276" w:lineRule="auto"/>
        <w:ind w:firstLine="709"/>
        <w:jc w:val="both"/>
        <w:rPr>
          <w:rFonts w:ascii="Times New Roman" w:eastAsia="Times New Roman" w:hAnsi="Times New Roman" w:cs="Times New Roman"/>
          <w:bCs/>
          <w:iCs/>
          <w:sz w:val="28"/>
          <w:szCs w:val="28"/>
          <w:lang w:eastAsia="ru-RU"/>
        </w:rPr>
      </w:pPr>
    </w:p>
    <w:p w:rsidR="00CE2A72" w:rsidRPr="00065877" w:rsidRDefault="00CE2A72" w:rsidP="00E169DE">
      <w:pPr>
        <w:spacing w:after="0" w:line="276" w:lineRule="auto"/>
        <w:ind w:firstLine="709"/>
        <w:jc w:val="both"/>
        <w:rPr>
          <w:rFonts w:ascii="Times New Roman" w:eastAsia="Times New Roman" w:hAnsi="Times New Roman" w:cs="Times New Roman"/>
          <w:bCs/>
          <w:iCs/>
          <w:sz w:val="28"/>
          <w:szCs w:val="28"/>
          <w:lang w:eastAsia="ru-RU"/>
        </w:rPr>
      </w:pPr>
    </w:p>
    <w:p w:rsidR="00E169DE" w:rsidRPr="00E169DE" w:rsidRDefault="00E169DE" w:rsidP="004A44F2">
      <w:pPr>
        <w:spacing w:after="0" w:line="276" w:lineRule="auto"/>
        <w:ind w:firstLine="709"/>
        <w:jc w:val="both"/>
        <w:rPr>
          <w:rFonts w:ascii="Times New Roman" w:eastAsia="Times New Roman" w:hAnsi="Times New Roman" w:cs="Times New Roman"/>
          <w:bCs/>
          <w:iCs/>
          <w:sz w:val="28"/>
          <w:szCs w:val="28"/>
          <w:lang w:eastAsia="ru-RU"/>
        </w:rPr>
      </w:pPr>
    </w:p>
    <w:p w:rsidR="00C42A14" w:rsidRDefault="00C42A14" w:rsidP="004A44F2">
      <w:pPr>
        <w:spacing w:after="0" w:line="276" w:lineRule="auto"/>
        <w:jc w:val="right"/>
        <w:rPr>
          <w:rFonts w:ascii="Times New Roman" w:eastAsia="Times New Roman" w:hAnsi="Times New Roman" w:cs="Times New Roman"/>
          <w:b/>
          <w:bCs/>
          <w:i/>
          <w:iCs/>
          <w:sz w:val="28"/>
          <w:szCs w:val="28"/>
          <w:lang w:eastAsia="ru-RU"/>
        </w:rPr>
      </w:pPr>
    </w:p>
    <w:p w:rsidR="00365D6E" w:rsidRDefault="00365D6E" w:rsidP="004A44F2">
      <w:pPr>
        <w:spacing w:after="0" w:line="276" w:lineRule="auto"/>
        <w:jc w:val="right"/>
        <w:rPr>
          <w:rFonts w:ascii="Times New Roman" w:eastAsia="Times New Roman" w:hAnsi="Times New Roman" w:cs="Times New Roman"/>
          <w:b/>
          <w:bCs/>
          <w:i/>
          <w:iCs/>
          <w:sz w:val="28"/>
          <w:szCs w:val="28"/>
          <w:lang w:eastAsia="ru-RU"/>
        </w:rPr>
      </w:pPr>
    </w:p>
    <w:p w:rsidR="00C42A14" w:rsidRDefault="00C42A14" w:rsidP="004A44F2">
      <w:pPr>
        <w:spacing w:after="0" w:line="276" w:lineRule="auto"/>
        <w:jc w:val="right"/>
        <w:rPr>
          <w:rFonts w:ascii="Times New Roman" w:eastAsia="Times New Roman" w:hAnsi="Times New Roman" w:cs="Times New Roman"/>
          <w:b/>
          <w:bCs/>
          <w:i/>
          <w:iCs/>
          <w:sz w:val="28"/>
          <w:szCs w:val="28"/>
          <w:lang w:eastAsia="ru-RU"/>
        </w:rPr>
      </w:pPr>
    </w:p>
    <w:p w:rsidR="009B00AC" w:rsidRPr="001B21DB" w:rsidRDefault="009B00AC" w:rsidP="004A44F2">
      <w:pPr>
        <w:pStyle w:val="2"/>
        <w:spacing w:line="276" w:lineRule="auto"/>
        <w:jc w:val="right"/>
        <w:rPr>
          <w:rFonts w:ascii="Times New Roman" w:eastAsia="Times New Roman" w:hAnsi="Times New Roman" w:cs="Times New Roman"/>
          <w:b/>
          <w:bCs/>
          <w:i/>
          <w:iCs/>
          <w:color w:val="auto"/>
          <w:sz w:val="28"/>
          <w:szCs w:val="28"/>
          <w:lang w:eastAsia="ru-RU"/>
        </w:rPr>
      </w:pPr>
      <w:bookmarkStart w:id="36" w:name="_Toc514828149"/>
      <w:bookmarkStart w:id="37" w:name="_Toc515440057"/>
      <w:bookmarkStart w:id="38" w:name="_Toc515444928"/>
      <w:bookmarkStart w:id="39" w:name="_Toc515519006"/>
      <w:r w:rsidRPr="001B21DB">
        <w:rPr>
          <w:rFonts w:ascii="Times New Roman" w:eastAsia="Times New Roman" w:hAnsi="Times New Roman" w:cs="Times New Roman"/>
          <w:b/>
          <w:bCs/>
          <w:i/>
          <w:iCs/>
          <w:color w:val="auto"/>
          <w:sz w:val="28"/>
          <w:szCs w:val="28"/>
          <w:lang w:eastAsia="ru-RU"/>
        </w:rPr>
        <w:lastRenderedPageBreak/>
        <w:t>Anexa nr.2</w:t>
      </w:r>
      <w:bookmarkEnd w:id="36"/>
      <w:bookmarkEnd w:id="37"/>
      <w:bookmarkEnd w:id="38"/>
      <w:bookmarkEnd w:id="39"/>
    </w:p>
    <w:p w:rsidR="009B00AC" w:rsidRPr="00F443B6" w:rsidRDefault="00F443B6" w:rsidP="004A44F2">
      <w:pPr>
        <w:spacing w:after="120" w:line="276" w:lineRule="auto"/>
        <w:jc w:val="center"/>
        <w:rPr>
          <w:rFonts w:ascii="Times New Roman" w:eastAsia="Times New Roman" w:hAnsi="Times New Roman" w:cs="Times New Roman"/>
          <w:b/>
          <w:bCs/>
          <w:iCs/>
          <w:sz w:val="28"/>
          <w:szCs w:val="28"/>
          <w:lang w:eastAsia="ru-RU"/>
        </w:rPr>
      </w:pPr>
      <w:r w:rsidRPr="00F443B6">
        <w:rPr>
          <w:rFonts w:ascii="Times New Roman" w:eastAsia="Times New Roman" w:hAnsi="Times New Roman" w:cs="Times New Roman"/>
          <w:b/>
          <w:bCs/>
          <w:iCs/>
          <w:sz w:val="24"/>
          <w:szCs w:val="28"/>
          <w:lang w:eastAsia="ru-RU"/>
        </w:rPr>
        <w:t>Componența și formatul formularelor la Raportul anual privind executarea bugetului de stat conform Anexei nr.2 la Ordinul MF nr.44 din 12.02.2018</w:t>
      </w:r>
    </w:p>
    <w:tbl>
      <w:tblPr>
        <w:tblStyle w:val="a3"/>
        <w:tblW w:w="9776" w:type="dxa"/>
        <w:tblLook w:val="04A0" w:firstRow="1" w:lastRow="0" w:firstColumn="1" w:lastColumn="0" w:noHBand="0" w:noVBand="1"/>
      </w:tblPr>
      <w:tblGrid>
        <w:gridCol w:w="2122"/>
        <w:gridCol w:w="7654"/>
      </w:tblGrid>
      <w:tr w:rsidR="00F443B6" w:rsidRPr="00B0321C" w:rsidTr="00F042F2">
        <w:tc>
          <w:tcPr>
            <w:tcW w:w="2122" w:type="dxa"/>
          </w:tcPr>
          <w:p w:rsidR="00F443B6" w:rsidRPr="00F042F2" w:rsidRDefault="00F443B6" w:rsidP="004A44F2">
            <w:pPr>
              <w:spacing w:line="276" w:lineRule="auto"/>
              <w:jc w:val="both"/>
              <w:rPr>
                <w:rFonts w:ascii="Times New Roman" w:eastAsia="Times New Roman" w:hAnsi="Times New Roman" w:cs="Times New Roman"/>
                <w:bCs/>
                <w:i/>
                <w:iCs/>
                <w:sz w:val="24"/>
                <w:szCs w:val="28"/>
                <w:lang w:eastAsia="ru-RU"/>
              </w:rPr>
            </w:pPr>
            <w:r w:rsidRPr="00F042F2">
              <w:rPr>
                <w:rFonts w:ascii="Times New Roman" w:eastAsia="Times New Roman" w:hAnsi="Times New Roman" w:cs="Times New Roman"/>
                <w:bCs/>
                <w:i/>
                <w:iCs/>
                <w:sz w:val="24"/>
                <w:szCs w:val="28"/>
                <w:lang w:eastAsia="ru-RU"/>
              </w:rPr>
              <w:t>Formu</w:t>
            </w:r>
            <w:r w:rsidR="00B0321C" w:rsidRPr="00F042F2">
              <w:rPr>
                <w:rFonts w:ascii="Times New Roman" w:eastAsia="Times New Roman" w:hAnsi="Times New Roman" w:cs="Times New Roman"/>
                <w:bCs/>
                <w:i/>
                <w:iCs/>
                <w:sz w:val="24"/>
                <w:szCs w:val="28"/>
                <w:lang w:eastAsia="ru-RU"/>
              </w:rPr>
              <w:t>larul nr.1</w:t>
            </w:r>
            <w:r w:rsidR="00B779B4" w:rsidRPr="00B779B4">
              <w:rPr>
                <w:rFonts w:ascii="Times New Roman" w:eastAsia="Times New Roman" w:hAnsi="Times New Roman" w:cs="Times New Roman"/>
                <w:b/>
                <w:bCs/>
                <w:i/>
                <w:iCs/>
                <w:sz w:val="24"/>
                <w:szCs w:val="28"/>
                <w:lang w:eastAsia="ru-RU"/>
              </w:rPr>
              <w:t>*</w:t>
            </w:r>
          </w:p>
        </w:tc>
        <w:tc>
          <w:tcPr>
            <w:tcW w:w="7654" w:type="dxa"/>
          </w:tcPr>
          <w:p w:rsidR="00F443B6" w:rsidRPr="00B0321C" w:rsidRDefault="00B0321C" w:rsidP="005E1A9F">
            <w:pPr>
              <w:spacing w:line="276" w:lineRule="auto"/>
              <w:jc w:val="both"/>
              <w:rPr>
                <w:rFonts w:ascii="Times New Roman" w:eastAsia="Times New Roman" w:hAnsi="Times New Roman" w:cs="Times New Roman"/>
                <w:bCs/>
                <w:iCs/>
                <w:sz w:val="24"/>
                <w:szCs w:val="28"/>
                <w:lang w:eastAsia="ru-RU"/>
              </w:rPr>
            </w:pPr>
            <w:r>
              <w:rPr>
                <w:rFonts w:ascii="Times New Roman" w:eastAsia="Times New Roman" w:hAnsi="Times New Roman" w:cs="Times New Roman"/>
                <w:bCs/>
                <w:iCs/>
                <w:sz w:val="24"/>
                <w:szCs w:val="28"/>
                <w:lang w:eastAsia="ru-RU"/>
              </w:rPr>
              <w:t xml:space="preserve">Raport privind executarea indicatorilor generali și surselor de finanțare ale bugetului de stat (conform </w:t>
            </w:r>
            <w:r w:rsidR="005E1A9F">
              <w:rPr>
                <w:rFonts w:ascii="Times New Roman" w:eastAsia="Times New Roman" w:hAnsi="Times New Roman" w:cs="Times New Roman"/>
                <w:bCs/>
                <w:iCs/>
                <w:sz w:val="24"/>
                <w:szCs w:val="28"/>
                <w:lang w:eastAsia="ru-RU"/>
              </w:rPr>
              <w:t>A</w:t>
            </w:r>
            <w:r>
              <w:rPr>
                <w:rFonts w:ascii="Times New Roman" w:eastAsia="Times New Roman" w:hAnsi="Times New Roman" w:cs="Times New Roman"/>
                <w:bCs/>
                <w:iCs/>
                <w:sz w:val="24"/>
                <w:szCs w:val="28"/>
                <w:lang w:eastAsia="ru-RU"/>
              </w:rPr>
              <w:t>nexei nr.1 la Legea bugetului de stat)</w:t>
            </w:r>
          </w:p>
        </w:tc>
      </w:tr>
      <w:tr w:rsidR="00F443B6" w:rsidRPr="00B0321C" w:rsidTr="00F042F2">
        <w:tc>
          <w:tcPr>
            <w:tcW w:w="2122" w:type="dxa"/>
          </w:tcPr>
          <w:p w:rsidR="00F443B6" w:rsidRPr="00F042F2" w:rsidRDefault="00B0321C" w:rsidP="004A44F2">
            <w:pPr>
              <w:spacing w:line="276" w:lineRule="auto"/>
              <w:jc w:val="both"/>
              <w:rPr>
                <w:rFonts w:ascii="Times New Roman" w:eastAsia="Times New Roman" w:hAnsi="Times New Roman" w:cs="Times New Roman"/>
                <w:bCs/>
                <w:i/>
                <w:iCs/>
                <w:sz w:val="24"/>
                <w:szCs w:val="28"/>
                <w:lang w:eastAsia="ru-RU"/>
              </w:rPr>
            </w:pPr>
            <w:r w:rsidRPr="00F042F2">
              <w:rPr>
                <w:rFonts w:ascii="Times New Roman" w:eastAsia="Times New Roman" w:hAnsi="Times New Roman" w:cs="Times New Roman"/>
                <w:bCs/>
                <w:i/>
                <w:iCs/>
                <w:sz w:val="24"/>
                <w:szCs w:val="28"/>
                <w:lang w:eastAsia="ru-RU"/>
              </w:rPr>
              <w:t>Formularul nr.2</w:t>
            </w:r>
            <w:r w:rsidR="00B779B4" w:rsidRPr="00B779B4">
              <w:rPr>
                <w:rFonts w:ascii="Times New Roman" w:eastAsia="Times New Roman" w:hAnsi="Times New Roman" w:cs="Times New Roman"/>
                <w:b/>
                <w:bCs/>
                <w:i/>
                <w:iCs/>
                <w:sz w:val="24"/>
                <w:szCs w:val="28"/>
                <w:lang w:eastAsia="ru-RU"/>
              </w:rPr>
              <w:t>*</w:t>
            </w:r>
          </w:p>
        </w:tc>
        <w:tc>
          <w:tcPr>
            <w:tcW w:w="7654" w:type="dxa"/>
          </w:tcPr>
          <w:p w:rsidR="00F443B6" w:rsidRPr="00B0321C" w:rsidRDefault="00B0321C" w:rsidP="005E1A9F">
            <w:pPr>
              <w:spacing w:line="276" w:lineRule="auto"/>
              <w:jc w:val="both"/>
              <w:rPr>
                <w:rFonts w:ascii="Times New Roman" w:eastAsia="Times New Roman" w:hAnsi="Times New Roman" w:cs="Times New Roman"/>
                <w:bCs/>
                <w:iCs/>
                <w:sz w:val="24"/>
                <w:szCs w:val="28"/>
                <w:lang w:eastAsia="ru-RU"/>
              </w:rPr>
            </w:pPr>
            <w:r>
              <w:rPr>
                <w:rFonts w:ascii="Times New Roman" w:eastAsia="Times New Roman" w:hAnsi="Times New Roman" w:cs="Times New Roman"/>
                <w:bCs/>
                <w:iCs/>
                <w:sz w:val="24"/>
                <w:szCs w:val="28"/>
                <w:lang w:eastAsia="ru-RU"/>
              </w:rPr>
              <w:t xml:space="preserve">Raport privind executarea veniturilor bugetului de stat (conform </w:t>
            </w:r>
            <w:r w:rsidR="005E1A9F">
              <w:rPr>
                <w:rFonts w:ascii="Times New Roman" w:eastAsia="Times New Roman" w:hAnsi="Times New Roman" w:cs="Times New Roman"/>
                <w:bCs/>
                <w:iCs/>
                <w:sz w:val="24"/>
                <w:szCs w:val="28"/>
                <w:lang w:eastAsia="ru-RU"/>
              </w:rPr>
              <w:t>A</w:t>
            </w:r>
            <w:r>
              <w:rPr>
                <w:rFonts w:ascii="Times New Roman" w:eastAsia="Times New Roman" w:hAnsi="Times New Roman" w:cs="Times New Roman"/>
                <w:bCs/>
                <w:iCs/>
                <w:sz w:val="24"/>
                <w:szCs w:val="28"/>
                <w:lang w:eastAsia="ru-RU"/>
              </w:rPr>
              <w:t>nexei nr.2 la Legea bugetului de stat)</w:t>
            </w:r>
          </w:p>
        </w:tc>
      </w:tr>
      <w:tr w:rsidR="00F443B6" w:rsidRPr="00B0321C" w:rsidTr="00F042F2">
        <w:tc>
          <w:tcPr>
            <w:tcW w:w="2122" w:type="dxa"/>
          </w:tcPr>
          <w:p w:rsidR="00F443B6" w:rsidRPr="00F042F2" w:rsidRDefault="00B0321C" w:rsidP="004A44F2">
            <w:pPr>
              <w:spacing w:line="276" w:lineRule="auto"/>
              <w:jc w:val="both"/>
              <w:rPr>
                <w:rFonts w:ascii="Times New Roman" w:eastAsia="Times New Roman" w:hAnsi="Times New Roman" w:cs="Times New Roman"/>
                <w:bCs/>
                <w:i/>
                <w:iCs/>
                <w:sz w:val="24"/>
                <w:szCs w:val="28"/>
                <w:lang w:eastAsia="ru-RU"/>
              </w:rPr>
            </w:pPr>
            <w:r w:rsidRPr="00F042F2">
              <w:rPr>
                <w:rFonts w:ascii="Times New Roman" w:eastAsia="Times New Roman" w:hAnsi="Times New Roman" w:cs="Times New Roman"/>
                <w:bCs/>
                <w:i/>
                <w:iCs/>
                <w:sz w:val="24"/>
                <w:szCs w:val="28"/>
                <w:lang w:eastAsia="ru-RU"/>
              </w:rPr>
              <w:t>Formularul nr.3</w:t>
            </w:r>
            <w:r w:rsidR="00B779B4" w:rsidRPr="00B779B4">
              <w:rPr>
                <w:rFonts w:ascii="Times New Roman" w:eastAsia="Times New Roman" w:hAnsi="Times New Roman" w:cs="Times New Roman"/>
                <w:b/>
                <w:bCs/>
                <w:i/>
                <w:iCs/>
                <w:sz w:val="24"/>
                <w:szCs w:val="28"/>
                <w:lang w:eastAsia="ru-RU"/>
              </w:rPr>
              <w:t>*</w:t>
            </w:r>
          </w:p>
        </w:tc>
        <w:tc>
          <w:tcPr>
            <w:tcW w:w="7654" w:type="dxa"/>
          </w:tcPr>
          <w:p w:rsidR="00F443B6" w:rsidRPr="00B0321C" w:rsidRDefault="00B0321C" w:rsidP="005E1A9F">
            <w:pPr>
              <w:spacing w:line="276" w:lineRule="auto"/>
              <w:jc w:val="both"/>
              <w:rPr>
                <w:rFonts w:ascii="Times New Roman" w:eastAsia="Times New Roman" w:hAnsi="Times New Roman" w:cs="Times New Roman"/>
                <w:bCs/>
                <w:iCs/>
                <w:sz w:val="24"/>
                <w:szCs w:val="28"/>
                <w:lang w:eastAsia="ru-RU"/>
              </w:rPr>
            </w:pPr>
            <w:r>
              <w:rPr>
                <w:rFonts w:ascii="Times New Roman" w:eastAsia="Times New Roman" w:hAnsi="Times New Roman" w:cs="Times New Roman"/>
                <w:bCs/>
                <w:iCs/>
                <w:sz w:val="24"/>
                <w:szCs w:val="28"/>
                <w:lang w:eastAsia="ru-RU"/>
              </w:rPr>
              <w:t xml:space="preserve">Raport privind executarea bugetelor autorităților publice centrale (conform </w:t>
            </w:r>
            <w:r w:rsidR="005E1A9F">
              <w:rPr>
                <w:rFonts w:ascii="Times New Roman" w:eastAsia="Times New Roman" w:hAnsi="Times New Roman" w:cs="Times New Roman"/>
                <w:bCs/>
                <w:iCs/>
                <w:sz w:val="24"/>
                <w:szCs w:val="28"/>
                <w:lang w:eastAsia="ru-RU"/>
              </w:rPr>
              <w:t>A</w:t>
            </w:r>
            <w:r>
              <w:rPr>
                <w:rFonts w:ascii="Times New Roman" w:eastAsia="Times New Roman" w:hAnsi="Times New Roman" w:cs="Times New Roman"/>
                <w:bCs/>
                <w:iCs/>
                <w:sz w:val="24"/>
                <w:szCs w:val="28"/>
                <w:lang w:eastAsia="ru-RU"/>
              </w:rPr>
              <w:t>nexei nr.3 la Legea bugetului de stat)</w:t>
            </w:r>
          </w:p>
        </w:tc>
      </w:tr>
      <w:tr w:rsidR="00F443B6" w:rsidRPr="00B0321C" w:rsidTr="00F042F2">
        <w:tc>
          <w:tcPr>
            <w:tcW w:w="2122" w:type="dxa"/>
          </w:tcPr>
          <w:p w:rsidR="00F443B6" w:rsidRPr="00F042F2" w:rsidRDefault="00B0321C" w:rsidP="004A44F2">
            <w:pPr>
              <w:spacing w:line="276" w:lineRule="auto"/>
              <w:jc w:val="both"/>
              <w:rPr>
                <w:rFonts w:ascii="Times New Roman" w:eastAsia="Times New Roman" w:hAnsi="Times New Roman" w:cs="Times New Roman"/>
                <w:bCs/>
                <w:i/>
                <w:iCs/>
                <w:sz w:val="24"/>
                <w:szCs w:val="28"/>
                <w:lang w:eastAsia="ru-RU"/>
              </w:rPr>
            </w:pPr>
            <w:r w:rsidRPr="00F042F2">
              <w:rPr>
                <w:rFonts w:ascii="Times New Roman" w:eastAsia="Times New Roman" w:hAnsi="Times New Roman" w:cs="Times New Roman"/>
                <w:bCs/>
                <w:i/>
                <w:iCs/>
                <w:sz w:val="24"/>
                <w:szCs w:val="28"/>
                <w:lang w:eastAsia="ru-RU"/>
              </w:rPr>
              <w:t>Formularul nr.4</w:t>
            </w:r>
            <w:r w:rsidR="00B779B4" w:rsidRPr="00B779B4">
              <w:rPr>
                <w:rFonts w:ascii="Times New Roman" w:eastAsia="Times New Roman" w:hAnsi="Times New Roman" w:cs="Times New Roman"/>
                <w:b/>
                <w:bCs/>
                <w:i/>
                <w:iCs/>
                <w:sz w:val="24"/>
                <w:szCs w:val="28"/>
                <w:lang w:eastAsia="ru-RU"/>
              </w:rPr>
              <w:t>*</w:t>
            </w:r>
          </w:p>
        </w:tc>
        <w:tc>
          <w:tcPr>
            <w:tcW w:w="7654" w:type="dxa"/>
          </w:tcPr>
          <w:p w:rsidR="00F443B6" w:rsidRPr="00B0321C" w:rsidRDefault="00B0321C" w:rsidP="005E1A9F">
            <w:pPr>
              <w:spacing w:line="276" w:lineRule="auto"/>
              <w:jc w:val="both"/>
              <w:rPr>
                <w:rFonts w:ascii="Times New Roman" w:eastAsia="Times New Roman" w:hAnsi="Times New Roman" w:cs="Times New Roman"/>
                <w:bCs/>
                <w:iCs/>
                <w:sz w:val="24"/>
                <w:szCs w:val="28"/>
                <w:lang w:eastAsia="ru-RU"/>
              </w:rPr>
            </w:pPr>
            <w:r>
              <w:rPr>
                <w:rFonts w:ascii="Times New Roman" w:eastAsia="Times New Roman" w:hAnsi="Times New Roman" w:cs="Times New Roman"/>
                <w:bCs/>
                <w:iCs/>
                <w:sz w:val="24"/>
                <w:szCs w:val="28"/>
                <w:lang w:eastAsia="ru-RU"/>
              </w:rPr>
              <w:t xml:space="preserve">Raport privind executarea investițiilor capitale pe autoritățile publice centrale (conform </w:t>
            </w:r>
            <w:r w:rsidR="005E1A9F">
              <w:rPr>
                <w:rFonts w:ascii="Times New Roman" w:eastAsia="Times New Roman" w:hAnsi="Times New Roman" w:cs="Times New Roman"/>
                <w:bCs/>
                <w:iCs/>
                <w:sz w:val="24"/>
                <w:szCs w:val="28"/>
                <w:lang w:eastAsia="ru-RU"/>
              </w:rPr>
              <w:t>A</w:t>
            </w:r>
            <w:r>
              <w:rPr>
                <w:rFonts w:ascii="Times New Roman" w:eastAsia="Times New Roman" w:hAnsi="Times New Roman" w:cs="Times New Roman"/>
                <w:bCs/>
                <w:iCs/>
                <w:sz w:val="24"/>
                <w:szCs w:val="28"/>
                <w:lang w:eastAsia="ru-RU"/>
              </w:rPr>
              <w:t>nexei nr.4 la Legea bugetului de stat)</w:t>
            </w:r>
          </w:p>
        </w:tc>
      </w:tr>
      <w:tr w:rsidR="00B0321C" w:rsidRPr="00B0321C" w:rsidTr="00F042F2">
        <w:tc>
          <w:tcPr>
            <w:tcW w:w="2122" w:type="dxa"/>
          </w:tcPr>
          <w:p w:rsidR="00B0321C" w:rsidRPr="00F042F2" w:rsidRDefault="00B0321C" w:rsidP="004A44F2">
            <w:pPr>
              <w:spacing w:line="276" w:lineRule="auto"/>
              <w:jc w:val="both"/>
              <w:rPr>
                <w:rFonts w:ascii="Times New Roman" w:eastAsia="Times New Roman" w:hAnsi="Times New Roman" w:cs="Times New Roman"/>
                <w:bCs/>
                <w:i/>
                <w:iCs/>
                <w:sz w:val="24"/>
                <w:szCs w:val="28"/>
                <w:lang w:eastAsia="ru-RU"/>
              </w:rPr>
            </w:pPr>
            <w:r w:rsidRPr="00F042F2">
              <w:rPr>
                <w:rFonts w:ascii="Times New Roman" w:eastAsia="Times New Roman" w:hAnsi="Times New Roman" w:cs="Times New Roman"/>
                <w:bCs/>
                <w:i/>
                <w:iCs/>
                <w:sz w:val="24"/>
                <w:szCs w:val="28"/>
                <w:lang w:eastAsia="ru-RU"/>
              </w:rPr>
              <w:t>Formularul nr.4.1</w:t>
            </w:r>
          </w:p>
        </w:tc>
        <w:tc>
          <w:tcPr>
            <w:tcW w:w="7654" w:type="dxa"/>
          </w:tcPr>
          <w:p w:rsidR="00B0321C" w:rsidRDefault="00B0321C" w:rsidP="005E1A9F">
            <w:pPr>
              <w:spacing w:line="276" w:lineRule="auto"/>
              <w:jc w:val="both"/>
              <w:rPr>
                <w:rFonts w:ascii="Times New Roman" w:eastAsia="Times New Roman" w:hAnsi="Times New Roman" w:cs="Times New Roman"/>
                <w:bCs/>
                <w:iCs/>
                <w:sz w:val="24"/>
                <w:szCs w:val="28"/>
                <w:lang w:eastAsia="ru-RU"/>
              </w:rPr>
            </w:pPr>
            <w:r>
              <w:rPr>
                <w:rFonts w:ascii="Times New Roman" w:eastAsia="Times New Roman" w:hAnsi="Times New Roman" w:cs="Times New Roman"/>
                <w:bCs/>
                <w:iCs/>
                <w:sz w:val="24"/>
                <w:szCs w:val="28"/>
                <w:lang w:eastAsia="ru-RU"/>
              </w:rPr>
              <w:t xml:space="preserve">Raport privind executarea investițiilor capitale pe autoritățile publice centrale din contul resurselor generale și veniturilor colectate (conform </w:t>
            </w:r>
            <w:r w:rsidR="005E1A9F">
              <w:rPr>
                <w:rFonts w:ascii="Times New Roman" w:eastAsia="Times New Roman" w:hAnsi="Times New Roman" w:cs="Times New Roman"/>
                <w:bCs/>
                <w:iCs/>
                <w:sz w:val="24"/>
                <w:szCs w:val="28"/>
                <w:lang w:eastAsia="ru-RU"/>
              </w:rPr>
              <w:t>A</w:t>
            </w:r>
            <w:r>
              <w:rPr>
                <w:rFonts w:ascii="Times New Roman" w:eastAsia="Times New Roman" w:hAnsi="Times New Roman" w:cs="Times New Roman"/>
                <w:bCs/>
                <w:iCs/>
                <w:sz w:val="24"/>
                <w:szCs w:val="28"/>
                <w:lang w:eastAsia="ru-RU"/>
              </w:rPr>
              <w:t>nexei nr.4 la Legea bugetului de stat)</w:t>
            </w:r>
          </w:p>
        </w:tc>
      </w:tr>
      <w:tr w:rsidR="00B0321C" w:rsidRPr="00B0321C" w:rsidTr="00F042F2">
        <w:tc>
          <w:tcPr>
            <w:tcW w:w="2122" w:type="dxa"/>
          </w:tcPr>
          <w:p w:rsidR="00B0321C" w:rsidRPr="00F042F2" w:rsidRDefault="00B0321C" w:rsidP="004A44F2">
            <w:pPr>
              <w:spacing w:line="276" w:lineRule="auto"/>
              <w:jc w:val="both"/>
              <w:rPr>
                <w:rFonts w:ascii="Times New Roman" w:eastAsia="Times New Roman" w:hAnsi="Times New Roman" w:cs="Times New Roman"/>
                <w:bCs/>
                <w:i/>
                <w:iCs/>
                <w:sz w:val="24"/>
                <w:szCs w:val="28"/>
                <w:lang w:eastAsia="ru-RU"/>
              </w:rPr>
            </w:pPr>
            <w:r w:rsidRPr="00F042F2">
              <w:rPr>
                <w:rFonts w:ascii="Times New Roman" w:eastAsia="Times New Roman" w:hAnsi="Times New Roman" w:cs="Times New Roman"/>
                <w:bCs/>
                <w:i/>
                <w:iCs/>
                <w:sz w:val="24"/>
                <w:szCs w:val="28"/>
                <w:lang w:eastAsia="ru-RU"/>
              </w:rPr>
              <w:t>Formularul nr.4.2</w:t>
            </w:r>
          </w:p>
        </w:tc>
        <w:tc>
          <w:tcPr>
            <w:tcW w:w="7654" w:type="dxa"/>
          </w:tcPr>
          <w:p w:rsidR="00B0321C" w:rsidRDefault="00B0321C" w:rsidP="005E1A9F">
            <w:pPr>
              <w:spacing w:line="276" w:lineRule="auto"/>
              <w:jc w:val="both"/>
              <w:rPr>
                <w:rFonts w:ascii="Times New Roman" w:eastAsia="Times New Roman" w:hAnsi="Times New Roman" w:cs="Times New Roman"/>
                <w:bCs/>
                <w:iCs/>
                <w:sz w:val="24"/>
                <w:szCs w:val="28"/>
                <w:lang w:eastAsia="ru-RU"/>
              </w:rPr>
            </w:pPr>
            <w:r>
              <w:rPr>
                <w:rFonts w:ascii="Times New Roman" w:eastAsia="Times New Roman" w:hAnsi="Times New Roman" w:cs="Times New Roman"/>
                <w:bCs/>
                <w:iCs/>
                <w:sz w:val="24"/>
                <w:szCs w:val="28"/>
                <w:lang w:eastAsia="ru-RU"/>
              </w:rPr>
              <w:t xml:space="preserve">Raport privind executarea investițiilor capitale pe autoritățile publice centrale din contul proiectelor finanțate din surse externe (conform </w:t>
            </w:r>
            <w:r w:rsidR="005E1A9F">
              <w:rPr>
                <w:rFonts w:ascii="Times New Roman" w:eastAsia="Times New Roman" w:hAnsi="Times New Roman" w:cs="Times New Roman"/>
                <w:bCs/>
                <w:iCs/>
                <w:sz w:val="24"/>
                <w:szCs w:val="28"/>
                <w:lang w:eastAsia="ru-RU"/>
              </w:rPr>
              <w:t>A</w:t>
            </w:r>
            <w:r>
              <w:rPr>
                <w:rFonts w:ascii="Times New Roman" w:eastAsia="Times New Roman" w:hAnsi="Times New Roman" w:cs="Times New Roman"/>
                <w:bCs/>
                <w:iCs/>
                <w:sz w:val="24"/>
                <w:szCs w:val="28"/>
                <w:lang w:eastAsia="ru-RU"/>
              </w:rPr>
              <w:t>nexei nr.4 la Legea bugetului de stat)</w:t>
            </w:r>
          </w:p>
        </w:tc>
      </w:tr>
      <w:tr w:rsidR="00B0321C" w:rsidRPr="00B0321C" w:rsidTr="00F042F2">
        <w:tc>
          <w:tcPr>
            <w:tcW w:w="2122" w:type="dxa"/>
          </w:tcPr>
          <w:p w:rsidR="00B0321C" w:rsidRPr="00F042F2" w:rsidRDefault="00B0321C" w:rsidP="004A44F2">
            <w:pPr>
              <w:spacing w:line="276" w:lineRule="auto"/>
              <w:jc w:val="both"/>
              <w:rPr>
                <w:rFonts w:ascii="Times New Roman" w:eastAsia="Times New Roman" w:hAnsi="Times New Roman" w:cs="Times New Roman"/>
                <w:bCs/>
                <w:i/>
                <w:iCs/>
                <w:sz w:val="24"/>
                <w:szCs w:val="28"/>
                <w:lang w:eastAsia="ru-RU"/>
              </w:rPr>
            </w:pPr>
            <w:r w:rsidRPr="00F042F2">
              <w:rPr>
                <w:rFonts w:ascii="Times New Roman" w:eastAsia="Times New Roman" w:hAnsi="Times New Roman" w:cs="Times New Roman"/>
                <w:bCs/>
                <w:i/>
                <w:iCs/>
                <w:sz w:val="24"/>
                <w:szCs w:val="28"/>
                <w:lang w:eastAsia="ru-RU"/>
              </w:rPr>
              <w:t>Formularul nr.5</w:t>
            </w:r>
            <w:r w:rsidR="00B779B4" w:rsidRPr="00B779B4">
              <w:rPr>
                <w:rFonts w:ascii="Times New Roman" w:eastAsia="Times New Roman" w:hAnsi="Times New Roman" w:cs="Times New Roman"/>
                <w:b/>
                <w:bCs/>
                <w:i/>
                <w:iCs/>
                <w:sz w:val="24"/>
                <w:szCs w:val="28"/>
                <w:lang w:eastAsia="ru-RU"/>
              </w:rPr>
              <w:t>*</w:t>
            </w:r>
          </w:p>
        </w:tc>
        <w:tc>
          <w:tcPr>
            <w:tcW w:w="7654" w:type="dxa"/>
          </w:tcPr>
          <w:p w:rsidR="00B0321C" w:rsidRPr="00B0321C" w:rsidRDefault="00B0321C" w:rsidP="005E1A9F">
            <w:pPr>
              <w:spacing w:line="276" w:lineRule="auto"/>
              <w:jc w:val="both"/>
              <w:rPr>
                <w:rFonts w:ascii="Times New Roman" w:eastAsia="Times New Roman" w:hAnsi="Times New Roman" w:cs="Times New Roman"/>
                <w:bCs/>
                <w:iCs/>
                <w:sz w:val="24"/>
                <w:szCs w:val="28"/>
                <w:lang w:eastAsia="ru-RU"/>
              </w:rPr>
            </w:pPr>
            <w:r>
              <w:rPr>
                <w:rFonts w:ascii="Times New Roman" w:eastAsia="Times New Roman" w:hAnsi="Times New Roman" w:cs="Times New Roman"/>
                <w:bCs/>
                <w:iCs/>
                <w:sz w:val="24"/>
                <w:szCs w:val="28"/>
                <w:lang w:eastAsia="ru-RU"/>
              </w:rPr>
              <w:t xml:space="preserve">Raport privind transferurile de la bugetul de stat către bugetele locale (conform </w:t>
            </w:r>
            <w:r w:rsidR="005E1A9F">
              <w:rPr>
                <w:rFonts w:ascii="Times New Roman" w:eastAsia="Times New Roman" w:hAnsi="Times New Roman" w:cs="Times New Roman"/>
                <w:bCs/>
                <w:iCs/>
                <w:sz w:val="24"/>
                <w:szCs w:val="28"/>
                <w:lang w:eastAsia="ru-RU"/>
              </w:rPr>
              <w:t>A</w:t>
            </w:r>
            <w:r>
              <w:rPr>
                <w:rFonts w:ascii="Times New Roman" w:eastAsia="Times New Roman" w:hAnsi="Times New Roman" w:cs="Times New Roman"/>
                <w:bCs/>
                <w:iCs/>
                <w:sz w:val="24"/>
                <w:szCs w:val="28"/>
                <w:lang w:eastAsia="ru-RU"/>
              </w:rPr>
              <w:t>nexei nr.5 la Legea bugetului de stat)</w:t>
            </w:r>
          </w:p>
        </w:tc>
      </w:tr>
      <w:tr w:rsidR="00B0321C" w:rsidRPr="00B0321C" w:rsidTr="00F042F2">
        <w:tc>
          <w:tcPr>
            <w:tcW w:w="2122" w:type="dxa"/>
          </w:tcPr>
          <w:p w:rsidR="00B0321C" w:rsidRPr="00F042F2" w:rsidRDefault="00B0321C" w:rsidP="004A44F2">
            <w:pPr>
              <w:spacing w:line="276" w:lineRule="auto"/>
              <w:jc w:val="both"/>
              <w:rPr>
                <w:rFonts w:ascii="Times New Roman" w:eastAsia="Times New Roman" w:hAnsi="Times New Roman" w:cs="Times New Roman"/>
                <w:bCs/>
                <w:i/>
                <w:iCs/>
                <w:sz w:val="24"/>
                <w:szCs w:val="28"/>
                <w:lang w:eastAsia="ru-RU"/>
              </w:rPr>
            </w:pPr>
            <w:r w:rsidRPr="00F042F2">
              <w:rPr>
                <w:rFonts w:ascii="Times New Roman" w:eastAsia="Times New Roman" w:hAnsi="Times New Roman" w:cs="Times New Roman"/>
                <w:bCs/>
                <w:i/>
                <w:iCs/>
                <w:sz w:val="24"/>
                <w:szCs w:val="28"/>
                <w:lang w:eastAsia="ru-RU"/>
              </w:rPr>
              <w:t>Formularul nr.5.1</w:t>
            </w:r>
          </w:p>
        </w:tc>
        <w:tc>
          <w:tcPr>
            <w:tcW w:w="7654" w:type="dxa"/>
          </w:tcPr>
          <w:p w:rsidR="00B0321C" w:rsidRPr="00B0321C" w:rsidRDefault="00B0321C" w:rsidP="005E1A9F">
            <w:pPr>
              <w:spacing w:line="276" w:lineRule="auto"/>
              <w:jc w:val="both"/>
              <w:rPr>
                <w:rFonts w:ascii="Times New Roman" w:eastAsia="Times New Roman" w:hAnsi="Times New Roman" w:cs="Times New Roman"/>
                <w:bCs/>
                <w:iCs/>
                <w:sz w:val="24"/>
                <w:szCs w:val="28"/>
                <w:lang w:eastAsia="ru-RU"/>
              </w:rPr>
            </w:pPr>
            <w:r>
              <w:rPr>
                <w:rFonts w:ascii="Times New Roman" w:eastAsia="Times New Roman" w:hAnsi="Times New Roman" w:cs="Times New Roman"/>
                <w:bCs/>
                <w:iCs/>
                <w:sz w:val="24"/>
                <w:szCs w:val="28"/>
                <w:lang w:eastAsia="ru-RU"/>
              </w:rPr>
              <w:t xml:space="preserve">Raport privind transferurile cu destinație specială de la bugetul de stat către bugetele locale (conform </w:t>
            </w:r>
            <w:r w:rsidR="005E1A9F">
              <w:rPr>
                <w:rFonts w:ascii="Times New Roman" w:eastAsia="Times New Roman" w:hAnsi="Times New Roman" w:cs="Times New Roman"/>
                <w:bCs/>
                <w:iCs/>
                <w:sz w:val="24"/>
                <w:szCs w:val="28"/>
                <w:lang w:eastAsia="ru-RU"/>
              </w:rPr>
              <w:t>A</w:t>
            </w:r>
            <w:r>
              <w:rPr>
                <w:rFonts w:ascii="Times New Roman" w:eastAsia="Times New Roman" w:hAnsi="Times New Roman" w:cs="Times New Roman"/>
                <w:bCs/>
                <w:iCs/>
                <w:sz w:val="24"/>
                <w:szCs w:val="28"/>
                <w:lang w:eastAsia="ru-RU"/>
              </w:rPr>
              <w:t>nexei nr.5 la Legea bugetului de stat)</w:t>
            </w:r>
          </w:p>
        </w:tc>
      </w:tr>
      <w:tr w:rsidR="00B0321C" w:rsidRPr="00B0321C" w:rsidTr="00F042F2">
        <w:tc>
          <w:tcPr>
            <w:tcW w:w="2122" w:type="dxa"/>
          </w:tcPr>
          <w:p w:rsidR="00B0321C" w:rsidRPr="00F042F2" w:rsidRDefault="00B0321C" w:rsidP="004A44F2">
            <w:pPr>
              <w:spacing w:line="276" w:lineRule="auto"/>
              <w:ind w:right="-110"/>
              <w:jc w:val="both"/>
              <w:rPr>
                <w:rFonts w:ascii="Times New Roman" w:eastAsia="Times New Roman" w:hAnsi="Times New Roman" w:cs="Times New Roman"/>
                <w:bCs/>
                <w:i/>
                <w:iCs/>
                <w:sz w:val="24"/>
                <w:szCs w:val="28"/>
                <w:lang w:eastAsia="ru-RU"/>
              </w:rPr>
            </w:pPr>
            <w:r w:rsidRPr="00F042F2">
              <w:rPr>
                <w:rFonts w:ascii="Times New Roman" w:eastAsia="Times New Roman" w:hAnsi="Times New Roman" w:cs="Times New Roman"/>
                <w:bCs/>
                <w:i/>
                <w:iCs/>
                <w:sz w:val="24"/>
                <w:szCs w:val="28"/>
                <w:lang w:eastAsia="ru-RU"/>
              </w:rPr>
              <w:t>Formularul nr.5.1.1</w:t>
            </w:r>
          </w:p>
        </w:tc>
        <w:tc>
          <w:tcPr>
            <w:tcW w:w="7654" w:type="dxa"/>
          </w:tcPr>
          <w:p w:rsidR="00B0321C" w:rsidRPr="00B0321C" w:rsidRDefault="00B0321C" w:rsidP="005E1A9F">
            <w:pPr>
              <w:spacing w:line="276" w:lineRule="auto"/>
              <w:jc w:val="both"/>
              <w:rPr>
                <w:rFonts w:ascii="Times New Roman" w:eastAsia="Times New Roman" w:hAnsi="Times New Roman" w:cs="Times New Roman"/>
                <w:bCs/>
                <w:iCs/>
                <w:sz w:val="24"/>
                <w:szCs w:val="28"/>
                <w:lang w:eastAsia="ru-RU"/>
              </w:rPr>
            </w:pPr>
            <w:r>
              <w:rPr>
                <w:rFonts w:ascii="Times New Roman" w:eastAsia="Times New Roman" w:hAnsi="Times New Roman" w:cs="Times New Roman"/>
                <w:bCs/>
                <w:iCs/>
                <w:sz w:val="24"/>
                <w:szCs w:val="28"/>
                <w:lang w:eastAsia="ru-RU"/>
              </w:rPr>
              <w:t>Raport privind transferurile cu destinație specială</w:t>
            </w:r>
            <w:r w:rsidR="00764D6E">
              <w:rPr>
                <w:rFonts w:ascii="Times New Roman" w:eastAsia="Times New Roman" w:hAnsi="Times New Roman" w:cs="Times New Roman"/>
                <w:bCs/>
                <w:iCs/>
                <w:sz w:val="24"/>
                <w:szCs w:val="28"/>
                <w:lang w:eastAsia="ru-RU"/>
              </w:rPr>
              <w:t xml:space="preserve"> </w:t>
            </w:r>
            <w:r>
              <w:rPr>
                <w:rFonts w:ascii="Times New Roman" w:eastAsia="Times New Roman" w:hAnsi="Times New Roman" w:cs="Times New Roman"/>
                <w:bCs/>
                <w:iCs/>
                <w:sz w:val="24"/>
                <w:szCs w:val="28"/>
                <w:lang w:eastAsia="ru-RU"/>
              </w:rPr>
              <w:t xml:space="preserve">pentru asistența socială de la bugetul de stat către bugetele locale (conform </w:t>
            </w:r>
            <w:r w:rsidR="005E1A9F">
              <w:rPr>
                <w:rFonts w:ascii="Times New Roman" w:eastAsia="Times New Roman" w:hAnsi="Times New Roman" w:cs="Times New Roman"/>
                <w:bCs/>
                <w:iCs/>
                <w:sz w:val="24"/>
                <w:szCs w:val="28"/>
                <w:lang w:eastAsia="ru-RU"/>
              </w:rPr>
              <w:t>A</w:t>
            </w:r>
            <w:r>
              <w:rPr>
                <w:rFonts w:ascii="Times New Roman" w:eastAsia="Times New Roman" w:hAnsi="Times New Roman" w:cs="Times New Roman"/>
                <w:bCs/>
                <w:iCs/>
                <w:sz w:val="24"/>
                <w:szCs w:val="28"/>
                <w:lang w:eastAsia="ru-RU"/>
              </w:rPr>
              <w:t>nexei nr.5 la Legea bugetului de stat)</w:t>
            </w:r>
          </w:p>
        </w:tc>
      </w:tr>
      <w:tr w:rsidR="00B0321C" w:rsidRPr="00B0321C" w:rsidTr="00F042F2">
        <w:tc>
          <w:tcPr>
            <w:tcW w:w="2122" w:type="dxa"/>
          </w:tcPr>
          <w:p w:rsidR="00B0321C" w:rsidRPr="00F042F2" w:rsidRDefault="00B0321C" w:rsidP="004A44F2">
            <w:pPr>
              <w:spacing w:line="276" w:lineRule="auto"/>
              <w:jc w:val="both"/>
              <w:rPr>
                <w:rFonts w:ascii="Times New Roman" w:eastAsia="Times New Roman" w:hAnsi="Times New Roman" w:cs="Times New Roman"/>
                <w:bCs/>
                <w:i/>
                <w:iCs/>
                <w:sz w:val="24"/>
                <w:szCs w:val="28"/>
                <w:lang w:eastAsia="ru-RU"/>
              </w:rPr>
            </w:pPr>
            <w:r w:rsidRPr="00F042F2">
              <w:rPr>
                <w:rFonts w:ascii="Times New Roman" w:eastAsia="Times New Roman" w:hAnsi="Times New Roman" w:cs="Times New Roman"/>
                <w:bCs/>
                <w:i/>
                <w:iCs/>
                <w:sz w:val="24"/>
                <w:szCs w:val="28"/>
                <w:lang w:eastAsia="ru-RU"/>
              </w:rPr>
              <w:t>Formularul nr.6</w:t>
            </w:r>
          </w:p>
        </w:tc>
        <w:tc>
          <w:tcPr>
            <w:tcW w:w="7654" w:type="dxa"/>
          </w:tcPr>
          <w:p w:rsidR="00B0321C" w:rsidRPr="00B0321C" w:rsidRDefault="00B0321C" w:rsidP="004A44F2">
            <w:pPr>
              <w:spacing w:line="276" w:lineRule="auto"/>
              <w:jc w:val="both"/>
              <w:rPr>
                <w:rFonts w:ascii="Times New Roman" w:eastAsia="Times New Roman" w:hAnsi="Times New Roman" w:cs="Times New Roman"/>
                <w:bCs/>
                <w:iCs/>
                <w:sz w:val="24"/>
                <w:szCs w:val="28"/>
                <w:lang w:eastAsia="ru-RU"/>
              </w:rPr>
            </w:pPr>
            <w:r>
              <w:rPr>
                <w:rFonts w:ascii="Times New Roman" w:eastAsia="Times New Roman" w:hAnsi="Times New Roman" w:cs="Times New Roman"/>
                <w:bCs/>
                <w:iCs/>
                <w:sz w:val="24"/>
                <w:szCs w:val="28"/>
                <w:lang w:eastAsia="ru-RU"/>
              </w:rPr>
              <w:t>Raport privind executarea cheltuielilor și activelor nefinanciare ale bugetului de stat sub aspectul clasificației economice</w:t>
            </w:r>
          </w:p>
        </w:tc>
      </w:tr>
      <w:tr w:rsidR="00B0321C" w:rsidRPr="00B0321C" w:rsidTr="00F042F2">
        <w:tc>
          <w:tcPr>
            <w:tcW w:w="2122" w:type="dxa"/>
          </w:tcPr>
          <w:p w:rsidR="00B0321C" w:rsidRPr="00F042F2" w:rsidRDefault="00B0321C" w:rsidP="004A44F2">
            <w:pPr>
              <w:spacing w:line="276" w:lineRule="auto"/>
              <w:jc w:val="both"/>
              <w:rPr>
                <w:rFonts w:ascii="Times New Roman" w:eastAsia="Times New Roman" w:hAnsi="Times New Roman" w:cs="Times New Roman"/>
                <w:bCs/>
                <w:i/>
                <w:iCs/>
                <w:sz w:val="24"/>
                <w:szCs w:val="28"/>
                <w:lang w:eastAsia="ru-RU"/>
              </w:rPr>
            </w:pPr>
            <w:r w:rsidRPr="00F042F2">
              <w:rPr>
                <w:rFonts w:ascii="Times New Roman" w:eastAsia="Times New Roman" w:hAnsi="Times New Roman" w:cs="Times New Roman"/>
                <w:bCs/>
                <w:i/>
                <w:iCs/>
                <w:sz w:val="24"/>
                <w:szCs w:val="28"/>
                <w:lang w:eastAsia="ru-RU"/>
              </w:rPr>
              <w:t>Formularul nr.7</w:t>
            </w:r>
            <w:r w:rsidR="00DA404B">
              <w:rPr>
                <w:rFonts w:ascii="Times New Roman" w:eastAsia="Times New Roman" w:hAnsi="Times New Roman" w:cs="Times New Roman"/>
                <w:bCs/>
                <w:i/>
                <w:iCs/>
                <w:sz w:val="24"/>
                <w:szCs w:val="28"/>
                <w:lang w:eastAsia="ru-RU"/>
              </w:rPr>
              <w:t>*</w:t>
            </w:r>
          </w:p>
        </w:tc>
        <w:tc>
          <w:tcPr>
            <w:tcW w:w="7654" w:type="dxa"/>
          </w:tcPr>
          <w:p w:rsidR="00B0321C" w:rsidRPr="00B0321C" w:rsidRDefault="00F042F2" w:rsidP="004A44F2">
            <w:pPr>
              <w:spacing w:line="276" w:lineRule="auto"/>
              <w:jc w:val="both"/>
              <w:rPr>
                <w:rFonts w:ascii="Times New Roman" w:eastAsia="Times New Roman" w:hAnsi="Times New Roman" w:cs="Times New Roman"/>
                <w:bCs/>
                <w:iCs/>
                <w:sz w:val="24"/>
                <w:szCs w:val="28"/>
                <w:lang w:eastAsia="ru-RU"/>
              </w:rPr>
            </w:pPr>
            <w:r>
              <w:rPr>
                <w:rFonts w:ascii="Times New Roman" w:eastAsia="Times New Roman" w:hAnsi="Times New Roman" w:cs="Times New Roman"/>
                <w:bCs/>
                <w:iCs/>
                <w:sz w:val="24"/>
                <w:szCs w:val="28"/>
                <w:lang w:eastAsia="ru-RU"/>
              </w:rPr>
              <w:t>Raport privind creanțele și datoriile la cheltuieli și active nefinanciare formate în autoritățile/instituțiile bugetare finanțate de la bugetul de stat conform clasificației economice</w:t>
            </w:r>
          </w:p>
        </w:tc>
      </w:tr>
      <w:tr w:rsidR="00B0321C" w:rsidRPr="00B0321C" w:rsidTr="00F042F2">
        <w:tc>
          <w:tcPr>
            <w:tcW w:w="2122" w:type="dxa"/>
          </w:tcPr>
          <w:p w:rsidR="00B0321C" w:rsidRPr="00F042F2" w:rsidRDefault="00B0321C" w:rsidP="004A44F2">
            <w:pPr>
              <w:spacing w:line="276" w:lineRule="auto"/>
              <w:jc w:val="both"/>
              <w:rPr>
                <w:rFonts w:ascii="Times New Roman" w:eastAsia="Times New Roman" w:hAnsi="Times New Roman" w:cs="Times New Roman"/>
                <w:bCs/>
                <w:i/>
                <w:iCs/>
                <w:sz w:val="24"/>
                <w:szCs w:val="28"/>
                <w:lang w:eastAsia="ru-RU"/>
              </w:rPr>
            </w:pPr>
            <w:r w:rsidRPr="00F042F2">
              <w:rPr>
                <w:rFonts w:ascii="Times New Roman" w:eastAsia="Times New Roman" w:hAnsi="Times New Roman" w:cs="Times New Roman"/>
                <w:bCs/>
                <w:i/>
                <w:iCs/>
                <w:sz w:val="24"/>
                <w:szCs w:val="28"/>
                <w:lang w:eastAsia="ru-RU"/>
              </w:rPr>
              <w:t>Formularul nr.8</w:t>
            </w:r>
            <w:r w:rsidR="00B779B4" w:rsidRPr="00B779B4">
              <w:rPr>
                <w:rFonts w:ascii="Times New Roman" w:eastAsia="Times New Roman" w:hAnsi="Times New Roman" w:cs="Times New Roman"/>
                <w:b/>
                <w:bCs/>
                <w:i/>
                <w:iCs/>
                <w:sz w:val="24"/>
                <w:szCs w:val="28"/>
                <w:lang w:eastAsia="ru-RU"/>
              </w:rPr>
              <w:t>*</w:t>
            </w:r>
          </w:p>
        </w:tc>
        <w:tc>
          <w:tcPr>
            <w:tcW w:w="7654" w:type="dxa"/>
          </w:tcPr>
          <w:p w:rsidR="00B0321C" w:rsidRPr="00B0321C" w:rsidRDefault="00F042F2" w:rsidP="004A44F2">
            <w:pPr>
              <w:spacing w:line="276" w:lineRule="auto"/>
              <w:jc w:val="both"/>
              <w:rPr>
                <w:rFonts w:ascii="Times New Roman" w:eastAsia="Times New Roman" w:hAnsi="Times New Roman" w:cs="Times New Roman"/>
                <w:bCs/>
                <w:iCs/>
                <w:sz w:val="24"/>
                <w:szCs w:val="28"/>
                <w:lang w:eastAsia="ru-RU"/>
              </w:rPr>
            </w:pPr>
            <w:r>
              <w:rPr>
                <w:rFonts w:ascii="Times New Roman" w:eastAsia="Times New Roman" w:hAnsi="Times New Roman" w:cs="Times New Roman"/>
                <w:bCs/>
                <w:iCs/>
                <w:sz w:val="24"/>
                <w:szCs w:val="28"/>
                <w:lang w:eastAsia="ru-RU"/>
              </w:rPr>
              <w:t>Raport privind repartizarea și utilizarea mijloacelor fondului de rezervă al Guvernului</w:t>
            </w:r>
          </w:p>
        </w:tc>
      </w:tr>
      <w:tr w:rsidR="00F042F2" w:rsidRPr="00B0321C" w:rsidTr="00F042F2">
        <w:tc>
          <w:tcPr>
            <w:tcW w:w="2122" w:type="dxa"/>
          </w:tcPr>
          <w:p w:rsidR="00F042F2" w:rsidRPr="00F042F2" w:rsidRDefault="00F042F2" w:rsidP="004A44F2">
            <w:pPr>
              <w:spacing w:line="276" w:lineRule="auto"/>
              <w:jc w:val="both"/>
              <w:rPr>
                <w:rFonts w:ascii="Times New Roman" w:eastAsia="Times New Roman" w:hAnsi="Times New Roman" w:cs="Times New Roman"/>
                <w:bCs/>
                <w:i/>
                <w:iCs/>
                <w:sz w:val="24"/>
                <w:szCs w:val="28"/>
                <w:lang w:eastAsia="ru-RU"/>
              </w:rPr>
            </w:pPr>
            <w:r w:rsidRPr="00F042F2">
              <w:rPr>
                <w:rFonts w:ascii="Times New Roman" w:eastAsia="Times New Roman" w:hAnsi="Times New Roman" w:cs="Times New Roman"/>
                <w:bCs/>
                <w:i/>
                <w:iCs/>
                <w:sz w:val="24"/>
                <w:szCs w:val="28"/>
                <w:lang w:eastAsia="ru-RU"/>
              </w:rPr>
              <w:t>Formularul nr.9</w:t>
            </w:r>
            <w:r w:rsidR="00B779B4" w:rsidRPr="00B779B4">
              <w:rPr>
                <w:rFonts w:ascii="Times New Roman" w:eastAsia="Times New Roman" w:hAnsi="Times New Roman" w:cs="Times New Roman"/>
                <w:b/>
                <w:bCs/>
                <w:i/>
                <w:iCs/>
                <w:sz w:val="24"/>
                <w:szCs w:val="28"/>
                <w:lang w:eastAsia="ru-RU"/>
              </w:rPr>
              <w:t>*</w:t>
            </w:r>
          </w:p>
        </w:tc>
        <w:tc>
          <w:tcPr>
            <w:tcW w:w="7654" w:type="dxa"/>
          </w:tcPr>
          <w:p w:rsidR="00F042F2" w:rsidRPr="00B0321C" w:rsidRDefault="00F042F2" w:rsidP="004A44F2">
            <w:pPr>
              <w:spacing w:line="276" w:lineRule="auto"/>
              <w:jc w:val="both"/>
              <w:rPr>
                <w:rFonts w:ascii="Times New Roman" w:eastAsia="Times New Roman" w:hAnsi="Times New Roman" w:cs="Times New Roman"/>
                <w:bCs/>
                <w:iCs/>
                <w:sz w:val="24"/>
                <w:szCs w:val="28"/>
                <w:lang w:eastAsia="ru-RU"/>
              </w:rPr>
            </w:pPr>
            <w:r>
              <w:rPr>
                <w:rFonts w:ascii="Times New Roman" w:eastAsia="Times New Roman" w:hAnsi="Times New Roman" w:cs="Times New Roman"/>
                <w:bCs/>
                <w:iCs/>
                <w:sz w:val="24"/>
                <w:szCs w:val="28"/>
                <w:lang w:eastAsia="ru-RU"/>
              </w:rPr>
              <w:t>Raport privind repartizarea și utilizarea mijloacelor fondului de intervenție al Guvernului</w:t>
            </w:r>
          </w:p>
        </w:tc>
      </w:tr>
      <w:tr w:rsidR="00F042F2" w:rsidRPr="00B0321C" w:rsidTr="00F042F2">
        <w:tc>
          <w:tcPr>
            <w:tcW w:w="2122" w:type="dxa"/>
          </w:tcPr>
          <w:p w:rsidR="00F042F2" w:rsidRPr="00F042F2" w:rsidRDefault="00F042F2" w:rsidP="004A44F2">
            <w:pPr>
              <w:spacing w:line="276" w:lineRule="auto"/>
              <w:jc w:val="both"/>
              <w:rPr>
                <w:rFonts w:ascii="Times New Roman" w:eastAsia="Times New Roman" w:hAnsi="Times New Roman" w:cs="Times New Roman"/>
                <w:bCs/>
                <w:i/>
                <w:iCs/>
                <w:sz w:val="24"/>
                <w:szCs w:val="28"/>
                <w:lang w:eastAsia="ru-RU"/>
              </w:rPr>
            </w:pPr>
            <w:r w:rsidRPr="00F042F2">
              <w:rPr>
                <w:rFonts w:ascii="Times New Roman" w:eastAsia="Times New Roman" w:hAnsi="Times New Roman" w:cs="Times New Roman"/>
                <w:bCs/>
                <w:i/>
                <w:iCs/>
                <w:sz w:val="24"/>
                <w:szCs w:val="28"/>
                <w:lang w:eastAsia="ru-RU"/>
              </w:rPr>
              <w:t>Formularul nr.10</w:t>
            </w:r>
            <w:r w:rsidR="00B779B4" w:rsidRPr="00B779B4">
              <w:rPr>
                <w:rFonts w:ascii="Times New Roman" w:eastAsia="Times New Roman" w:hAnsi="Times New Roman" w:cs="Times New Roman"/>
                <w:b/>
                <w:bCs/>
                <w:i/>
                <w:iCs/>
                <w:sz w:val="24"/>
                <w:szCs w:val="28"/>
                <w:lang w:eastAsia="ru-RU"/>
              </w:rPr>
              <w:t>*</w:t>
            </w:r>
          </w:p>
        </w:tc>
        <w:tc>
          <w:tcPr>
            <w:tcW w:w="7654" w:type="dxa"/>
          </w:tcPr>
          <w:p w:rsidR="00F042F2" w:rsidRPr="00B0321C" w:rsidRDefault="00F042F2" w:rsidP="004A44F2">
            <w:pPr>
              <w:spacing w:line="276" w:lineRule="auto"/>
              <w:jc w:val="both"/>
              <w:rPr>
                <w:rFonts w:ascii="Times New Roman" w:eastAsia="Times New Roman" w:hAnsi="Times New Roman" w:cs="Times New Roman"/>
                <w:bCs/>
                <w:iCs/>
                <w:sz w:val="24"/>
                <w:szCs w:val="28"/>
                <w:lang w:eastAsia="ru-RU"/>
              </w:rPr>
            </w:pPr>
            <w:r>
              <w:rPr>
                <w:rFonts w:ascii="Times New Roman" w:eastAsia="Times New Roman" w:hAnsi="Times New Roman" w:cs="Times New Roman"/>
                <w:bCs/>
                <w:iCs/>
                <w:sz w:val="24"/>
                <w:szCs w:val="28"/>
                <w:lang w:eastAsia="ru-RU"/>
              </w:rPr>
              <w:t>Bilanțul contabil privind executarea bugetului de stat</w:t>
            </w:r>
          </w:p>
        </w:tc>
      </w:tr>
      <w:tr w:rsidR="00F042F2" w:rsidRPr="00B0321C" w:rsidTr="00F042F2">
        <w:tc>
          <w:tcPr>
            <w:tcW w:w="2122" w:type="dxa"/>
          </w:tcPr>
          <w:p w:rsidR="00F042F2" w:rsidRPr="00F042F2" w:rsidRDefault="00F042F2" w:rsidP="004A44F2">
            <w:pPr>
              <w:spacing w:line="276" w:lineRule="auto"/>
              <w:jc w:val="both"/>
              <w:rPr>
                <w:rFonts w:ascii="Times New Roman" w:eastAsia="Times New Roman" w:hAnsi="Times New Roman" w:cs="Times New Roman"/>
                <w:bCs/>
                <w:i/>
                <w:iCs/>
                <w:sz w:val="24"/>
                <w:szCs w:val="28"/>
                <w:lang w:eastAsia="ru-RU"/>
              </w:rPr>
            </w:pPr>
            <w:r w:rsidRPr="00F042F2">
              <w:rPr>
                <w:rFonts w:ascii="Times New Roman" w:eastAsia="Times New Roman" w:hAnsi="Times New Roman" w:cs="Times New Roman"/>
                <w:bCs/>
                <w:i/>
                <w:iCs/>
                <w:sz w:val="24"/>
                <w:szCs w:val="28"/>
                <w:lang w:eastAsia="ru-RU"/>
              </w:rPr>
              <w:t>Formularul nr.11</w:t>
            </w:r>
          </w:p>
        </w:tc>
        <w:tc>
          <w:tcPr>
            <w:tcW w:w="7654" w:type="dxa"/>
          </w:tcPr>
          <w:p w:rsidR="00F042F2" w:rsidRPr="00B0321C" w:rsidRDefault="00F042F2" w:rsidP="004A44F2">
            <w:pPr>
              <w:spacing w:line="276" w:lineRule="auto"/>
              <w:jc w:val="both"/>
              <w:rPr>
                <w:rFonts w:ascii="Times New Roman" w:eastAsia="Times New Roman" w:hAnsi="Times New Roman" w:cs="Times New Roman"/>
                <w:bCs/>
                <w:iCs/>
                <w:sz w:val="24"/>
                <w:szCs w:val="28"/>
                <w:lang w:eastAsia="ru-RU"/>
              </w:rPr>
            </w:pPr>
            <w:r>
              <w:rPr>
                <w:rFonts w:ascii="Times New Roman" w:eastAsia="Times New Roman" w:hAnsi="Times New Roman" w:cs="Times New Roman"/>
                <w:bCs/>
                <w:iCs/>
                <w:sz w:val="24"/>
                <w:szCs w:val="28"/>
                <w:lang w:eastAsia="ru-RU"/>
              </w:rPr>
              <w:t>Raport privind executarea bugetului public național</w:t>
            </w:r>
          </w:p>
        </w:tc>
      </w:tr>
    </w:tbl>
    <w:p w:rsidR="001B21DB" w:rsidRPr="00B30B38" w:rsidRDefault="006807DD" w:rsidP="004A44F2">
      <w:pPr>
        <w:spacing w:after="0" w:line="276" w:lineRule="auto"/>
        <w:jc w:val="both"/>
        <w:rPr>
          <w:rFonts w:ascii="Times New Roman" w:eastAsia="Times New Roman" w:hAnsi="Times New Roman" w:cs="Times New Roman"/>
          <w:bCs/>
          <w:iCs/>
          <w:sz w:val="20"/>
          <w:szCs w:val="28"/>
          <w:lang w:eastAsia="ru-RU"/>
        </w:rPr>
      </w:pPr>
      <w:r w:rsidRPr="006807DD">
        <w:rPr>
          <w:rFonts w:ascii="Times New Roman" w:eastAsia="Times New Roman" w:hAnsi="Times New Roman" w:cs="Times New Roman"/>
          <w:b/>
          <w:bCs/>
          <w:iCs/>
          <w:sz w:val="20"/>
          <w:szCs w:val="28"/>
          <w:lang w:eastAsia="ru-RU"/>
        </w:rPr>
        <w:t>Notă:</w:t>
      </w:r>
      <w:r w:rsidRPr="006807DD">
        <w:rPr>
          <w:rFonts w:ascii="Times New Roman" w:eastAsia="Times New Roman" w:hAnsi="Times New Roman" w:cs="Times New Roman"/>
          <w:bCs/>
          <w:iCs/>
          <w:sz w:val="20"/>
          <w:szCs w:val="28"/>
          <w:lang w:eastAsia="ru-RU"/>
        </w:rPr>
        <w:t xml:space="preserve"> Cu asterisc</w:t>
      </w:r>
      <w:r>
        <w:rPr>
          <w:rFonts w:ascii="Times New Roman" w:eastAsia="Times New Roman" w:hAnsi="Times New Roman" w:cs="Times New Roman"/>
          <w:bCs/>
          <w:iCs/>
          <w:sz w:val="20"/>
          <w:szCs w:val="28"/>
          <w:lang w:eastAsia="ru-RU"/>
        </w:rPr>
        <w:t xml:space="preserve"> </w:t>
      </w:r>
      <w:r w:rsidRPr="006807DD">
        <w:rPr>
          <w:rFonts w:ascii="Times New Roman" w:eastAsia="Times New Roman" w:hAnsi="Times New Roman" w:cs="Times New Roman"/>
          <w:bCs/>
          <w:iCs/>
          <w:sz w:val="20"/>
          <w:szCs w:val="28"/>
          <w:lang w:eastAsia="ru-RU"/>
        </w:rPr>
        <w:t>(*) sunt marcat</w:t>
      </w:r>
      <w:r w:rsidR="00842D1C">
        <w:rPr>
          <w:rFonts w:ascii="Times New Roman" w:eastAsia="Times New Roman" w:hAnsi="Times New Roman" w:cs="Times New Roman"/>
          <w:bCs/>
          <w:iCs/>
          <w:sz w:val="20"/>
          <w:szCs w:val="28"/>
          <w:lang w:eastAsia="ru-RU"/>
        </w:rPr>
        <w:t>e</w:t>
      </w:r>
      <w:r w:rsidRPr="006807DD">
        <w:rPr>
          <w:rFonts w:ascii="Times New Roman" w:eastAsia="Times New Roman" w:hAnsi="Times New Roman" w:cs="Times New Roman"/>
          <w:bCs/>
          <w:iCs/>
          <w:sz w:val="20"/>
          <w:szCs w:val="28"/>
          <w:lang w:eastAsia="ru-RU"/>
        </w:rPr>
        <w:t xml:space="preserve"> fo</w:t>
      </w:r>
      <w:r w:rsidR="00B30B38">
        <w:rPr>
          <w:rFonts w:ascii="Times New Roman" w:eastAsia="Times New Roman" w:hAnsi="Times New Roman" w:cs="Times New Roman"/>
          <w:bCs/>
          <w:iCs/>
          <w:sz w:val="20"/>
          <w:szCs w:val="28"/>
          <w:lang w:eastAsia="ru-RU"/>
        </w:rPr>
        <w:t>rmularele</w:t>
      </w:r>
      <w:r w:rsidR="00B30B38" w:rsidRPr="00B30B38">
        <w:rPr>
          <w:rFonts w:ascii="Times New Roman" w:eastAsia="Times New Roman" w:hAnsi="Times New Roman" w:cs="Times New Roman"/>
          <w:bCs/>
          <w:iCs/>
          <w:sz w:val="20"/>
          <w:szCs w:val="28"/>
          <w:lang w:eastAsia="ru-RU"/>
        </w:rPr>
        <w:t xml:space="preserve"> </w:t>
      </w:r>
      <w:r w:rsidR="00A16180">
        <w:rPr>
          <w:rFonts w:ascii="Times New Roman" w:eastAsia="Times New Roman" w:hAnsi="Times New Roman" w:cs="Times New Roman"/>
          <w:bCs/>
          <w:iCs/>
          <w:sz w:val="20"/>
          <w:szCs w:val="28"/>
          <w:lang w:eastAsia="ru-RU"/>
        </w:rPr>
        <w:t xml:space="preserve">Rapoartelor, parte componentă a Raportului privind executarea bugetului de stat pe anul 2017, </w:t>
      </w:r>
      <w:r w:rsidR="00B30B38" w:rsidRPr="00B30B38">
        <w:rPr>
          <w:rFonts w:ascii="Times New Roman" w:eastAsia="Times New Roman" w:hAnsi="Times New Roman" w:cs="Times New Roman"/>
          <w:bCs/>
          <w:iCs/>
          <w:sz w:val="20"/>
          <w:szCs w:val="28"/>
          <w:lang w:eastAsia="ru-RU"/>
        </w:rPr>
        <w:t>testat</w:t>
      </w:r>
      <w:r w:rsidR="00B30B38">
        <w:rPr>
          <w:rFonts w:ascii="Times New Roman" w:eastAsia="Times New Roman" w:hAnsi="Times New Roman" w:cs="Times New Roman"/>
          <w:bCs/>
          <w:iCs/>
          <w:sz w:val="20"/>
          <w:szCs w:val="28"/>
          <w:lang w:eastAsia="ru-RU"/>
        </w:rPr>
        <w:t>e de către audit</w:t>
      </w:r>
      <w:r w:rsidR="00B30B38" w:rsidRPr="00B30B38">
        <w:rPr>
          <w:rFonts w:ascii="Times New Roman" w:eastAsia="Times New Roman" w:hAnsi="Times New Roman" w:cs="Times New Roman"/>
          <w:bCs/>
          <w:iCs/>
          <w:sz w:val="20"/>
          <w:szCs w:val="28"/>
          <w:lang w:eastAsia="ru-RU"/>
        </w:rPr>
        <w:t xml:space="preserve"> sub a</w:t>
      </w:r>
      <w:r w:rsidR="00B46756">
        <w:rPr>
          <w:rFonts w:ascii="Times New Roman" w:eastAsia="Times New Roman" w:hAnsi="Times New Roman" w:cs="Times New Roman"/>
          <w:bCs/>
          <w:iCs/>
          <w:sz w:val="20"/>
          <w:szCs w:val="28"/>
          <w:lang w:eastAsia="ru-RU"/>
        </w:rPr>
        <w:t>spect financiar și regulamentar.</w:t>
      </w:r>
    </w:p>
    <w:p w:rsidR="001B21DB" w:rsidRDefault="001B21DB" w:rsidP="004A44F2">
      <w:pPr>
        <w:spacing w:after="0" w:line="276" w:lineRule="auto"/>
        <w:ind w:firstLine="709"/>
        <w:jc w:val="both"/>
        <w:rPr>
          <w:rFonts w:ascii="Times New Roman" w:eastAsia="Times New Roman" w:hAnsi="Times New Roman" w:cs="Times New Roman"/>
          <w:bCs/>
          <w:iCs/>
          <w:sz w:val="28"/>
          <w:szCs w:val="28"/>
          <w:lang w:eastAsia="ru-RU"/>
        </w:rPr>
      </w:pPr>
    </w:p>
    <w:p w:rsidR="00321291" w:rsidRDefault="00321291" w:rsidP="004A44F2">
      <w:pPr>
        <w:spacing w:after="0" w:line="276" w:lineRule="auto"/>
        <w:ind w:firstLine="709"/>
        <w:jc w:val="both"/>
        <w:rPr>
          <w:rFonts w:ascii="Times New Roman" w:eastAsia="Times New Roman" w:hAnsi="Times New Roman" w:cs="Times New Roman"/>
          <w:bCs/>
          <w:iCs/>
          <w:sz w:val="28"/>
          <w:szCs w:val="28"/>
          <w:lang w:eastAsia="ru-RU"/>
        </w:rPr>
      </w:pPr>
    </w:p>
    <w:p w:rsidR="00321291" w:rsidRDefault="00321291" w:rsidP="004A44F2">
      <w:pPr>
        <w:spacing w:after="0" w:line="276" w:lineRule="auto"/>
        <w:ind w:firstLine="709"/>
        <w:jc w:val="both"/>
        <w:rPr>
          <w:rFonts w:ascii="Times New Roman" w:eastAsia="Times New Roman" w:hAnsi="Times New Roman" w:cs="Times New Roman"/>
          <w:bCs/>
          <w:iCs/>
          <w:sz w:val="28"/>
          <w:szCs w:val="28"/>
          <w:lang w:eastAsia="ru-RU"/>
        </w:rPr>
      </w:pPr>
    </w:p>
    <w:p w:rsidR="00321291" w:rsidRDefault="00321291" w:rsidP="004A44F2">
      <w:pPr>
        <w:spacing w:after="0" w:line="276" w:lineRule="auto"/>
        <w:ind w:firstLine="709"/>
        <w:jc w:val="both"/>
        <w:rPr>
          <w:rFonts w:ascii="Times New Roman" w:eastAsia="Times New Roman" w:hAnsi="Times New Roman" w:cs="Times New Roman"/>
          <w:bCs/>
          <w:iCs/>
          <w:sz w:val="28"/>
          <w:szCs w:val="28"/>
          <w:lang w:eastAsia="ru-RU"/>
        </w:rPr>
      </w:pPr>
    </w:p>
    <w:p w:rsidR="009B00AC" w:rsidRPr="001B21DB" w:rsidRDefault="009B00AC" w:rsidP="004A44F2">
      <w:pPr>
        <w:pStyle w:val="2"/>
        <w:spacing w:line="276" w:lineRule="auto"/>
        <w:jc w:val="right"/>
        <w:rPr>
          <w:rFonts w:ascii="Times New Roman" w:eastAsia="Times New Roman" w:hAnsi="Times New Roman" w:cs="Times New Roman"/>
          <w:b/>
          <w:bCs/>
          <w:i/>
          <w:iCs/>
          <w:color w:val="auto"/>
          <w:sz w:val="28"/>
          <w:szCs w:val="28"/>
          <w:lang w:eastAsia="ru-RU"/>
        </w:rPr>
      </w:pPr>
      <w:bookmarkStart w:id="40" w:name="_Toc514828150"/>
      <w:bookmarkStart w:id="41" w:name="_Toc515440058"/>
      <w:bookmarkStart w:id="42" w:name="_Toc515444929"/>
      <w:bookmarkStart w:id="43" w:name="_Toc515519007"/>
      <w:r w:rsidRPr="001B21DB">
        <w:rPr>
          <w:rFonts w:ascii="Times New Roman" w:eastAsia="Times New Roman" w:hAnsi="Times New Roman" w:cs="Times New Roman"/>
          <w:b/>
          <w:bCs/>
          <w:i/>
          <w:iCs/>
          <w:color w:val="auto"/>
          <w:sz w:val="28"/>
          <w:szCs w:val="28"/>
          <w:lang w:eastAsia="ru-RU"/>
        </w:rPr>
        <w:lastRenderedPageBreak/>
        <w:t>Anexa nr.</w:t>
      </w:r>
      <w:r w:rsidR="00100EC4">
        <w:rPr>
          <w:rFonts w:ascii="Times New Roman" w:eastAsia="Times New Roman" w:hAnsi="Times New Roman" w:cs="Times New Roman"/>
          <w:b/>
          <w:bCs/>
          <w:i/>
          <w:iCs/>
          <w:color w:val="auto"/>
          <w:sz w:val="28"/>
          <w:szCs w:val="28"/>
          <w:lang w:eastAsia="ru-RU"/>
        </w:rPr>
        <w:t>3</w:t>
      </w:r>
      <w:bookmarkEnd w:id="40"/>
      <w:bookmarkEnd w:id="41"/>
      <w:bookmarkEnd w:id="42"/>
      <w:bookmarkEnd w:id="43"/>
    </w:p>
    <w:p w:rsidR="00F56F55" w:rsidRPr="009F1372" w:rsidRDefault="00F56F55" w:rsidP="004A44F2">
      <w:pPr>
        <w:spacing w:after="0" w:line="276" w:lineRule="auto"/>
        <w:ind w:right="49" w:firstLine="709"/>
        <w:jc w:val="right"/>
        <w:rPr>
          <w:rFonts w:ascii="Times New Roman" w:eastAsia="Times New Roman" w:hAnsi="Times New Roman" w:cs="Times New Roman"/>
          <w:i/>
          <w:sz w:val="28"/>
          <w:szCs w:val="24"/>
          <w:lang w:eastAsia="ru-RU"/>
        </w:rPr>
      </w:pPr>
      <w:r w:rsidRPr="009F1372">
        <w:rPr>
          <w:rFonts w:ascii="Times New Roman" w:eastAsia="Times New Roman" w:hAnsi="Times New Roman" w:cs="Times New Roman"/>
          <w:i/>
          <w:sz w:val="28"/>
          <w:szCs w:val="24"/>
          <w:lang w:eastAsia="ru-RU"/>
        </w:rPr>
        <w:t>Tabelul nr.</w:t>
      </w:r>
      <w:r>
        <w:rPr>
          <w:rFonts w:ascii="Times New Roman" w:eastAsia="Times New Roman" w:hAnsi="Times New Roman" w:cs="Times New Roman"/>
          <w:i/>
          <w:sz w:val="28"/>
          <w:szCs w:val="24"/>
          <w:lang w:eastAsia="ru-RU"/>
        </w:rPr>
        <w:t>1</w:t>
      </w:r>
    </w:p>
    <w:p w:rsidR="00F56F55" w:rsidRPr="003F56DB" w:rsidRDefault="00F56F55" w:rsidP="004A44F2">
      <w:pPr>
        <w:spacing w:after="0" w:line="276" w:lineRule="auto"/>
        <w:ind w:right="49"/>
        <w:jc w:val="center"/>
        <w:rPr>
          <w:rFonts w:ascii="Times New Roman" w:eastAsia="Times New Roman" w:hAnsi="Times New Roman" w:cs="Times New Roman"/>
          <w:b/>
          <w:sz w:val="28"/>
          <w:szCs w:val="24"/>
          <w:lang w:eastAsia="ru-RU"/>
        </w:rPr>
      </w:pPr>
      <w:r w:rsidRPr="003F56DB">
        <w:rPr>
          <w:rFonts w:ascii="Times New Roman" w:eastAsia="Times New Roman" w:hAnsi="Times New Roman" w:cs="Times New Roman"/>
          <w:b/>
          <w:sz w:val="24"/>
          <w:szCs w:val="24"/>
          <w:lang w:eastAsia="ru-RU"/>
        </w:rPr>
        <w:t>Realizarea veniturilor bugetului de stat pe anul 2017</w:t>
      </w:r>
      <w:r w:rsidR="005E1A9F">
        <w:rPr>
          <w:rFonts w:ascii="Times New Roman" w:eastAsia="Times New Roman" w:hAnsi="Times New Roman" w:cs="Times New Roman"/>
          <w:b/>
          <w:sz w:val="24"/>
          <w:szCs w:val="24"/>
          <w:lang w:eastAsia="ru-RU"/>
        </w:rPr>
        <w:t>,</w:t>
      </w:r>
      <w:r w:rsidRPr="003F56DB">
        <w:rPr>
          <w:rFonts w:ascii="Times New Roman" w:eastAsia="Times New Roman" w:hAnsi="Times New Roman" w:cs="Times New Roman"/>
          <w:b/>
          <w:sz w:val="24"/>
          <w:szCs w:val="24"/>
          <w:lang w:eastAsia="ru-RU"/>
        </w:rPr>
        <w:t xml:space="preserve"> comparativ cu anul 2016, precum și ponderea acestora în PIB</w:t>
      </w:r>
    </w:p>
    <w:p w:rsidR="00F56F55" w:rsidRPr="00691F19" w:rsidRDefault="00F56F55" w:rsidP="00F56F55">
      <w:pPr>
        <w:spacing w:after="0" w:line="240" w:lineRule="auto"/>
        <w:ind w:right="49"/>
        <w:jc w:val="right"/>
        <w:rPr>
          <w:rFonts w:ascii="Times New Roman" w:eastAsia="Times New Roman" w:hAnsi="Times New Roman" w:cs="Times New Roman"/>
          <w:i/>
          <w:sz w:val="24"/>
          <w:szCs w:val="24"/>
          <w:lang w:eastAsia="ru-RU"/>
        </w:rPr>
      </w:pPr>
      <w:r w:rsidRPr="00691F19">
        <w:rPr>
          <w:rFonts w:ascii="Times New Roman" w:eastAsia="Times New Roman" w:hAnsi="Times New Roman" w:cs="Times New Roman"/>
          <w:i/>
          <w:sz w:val="24"/>
          <w:szCs w:val="24"/>
          <w:lang w:eastAsia="ru-RU"/>
        </w:rPr>
        <w:t>(mil.lei)</w:t>
      </w:r>
    </w:p>
    <w:tbl>
      <w:tblPr>
        <w:tblStyle w:val="TableGrid1"/>
        <w:tblW w:w="9629" w:type="dxa"/>
        <w:tblLayout w:type="fixed"/>
        <w:tblLook w:val="04A0" w:firstRow="1" w:lastRow="0" w:firstColumn="1" w:lastColumn="0" w:noHBand="0" w:noVBand="1"/>
      </w:tblPr>
      <w:tblGrid>
        <w:gridCol w:w="3681"/>
        <w:gridCol w:w="990"/>
        <w:gridCol w:w="990"/>
        <w:gridCol w:w="900"/>
        <w:gridCol w:w="810"/>
        <w:gridCol w:w="810"/>
        <w:gridCol w:w="720"/>
        <w:gridCol w:w="720"/>
        <w:gridCol w:w="8"/>
      </w:tblGrid>
      <w:tr w:rsidR="00F56F55" w:rsidRPr="00691F19" w:rsidTr="00B0321C">
        <w:trPr>
          <w:gridAfter w:val="1"/>
          <w:wAfter w:w="8" w:type="dxa"/>
          <w:trHeight w:val="539"/>
        </w:trPr>
        <w:tc>
          <w:tcPr>
            <w:tcW w:w="3681" w:type="dxa"/>
            <w:vMerge w:val="restart"/>
            <w:shd w:val="clear" w:color="auto" w:fill="1F3864" w:themeFill="accent5" w:themeFillShade="80"/>
            <w:vAlign w:val="center"/>
          </w:tcPr>
          <w:p w:rsidR="00F56F55" w:rsidRPr="00691F19" w:rsidRDefault="00F56F55" w:rsidP="00B0321C">
            <w:pPr>
              <w:jc w:val="center"/>
              <w:rPr>
                <w:rFonts w:ascii="Times New Roman" w:eastAsia="Times New Roman" w:hAnsi="Times New Roman" w:cs="Times New Roman"/>
                <w:b/>
                <w:lang w:eastAsia="ru-RU"/>
              </w:rPr>
            </w:pPr>
            <w:r w:rsidRPr="00691F19">
              <w:rPr>
                <w:rFonts w:ascii="Times New Roman" w:eastAsia="Times New Roman" w:hAnsi="Times New Roman" w:cs="Times New Roman"/>
                <w:lang w:eastAsia="ru-RU"/>
              </w:rPr>
              <w:br w:type="page"/>
            </w:r>
            <w:r w:rsidRPr="00691F19">
              <w:rPr>
                <w:rFonts w:ascii="Times New Roman" w:eastAsia="Times New Roman" w:hAnsi="Times New Roman" w:cs="Times New Roman"/>
                <w:b/>
                <w:lang w:eastAsia="ru-RU"/>
              </w:rPr>
              <w:t>Indicatori</w:t>
            </w:r>
          </w:p>
        </w:tc>
        <w:tc>
          <w:tcPr>
            <w:tcW w:w="990" w:type="dxa"/>
            <w:shd w:val="clear" w:color="auto" w:fill="1F3864" w:themeFill="accent5" w:themeFillShade="80"/>
          </w:tcPr>
          <w:p w:rsidR="00F56F55" w:rsidRPr="00691F19" w:rsidRDefault="00F56F55" w:rsidP="00B0321C">
            <w:pPr>
              <w:ind w:left="-103" w:right="-108"/>
              <w:jc w:val="center"/>
              <w:rPr>
                <w:rFonts w:ascii="Times New Roman" w:eastAsia="Times New Roman" w:hAnsi="Times New Roman" w:cs="Times New Roman"/>
                <w:b/>
                <w:lang w:eastAsia="ru-RU"/>
              </w:rPr>
            </w:pPr>
            <w:r w:rsidRPr="00691F19">
              <w:rPr>
                <w:rFonts w:ascii="Times New Roman" w:eastAsia="Times New Roman" w:hAnsi="Times New Roman" w:cs="Times New Roman"/>
                <w:b/>
                <w:lang w:eastAsia="ru-RU"/>
              </w:rPr>
              <w:t>Precizat pe an</w:t>
            </w:r>
          </w:p>
        </w:tc>
        <w:tc>
          <w:tcPr>
            <w:tcW w:w="1890" w:type="dxa"/>
            <w:gridSpan w:val="2"/>
            <w:shd w:val="clear" w:color="auto" w:fill="1F3864" w:themeFill="accent5" w:themeFillShade="80"/>
            <w:vAlign w:val="center"/>
          </w:tcPr>
          <w:p w:rsidR="00F56F55" w:rsidRPr="00691F19" w:rsidRDefault="00F56F55" w:rsidP="00B0321C">
            <w:pPr>
              <w:jc w:val="center"/>
              <w:rPr>
                <w:rFonts w:ascii="Times New Roman" w:eastAsia="Times New Roman" w:hAnsi="Times New Roman" w:cs="Times New Roman"/>
                <w:b/>
                <w:lang w:eastAsia="ru-RU"/>
              </w:rPr>
            </w:pPr>
            <w:r w:rsidRPr="00691F19">
              <w:rPr>
                <w:rFonts w:ascii="Times New Roman" w:eastAsia="Times New Roman" w:hAnsi="Times New Roman" w:cs="Times New Roman"/>
                <w:b/>
                <w:lang w:eastAsia="ru-RU"/>
              </w:rPr>
              <w:t>Încasări realizate</w:t>
            </w:r>
          </w:p>
        </w:tc>
        <w:tc>
          <w:tcPr>
            <w:tcW w:w="1620" w:type="dxa"/>
            <w:gridSpan w:val="2"/>
            <w:shd w:val="clear" w:color="auto" w:fill="1F3864" w:themeFill="accent5" w:themeFillShade="80"/>
            <w:vAlign w:val="center"/>
          </w:tcPr>
          <w:p w:rsidR="00F56F55" w:rsidRPr="00691F19" w:rsidRDefault="00F56F55" w:rsidP="00B0321C">
            <w:pPr>
              <w:ind w:left="-105" w:right="-106"/>
              <w:jc w:val="center"/>
              <w:rPr>
                <w:rFonts w:ascii="Times New Roman" w:eastAsia="Times New Roman" w:hAnsi="Times New Roman" w:cs="Times New Roman"/>
                <w:b/>
                <w:lang w:eastAsia="ru-RU"/>
              </w:rPr>
            </w:pPr>
            <w:r w:rsidRPr="00691F19">
              <w:rPr>
                <w:rFonts w:ascii="Times New Roman" w:eastAsia="Times New Roman" w:hAnsi="Times New Roman" w:cs="Times New Roman"/>
                <w:b/>
                <w:lang w:eastAsia="ru-RU"/>
              </w:rPr>
              <w:t>Încasări realizate în an.2017 față de an.2016</w:t>
            </w:r>
          </w:p>
        </w:tc>
        <w:tc>
          <w:tcPr>
            <w:tcW w:w="1440" w:type="dxa"/>
            <w:gridSpan w:val="2"/>
            <w:shd w:val="clear" w:color="auto" w:fill="1F3864" w:themeFill="accent5" w:themeFillShade="80"/>
            <w:vAlign w:val="center"/>
          </w:tcPr>
          <w:p w:rsidR="00F56F55" w:rsidRPr="00691F19" w:rsidRDefault="00F56F55" w:rsidP="00B0321C">
            <w:pPr>
              <w:jc w:val="center"/>
              <w:rPr>
                <w:rFonts w:ascii="Times New Roman" w:eastAsia="Times New Roman" w:hAnsi="Times New Roman" w:cs="Times New Roman"/>
                <w:b/>
                <w:lang w:eastAsia="ru-RU"/>
              </w:rPr>
            </w:pPr>
            <w:r w:rsidRPr="00691F19">
              <w:rPr>
                <w:rFonts w:ascii="Times New Roman" w:eastAsia="Times New Roman" w:hAnsi="Times New Roman" w:cs="Times New Roman"/>
                <w:b/>
                <w:lang w:eastAsia="ru-RU"/>
              </w:rPr>
              <w:t>Ponderea în PIB</w:t>
            </w:r>
          </w:p>
        </w:tc>
      </w:tr>
      <w:tr w:rsidR="00F56F55" w:rsidRPr="00691F19" w:rsidTr="00B0321C">
        <w:trPr>
          <w:gridAfter w:val="1"/>
          <w:wAfter w:w="8" w:type="dxa"/>
        </w:trPr>
        <w:tc>
          <w:tcPr>
            <w:tcW w:w="3681" w:type="dxa"/>
            <w:vMerge/>
            <w:shd w:val="clear" w:color="auto" w:fill="1F3864" w:themeFill="accent5" w:themeFillShade="80"/>
          </w:tcPr>
          <w:p w:rsidR="00F56F55" w:rsidRPr="00691F19" w:rsidRDefault="00F56F55" w:rsidP="00B0321C">
            <w:pPr>
              <w:jc w:val="center"/>
              <w:rPr>
                <w:rFonts w:ascii="Times New Roman" w:eastAsia="Times New Roman" w:hAnsi="Times New Roman" w:cs="Times New Roman"/>
                <w:lang w:eastAsia="ru-RU"/>
              </w:rPr>
            </w:pPr>
          </w:p>
        </w:tc>
        <w:tc>
          <w:tcPr>
            <w:tcW w:w="990" w:type="dxa"/>
            <w:shd w:val="clear" w:color="auto" w:fill="1F3864" w:themeFill="accent5" w:themeFillShade="80"/>
            <w:vAlign w:val="center"/>
          </w:tcPr>
          <w:p w:rsidR="00F56F55" w:rsidRPr="00691F19" w:rsidRDefault="00F56F55" w:rsidP="00B0321C">
            <w:pPr>
              <w:jc w:val="center"/>
              <w:rPr>
                <w:rFonts w:ascii="Times New Roman" w:eastAsia="Times New Roman" w:hAnsi="Times New Roman" w:cs="Times New Roman"/>
                <w:b/>
                <w:lang w:eastAsia="ru-RU"/>
              </w:rPr>
            </w:pPr>
            <w:r w:rsidRPr="00691F19">
              <w:rPr>
                <w:rFonts w:ascii="Times New Roman" w:eastAsia="Times New Roman" w:hAnsi="Times New Roman" w:cs="Times New Roman"/>
                <w:b/>
                <w:lang w:eastAsia="ru-RU"/>
              </w:rPr>
              <w:t>2017</w:t>
            </w:r>
          </w:p>
        </w:tc>
        <w:tc>
          <w:tcPr>
            <w:tcW w:w="990" w:type="dxa"/>
            <w:shd w:val="clear" w:color="auto" w:fill="1F3864" w:themeFill="accent5" w:themeFillShade="80"/>
            <w:vAlign w:val="center"/>
          </w:tcPr>
          <w:p w:rsidR="00F56F55" w:rsidRPr="00691F19" w:rsidRDefault="00F56F55" w:rsidP="00B0321C">
            <w:pPr>
              <w:jc w:val="center"/>
              <w:rPr>
                <w:rFonts w:ascii="Times New Roman" w:eastAsia="Times New Roman" w:hAnsi="Times New Roman" w:cs="Times New Roman"/>
                <w:b/>
                <w:lang w:eastAsia="ru-RU"/>
              </w:rPr>
            </w:pPr>
            <w:r w:rsidRPr="00691F19">
              <w:rPr>
                <w:rFonts w:ascii="Times New Roman" w:eastAsia="Times New Roman" w:hAnsi="Times New Roman" w:cs="Times New Roman"/>
                <w:b/>
                <w:lang w:eastAsia="ru-RU"/>
              </w:rPr>
              <w:t>2017</w:t>
            </w:r>
          </w:p>
        </w:tc>
        <w:tc>
          <w:tcPr>
            <w:tcW w:w="900" w:type="dxa"/>
            <w:shd w:val="clear" w:color="auto" w:fill="1F3864" w:themeFill="accent5" w:themeFillShade="80"/>
            <w:vAlign w:val="center"/>
          </w:tcPr>
          <w:p w:rsidR="00F56F55" w:rsidRPr="00691F19" w:rsidRDefault="00F56F55" w:rsidP="00B0321C">
            <w:pPr>
              <w:jc w:val="center"/>
              <w:rPr>
                <w:rFonts w:ascii="Times New Roman" w:eastAsia="Times New Roman" w:hAnsi="Times New Roman" w:cs="Times New Roman"/>
                <w:b/>
                <w:lang w:eastAsia="ru-RU"/>
              </w:rPr>
            </w:pPr>
            <w:r w:rsidRPr="00691F19">
              <w:rPr>
                <w:rFonts w:ascii="Times New Roman" w:eastAsia="Times New Roman" w:hAnsi="Times New Roman" w:cs="Times New Roman"/>
                <w:b/>
                <w:lang w:eastAsia="ru-RU"/>
              </w:rPr>
              <w:t>2016</w:t>
            </w:r>
          </w:p>
        </w:tc>
        <w:tc>
          <w:tcPr>
            <w:tcW w:w="810" w:type="dxa"/>
            <w:shd w:val="clear" w:color="auto" w:fill="1F3864" w:themeFill="accent5" w:themeFillShade="80"/>
            <w:vAlign w:val="center"/>
          </w:tcPr>
          <w:p w:rsidR="00F56F55" w:rsidRPr="00691F19" w:rsidRDefault="00F56F55" w:rsidP="00B0321C">
            <w:pPr>
              <w:ind w:left="-109" w:right="-109"/>
              <w:jc w:val="center"/>
              <w:rPr>
                <w:rFonts w:ascii="Times New Roman" w:eastAsia="Times New Roman" w:hAnsi="Times New Roman" w:cs="Times New Roman"/>
                <w:b/>
                <w:lang w:eastAsia="ru-RU"/>
              </w:rPr>
            </w:pPr>
            <w:r w:rsidRPr="00691F19">
              <w:rPr>
                <w:rFonts w:ascii="Times New Roman" w:eastAsia="Times New Roman" w:hAnsi="Times New Roman" w:cs="Times New Roman"/>
                <w:b/>
                <w:lang w:eastAsia="ru-RU"/>
              </w:rPr>
              <w:t>Devieri (+/-)</w:t>
            </w:r>
          </w:p>
        </w:tc>
        <w:tc>
          <w:tcPr>
            <w:tcW w:w="810" w:type="dxa"/>
            <w:shd w:val="clear" w:color="auto" w:fill="1F3864" w:themeFill="accent5" w:themeFillShade="80"/>
            <w:vAlign w:val="center"/>
          </w:tcPr>
          <w:p w:rsidR="00F56F55" w:rsidRPr="00691F19" w:rsidRDefault="003953F6" w:rsidP="00B0321C">
            <w:pPr>
              <w:ind w:left="-109" w:right="-109"/>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w:t>
            </w:r>
          </w:p>
        </w:tc>
        <w:tc>
          <w:tcPr>
            <w:tcW w:w="720" w:type="dxa"/>
            <w:tcBorders>
              <w:bottom w:val="single" w:sz="4" w:space="0" w:color="auto"/>
            </w:tcBorders>
            <w:shd w:val="clear" w:color="auto" w:fill="1F3864" w:themeFill="accent5" w:themeFillShade="80"/>
            <w:vAlign w:val="center"/>
          </w:tcPr>
          <w:p w:rsidR="00F56F55" w:rsidRPr="00691F19" w:rsidRDefault="00F56F55" w:rsidP="00B0321C">
            <w:pPr>
              <w:ind w:left="-104"/>
              <w:jc w:val="right"/>
              <w:rPr>
                <w:rFonts w:ascii="Times New Roman" w:eastAsia="Times New Roman" w:hAnsi="Times New Roman" w:cs="Times New Roman"/>
                <w:b/>
                <w:lang w:eastAsia="ru-RU"/>
              </w:rPr>
            </w:pPr>
            <w:r w:rsidRPr="00691F19">
              <w:rPr>
                <w:rFonts w:ascii="Times New Roman" w:eastAsia="Times New Roman" w:hAnsi="Times New Roman" w:cs="Times New Roman"/>
                <w:b/>
                <w:lang w:eastAsia="ru-RU"/>
              </w:rPr>
              <w:t>2017*</w:t>
            </w:r>
          </w:p>
        </w:tc>
        <w:tc>
          <w:tcPr>
            <w:tcW w:w="720" w:type="dxa"/>
            <w:tcBorders>
              <w:bottom w:val="single" w:sz="4" w:space="0" w:color="auto"/>
            </w:tcBorders>
            <w:shd w:val="clear" w:color="auto" w:fill="1F3864" w:themeFill="accent5" w:themeFillShade="80"/>
            <w:vAlign w:val="center"/>
          </w:tcPr>
          <w:p w:rsidR="00F56F55" w:rsidRPr="00691F19" w:rsidRDefault="00F56F55" w:rsidP="00B0321C">
            <w:pPr>
              <w:ind w:left="-114" w:right="-113"/>
              <w:jc w:val="center"/>
              <w:rPr>
                <w:rFonts w:ascii="Times New Roman" w:eastAsia="Times New Roman" w:hAnsi="Times New Roman" w:cs="Times New Roman"/>
                <w:b/>
                <w:lang w:eastAsia="ru-RU"/>
              </w:rPr>
            </w:pPr>
            <w:r w:rsidRPr="00691F19">
              <w:rPr>
                <w:rFonts w:ascii="Times New Roman" w:eastAsia="Times New Roman" w:hAnsi="Times New Roman" w:cs="Times New Roman"/>
                <w:b/>
                <w:lang w:eastAsia="ru-RU"/>
              </w:rPr>
              <w:t>2016**</w:t>
            </w:r>
          </w:p>
        </w:tc>
      </w:tr>
      <w:tr w:rsidR="00F56F55" w:rsidRPr="00691F19" w:rsidTr="00365D6E">
        <w:trPr>
          <w:gridAfter w:val="1"/>
          <w:wAfter w:w="8" w:type="dxa"/>
          <w:trHeight w:val="269"/>
        </w:trPr>
        <w:tc>
          <w:tcPr>
            <w:tcW w:w="3681" w:type="dxa"/>
            <w:shd w:val="clear" w:color="auto" w:fill="auto"/>
            <w:vAlign w:val="center"/>
          </w:tcPr>
          <w:p w:rsidR="00F56F55" w:rsidRPr="00691F19" w:rsidRDefault="00F56F55" w:rsidP="00B0321C">
            <w:pPr>
              <w:jc w:val="center"/>
              <w:rPr>
                <w:rFonts w:ascii="Times New Roman" w:eastAsia="Times New Roman" w:hAnsi="Times New Roman" w:cs="Times New Roman"/>
                <w:b/>
                <w:sz w:val="18"/>
                <w:lang w:eastAsia="ru-RU"/>
              </w:rPr>
            </w:pPr>
            <w:r w:rsidRPr="00691F19">
              <w:rPr>
                <w:rFonts w:ascii="Times New Roman" w:eastAsia="Times New Roman" w:hAnsi="Times New Roman" w:cs="Times New Roman"/>
                <w:b/>
                <w:sz w:val="18"/>
                <w:lang w:eastAsia="ru-RU"/>
              </w:rPr>
              <w:t>1</w:t>
            </w:r>
          </w:p>
        </w:tc>
        <w:tc>
          <w:tcPr>
            <w:tcW w:w="990" w:type="dxa"/>
            <w:shd w:val="clear" w:color="auto" w:fill="auto"/>
            <w:vAlign w:val="center"/>
          </w:tcPr>
          <w:p w:rsidR="00F56F55" w:rsidRPr="00691F19" w:rsidRDefault="00F56F55" w:rsidP="00B0321C">
            <w:pPr>
              <w:jc w:val="center"/>
              <w:rPr>
                <w:rFonts w:ascii="Times New Roman" w:eastAsia="Times New Roman" w:hAnsi="Times New Roman" w:cs="Times New Roman"/>
                <w:b/>
                <w:sz w:val="18"/>
                <w:lang w:eastAsia="ru-RU"/>
              </w:rPr>
            </w:pPr>
            <w:r w:rsidRPr="00691F19">
              <w:rPr>
                <w:rFonts w:ascii="Times New Roman" w:eastAsia="Times New Roman" w:hAnsi="Times New Roman" w:cs="Times New Roman"/>
                <w:b/>
                <w:sz w:val="18"/>
                <w:lang w:eastAsia="ru-RU"/>
              </w:rPr>
              <w:t>2</w:t>
            </w:r>
          </w:p>
        </w:tc>
        <w:tc>
          <w:tcPr>
            <w:tcW w:w="990" w:type="dxa"/>
            <w:shd w:val="clear" w:color="auto" w:fill="auto"/>
            <w:vAlign w:val="center"/>
          </w:tcPr>
          <w:p w:rsidR="00F56F55" w:rsidRPr="00691F19" w:rsidRDefault="00F56F55" w:rsidP="00B0321C">
            <w:pPr>
              <w:jc w:val="center"/>
              <w:rPr>
                <w:rFonts w:ascii="Times New Roman" w:eastAsia="Times New Roman" w:hAnsi="Times New Roman" w:cs="Times New Roman"/>
                <w:b/>
                <w:sz w:val="18"/>
                <w:lang w:eastAsia="ru-RU"/>
              </w:rPr>
            </w:pPr>
            <w:r w:rsidRPr="00691F19">
              <w:rPr>
                <w:rFonts w:ascii="Times New Roman" w:eastAsia="Times New Roman" w:hAnsi="Times New Roman" w:cs="Times New Roman"/>
                <w:b/>
                <w:sz w:val="18"/>
                <w:lang w:eastAsia="ru-RU"/>
              </w:rPr>
              <w:t>3</w:t>
            </w:r>
          </w:p>
        </w:tc>
        <w:tc>
          <w:tcPr>
            <w:tcW w:w="900" w:type="dxa"/>
            <w:shd w:val="clear" w:color="auto" w:fill="auto"/>
            <w:vAlign w:val="center"/>
          </w:tcPr>
          <w:p w:rsidR="00F56F55" w:rsidRPr="00691F19" w:rsidRDefault="00F56F55" w:rsidP="00B0321C">
            <w:pPr>
              <w:jc w:val="center"/>
              <w:rPr>
                <w:rFonts w:ascii="Times New Roman" w:eastAsia="Times New Roman" w:hAnsi="Times New Roman" w:cs="Times New Roman"/>
                <w:b/>
                <w:sz w:val="18"/>
                <w:lang w:eastAsia="ru-RU"/>
              </w:rPr>
            </w:pPr>
            <w:r w:rsidRPr="00691F19">
              <w:rPr>
                <w:rFonts w:ascii="Times New Roman" w:eastAsia="Times New Roman" w:hAnsi="Times New Roman" w:cs="Times New Roman"/>
                <w:b/>
                <w:sz w:val="18"/>
                <w:lang w:eastAsia="ru-RU"/>
              </w:rPr>
              <w:t>4</w:t>
            </w:r>
          </w:p>
        </w:tc>
        <w:tc>
          <w:tcPr>
            <w:tcW w:w="810" w:type="dxa"/>
            <w:tcBorders>
              <w:bottom w:val="single" w:sz="4" w:space="0" w:color="auto"/>
            </w:tcBorders>
            <w:shd w:val="clear" w:color="auto" w:fill="auto"/>
            <w:vAlign w:val="center"/>
          </w:tcPr>
          <w:p w:rsidR="00F56F55" w:rsidRPr="00691F19" w:rsidRDefault="00F56F55" w:rsidP="00B0321C">
            <w:pPr>
              <w:ind w:left="-109" w:right="-109"/>
              <w:jc w:val="center"/>
              <w:rPr>
                <w:rFonts w:ascii="Times New Roman" w:eastAsia="Times New Roman" w:hAnsi="Times New Roman" w:cs="Times New Roman"/>
                <w:b/>
                <w:sz w:val="18"/>
                <w:lang w:eastAsia="ru-RU"/>
              </w:rPr>
            </w:pPr>
            <w:r w:rsidRPr="00691F19">
              <w:rPr>
                <w:rFonts w:ascii="Times New Roman" w:eastAsia="Times New Roman" w:hAnsi="Times New Roman" w:cs="Times New Roman"/>
                <w:b/>
                <w:sz w:val="18"/>
                <w:lang w:eastAsia="ru-RU"/>
              </w:rPr>
              <w:t>5=3-4</w:t>
            </w:r>
          </w:p>
        </w:tc>
        <w:tc>
          <w:tcPr>
            <w:tcW w:w="810" w:type="dxa"/>
            <w:shd w:val="clear" w:color="auto" w:fill="auto"/>
            <w:vAlign w:val="center"/>
          </w:tcPr>
          <w:p w:rsidR="00F56F55" w:rsidRPr="00691F19" w:rsidRDefault="00F56F55" w:rsidP="00B0321C">
            <w:pPr>
              <w:ind w:left="-109" w:right="-109"/>
              <w:jc w:val="center"/>
              <w:rPr>
                <w:rFonts w:ascii="Times New Roman" w:eastAsia="Times New Roman" w:hAnsi="Times New Roman" w:cs="Times New Roman"/>
                <w:b/>
                <w:sz w:val="18"/>
                <w:lang w:eastAsia="ru-RU"/>
              </w:rPr>
            </w:pPr>
            <w:r w:rsidRPr="00691F19">
              <w:rPr>
                <w:rFonts w:ascii="Times New Roman" w:eastAsia="Times New Roman" w:hAnsi="Times New Roman" w:cs="Times New Roman"/>
                <w:b/>
                <w:sz w:val="18"/>
                <w:lang w:eastAsia="ru-RU"/>
              </w:rPr>
              <w:t>6=3/4*100</w:t>
            </w:r>
          </w:p>
        </w:tc>
        <w:tc>
          <w:tcPr>
            <w:tcW w:w="720" w:type="dxa"/>
            <w:tcBorders>
              <w:bottom w:val="single" w:sz="4" w:space="0" w:color="auto"/>
            </w:tcBorders>
            <w:shd w:val="clear" w:color="auto" w:fill="auto"/>
            <w:vAlign w:val="center"/>
          </w:tcPr>
          <w:p w:rsidR="00F56F55" w:rsidRPr="00691F19" w:rsidRDefault="00F56F55" w:rsidP="00B0321C">
            <w:pPr>
              <w:ind w:left="-105" w:right="-106"/>
              <w:jc w:val="center"/>
              <w:rPr>
                <w:rFonts w:ascii="Times New Roman" w:eastAsia="Times New Roman" w:hAnsi="Times New Roman" w:cs="Times New Roman"/>
                <w:b/>
                <w:sz w:val="18"/>
                <w:lang w:eastAsia="ru-RU"/>
              </w:rPr>
            </w:pPr>
            <w:r w:rsidRPr="00691F19">
              <w:rPr>
                <w:rFonts w:ascii="Times New Roman" w:eastAsia="Times New Roman" w:hAnsi="Times New Roman" w:cs="Times New Roman"/>
                <w:b/>
                <w:sz w:val="18"/>
                <w:lang w:eastAsia="ru-RU"/>
              </w:rPr>
              <w:t>7=3/PIB*100</w:t>
            </w:r>
          </w:p>
        </w:tc>
        <w:tc>
          <w:tcPr>
            <w:tcW w:w="720" w:type="dxa"/>
            <w:tcBorders>
              <w:bottom w:val="single" w:sz="4" w:space="0" w:color="auto"/>
            </w:tcBorders>
            <w:shd w:val="clear" w:color="auto" w:fill="auto"/>
            <w:vAlign w:val="center"/>
          </w:tcPr>
          <w:p w:rsidR="00F56F55" w:rsidRPr="00691F19" w:rsidRDefault="00F56F55" w:rsidP="00B0321C">
            <w:pPr>
              <w:ind w:left="-105" w:right="-105"/>
              <w:jc w:val="center"/>
              <w:rPr>
                <w:rFonts w:ascii="Times New Roman" w:eastAsia="Times New Roman" w:hAnsi="Times New Roman" w:cs="Times New Roman"/>
                <w:b/>
                <w:sz w:val="18"/>
                <w:lang w:eastAsia="ru-RU"/>
              </w:rPr>
            </w:pPr>
            <w:r w:rsidRPr="00691F19">
              <w:rPr>
                <w:rFonts w:ascii="Times New Roman" w:eastAsia="Times New Roman" w:hAnsi="Times New Roman" w:cs="Times New Roman"/>
                <w:b/>
                <w:sz w:val="18"/>
                <w:lang w:eastAsia="ru-RU"/>
              </w:rPr>
              <w:t>8=4/PIB*100</w:t>
            </w:r>
          </w:p>
        </w:tc>
      </w:tr>
      <w:tr w:rsidR="00F56F55" w:rsidRPr="00691F19" w:rsidTr="00365D6E">
        <w:trPr>
          <w:gridAfter w:val="1"/>
          <w:wAfter w:w="8" w:type="dxa"/>
        </w:trPr>
        <w:tc>
          <w:tcPr>
            <w:tcW w:w="3681" w:type="dxa"/>
          </w:tcPr>
          <w:p w:rsidR="00F56F55" w:rsidRPr="00691F19" w:rsidRDefault="00F56F55" w:rsidP="00B0321C">
            <w:pPr>
              <w:ind w:right="-105"/>
              <w:rPr>
                <w:rFonts w:ascii="Times New Roman" w:eastAsia="Times New Roman" w:hAnsi="Times New Roman" w:cs="Times New Roman"/>
                <w:b/>
                <w:lang w:eastAsia="ru-RU"/>
              </w:rPr>
            </w:pPr>
            <w:r w:rsidRPr="00691F19">
              <w:rPr>
                <w:rFonts w:ascii="Times New Roman" w:eastAsia="Times New Roman" w:hAnsi="Times New Roman" w:cs="Times New Roman"/>
                <w:b/>
                <w:lang w:eastAsia="ru-RU"/>
              </w:rPr>
              <w:t>VENITURI TOTAL</w:t>
            </w:r>
            <w:r w:rsidR="005E1A9F">
              <w:rPr>
                <w:rFonts w:ascii="Times New Roman" w:eastAsia="Times New Roman" w:hAnsi="Times New Roman" w:cs="Times New Roman"/>
                <w:b/>
                <w:lang w:eastAsia="ru-RU"/>
              </w:rPr>
              <w:t>,</w:t>
            </w:r>
            <w:r w:rsidRPr="00691F19">
              <w:rPr>
                <w:rFonts w:ascii="Times New Roman" w:eastAsia="Times New Roman" w:hAnsi="Times New Roman" w:cs="Times New Roman"/>
                <w:b/>
                <w:lang w:eastAsia="ru-RU"/>
              </w:rPr>
              <w:t xml:space="preserve"> din care:</w:t>
            </w:r>
          </w:p>
        </w:tc>
        <w:tc>
          <w:tcPr>
            <w:tcW w:w="990" w:type="dxa"/>
            <w:vAlign w:val="center"/>
          </w:tcPr>
          <w:p w:rsidR="00F56F55" w:rsidRPr="00691F19" w:rsidRDefault="00F56F55" w:rsidP="00D13A23">
            <w:pPr>
              <w:jc w:val="center"/>
              <w:rPr>
                <w:rFonts w:ascii="Times New Roman" w:eastAsia="Times New Roman" w:hAnsi="Times New Roman" w:cs="Times New Roman"/>
                <w:b/>
                <w:color w:val="000000"/>
                <w:lang w:val="en-US"/>
              </w:rPr>
            </w:pPr>
            <w:r w:rsidRPr="00691F19">
              <w:rPr>
                <w:rFonts w:ascii="Times New Roman" w:eastAsia="Times New Roman" w:hAnsi="Times New Roman" w:cs="Times New Roman"/>
                <w:b/>
                <w:color w:val="000000"/>
                <w:lang w:val="en-US"/>
              </w:rPr>
              <w:t>33778,3</w:t>
            </w:r>
          </w:p>
        </w:tc>
        <w:tc>
          <w:tcPr>
            <w:tcW w:w="990" w:type="dxa"/>
          </w:tcPr>
          <w:p w:rsidR="00F56F55" w:rsidRPr="00691F19" w:rsidRDefault="00F56F55" w:rsidP="00D13A23">
            <w:pPr>
              <w:jc w:val="center"/>
              <w:rPr>
                <w:rFonts w:ascii="Times New Roman" w:eastAsia="Times New Roman" w:hAnsi="Times New Roman" w:cs="Times New Roman"/>
                <w:b/>
                <w:lang w:eastAsia="ru-RU"/>
              </w:rPr>
            </w:pPr>
            <w:r w:rsidRPr="00691F19">
              <w:rPr>
                <w:rFonts w:ascii="Times New Roman" w:eastAsia="Times New Roman" w:hAnsi="Times New Roman" w:cs="Times New Roman"/>
                <w:b/>
                <w:lang w:eastAsia="ru-RU"/>
              </w:rPr>
              <w:t>33947,</w:t>
            </w:r>
            <w:r w:rsidR="00D82614">
              <w:rPr>
                <w:rFonts w:ascii="Times New Roman" w:eastAsia="Times New Roman" w:hAnsi="Times New Roman" w:cs="Times New Roman"/>
                <w:b/>
                <w:lang w:eastAsia="ru-RU"/>
              </w:rPr>
              <w:t>4</w:t>
            </w:r>
          </w:p>
        </w:tc>
        <w:tc>
          <w:tcPr>
            <w:tcW w:w="900" w:type="dxa"/>
            <w:tcBorders>
              <w:right w:val="single" w:sz="4" w:space="0" w:color="auto"/>
            </w:tcBorders>
          </w:tcPr>
          <w:p w:rsidR="00F56F55" w:rsidRPr="00691F19" w:rsidRDefault="00F56F55" w:rsidP="00D13A23">
            <w:pPr>
              <w:ind w:left="-105" w:right="-26"/>
              <w:jc w:val="center"/>
              <w:rPr>
                <w:rFonts w:ascii="Times New Roman" w:eastAsia="Times New Roman" w:hAnsi="Times New Roman" w:cs="Times New Roman"/>
                <w:b/>
                <w:lang w:eastAsia="ru-RU"/>
              </w:rPr>
            </w:pPr>
            <w:r w:rsidRPr="00691F19">
              <w:rPr>
                <w:rFonts w:ascii="Times New Roman" w:eastAsia="Times New Roman" w:hAnsi="Times New Roman" w:cs="Times New Roman"/>
                <w:b/>
                <w:lang w:eastAsia="ru-RU"/>
              </w:rPr>
              <w:t>28879,6</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F56F55" w:rsidRPr="00691F19" w:rsidRDefault="00F56F55" w:rsidP="00D13A23">
            <w:pPr>
              <w:ind w:left="-105"/>
              <w:jc w:val="center"/>
              <w:rPr>
                <w:rFonts w:ascii="Times New Roman" w:eastAsia="Times New Roman" w:hAnsi="Times New Roman" w:cs="Times New Roman"/>
                <w:b/>
                <w:bCs/>
                <w:color w:val="000000"/>
                <w:lang w:val="en-US"/>
              </w:rPr>
            </w:pPr>
            <w:r w:rsidRPr="00691F19">
              <w:rPr>
                <w:rFonts w:ascii="Times New Roman" w:eastAsia="Times New Roman" w:hAnsi="Times New Roman" w:cs="Times New Roman"/>
                <w:b/>
                <w:bCs/>
                <w:color w:val="000000"/>
                <w:lang w:eastAsia="ru-RU"/>
              </w:rPr>
              <w:t>5067,9</w:t>
            </w:r>
          </w:p>
        </w:tc>
        <w:tc>
          <w:tcPr>
            <w:tcW w:w="810" w:type="dxa"/>
            <w:tcBorders>
              <w:left w:val="single" w:sz="4" w:space="0" w:color="auto"/>
            </w:tcBorders>
            <w:vAlign w:val="center"/>
          </w:tcPr>
          <w:p w:rsidR="00F56F55" w:rsidRPr="00691F19" w:rsidRDefault="00F56F55" w:rsidP="00D13A23">
            <w:pPr>
              <w:ind w:right="-21"/>
              <w:jc w:val="center"/>
              <w:rPr>
                <w:rFonts w:ascii="Times New Roman" w:eastAsia="Times New Roman" w:hAnsi="Times New Roman" w:cs="Times New Roman"/>
                <w:b/>
                <w:bCs/>
                <w:color w:val="000000"/>
                <w:lang w:val="en-US"/>
              </w:rPr>
            </w:pPr>
            <w:r w:rsidRPr="00691F19">
              <w:rPr>
                <w:rFonts w:ascii="Times New Roman" w:eastAsia="Times New Roman" w:hAnsi="Times New Roman" w:cs="Times New Roman"/>
                <w:b/>
                <w:bCs/>
                <w:color w:val="000000"/>
                <w:lang w:eastAsia="ru-RU"/>
              </w:rPr>
              <w:t>117,5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F56F55" w:rsidRPr="00691F19" w:rsidRDefault="00F56F55" w:rsidP="00D13A23">
            <w:pPr>
              <w:jc w:val="center"/>
              <w:rPr>
                <w:rFonts w:ascii="Times New Roman" w:eastAsia="Times New Roman" w:hAnsi="Times New Roman" w:cs="Times New Roman"/>
                <w:b/>
                <w:color w:val="000000"/>
                <w:lang w:val="en-US"/>
              </w:rPr>
            </w:pPr>
            <w:r w:rsidRPr="00691F19">
              <w:rPr>
                <w:rFonts w:ascii="Times New Roman" w:eastAsia="Times New Roman" w:hAnsi="Times New Roman" w:cs="Times New Roman"/>
                <w:b/>
                <w:color w:val="000000"/>
                <w:lang w:eastAsia="ru-RU"/>
              </w:rPr>
              <w:t>22,6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F56F55" w:rsidRPr="00691F19" w:rsidRDefault="00F56F55" w:rsidP="00D13A23">
            <w:pPr>
              <w:jc w:val="center"/>
              <w:rPr>
                <w:rFonts w:ascii="Times New Roman" w:eastAsia="Times New Roman" w:hAnsi="Times New Roman" w:cs="Times New Roman"/>
                <w:b/>
                <w:color w:val="000000"/>
                <w:lang w:val="en-US"/>
              </w:rPr>
            </w:pPr>
            <w:r w:rsidRPr="00691F19">
              <w:rPr>
                <w:rFonts w:ascii="Times New Roman" w:eastAsia="Times New Roman" w:hAnsi="Times New Roman" w:cs="Times New Roman"/>
                <w:b/>
                <w:color w:val="000000"/>
                <w:lang w:eastAsia="ru-RU"/>
              </w:rPr>
              <w:t>21,3</w:t>
            </w:r>
          </w:p>
        </w:tc>
      </w:tr>
      <w:tr w:rsidR="00F56F55" w:rsidRPr="00691F19" w:rsidTr="00365D6E">
        <w:trPr>
          <w:gridAfter w:val="1"/>
          <w:wAfter w:w="8" w:type="dxa"/>
        </w:trPr>
        <w:tc>
          <w:tcPr>
            <w:tcW w:w="3681" w:type="dxa"/>
          </w:tcPr>
          <w:p w:rsidR="00F56F55" w:rsidRPr="00691F19" w:rsidRDefault="00F56F55" w:rsidP="00B0321C">
            <w:pPr>
              <w:rPr>
                <w:rFonts w:ascii="Times New Roman" w:eastAsia="Times New Roman" w:hAnsi="Times New Roman" w:cs="Times New Roman"/>
                <w:b/>
                <w:lang w:eastAsia="ru-RU"/>
              </w:rPr>
            </w:pPr>
            <w:r w:rsidRPr="00691F19">
              <w:rPr>
                <w:rFonts w:ascii="Times New Roman" w:eastAsia="Times New Roman" w:hAnsi="Times New Roman" w:cs="Times New Roman"/>
                <w:b/>
                <w:lang w:eastAsia="ru-RU"/>
              </w:rPr>
              <w:t>Impozite și taxe</w:t>
            </w:r>
          </w:p>
        </w:tc>
        <w:tc>
          <w:tcPr>
            <w:tcW w:w="990" w:type="dxa"/>
            <w:vAlign w:val="center"/>
          </w:tcPr>
          <w:p w:rsidR="00F56F55" w:rsidRPr="00691F19" w:rsidRDefault="00F56F55" w:rsidP="00D13A23">
            <w:pPr>
              <w:jc w:val="center"/>
              <w:rPr>
                <w:rFonts w:ascii="Times New Roman" w:eastAsia="Times New Roman" w:hAnsi="Times New Roman" w:cs="Times New Roman"/>
                <w:b/>
                <w:color w:val="000000"/>
                <w:lang w:eastAsia="ru-RU"/>
              </w:rPr>
            </w:pPr>
            <w:r w:rsidRPr="00691F19">
              <w:rPr>
                <w:rFonts w:ascii="Times New Roman" w:eastAsia="Times New Roman" w:hAnsi="Times New Roman" w:cs="Times New Roman"/>
                <w:b/>
                <w:color w:val="000000"/>
                <w:lang w:eastAsia="ru-RU"/>
              </w:rPr>
              <w:t>30803,9</w:t>
            </w:r>
          </w:p>
        </w:tc>
        <w:tc>
          <w:tcPr>
            <w:tcW w:w="990" w:type="dxa"/>
          </w:tcPr>
          <w:p w:rsidR="00F56F55" w:rsidRPr="00691F19" w:rsidRDefault="00F56F55" w:rsidP="00D13A23">
            <w:pPr>
              <w:jc w:val="center"/>
              <w:rPr>
                <w:rFonts w:ascii="Times New Roman" w:eastAsia="Times New Roman" w:hAnsi="Times New Roman" w:cs="Times New Roman"/>
                <w:b/>
                <w:lang w:eastAsia="ru-RU"/>
              </w:rPr>
            </w:pPr>
            <w:r w:rsidRPr="00691F19">
              <w:rPr>
                <w:rFonts w:ascii="Times New Roman" w:eastAsia="Times New Roman" w:hAnsi="Times New Roman" w:cs="Times New Roman"/>
                <w:b/>
                <w:lang w:eastAsia="ru-RU"/>
              </w:rPr>
              <w:t>31201,6</w:t>
            </w:r>
          </w:p>
        </w:tc>
        <w:tc>
          <w:tcPr>
            <w:tcW w:w="900" w:type="dxa"/>
            <w:tcBorders>
              <w:right w:val="single" w:sz="4" w:space="0" w:color="auto"/>
            </w:tcBorders>
          </w:tcPr>
          <w:p w:rsidR="00F56F55" w:rsidRPr="00691F19" w:rsidRDefault="00F56F55" w:rsidP="00D13A23">
            <w:pPr>
              <w:ind w:left="-105" w:right="-26"/>
              <w:jc w:val="center"/>
              <w:rPr>
                <w:rFonts w:ascii="Times New Roman" w:eastAsia="Times New Roman" w:hAnsi="Times New Roman" w:cs="Times New Roman"/>
                <w:b/>
                <w:lang w:eastAsia="ru-RU"/>
              </w:rPr>
            </w:pPr>
            <w:r w:rsidRPr="00691F19">
              <w:rPr>
                <w:rFonts w:ascii="Times New Roman" w:eastAsia="Times New Roman" w:hAnsi="Times New Roman" w:cs="Times New Roman"/>
                <w:b/>
                <w:lang w:eastAsia="ru-RU"/>
              </w:rPr>
              <w:t>26125,5</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F56F55" w:rsidRPr="00691F19" w:rsidRDefault="00F56F55" w:rsidP="00D13A23">
            <w:pPr>
              <w:ind w:left="-105"/>
              <w:jc w:val="center"/>
              <w:rPr>
                <w:rFonts w:ascii="Times New Roman" w:eastAsia="Times New Roman" w:hAnsi="Times New Roman" w:cs="Times New Roman"/>
                <w:b/>
                <w:bCs/>
                <w:color w:val="000000"/>
                <w:lang w:eastAsia="ru-RU"/>
              </w:rPr>
            </w:pPr>
            <w:r w:rsidRPr="00691F19">
              <w:rPr>
                <w:rFonts w:ascii="Times New Roman" w:eastAsia="Times New Roman" w:hAnsi="Times New Roman" w:cs="Times New Roman"/>
                <w:b/>
                <w:bCs/>
                <w:color w:val="000000"/>
                <w:lang w:eastAsia="ru-RU"/>
              </w:rPr>
              <w:t>5076,1</w:t>
            </w:r>
          </w:p>
        </w:tc>
        <w:tc>
          <w:tcPr>
            <w:tcW w:w="810" w:type="dxa"/>
            <w:tcBorders>
              <w:left w:val="single" w:sz="4" w:space="0" w:color="auto"/>
            </w:tcBorders>
            <w:vAlign w:val="center"/>
          </w:tcPr>
          <w:p w:rsidR="00F56F55" w:rsidRPr="00691F19" w:rsidRDefault="00F56F55" w:rsidP="00D13A23">
            <w:pPr>
              <w:jc w:val="center"/>
              <w:rPr>
                <w:rFonts w:ascii="Times New Roman" w:eastAsia="Times New Roman" w:hAnsi="Times New Roman" w:cs="Times New Roman"/>
                <w:b/>
                <w:bCs/>
                <w:color w:val="000000"/>
                <w:lang w:eastAsia="ru-RU"/>
              </w:rPr>
            </w:pPr>
            <w:r w:rsidRPr="00691F19">
              <w:rPr>
                <w:rFonts w:ascii="Times New Roman" w:eastAsia="Times New Roman" w:hAnsi="Times New Roman" w:cs="Times New Roman"/>
                <w:b/>
                <w:bCs/>
                <w:color w:val="000000"/>
                <w:lang w:eastAsia="ru-RU"/>
              </w:rPr>
              <w:t>119,4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F56F55" w:rsidRPr="00691F19" w:rsidRDefault="00F56F55" w:rsidP="00D13A23">
            <w:pPr>
              <w:jc w:val="center"/>
              <w:rPr>
                <w:rFonts w:ascii="Times New Roman" w:eastAsia="Times New Roman" w:hAnsi="Times New Roman" w:cs="Times New Roman"/>
                <w:b/>
                <w:color w:val="000000"/>
                <w:lang w:eastAsia="ru-RU"/>
              </w:rPr>
            </w:pPr>
            <w:r w:rsidRPr="00691F19">
              <w:rPr>
                <w:rFonts w:ascii="Times New Roman" w:eastAsia="Times New Roman" w:hAnsi="Times New Roman" w:cs="Times New Roman"/>
                <w:b/>
                <w:color w:val="000000"/>
                <w:lang w:eastAsia="ru-RU"/>
              </w:rPr>
              <w:t>20,8</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F56F55" w:rsidRPr="00691F19" w:rsidRDefault="00F56F55" w:rsidP="00D13A23">
            <w:pPr>
              <w:jc w:val="center"/>
              <w:rPr>
                <w:rFonts w:ascii="Times New Roman" w:eastAsia="Times New Roman" w:hAnsi="Times New Roman" w:cs="Times New Roman"/>
                <w:b/>
                <w:color w:val="000000"/>
                <w:lang w:eastAsia="ru-RU"/>
              </w:rPr>
            </w:pPr>
            <w:r w:rsidRPr="00691F19">
              <w:rPr>
                <w:rFonts w:ascii="Times New Roman" w:eastAsia="Times New Roman" w:hAnsi="Times New Roman" w:cs="Times New Roman"/>
                <w:b/>
                <w:color w:val="000000"/>
                <w:lang w:eastAsia="ru-RU"/>
              </w:rPr>
              <w:t>19,3</w:t>
            </w:r>
          </w:p>
        </w:tc>
      </w:tr>
      <w:tr w:rsidR="00F56F55" w:rsidRPr="00691F19" w:rsidTr="00365D6E">
        <w:trPr>
          <w:gridAfter w:val="1"/>
          <w:wAfter w:w="8" w:type="dxa"/>
        </w:trPr>
        <w:tc>
          <w:tcPr>
            <w:tcW w:w="3681" w:type="dxa"/>
          </w:tcPr>
          <w:p w:rsidR="00F56F55" w:rsidRPr="00691F19" w:rsidRDefault="00F56F55" w:rsidP="00B0321C">
            <w:pPr>
              <w:rPr>
                <w:rFonts w:ascii="Times New Roman" w:eastAsia="Times New Roman" w:hAnsi="Times New Roman" w:cs="Times New Roman"/>
                <w:b/>
                <w:lang w:eastAsia="ru-RU"/>
              </w:rPr>
            </w:pPr>
            <w:r w:rsidRPr="00691F19">
              <w:rPr>
                <w:rFonts w:ascii="Times New Roman" w:eastAsia="Times New Roman" w:hAnsi="Times New Roman" w:cs="Times New Roman"/>
                <w:b/>
                <w:lang w:eastAsia="ru-RU"/>
              </w:rPr>
              <w:t>Impozite pe venit</w:t>
            </w:r>
          </w:p>
        </w:tc>
        <w:tc>
          <w:tcPr>
            <w:tcW w:w="990" w:type="dxa"/>
            <w:vAlign w:val="center"/>
          </w:tcPr>
          <w:p w:rsidR="00F56F55" w:rsidRPr="00691F19" w:rsidRDefault="00F56F55" w:rsidP="00D13A23">
            <w:pPr>
              <w:jc w:val="center"/>
              <w:rPr>
                <w:rFonts w:ascii="Times New Roman" w:eastAsia="Times New Roman" w:hAnsi="Times New Roman" w:cs="Times New Roman"/>
                <w:b/>
                <w:color w:val="000000"/>
                <w:lang w:eastAsia="ru-RU"/>
              </w:rPr>
            </w:pPr>
            <w:r w:rsidRPr="00691F19">
              <w:rPr>
                <w:rFonts w:ascii="Times New Roman" w:eastAsia="Times New Roman" w:hAnsi="Times New Roman" w:cs="Times New Roman"/>
                <w:b/>
                <w:color w:val="000000"/>
                <w:lang w:eastAsia="ru-RU"/>
              </w:rPr>
              <w:t>5622,1</w:t>
            </w:r>
          </w:p>
        </w:tc>
        <w:tc>
          <w:tcPr>
            <w:tcW w:w="990" w:type="dxa"/>
          </w:tcPr>
          <w:p w:rsidR="00F56F55" w:rsidRPr="00691F19" w:rsidRDefault="00F56F55" w:rsidP="00D13A23">
            <w:pPr>
              <w:jc w:val="center"/>
              <w:rPr>
                <w:rFonts w:ascii="Times New Roman" w:eastAsia="Times New Roman" w:hAnsi="Times New Roman" w:cs="Times New Roman"/>
                <w:b/>
                <w:lang w:eastAsia="ru-RU"/>
              </w:rPr>
            </w:pPr>
            <w:r w:rsidRPr="00691F19">
              <w:rPr>
                <w:rFonts w:ascii="Times New Roman" w:eastAsia="Times New Roman" w:hAnsi="Times New Roman" w:cs="Times New Roman"/>
                <w:b/>
                <w:lang w:eastAsia="ru-RU"/>
              </w:rPr>
              <w:t>5541,4</w:t>
            </w:r>
          </w:p>
        </w:tc>
        <w:tc>
          <w:tcPr>
            <w:tcW w:w="900" w:type="dxa"/>
            <w:tcBorders>
              <w:right w:val="single" w:sz="4" w:space="0" w:color="auto"/>
            </w:tcBorders>
          </w:tcPr>
          <w:p w:rsidR="00F56F55" w:rsidRPr="00691F19" w:rsidRDefault="00F56F55" w:rsidP="00D13A23">
            <w:pPr>
              <w:ind w:left="-105" w:right="-26"/>
              <w:jc w:val="center"/>
              <w:rPr>
                <w:rFonts w:ascii="Times New Roman" w:eastAsia="Times New Roman" w:hAnsi="Times New Roman" w:cs="Times New Roman"/>
                <w:b/>
                <w:lang w:eastAsia="ru-RU"/>
              </w:rPr>
            </w:pPr>
            <w:r w:rsidRPr="00691F19">
              <w:rPr>
                <w:rFonts w:ascii="Times New Roman" w:eastAsia="Times New Roman" w:hAnsi="Times New Roman" w:cs="Times New Roman"/>
                <w:b/>
                <w:lang w:eastAsia="ru-RU"/>
              </w:rPr>
              <w:t>4663,4</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F56F55" w:rsidRPr="00691F19" w:rsidRDefault="00F56F55" w:rsidP="00D13A23">
            <w:pPr>
              <w:ind w:left="-105"/>
              <w:jc w:val="center"/>
              <w:rPr>
                <w:rFonts w:ascii="Times New Roman" w:eastAsia="Times New Roman" w:hAnsi="Times New Roman" w:cs="Times New Roman"/>
                <w:b/>
                <w:bCs/>
                <w:color w:val="000000"/>
                <w:lang w:eastAsia="ru-RU"/>
              </w:rPr>
            </w:pPr>
            <w:r w:rsidRPr="00691F19">
              <w:rPr>
                <w:rFonts w:ascii="Times New Roman" w:eastAsia="Times New Roman" w:hAnsi="Times New Roman" w:cs="Times New Roman"/>
                <w:b/>
                <w:bCs/>
                <w:color w:val="000000"/>
                <w:lang w:eastAsia="ru-RU"/>
              </w:rPr>
              <w:t>878</w:t>
            </w:r>
            <w:r>
              <w:rPr>
                <w:rFonts w:ascii="Times New Roman" w:eastAsia="Times New Roman" w:hAnsi="Times New Roman" w:cs="Times New Roman"/>
                <w:b/>
                <w:bCs/>
                <w:color w:val="000000"/>
                <w:lang w:eastAsia="ru-RU"/>
              </w:rPr>
              <w:t>,0</w:t>
            </w:r>
          </w:p>
        </w:tc>
        <w:tc>
          <w:tcPr>
            <w:tcW w:w="810" w:type="dxa"/>
            <w:tcBorders>
              <w:left w:val="single" w:sz="4" w:space="0" w:color="auto"/>
            </w:tcBorders>
            <w:vAlign w:val="center"/>
          </w:tcPr>
          <w:p w:rsidR="00F56F55" w:rsidRPr="00691F19" w:rsidRDefault="00F56F55" w:rsidP="00D13A23">
            <w:pPr>
              <w:jc w:val="center"/>
              <w:rPr>
                <w:rFonts w:ascii="Times New Roman" w:eastAsia="Times New Roman" w:hAnsi="Times New Roman" w:cs="Times New Roman"/>
                <w:b/>
                <w:bCs/>
                <w:color w:val="000000"/>
                <w:lang w:eastAsia="ru-RU"/>
              </w:rPr>
            </w:pPr>
            <w:r w:rsidRPr="00691F19">
              <w:rPr>
                <w:rFonts w:ascii="Times New Roman" w:eastAsia="Times New Roman" w:hAnsi="Times New Roman" w:cs="Times New Roman"/>
                <w:b/>
                <w:bCs/>
                <w:color w:val="000000"/>
                <w:lang w:eastAsia="ru-RU"/>
              </w:rPr>
              <w:t>118,8</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F56F55" w:rsidRPr="00691F19" w:rsidRDefault="00F56F55" w:rsidP="00D13A23">
            <w:pPr>
              <w:jc w:val="center"/>
              <w:rPr>
                <w:rFonts w:ascii="Times New Roman" w:eastAsia="Times New Roman" w:hAnsi="Times New Roman" w:cs="Times New Roman"/>
                <w:b/>
                <w:color w:val="000000"/>
                <w:lang w:eastAsia="ru-RU"/>
              </w:rPr>
            </w:pPr>
            <w:r w:rsidRPr="00691F19">
              <w:rPr>
                <w:rFonts w:ascii="Times New Roman" w:eastAsia="Times New Roman" w:hAnsi="Times New Roman" w:cs="Times New Roman"/>
                <w:b/>
                <w:color w:val="000000"/>
                <w:lang w:eastAsia="ru-RU"/>
              </w:rPr>
              <w:t>3,7</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F56F55" w:rsidRPr="00691F19" w:rsidRDefault="00F56F55" w:rsidP="00D13A23">
            <w:pPr>
              <w:jc w:val="center"/>
              <w:rPr>
                <w:rFonts w:ascii="Times New Roman" w:eastAsia="Times New Roman" w:hAnsi="Times New Roman" w:cs="Times New Roman"/>
                <w:b/>
                <w:color w:val="000000"/>
                <w:lang w:eastAsia="ru-RU"/>
              </w:rPr>
            </w:pPr>
            <w:r w:rsidRPr="00691F19">
              <w:rPr>
                <w:rFonts w:ascii="Times New Roman" w:eastAsia="Times New Roman" w:hAnsi="Times New Roman" w:cs="Times New Roman"/>
                <w:b/>
                <w:color w:val="000000"/>
                <w:lang w:eastAsia="ru-RU"/>
              </w:rPr>
              <w:t>3,4</w:t>
            </w:r>
          </w:p>
        </w:tc>
      </w:tr>
      <w:tr w:rsidR="00F56F55" w:rsidRPr="00691F19" w:rsidTr="00365D6E">
        <w:trPr>
          <w:gridAfter w:val="1"/>
          <w:wAfter w:w="8" w:type="dxa"/>
        </w:trPr>
        <w:tc>
          <w:tcPr>
            <w:tcW w:w="3681" w:type="dxa"/>
          </w:tcPr>
          <w:p w:rsidR="00F56F55" w:rsidRPr="00691F19" w:rsidRDefault="00F56F55" w:rsidP="00B0321C">
            <w:pPr>
              <w:rPr>
                <w:rFonts w:ascii="Times New Roman" w:eastAsia="Times New Roman" w:hAnsi="Times New Roman" w:cs="Times New Roman"/>
                <w:lang w:eastAsia="ru-RU"/>
              </w:rPr>
            </w:pPr>
            <w:r w:rsidRPr="00691F19">
              <w:rPr>
                <w:rFonts w:ascii="Times New Roman" w:eastAsia="Times New Roman" w:hAnsi="Times New Roman" w:cs="Times New Roman"/>
                <w:lang w:eastAsia="ru-RU"/>
              </w:rPr>
              <w:t>Impozit pe venitul persoanelor fizice</w:t>
            </w:r>
          </w:p>
        </w:tc>
        <w:tc>
          <w:tcPr>
            <w:tcW w:w="990" w:type="dxa"/>
            <w:vAlign w:val="center"/>
          </w:tcPr>
          <w:p w:rsidR="00F56F55" w:rsidRPr="00691F19" w:rsidRDefault="00F56F55" w:rsidP="00D13A23">
            <w:pPr>
              <w:jc w:val="center"/>
              <w:rPr>
                <w:rFonts w:ascii="Times New Roman" w:eastAsia="Times New Roman" w:hAnsi="Times New Roman" w:cs="Times New Roman"/>
                <w:color w:val="000000"/>
                <w:lang w:eastAsia="ru-RU"/>
              </w:rPr>
            </w:pPr>
            <w:r w:rsidRPr="00691F19">
              <w:rPr>
                <w:rFonts w:ascii="Times New Roman" w:eastAsia="Times New Roman" w:hAnsi="Times New Roman" w:cs="Times New Roman"/>
                <w:color w:val="000000"/>
                <w:lang w:eastAsia="ru-RU"/>
              </w:rPr>
              <w:t>1534,2</w:t>
            </w:r>
          </w:p>
        </w:tc>
        <w:tc>
          <w:tcPr>
            <w:tcW w:w="990" w:type="dxa"/>
          </w:tcPr>
          <w:p w:rsidR="00F56F55" w:rsidRPr="00691F19" w:rsidRDefault="00F56F55" w:rsidP="00D13A23">
            <w:pPr>
              <w:jc w:val="center"/>
              <w:rPr>
                <w:rFonts w:ascii="Times New Roman" w:eastAsia="Times New Roman" w:hAnsi="Times New Roman" w:cs="Times New Roman"/>
                <w:lang w:eastAsia="ru-RU"/>
              </w:rPr>
            </w:pPr>
            <w:r w:rsidRPr="00691F19">
              <w:rPr>
                <w:rFonts w:ascii="Times New Roman" w:eastAsia="Times New Roman" w:hAnsi="Times New Roman" w:cs="Times New Roman"/>
                <w:lang w:eastAsia="ru-RU"/>
              </w:rPr>
              <w:t>1572,6</w:t>
            </w:r>
          </w:p>
        </w:tc>
        <w:tc>
          <w:tcPr>
            <w:tcW w:w="900" w:type="dxa"/>
            <w:tcBorders>
              <w:right w:val="single" w:sz="4" w:space="0" w:color="auto"/>
            </w:tcBorders>
          </w:tcPr>
          <w:p w:rsidR="00F56F55" w:rsidRPr="00691F19" w:rsidRDefault="00F56F55" w:rsidP="00D13A23">
            <w:pPr>
              <w:ind w:left="-105" w:right="-26"/>
              <w:jc w:val="center"/>
              <w:rPr>
                <w:rFonts w:ascii="Times New Roman" w:eastAsia="Times New Roman" w:hAnsi="Times New Roman" w:cs="Times New Roman"/>
                <w:lang w:eastAsia="ru-RU"/>
              </w:rPr>
            </w:pPr>
            <w:r w:rsidRPr="00691F19">
              <w:rPr>
                <w:rFonts w:ascii="Times New Roman" w:eastAsia="Times New Roman" w:hAnsi="Times New Roman" w:cs="Times New Roman"/>
                <w:lang w:eastAsia="ru-RU"/>
              </w:rPr>
              <w:t>1371,6</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F56F55" w:rsidRPr="00691F19" w:rsidRDefault="00F56F55" w:rsidP="00D13A23">
            <w:pPr>
              <w:ind w:left="-105"/>
              <w:jc w:val="center"/>
              <w:rPr>
                <w:rFonts w:ascii="Times New Roman" w:eastAsia="Times New Roman" w:hAnsi="Times New Roman" w:cs="Times New Roman"/>
                <w:color w:val="000000"/>
                <w:lang w:eastAsia="ru-RU"/>
              </w:rPr>
            </w:pPr>
            <w:r w:rsidRPr="00691F19">
              <w:rPr>
                <w:rFonts w:ascii="Times New Roman" w:eastAsia="Times New Roman" w:hAnsi="Times New Roman" w:cs="Times New Roman"/>
                <w:color w:val="000000"/>
                <w:lang w:eastAsia="ru-RU"/>
              </w:rPr>
              <w:t>201</w:t>
            </w:r>
            <w:r>
              <w:rPr>
                <w:rFonts w:ascii="Times New Roman" w:eastAsia="Times New Roman" w:hAnsi="Times New Roman" w:cs="Times New Roman"/>
                <w:color w:val="000000"/>
                <w:lang w:eastAsia="ru-RU"/>
              </w:rPr>
              <w:t>,0</w:t>
            </w:r>
          </w:p>
        </w:tc>
        <w:tc>
          <w:tcPr>
            <w:tcW w:w="810" w:type="dxa"/>
            <w:tcBorders>
              <w:left w:val="single" w:sz="4" w:space="0" w:color="auto"/>
            </w:tcBorders>
            <w:vAlign w:val="center"/>
          </w:tcPr>
          <w:p w:rsidR="00F56F55" w:rsidRPr="00691F19" w:rsidRDefault="00F56F55" w:rsidP="00D13A23">
            <w:pPr>
              <w:jc w:val="center"/>
              <w:rPr>
                <w:rFonts w:ascii="Times New Roman" w:eastAsia="Times New Roman" w:hAnsi="Times New Roman" w:cs="Times New Roman"/>
                <w:bCs/>
                <w:color w:val="000000"/>
                <w:lang w:eastAsia="ru-RU"/>
              </w:rPr>
            </w:pPr>
            <w:r w:rsidRPr="00691F19">
              <w:rPr>
                <w:rFonts w:ascii="Times New Roman" w:eastAsia="Times New Roman" w:hAnsi="Times New Roman" w:cs="Times New Roman"/>
                <w:bCs/>
                <w:color w:val="000000"/>
                <w:lang w:eastAsia="ru-RU"/>
              </w:rPr>
              <w:t>114,7</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F56F55" w:rsidRPr="00691F19" w:rsidRDefault="00F56F55" w:rsidP="00D13A23">
            <w:pPr>
              <w:jc w:val="center"/>
              <w:rPr>
                <w:rFonts w:ascii="Times New Roman" w:eastAsia="Times New Roman" w:hAnsi="Times New Roman" w:cs="Times New Roman"/>
                <w:color w:val="000000"/>
                <w:lang w:eastAsia="ru-RU"/>
              </w:rPr>
            </w:pPr>
            <w:r w:rsidRPr="00691F19">
              <w:rPr>
                <w:rFonts w:ascii="Times New Roman" w:eastAsia="Times New Roman" w:hAnsi="Times New Roman" w:cs="Times New Roman"/>
                <w:color w:val="000000"/>
                <w:lang w:eastAsia="ru-RU"/>
              </w:rPr>
              <w:t>1,0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F56F55" w:rsidRPr="00691F19" w:rsidRDefault="00F56F55" w:rsidP="00D13A23">
            <w:pPr>
              <w:jc w:val="center"/>
              <w:rPr>
                <w:rFonts w:ascii="Times New Roman" w:eastAsia="Times New Roman" w:hAnsi="Times New Roman" w:cs="Times New Roman"/>
                <w:color w:val="000000"/>
                <w:lang w:eastAsia="ru-RU"/>
              </w:rPr>
            </w:pPr>
            <w:r w:rsidRPr="00691F19">
              <w:rPr>
                <w:rFonts w:ascii="Times New Roman" w:eastAsia="Times New Roman" w:hAnsi="Times New Roman" w:cs="Times New Roman"/>
                <w:color w:val="000000"/>
                <w:lang w:eastAsia="ru-RU"/>
              </w:rPr>
              <w:t>1,0</w:t>
            </w:r>
          </w:p>
        </w:tc>
      </w:tr>
      <w:tr w:rsidR="00F56F55" w:rsidRPr="00691F19" w:rsidTr="00365D6E">
        <w:trPr>
          <w:gridAfter w:val="1"/>
          <w:wAfter w:w="8" w:type="dxa"/>
        </w:trPr>
        <w:tc>
          <w:tcPr>
            <w:tcW w:w="3681" w:type="dxa"/>
          </w:tcPr>
          <w:p w:rsidR="00F56F55" w:rsidRPr="00691F19" w:rsidRDefault="00F56F55" w:rsidP="00B0321C">
            <w:pPr>
              <w:rPr>
                <w:rFonts w:ascii="Times New Roman" w:eastAsia="Times New Roman" w:hAnsi="Times New Roman" w:cs="Times New Roman"/>
                <w:lang w:eastAsia="ru-RU"/>
              </w:rPr>
            </w:pPr>
            <w:r w:rsidRPr="00691F19">
              <w:rPr>
                <w:rFonts w:ascii="Times New Roman" w:eastAsia="Times New Roman" w:hAnsi="Times New Roman" w:cs="Times New Roman"/>
                <w:lang w:eastAsia="ru-RU"/>
              </w:rPr>
              <w:t>Impozit pe venitul persoanelor juridice</w:t>
            </w:r>
          </w:p>
        </w:tc>
        <w:tc>
          <w:tcPr>
            <w:tcW w:w="990" w:type="dxa"/>
            <w:vAlign w:val="center"/>
          </w:tcPr>
          <w:p w:rsidR="00F56F55" w:rsidRPr="00691F19" w:rsidRDefault="00F56F55" w:rsidP="00D13A23">
            <w:pPr>
              <w:jc w:val="center"/>
              <w:rPr>
                <w:rFonts w:ascii="Times New Roman" w:eastAsia="Times New Roman" w:hAnsi="Times New Roman" w:cs="Times New Roman"/>
                <w:color w:val="000000"/>
                <w:lang w:eastAsia="ru-RU"/>
              </w:rPr>
            </w:pPr>
            <w:r w:rsidRPr="00691F19">
              <w:rPr>
                <w:rFonts w:ascii="Times New Roman" w:eastAsia="Times New Roman" w:hAnsi="Times New Roman" w:cs="Times New Roman"/>
                <w:color w:val="000000"/>
                <w:lang w:eastAsia="ru-RU"/>
              </w:rPr>
              <w:t>4087,8</w:t>
            </w:r>
          </w:p>
        </w:tc>
        <w:tc>
          <w:tcPr>
            <w:tcW w:w="990" w:type="dxa"/>
          </w:tcPr>
          <w:p w:rsidR="00F56F55" w:rsidRPr="00691F19" w:rsidRDefault="00F56F55" w:rsidP="00D13A23">
            <w:pPr>
              <w:jc w:val="center"/>
              <w:rPr>
                <w:rFonts w:ascii="Times New Roman" w:eastAsia="Times New Roman" w:hAnsi="Times New Roman" w:cs="Times New Roman"/>
                <w:lang w:eastAsia="ru-RU"/>
              </w:rPr>
            </w:pPr>
            <w:r w:rsidRPr="00691F19">
              <w:rPr>
                <w:rFonts w:ascii="Times New Roman" w:eastAsia="Times New Roman" w:hAnsi="Times New Roman" w:cs="Times New Roman"/>
                <w:lang w:eastAsia="ru-RU"/>
              </w:rPr>
              <w:t>3968,8</w:t>
            </w:r>
          </w:p>
        </w:tc>
        <w:tc>
          <w:tcPr>
            <w:tcW w:w="900" w:type="dxa"/>
            <w:tcBorders>
              <w:right w:val="single" w:sz="4" w:space="0" w:color="auto"/>
            </w:tcBorders>
          </w:tcPr>
          <w:p w:rsidR="00F56F55" w:rsidRPr="00691F19" w:rsidRDefault="00F56F55" w:rsidP="00D13A23">
            <w:pPr>
              <w:ind w:left="-105" w:right="-26"/>
              <w:jc w:val="center"/>
              <w:rPr>
                <w:rFonts w:ascii="Times New Roman" w:eastAsia="Times New Roman" w:hAnsi="Times New Roman" w:cs="Times New Roman"/>
                <w:lang w:eastAsia="ru-RU"/>
              </w:rPr>
            </w:pPr>
            <w:r w:rsidRPr="00691F19">
              <w:rPr>
                <w:rFonts w:ascii="Times New Roman" w:eastAsia="Times New Roman" w:hAnsi="Times New Roman" w:cs="Times New Roman"/>
                <w:lang w:eastAsia="ru-RU"/>
              </w:rPr>
              <w:t>3291,8</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F56F55" w:rsidRPr="00691F19" w:rsidRDefault="00F56F55" w:rsidP="00D13A23">
            <w:pPr>
              <w:ind w:left="-105"/>
              <w:jc w:val="center"/>
              <w:rPr>
                <w:rFonts w:ascii="Times New Roman" w:eastAsia="Times New Roman" w:hAnsi="Times New Roman" w:cs="Times New Roman"/>
                <w:color w:val="000000"/>
                <w:lang w:eastAsia="ru-RU"/>
              </w:rPr>
            </w:pPr>
            <w:r w:rsidRPr="00691F19">
              <w:rPr>
                <w:rFonts w:ascii="Times New Roman" w:eastAsia="Times New Roman" w:hAnsi="Times New Roman" w:cs="Times New Roman"/>
                <w:color w:val="000000"/>
                <w:lang w:eastAsia="ru-RU"/>
              </w:rPr>
              <w:t>677</w:t>
            </w:r>
            <w:r>
              <w:rPr>
                <w:rFonts w:ascii="Times New Roman" w:eastAsia="Times New Roman" w:hAnsi="Times New Roman" w:cs="Times New Roman"/>
                <w:color w:val="000000"/>
                <w:lang w:eastAsia="ru-RU"/>
              </w:rPr>
              <w:t>,0</w:t>
            </w:r>
          </w:p>
        </w:tc>
        <w:tc>
          <w:tcPr>
            <w:tcW w:w="810" w:type="dxa"/>
            <w:tcBorders>
              <w:left w:val="single" w:sz="4" w:space="0" w:color="auto"/>
            </w:tcBorders>
            <w:vAlign w:val="center"/>
          </w:tcPr>
          <w:p w:rsidR="00F56F55" w:rsidRPr="00691F19" w:rsidRDefault="00F56F55" w:rsidP="00D13A23">
            <w:pPr>
              <w:jc w:val="center"/>
              <w:rPr>
                <w:rFonts w:ascii="Times New Roman" w:eastAsia="Times New Roman" w:hAnsi="Times New Roman" w:cs="Times New Roman"/>
                <w:bCs/>
                <w:color w:val="000000"/>
                <w:lang w:eastAsia="ru-RU"/>
              </w:rPr>
            </w:pPr>
            <w:r w:rsidRPr="00691F19">
              <w:rPr>
                <w:rFonts w:ascii="Times New Roman" w:eastAsia="Times New Roman" w:hAnsi="Times New Roman" w:cs="Times New Roman"/>
                <w:bCs/>
                <w:color w:val="000000"/>
                <w:lang w:eastAsia="ru-RU"/>
              </w:rPr>
              <w:t>120,6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F56F55" w:rsidRPr="00691F19" w:rsidRDefault="00F56F55" w:rsidP="00D13A23">
            <w:pPr>
              <w:jc w:val="center"/>
              <w:rPr>
                <w:rFonts w:ascii="Times New Roman" w:eastAsia="Times New Roman" w:hAnsi="Times New Roman" w:cs="Times New Roman"/>
                <w:color w:val="000000"/>
                <w:lang w:eastAsia="ru-RU"/>
              </w:rPr>
            </w:pPr>
            <w:r w:rsidRPr="00691F19">
              <w:rPr>
                <w:rFonts w:ascii="Times New Roman" w:eastAsia="Times New Roman" w:hAnsi="Times New Roman" w:cs="Times New Roman"/>
                <w:color w:val="000000"/>
                <w:lang w:eastAsia="ru-RU"/>
              </w:rPr>
              <w:t>2,6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F56F55" w:rsidRPr="00691F19" w:rsidRDefault="00F56F55" w:rsidP="00D13A23">
            <w:pPr>
              <w:jc w:val="center"/>
              <w:rPr>
                <w:rFonts w:ascii="Times New Roman" w:eastAsia="Times New Roman" w:hAnsi="Times New Roman" w:cs="Times New Roman"/>
                <w:color w:val="000000"/>
                <w:lang w:eastAsia="ru-RU"/>
              </w:rPr>
            </w:pPr>
            <w:r w:rsidRPr="00691F19">
              <w:rPr>
                <w:rFonts w:ascii="Times New Roman" w:eastAsia="Times New Roman" w:hAnsi="Times New Roman" w:cs="Times New Roman"/>
                <w:color w:val="000000"/>
                <w:lang w:eastAsia="ru-RU"/>
              </w:rPr>
              <w:t>2,4</w:t>
            </w:r>
          </w:p>
        </w:tc>
      </w:tr>
      <w:tr w:rsidR="00F56F55" w:rsidRPr="00691F19" w:rsidTr="00365D6E">
        <w:trPr>
          <w:gridAfter w:val="1"/>
          <w:wAfter w:w="8" w:type="dxa"/>
        </w:trPr>
        <w:tc>
          <w:tcPr>
            <w:tcW w:w="3681" w:type="dxa"/>
          </w:tcPr>
          <w:p w:rsidR="00F56F55" w:rsidRPr="00691F19" w:rsidRDefault="00F56F55" w:rsidP="00B0321C">
            <w:pPr>
              <w:rPr>
                <w:rFonts w:ascii="Times New Roman" w:eastAsia="Times New Roman" w:hAnsi="Times New Roman" w:cs="Times New Roman"/>
                <w:b/>
                <w:lang w:eastAsia="ru-RU"/>
              </w:rPr>
            </w:pPr>
            <w:r w:rsidRPr="00691F19">
              <w:rPr>
                <w:rFonts w:ascii="Times New Roman" w:eastAsia="Times New Roman" w:hAnsi="Times New Roman" w:cs="Times New Roman"/>
                <w:b/>
                <w:lang w:eastAsia="ru-RU"/>
              </w:rPr>
              <w:t>Impozite pe proprietate</w:t>
            </w:r>
          </w:p>
        </w:tc>
        <w:tc>
          <w:tcPr>
            <w:tcW w:w="990" w:type="dxa"/>
            <w:vAlign w:val="center"/>
          </w:tcPr>
          <w:p w:rsidR="00F56F55" w:rsidRPr="00691F19" w:rsidRDefault="00F56F55" w:rsidP="00D13A23">
            <w:pPr>
              <w:jc w:val="center"/>
              <w:rPr>
                <w:rFonts w:ascii="Times New Roman" w:eastAsia="Times New Roman" w:hAnsi="Times New Roman" w:cs="Times New Roman"/>
                <w:b/>
                <w:color w:val="000000"/>
                <w:lang w:eastAsia="ru-RU"/>
              </w:rPr>
            </w:pPr>
            <w:r w:rsidRPr="00691F19">
              <w:rPr>
                <w:rFonts w:ascii="Times New Roman" w:eastAsia="Times New Roman" w:hAnsi="Times New Roman" w:cs="Times New Roman"/>
                <w:b/>
                <w:color w:val="000000"/>
                <w:lang w:eastAsia="ru-RU"/>
              </w:rPr>
              <w:t>57,0</w:t>
            </w:r>
          </w:p>
        </w:tc>
        <w:tc>
          <w:tcPr>
            <w:tcW w:w="990" w:type="dxa"/>
          </w:tcPr>
          <w:p w:rsidR="00F56F55" w:rsidRPr="00691F19" w:rsidRDefault="00F56F55" w:rsidP="00D13A23">
            <w:pPr>
              <w:jc w:val="center"/>
              <w:rPr>
                <w:rFonts w:ascii="Times New Roman" w:eastAsia="Times New Roman" w:hAnsi="Times New Roman" w:cs="Times New Roman"/>
                <w:b/>
                <w:lang w:eastAsia="ru-RU"/>
              </w:rPr>
            </w:pPr>
            <w:r w:rsidRPr="00691F19">
              <w:rPr>
                <w:rFonts w:ascii="Times New Roman" w:eastAsia="Times New Roman" w:hAnsi="Times New Roman" w:cs="Times New Roman"/>
                <w:b/>
                <w:lang w:eastAsia="ru-RU"/>
              </w:rPr>
              <w:t>45,3</w:t>
            </w:r>
          </w:p>
        </w:tc>
        <w:tc>
          <w:tcPr>
            <w:tcW w:w="900" w:type="dxa"/>
            <w:tcBorders>
              <w:right w:val="single" w:sz="4" w:space="0" w:color="auto"/>
            </w:tcBorders>
          </w:tcPr>
          <w:p w:rsidR="00F56F55" w:rsidRPr="00691F19" w:rsidRDefault="00F56F55" w:rsidP="00D13A23">
            <w:pPr>
              <w:ind w:left="-105" w:right="-26"/>
              <w:jc w:val="center"/>
              <w:rPr>
                <w:rFonts w:ascii="Times New Roman" w:eastAsia="Times New Roman" w:hAnsi="Times New Roman" w:cs="Times New Roman"/>
                <w:b/>
                <w:lang w:eastAsia="ru-RU"/>
              </w:rPr>
            </w:pPr>
            <w:r w:rsidRPr="00691F19">
              <w:rPr>
                <w:rFonts w:ascii="Times New Roman" w:eastAsia="Times New Roman" w:hAnsi="Times New Roman" w:cs="Times New Roman"/>
                <w:b/>
                <w:lang w:eastAsia="ru-RU"/>
              </w:rPr>
              <w:t>37,9</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F56F55" w:rsidRPr="00691F19" w:rsidRDefault="00F56F55" w:rsidP="00D13A23">
            <w:pPr>
              <w:ind w:left="-105"/>
              <w:jc w:val="center"/>
              <w:rPr>
                <w:rFonts w:ascii="Times New Roman" w:eastAsia="Times New Roman" w:hAnsi="Times New Roman" w:cs="Times New Roman"/>
                <w:b/>
                <w:bCs/>
                <w:color w:val="000000"/>
                <w:lang w:eastAsia="ru-RU"/>
              </w:rPr>
            </w:pPr>
            <w:r w:rsidRPr="00691F19">
              <w:rPr>
                <w:rFonts w:ascii="Times New Roman" w:eastAsia="Times New Roman" w:hAnsi="Times New Roman" w:cs="Times New Roman"/>
                <w:b/>
                <w:bCs/>
                <w:color w:val="000000"/>
                <w:lang w:eastAsia="ru-RU"/>
              </w:rPr>
              <w:t>7,4</w:t>
            </w:r>
          </w:p>
        </w:tc>
        <w:tc>
          <w:tcPr>
            <w:tcW w:w="810" w:type="dxa"/>
            <w:tcBorders>
              <w:left w:val="single" w:sz="4" w:space="0" w:color="auto"/>
            </w:tcBorders>
            <w:vAlign w:val="center"/>
          </w:tcPr>
          <w:p w:rsidR="00F56F55" w:rsidRPr="00691F19" w:rsidRDefault="00F56F55" w:rsidP="00D13A23">
            <w:pPr>
              <w:jc w:val="center"/>
              <w:rPr>
                <w:rFonts w:ascii="Times New Roman" w:eastAsia="Times New Roman" w:hAnsi="Times New Roman" w:cs="Times New Roman"/>
                <w:b/>
                <w:bCs/>
                <w:color w:val="000000"/>
                <w:lang w:eastAsia="ru-RU"/>
              </w:rPr>
            </w:pPr>
            <w:r w:rsidRPr="00691F19">
              <w:rPr>
                <w:rFonts w:ascii="Times New Roman" w:eastAsia="Times New Roman" w:hAnsi="Times New Roman" w:cs="Times New Roman"/>
                <w:b/>
                <w:bCs/>
                <w:color w:val="000000"/>
                <w:lang w:eastAsia="ru-RU"/>
              </w:rPr>
              <w:t>119,5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F56F55" w:rsidRPr="00691F19" w:rsidRDefault="00F56F55" w:rsidP="00D13A23">
            <w:pPr>
              <w:jc w:val="center"/>
              <w:rPr>
                <w:rFonts w:ascii="Times New Roman" w:eastAsia="Times New Roman" w:hAnsi="Times New Roman" w:cs="Times New Roman"/>
                <w:b/>
                <w:color w:val="000000"/>
                <w:lang w:eastAsia="ru-RU"/>
              </w:rPr>
            </w:pPr>
            <w:r w:rsidRPr="00691F19">
              <w:rPr>
                <w:rFonts w:ascii="Times New Roman" w:eastAsia="Times New Roman" w:hAnsi="Times New Roman" w:cs="Times New Roman"/>
                <w:b/>
                <w:color w:val="000000"/>
                <w:lang w:eastAsia="ru-RU"/>
              </w:rPr>
              <w:t>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F56F55" w:rsidRPr="00691F19" w:rsidRDefault="00F56F55" w:rsidP="00D13A23">
            <w:pPr>
              <w:jc w:val="center"/>
              <w:rPr>
                <w:rFonts w:ascii="Times New Roman" w:eastAsia="Times New Roman" w:hAnsi="Times New Roman" w:cs="Times New Roman"/>
                <w:b/>
                <w:color w:val="000000"/>
                <w:lang w:eastAsia="ru-RU"/>
              </w:rPr>
            </w:pPr>
            <w:r w:rsidRPr="00691F19">
              <w:rPr>
                <w:rFonts w:ascii="Times New Roman" w:eastAsia="Times New Roman" w:hAnsi="Times New Roman" w:cs="Times New Roman"/>
                <w:b/>
                <w:color w:val="000000"/>
                <w:lang w:eastAsia="ru-RU"/>
              </w:rPr>
              <w:t>0,0</w:t>
            </w:r>
          </w:p>
        </w:tc>
      </w:tr>
      <w:tr w:rsidR="00F56F55" w:rsidRPr="00691F19" w:rsidTr="00365D6E">
        <w:trPr>
          <w:gridAfter w:val="1"/>
          <w:wAfter w:w="8" w:type="dxa"/>
        </w:trPr>
        <w:tc>
          <w:tcPr>
            <w:tcW w:w="3681" w:type="dxa"/>
          </w:tcPr>
          <w:p w:rsidR="00F56F55" w:rsidRPr="00691F19" w:rsidRDefault="00F56F55" w:rsidP="00B0321C">
            <w:pPr>
              <w:rPr>
                <w:rFonts w:ascii="Times New Roman" w:eastAsia="Times New Roman" w:hAnsi="Times New Roman" w:cs="Times New Roman"/>
                <w:lang w:eastAsia="ru-RU"/>
              </w:rPr>
            </w:pPr>
            <w:r w:rsidRPr="00691F19">
              <w:rPr>
                <w:rFonts w:ascii="Times New Roman" w:eastAsia="Times New Roman" w:hAnsi="Times New Roman" w:cs="Times New Roman"/>
                <w:lang w:eastAsia="ru-RU"/>
              </w:rPr>
              <w:t>Impozite pe proprietate cu caracter ocazional</w:t>
            </w:r>
          </w:p>
        </w:tc>
        <w:tc>
          <w:tcPr>
            <w:tcW w:w="990" w:type="dxa"/>
            <w:vAlign w:val="center"/>
          </w:tcPr>
          <w:p w:rsidR="00F56F55" w:rsidRPr="00691F19" w:rsidRDefault="00F56F55" w:rsidP="00D13A23">
            <w:pPr>
              <w:jc w:val="center"/>
              <w:rPr>
                <w:rFonts w:ascii="Times New Roman" w:eastAsia="Times New Roman" w:hAnsi="Times New Roman" w:cs="Times New Roman"/>
                <w:color w:val="000000"/>
                <w:lang w:eastAsia="ru-RU"/>
              </w:rPr>
            </w:pPr>
            <w:r w:rsidRPr="00691F19">
              <w:rPr>
                <w:rFonts w:ascii="Times New Roman" w:eastAsia="Times New Roman" w:hAnsi="Times New Roman" w:cs="Times New Roman"/>
                <w:color w:val="000000"/>
                <w:lang w:eastAsia="ru-RU"/>
              </w:rPr>
              <w:t>2,0</w:t>
            </w:r>
          </w:p>
        </w:tc>
        <w:tc>
          <w:tcPr>
            <w:tcW w:w="990" w:type="dxa"/>
            <w:vAlign w:val="center"/>
          </w:tcPr>
          <w:p w:rsidR="00F56F55" w:rsidRPr="00691F19" w:rsidRDefault="00F56F55" w:rsidP="00D13A23">
            <w:pPr>
              <w:jc w:val="center"/>
              <w:rPr>
                <w:rFonts w:ascii="Times New Roman" w:eastAsia="Times New Roman" w:hAnsi="Times New Roman" w:cs="Times New Roman"/>
                <w:lang w:eastAsia="ru-RU"/>
              </w:rPr>
            </w:pPr>
            <w:r w:rsidRPr="00691F19">
              <w:rPr>
                <w:rFonts w:ascii="Times New Roman" w:eastAsia="Times New Roman" w:hAnsi="Times New Roman" w:cs="Times New Roman"/>
                <w:lang w:eastAsia="ru-RU"/>
              </w:rPr>
              <w:t>1,8</w:t>
            </w:r>
          </w:p>
        </w:tc>
        <w:tc>
          <w:tcPr>
            <w:tcW w:w="900" w:type="dxa"/>
            <w:tcBorders>
              <w:right w:val="single" w:sz="4" w:space="0" w:color="auto"/>
            </w:tcBorders>
            <w:vAlign w:val="center"/>
          </w:tcPr>
          <w:p w:rsidR="00F56F55" w:rsidRPr="00691F19" w:rsidRDefault="00F56F55" w:rsidP="00D13A23">
            <w:pPr>
              <w:ind w:left="-105" w:right="-26"/>
              <w:jc w:val="center"/>
              <w:rPr>
                <w:rFonts w:ascii="Times New Roman" w:eastAsia="Times New Roman" w:hAnsi="Times New Roman" w:cs="Times New Roman"/>
                <w:lang w:eastAsia="ru-RU"/>
              </w:rPr>
            </w:pPr>
            <w:r w:rsidRPr="00691F19">
              <w:rPr>
                <w:rFonts w:ascii="Times New Roman" w:eastAsia="Times New Roman" w:hAnsi="Times New Roman" w:cs="Times New Roman"/>
                <w:lang w:eastAsia="ru-RU"/>
              </w:rPr>
              <w:t>3,1</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F56F55" w:rsidRPr="00691F19" w:rsidRDefault="00F56F55" w:rsidP="00D13A23">
            <w:pPr>
              <w:ind w:left="-105"/>
              <w:jc w:val="center"/>
              <w:rPr>
                <w:rFonts w:ascii="Times New Roman" w:eastAsia="Times New Roman" w:hAnsi="Times New Roman" w:cs="Times New Roman"/>
                <w:color w:val="000000"/>
                <w:lang w:eastAsia="ru-RU"/>
              </w:rPr>
            </w:pPr>
            <w:r w:rsidRPr="00691F19">
              <w:rPr>
                <w:rFonts w:ascii="Times New Roman" w:eastAsia="Times New Roman" w:hAnsi="Times New Roman" w:cs="Times New Roman"/>
                <w:color w:val="000000"/>
                <w:lang w:eastAsia="ru-RU"/>
              </w:rPr>
              <w:t>-1,3</w:t>
            </w:r>
          </w:p>
        </w:tc>
        <w:tc>
          <w:tcPr>
            <w:tcW w:w="810" w:type="dxa"/>
            <w:tcBorders>
              <w:left w:val="single" w:sz="4" w:space="0" w:color="auto"/>
            </w:tcBorders>
            <w:vAlign w:val="center"/>
          </w:tcPr>
          <w:p w:rsidR="00F56F55" w:rsidRPr="00691F19" w:rsidRDefault="00F56F55" w:rsidP="00D13A23">
            <w:pPr>
              <w:jc w:val="center"/>
              <w:rPr>
                <w:rFonts w:ascii="Times New Roman" w:eastAsia="Times New Roman" w:hAnsi="Times New Roman" w:cs="Times New Roman"/>
                <w:bCs/>
                <w:color w:val="000000"/>
                <w:lang w:eastAsia="ru-RU"/>
              </w:rPr>
            </w:pPr>
            <w:r w:rsidRPr="00691F19">
              <w:rPr>
                <w:rFonts w:ascii="Times New Roman" w:eastAsia="Times New Roman" w:hAnsi="Times New Roman" w:cs="Times New Roman"/>
                <w:bCs/>
                <w:color w:val="000000"/>
                <w:lang w:eastAsia="ru-RU"/>
              </w:rPr>
              <w:t>58,1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56F55" w:rsidRPr="00691F19" w:rsidRDefault="00F56F55" w:rsidP="00D13A23">
            <w:pPr>
              <w:jc w:val="center"/>
              <w:rPr>
                <w:rFonts w:ascii="Times New Roman" w:eastAsia="Times New Roman" w:hAnsi="Times New Roman" w:cs="Times New Roman"/>
                <w:color w:val="000000"/>
                <w:lang w:eastAsia="ru-RU"/>
              </w:rPr>
            </w:pPr>
            <w:r w:rsidRPr="00691F19">
              <w:rPr>
                <w:rFonts w:ascii="Times New Roman" w:eastAsia="Times New Roman" w:hAnsi="Times New Roman" w:cs="Times New Roman"/>
                <w:color w:val="000000"/>
                <w:lang w:eastAsia="ru-RU"/>
              </w:rPr>
              <w:t>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56F55" w:rsidRPr="00691F19" w:rsidRDefault="00F56F55" w:rsidP="00D13A23">
            <w:pPr>
              <w:jc w:val="center"/>
              <w:rPr>
                <w:rFonts w:ascii="Times New Roman" w:eastAsia="Times New Roman" w:hAnsi="Times New Roman" w:cs="Times New Roman"/>
                <w:color w:val="000000"/>
                <w:lang w:eastAsia="ru-RU"/>
              </w:rPr>
            </w:pPr>
            <w:r w:rsidRPr="00691F19">
              <w:rPr>
                <w:rFonts w:ascii="Times New Roman" w:eastAsia="Times New Roman" w:hAnsi="Times New Roman" w:cs="Times New Roman"/>
                <w:color w:val="000000"/>
                <w:lang w:eastAsia="ru-RU"/>
              </w:rPr>
              <w:t>0,0</w:t>
            </w:r>
          </w:p>
        </w:tc>
      </w:tr>
      <w:tr w:rsidR="00F56F55" w:rsidRPr="00691F19" w:rsidTr="00365D6E">
        <w:trPr>
          <w:gridAfter w:val="1"/>
          <w:wAfter w:w="8" w:type="dxa"/>
        </w:trPr>
        <w:tc>
          <w:tcPr>
            <w:tcW w:w="3681" w:type="dxa"/>
          </w:tcPr>
          <w:p w:rsidR="00F56F55" w:rsidRPr="00691F19" w:rsidRDefault="00F56F55" w:rsidP="00B0321C">
            <w:pPr>
              <w:rPr>
                <w:rFonts w:ascii="Times New Roman" w:eastAsia="Times New Roman" w:hAnsi="Times New Roman" w:cs="Times New Roman"/>
                <w:lang w:eastAsia="ru-RU"/>
              </w:rPr>
            </w:pPr>
            <w:r w:rsidRPr="00691F19">
              <w:rPr>
                <w:rFonts w:ascii="Times New Roman" w:eastAsia="Times New Roman" w:hAnsi="Times New Roman" w:cs="Times New Roman"/>
                <w:lang w:eastAsia="ru-RU"/>
              </w:rPr>
              <w:t>Alte impozite pe proprietate</w:t>
            </w:r>
          </w:p>
        </w:tc>
        <w:tc>
          <w:tcPr>
            <w:tcW w:w="990" w:type="dxa"/>
            <w:vAlign w:val="center"/>
          </w:tcPr>
          <w:p w:rsidR="00F56F55" w:rsidRPr="00691F19" w:rsidRDefault="00F56F55" w:rsidP="00D13A23">
            <w:pPr>
              <w:jc w:val="center"/>
              <w:rPr>
                <w:rFonts w:ascii="Times New Roman" w:eastAsia="Times New Roman" w:hAnsi="Times New Roman" w:cs="Times New Roman"/>
                <w:color w:val="000000"/>
                <w:lang w:eastAsia="ru-RU"/>
              </w:rPr>
            </w:pPr>
            <w:r w:rsidRPr="00691F19">
              <w:rPr>
                <w:rFonts w:ascii="Times New Roman" w:eastAsia="Times New Roman" w:hAnsi="Times New Roman" w:cs="Times New Roman"/>
                <w:color w:val="000000"/>
                <w:lang w:eastAsia="ru-RU"/>
              </w:rPr>
              <w:t>55,0</w:t>
            </w:r>
          </w:p>
        </w:tc>
        <w:tc>
          <w:tcPr>
            <w:tcW w:w="990" w:type="dxa"/>
            <w:vAlign w:val="center"/>
          </w:tcPr>
          <w:p w:rsidR="00F56F55" w:rsidRPr="00691F19" w:rsidRDefault="00F56F55" w:rsidP="00D13A23">
            <w:pPr>
              <w:jc w:val="center"/>
              <w:rPr>
                <w:rFonts w:ascii="Times New Roman" w:eastAsia="Times New Roman" w:hAnsi="Times New Roman" w:cs="Times New Roman"/>
                <w:lang w:eastAsia="ru-RU"/>
              </w:rPr>
            </w:pPr>
            <w:r w:rsidRPr="00691F19">
              <w:rPr>
                <w:rFonts w:ascii="Times New Roman" w:eastAsia="Times New Roman" w:hAnsi="Times New Roman" w:cs="Times New Roman"/>
                <w:lang w:eastAsia="ru-RU"/>
              </w:rPr>
              <w:t>43,6</w:t>
            </w:r>
          </w:p>
        </w:tc>
        <w:tc>
          <w:tcPr>
            <w:tcW w:w="900" w:type="dxa"/>
            <w:tcBorders>
              <w:right w:val="single" w:sz="4" w:space="0" w:color="auto"/>
            </w:tcBorders>
            <w:vAlign w:val="center"/>
          </w:tcPr>
          <w:p w:rsidR="00F56F55" w:rsidRPr="00691F19" w:rsidRDefault="00F56F55" w:rsidP="00D13A23">
            <w:pPr>
              <w:ind w:left="-105" w:right="-26"/>
              <w:jc w:val="center"/>
              <w:rPr>
                <w:rFonts w:ascii="Times New Roman" w:eastAsia="Times New Roman" w:hAnsi="Times New Roman" w:cs="Times New Roman"/>
                <w:lang w:eastAsia="ru-RU"/>
              </w:rPr>
            </w:pPr>
            <w:r w:rsidRPr="00691F19">
              <w:rPr>
                <w:rFonts w:ascii="Times New Roman" w:eastAsia="Times New Roman" w:hAnsi="Times New Roman" w:cs="Times New Roman"/>
                <w:lang w:eastAsia="ru-RU"/>
              </w:rPr>
              <w:t>34,8</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F56F55" w:rsidRPr="00691F19" w:rsidRDefault="00F56F55" w:rsidP="00D13A23">
            <w:pPr>
              <w:ind w:left="-105"/>
              <w:jc w:val="center"/>
              <w:rPr>
                <w:rFonts w:ascii="Times New Roman" w:eastAsia="Times New Roman" w:hAnsi="Times New Roman" w:cs="Times New Roman"/>
                <w:color w:val="000000"/>
                <w:lang w:eastAsia="ru-RU"/>
              </w:rPr>
            </w:pPr>
            <w:r w:rsidRPr="00691F19">
              <w:rPr>
                <w:rFonts w:ascii="Times New Roman" w:eastAsia="Times New Roman" w:hAnsi="Times New Roman" w:cs="Times New Roman"/>
                <w:color w:val="000000"/>
                <w:lang w:eastAsia="ru-RU"/>
              </w:rPr>
              <w:t>8,8</w:t>
            </w:r>
          </w:p>
        </w:tc>
        <w:tc>
          <w:tcPr>
            <w:tcW w:w="810" w:type="dxa"/>
            <w:tcBorders>
              <w:left w:val="single" w:sz="4" w:space="0" w:color="auto"/>
            </w:tcBorders>
            <w:vAlign w:val="center"/>
          </w:tcPr>
          <w:p w:rsidR="00F56F55" w:rsidRPr="00691F19" w:rsidRDefault="00F56F55" w:rsidP="00D13A23">
            <w:pPr>
              <w:jc w:val="center"/>
              <w:rPr>
                <w:rFonts w:ascii="Times New Roman" w:eastAsia="Times New Roman" w:hAnsi="Times New Roman" w:cs="Times New Roman"/>
                <w:bCs/>
                <w:color w:val="000000"/>
                <w:lang w:eastAsia="ru-RU"/>
              </w:rPr>
            </w:pPr>
            <w:r w:rsidRPr="00691F19">
              <w:rPr>
                <w:rFonts w:ascii="Times New Roman" w:eastAsia="Times New Roman" w:hAnsi="Times New Roman" w:cs="Times New Roman"/>
                <w:bCs/>
                <w:color w:val="000000"/>
                <w:lang w:eastAsia="ru-RU"/>
              </w:rPr>
              <w:t>125,3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56F55" w:rsidRPr="00691F19" w:rsidRDefault="00F56F55" w:rsidP="00D13A23">
            <w:pPr>
              <w:jc w:val="center"/>
              <w:rPr>
                <w:rFonts w:ascii="Times New Roman" w:eastAsia="Times New Roman" w:hAnsi="Times New Roman" w:cs="Times New Roman"/>
                <w:color w:val="000000"/>
                <w:lang w:eastAsia="ru-RU"/>
              </w:rPr>
            </w:pPr>
            <w:r w:rsidRPr="00691F19">
              <w:rPr>
                <w:rFonts w:ascii="Times New Roman" w:eastAsia="Times New Roman" w:hAnsi="Times New Roman" w:cs="Times New Roman"/>
                <w:color w:val="000000"/>
                <w:lang w:eastAsia="ru-RU"/>
              </w:rPr>
              <w:t>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56F55" w:rsidRPr="00691F19" w:rsidRDefault="00F56F55" w:rsidP="00D13A23">
            <w:pPr>
              <w:jc w:val="center"/>
              <w:rPr>
                <w:rFonts w:ascii="Times New Roman" w:eastAsia="Times New Roman" w:hAnsi="Times New Roman" w:cs="Times New Roman"/>
                <w:color w:val="000000"/>
                <w:lang w:eastAsia="ru-RU"/>
              </w:rPr>
            </w:pPr>
            <w:r w:rsidRPr="00691F19">
              <w:rPr>
                <w:rFonts w:ascii="Times New Roman" w:eastAsia="Times New Roman" w:hAnsi="Times New Roman" w:cs="Times New Roman"/>
                <w:color w:val="000000"/>
                <w:lang w:eastAsia="ru-RU"/>
              </w:rPr>
              <w:t>0,0</w:t>
            </w:r>
          </w:p>
        </w:tc>
      </w:tr>
      <w:tr w:rsidR="00F56F55" w:rsidRPr="00691F19" w:rsidTr="00365D6E">
        <w:trPr>
          <w:gridAfter w:val="1"/>
          <w:wAfter w:w="8" w:type="dxa"/>
        </w:trPr>
        <w:tc>
          <w:tcPr>
            <w:tcW w:w="3681" w:type="dxa"/>
          </w:tcPr>
          <w:p w:rsidR="00F56F55" w:rsidRPr="00691F19" w:rsidRDefault="00F56F55" w:rsidP="00B0321C">
            <w:pPr>
              <w:rPr>
                <w:rFonts w:ascii="Times New Roman" w:eastAsia="Times New Roman" w:hAnsi="Times New Roman" w:cs="Times New Roman"/>
                <w:b/>
                <w:lang w:eastAsia="ru-RU"/>
              </w:rPr>
            </w:pPr>
            <w:r w:rsidRPr="00691F19">
              <w:rPr>
                <w:rFonts w:ascii="Times New Roman" w:eastAsia="Times New Roman" w:hAnsi="Times New Roman" w:cs="Times New Roman"/>
                <w:b/>
                <w:lang w:eastAsia="ru-RU"/>
              </w:rPr>
              <w:t>Impozite și taxe pe mărfuri și servicii</w:t>
            </w:r>
          </w:p>
        </w:tc>
        <w:tc>
          <w:tcPr>
            <w:tcW w:w="990" w:type="dxa"/>
            <w:vAlign w:val="center"/>
          </w:tcPr>
          <w:p w:rsidR="00F56F55" w:rsidRPr="00691F19" w:rsidRDefault="00F56F55" w:rsidP="00D13A23">
            <w:pPr>
              <w:jc w:val="center"/>
              <w:rPr>
                <w:rFonts w:ascii="Times New Roman" w:eastAsia="Times New Roman" w:hAnsi="Times New Roman" w:cs="Times New Roman"/>
                <w:b/>
                <w:color w:val="000000"/>
                <w:lang w:eastAsia="ru-RU"/>
              </w:rPr>
            </w:pPr>
            <w:r w:rsidRPr="00691F19">
              <w:rPr>
                <w:rFonts w:ascii="Times New Roman" w:eastAsia="Times New Roman" w:hAnsi="Times New Roman" w:cs="Times New Roman"/>
                <w:b/>
                <w:color w:val="000000"/>
                <w:lang w:eastAsia="ru-RU"/>
              </w:rPr>
              <w:t>23646,2</w:t>
            </w:r>
          </w:p>
        </w:tc>
        <w:tc>
          <w:tcPr>
            <w:tcW w:w="990" w:type="dxa"/>
            <w:vAlign w:val="center"/>
          </w:tcPr>
          <w:p w:rsidR="00F56F55" w:rsidRPr="00691F19" w:rsidRDefault="00F56F55" w:rsidP="00D13A23">
            <w:pPr>
              <w:jc w:val="center"/>
              <w:rPr>
                <w:rFonts w:ascii="Times New Roman" w:eastAsia="Times New Roman" w:hAnsi="Times New Roman" w:cs="Times New Roman"/>
                <w:b/>
                <w:lang w:eastAsia="ru-RU"/>
              </w:rPr>
            </w:pPr>
            <w:r w:rsidRPr="00691F19">
              <w:rPr>
                <w:rFonts w:ascii="Times New Roman" w:eastAsia="Times New Roman" w:hAnsi="Times New Roman" w:cs="Times New Roman"/>
                <w:b/>
                <w:lang w:eastAsia="ru-RU"/>
              </w:rPr>
              <w:t>24023,7</w:t>
            </w:r>
          </w:p>
        </w:tc>
        <w:tc>
          <w:tcPr>
            <w:tcW w:w="900" w:type="dxa"/>
            <w:tcBorders>
              <w:right w:val="single" w:sz="4" w:space="0" w:color="auto"/>
            </w:tcBorders>
            <w:vAlign w:val="center"/>
          </w:tcPr>
          <w:p w:rsidR="00F56F55" w:rsidRPr="00691F19" w:rsidRDefault="00F56F55" w:rsidP="00D13A23">
            <w:pPr>
              <w:ind w:left="-105" w:right="-26"/>
              <w:jc w:val="center"/>
              <w:rPr>
                <w:rFonts w:ascii="Times New Roman" w:eastAsia="Times New Roman" w:hAnsi="Times New Roman" w:cs="Times New Roman"/>
                <w:b/>
                <w:lang w:eastAsia="ru-RU"/>
              </w:rPr>
            </w:pPr>
            <w:r w:rsidRPr="00691F19">
              <w:rPr>
                <w:rFonts w:ascii="Times New Roman" w:eastAsia="Times New Roman" w:hAnsi="Times New Roman" w:cs="Times New Roman"/>
                <w:b/>
                <w:lang w:eastAsia="ru-RU"/>
              </w:rPr>
              <w:t>19972,4</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F56F55" w:rsidRPr="00691F19" w:rsidRDefault="00F56F55" w:rsidP="00D13A23">
            <w:pPr>
              <w:ind w:left="-105"/>
              <w:jc w:val="center"/>
              <w:rPr>
                <w:rFonts w:ascii="Times New Roman" w:eastAsia="Times New Roman" w:hAnsi="Times New Roman" w:cs="Times New Roman"/>
                <w:b/>
                <w:bCs/>
                <w:color w:val="000000"/>
                <w:lang w:eastAsia="ru-RU"/>
              </w:rPr>
            </w:pPr>
            <w:r w:rsidRPr="00691F19">
              <w:rPr>
                <w:rFonts w:ascii="Times New Roman" w:eastAsia="Times New Roman" w:hAnsi="Times New Roman" w:cs="Times New Roman"/>
                <w:b/>
                <w:bCs/>
                <w:color w:val="000000"/>
                <w:lang w:eastAsia="ru-RU"/>
              </w:rPr>
              <w:t>4051,3</w:t>
            </w:r>
          </w:p>
        </w:tc>
        <w:tc>
          <w:tcPr>
            <w:tcW w:w="810" w:type="dxa"/>
            <w:tcBorders>
              <w:left w:val="single" w:sz="4" w:space="0" w:color="auto"/>
            </w:tcBorders>
            <w:vAlign w:val="center"/>
          </w:tcPr>
          <w:p w:rsidR="00F56F55" w:rsidRPr="00691F19" w:rsidRDefault="00F56F55" w:rsidP="00D13A23">
            <w:pPr>
              <w:jc w:val="center"/>
              <w:rPr>
                <w:rFonts w:ascii="Times New Roman" w:eastAsia="Times New Roman" w:hAnsi="Times New Roman" w:cs="Times New Roman"/>
                <w:b/>
                <w:bCs/>
                <w:color w:val="000000"/>
                <w:lang w:eastAsia="ru-RU"/>
              </w:rPr>
            </w:pPr>
            <w:r w:rsidRPr="00691F19">
              <w:rPr>
                <w:rFonts w:ascii="Times New Roman" w:eastAsia="Times New Roman" w:hAnsi="Times New Roman" w:cs="Times New Roman"/>
                <w:b/>
                <w:bCs/>
                <w:color w:val="000000"/>
                <w:lang w:eastAsia="ru-RU"/>
              </w:rPr>
              <w:t>120,3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56F55" w:rsidRPr="00691F19" w:rsidRDefault="00F56F55" w:rsidP="00D13A23">
            <w:pPr>
              <w:jc w:val="center"/>
              <w:rPr>
                <w:rFonts w:ascii="Times New Roman" w:eastAsia="Times New Roman" w:hAnsi="Times New Roman" w:cs="Times New Roman"/>
                <w:b/>
                <w:color w:val="000000"/>
                <w:lang w:eastAsia="ru-RU"/>
              </w:rPr>
            </w:pPr>
            <w:r w:rsidRPr="00691F19">
              <w:rPr>
                <w:rFonts w:ascii="Times New Roman" w:eastAsia="Times New Roman" w:hAnsi="Times New Roman" w:cs="Times New Roman"/>
                <w:b/>
                <w:color w:val="000000"/>
                <w:lang w:eastAsia="ru-RU"/>
              </w:rPr>
              <w:t>16,0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56F55" w:rsidRPr="00691F19" w:rsidRDefault="00F56F55" w:rsidP="00D13A23">
            <w:pPr>
              <w:jc w:val="center"/>
              <w:rPr>
                <w:rFonts w:ascii="Times New Roman" w:eastAsia="Times New Roman" w:hAnsi="Times New Roman" w:cs="Times New Roman"/>
                <w:b/>
                <w:color w:val="000000"/>
                <w:lang w:eastAsia="ru-RU"/>
              </w:rPr>
            </w:pPr>
            <w:r w:rsidRPr="00691F19">
              <w:rPr>
                <w:rFonts w:ascii="Times New Roman" w:eastAsia="Times New Roman" w:hAnsi="Times New Roman" w:cs="Times New Roman"/>
                <w:b/>
                <w:color w:val="000000"/>
                <w:lang w:eastAsia="ru-RU"/>
              </w:rPr>
              <w:t>14,8</w:t>
            </w:r>
          </w:p>
        </w:tc>
      </w:tr>
      <w:tr w:rsidR="00F56F55" w:rsidRPr="00691F19" w:rsidTr="00365D6E">
        <w:trPr>
          <w:gridAfter w:val="1"/>
          <w:wAfter w:w="8" w:type="dxa"/>
        </w:trPr>
        <w:tc>
          <w:tcPr>
            <w:tcW w:w="3681" w:type="dxa"/>
          </w:tcPr>
          <w:p w:rsidR="00F56F55" w:rsidRPr="00691F19" w:rsidRDefault="00F56F55" w:rsidP="00B0321C">
            <w:pPr>
              <w:rPr>
                <w:rFonts w:ascii="Times New Roman" w:eastAsia="Times New Roman" w:hAnsi="Times New Roman" w:cs="Times New Roman"/>
                <w:lang w:eastAsia="ru-RU"/>
              </w:rPr>
            </w:pPr>
            <w:r w:rsidRPr="00691F19">
              <w:rPr>
                <w:rFonts w:ascii="Times New Roman" w:eastAsia="Times New Roman" w:hAnsi="Times New Roman" w:cs="Times New Roman"/>
                <w:lang w:eastAsia="ru-RU"/>
              </w:rPr>
              <w:t>Taxa pe valoare adăugată</w:t>
            </w:r>
          </w:p>
        </w:tc>
        <w:tc>
          <w:tcPr>
            <w:tcW w:w="990" w:type="dxa"/>
            <w:vAlign w:val="center"/>
          </w:tcPr>
          <w:p w:rsidR="00F56F55" w:rsidRPr="00691F19" w:rsidRDefault="00F56F55" w:rsidP="00D13A23">
            <w:pPr>
              <w:jc w:val="center"/>
              <w:rPr>
                <w:rFonts w:ascii="Times New Roman" w:eastAsia="Times New Roman" w:hAnsi="Times New Roman" w:cs="Times New Roman"/>
                <w:color w:val="000000"/>
                <w:lang w:eastAsia="ru-RU"/>
              </w:rPr>
            </w:pPr>
            <w:r w:rsidRPr="00691F19">
              <w:rPr>
                <w:rFonts w:ascii="Times New Roman" w:eastAsia="Times New Roman" w:hAnsi="Times New Roman" w:cs="Times New Roman"/>
                <w:color w:val="000000"/>
                <w:lang w:eastAsia="ru-RU"/>
              </w:rPr>
              <w:t>16728,2</w:t>
            </w:r>
          </w:p>
        </w:tc>
        <w:tc>
          <w:tcPr>
            <w:tcW w:w="990" w:type="dxa"/>
            <w:vAlign w:val="center"/>
          </w:tcPr>
          <w:p w:rsidR="00F56F55" w:rsidRPr="00691F19" w:rsidRDefault="00F56F55" w:rsidP="00D13A23">
            <w:pPr>
              <w:jc w:val="center"/>
              <w:rPr>
                <w:rFonts w:ascii="Times New Roman" w:eastAsia="Times New Roman" w:hAnsi="Times New Roman" w:cs="Times New Roman"/>
                <w:lang w:eastAsia="ru-RU"/>
              </w:rPr>
            </w:pPr>
            <w:r w:rsidRPr="00691F19">
              <w:rPr>
                <w:rFonts w:ascii="Times New Roman" w:eastAsia="Times New Roman" w:hAnsi="Times New Roman" w:cs="Times New Roman"/>
                <w:lang w:eastAsia="ru-RU"/>
              </w:rPr>
              <w:t>16788,8</w:t>
            </w:r>
          </w:p>
        </w:tc>
        <w:tc>
          <w:tcPr>
            <w:tcW w:w="900" w:type="dxa"/>
            <w:tcBorders>
              <w:right w:val="single" w:sz="4" w:space="0" w:color="auto"/>
            </w:tcBorders>
            <w:vAlign w:val="center"/>
          </w:tcPr>
          <w:p w:rsidR="00F56F55" w:rsidRPr="00691F19" w:rsidRDefault="00F56F55" w:rsidP="00D13A23">
            <w:pPr>
              <w:ind w:left="-105" w:right="-26"/>
              <w:jc w:val="center"/>
              <w:rPr>
                <w:rFonts w:ascii="Times New Roman" w:eastAsia="Times New Roman" w:hAnsi="Times New Roman" w:cs="Times New Roman"/>
                <w:lang w:eastAsia="ru-RU"/>
              </w:rPr>
            </w:pPr>
            <w:r w:rsidRPr="00691F19">
              <w:rPr>
                <w:rFonts w:ascii="Times New Roman" w:eastAsia="Times New Roman" w:hAnsi="Times New Roman" w:cs="Times New Roman"/>
                <w:lang w:eastAsia="ru-RU"/>
              </w:rPr>
              <w:t>14504,8</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F56F55" w:rsidRPr="00691F19" w:rsidRDefault="00F56F55" w:rsidP="00D13A23">
            <w:pPr>
              <w:ind w:left="-105"/>
              <w:jc w:val="center"/>
              <w:rPr>
                <w:rFonts w:ascii="Times New Roman" w:eastAsia="Times New Roman" w:hAnsi="Times New Roman" w:cs="Times New Roman"/>
                <w:color w:val="000000"/>
                <w:lang w:eastAsia="ru-RU"/>
              </w:rPr>
            </w:pPr>
            <w:r w:rsidRPr="00691F19">
              <w:rPr>
                <w:rFonts w:ascii="Times New Roman" w:eastAsia="Times New Roman" w:hAnsi="Times New Roman" w:cs="Times New Roman"/>
                <w:color w:val="000000"/>
                <w:lang w:eastAsia="ru-RU"/>
              </w:rPr>
              <w:t>2284</w:t>
            </w:r>
          </w:p>
        </w:tc>
        <w:tc>
          <w:tcPr>
            <w:tcW w:w="810" w:type="dxa"/>
            <w:tcBorders>
              <w:left w:val="single" w:sz="4" w:space="0" w:color="auto"/>
            </w:tcBorders>
            <w:vAlign w:val="center"/>
          </w:tcPr>
          <w:p w:rsidR="00F56F55" w:rsidRPr="00691F19" w:rsidRDefault="00F56F55" w:rsidP="00D13A23">
            <w:pPr>
              <w:jc w:val="center"/>
              <w:rPr>
                <w:rFonts w:ascii="Times New Roman" w:eastAsia="Times New Roman" w:hAnsi="Times New Roman" w:cs="Times New Roman"/>
                <w:bCs/>
                <w:color w:val="000000"/>
                <w:lang w:eastAsia="ru-RU"/>
              </w:rPr>
            </w:pPr>
            <w:r w:rsidRPr="00691F19">
              <w:rPr>
                <w:rFonts w:ascii="Times New Roman" w:eastAsia="Times New Roman" w:hAnsi="Times New Roman" w:cs="Times New Roman"/>
                <w:bCs/>
                <w:color w:val="000000"/>
                <w:lang w:eastAsia="ru-RU"/>
              </w:rPr>
              <w:t>115,7</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56F55" w:rsidRPr="00691F19" w:rsidRDefault="00F56F55" w:rsidP="00D13A23">
            <w:pPr>
              <w:jc w:val="center"/>
              <w:rPr>
                <w:rFonts w:ascii="Times New Roman" w:eastAsia="Times New Roman" w:hAnsi="Times New Roman" w:cs="Times New Roman"/>
                <w:color w:val="000000"/>
                <w:lang w:eastAsia="ru-RU"/>
              </w:rPr>
            </w:pPr>
            <w:r w:rsidRPr="00691F19">
              <w:rPr>
                <w:rFonts w:ascii="Times New Roman" w:eastAsia="Times New Roman" w:hAnsi="Times New Roman" w:cs="Times New Roman"/>
                <w:color w:val="000000"/>
                <w:lang w:eastAsia="ru-RU"/>
              </w:rPr>
              <w:t>11,2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56F55" w:rsidRPr="00691F19" w:rsidRDefault="00F56F55" w:rsidP="00D13A23">
            <w:pPr>
              <w:jc w:val="center"/>
              <w:rPr>
                <w:rFonts w:ascii="Times New Roman" w:eastAsia="Times New Roman" w:hAnsi="Times New Roman" w:cs="Times New Roman"/>
                <w:color w:val="000000"/>
                <w:lang w:eastAsia="ru-RU"/>
              </w:rPr>
            </w:pPr>
            <w:r w:rsidRPr="00691F19">
              <w:rPr>
                <w:rFonts w:ascii="Times New Roman" w:eastAsia="Times New Roman" w:hAnsi="Times New Roman" w:cs="Times New Roman"/>
                <w:color w:val="000000"/>
                <w:lang w:eastAsia="ru-RU"/>
              </w:rPr>
              <w:t>10,7</w:t>
            </w:r>
          </w:p>
        </w:tc>
      </w:tr>
      <w:tr w:rsidR="00F56F55" w:rsidRPr="00691F19" w:rsidTr="00365D6E">
        <w:trPr>
          <w:gridAfter w:val="1"/>
          <w:wAfter w:w="8" w:type="dxa"/>
        </w:trPr>
        <w:tc>
          <w:tcPr>
            <w:tcW w:w="3681" w:type="dxa"/>
          </w:tcPr>
          <w:p w:rsidR="00F56F55" w:rsidRPr="00691F19" w:rsidRDefault="00F56F55" w:rsidP="00B0321C">
            <w:pPr>
              <w:rPr>
                <w:rFonts w:ascii="Times New Roman" w:eastAsia="Times New Roman" w:hAnsi="Times New Roman" w:cs="Times New Roman"/>
                <w:lang w:eastAsia="ru-RU"/>
              </w:rPr>
            </w:pPr>
            <w:r w:rsidRPr="00691F19">
              <w:rPr>
                <w:rFonts w:ascii="Times New Roman" w:eastAsia="Times New Roman" w:hAnsi="Times New Roman" w:cs="Times New Roman"/>
                <w:lang w:eastAsia="ru-RU"/>
              </w:rPr>
              <w:t>Accize</w:t>
            </w:r>
          </w:p>
        </w:tc>
        <w:tc>
          <w:tcPr>
            <w:tcW w:w="990" w:type="dxa"/>
            <w:vAlign w:val="center"/>
          </w:tcPr>
          <w:p w:rsidR="00F56F55" w:rsidRPr="00691F19" w:rsidRDefault="00F56F55" w:rsidP="00D13A23">
            <w:pPr>
              <w:jc w:val="center"/>
              <w:rPr>
                <w:rFonts w:ascii="Times New Roman" w:eastAsia="Times New Roman" w:hAnsi="Times New Roman" w:cs="Times New Roman"/>
                <w:color w:val="000000"/>
                <w:lang w:eastAsia="ru-RU"/>
              </w:rPr>
            </w:pPr>
            <w:r w:rsidRPr="00691F19">
              <w:rPr>
                <w:rFonts w:ascii="Times New Roman" w:eastAsia="Times New Roman" w:hAnsi="Times New Roman" w:cs="Times New Roman"/>
                <w:color w:val="000000"/>
                <w:lang w:eastAsia="ru-RU"/>
              </w:rPr>
              <w:t>5641,7</w:t>
            </w:r>
          </w:p>
        </w:tc>
        <w:tc>
          <w:tcPr>
            <w:tcW w:w="990" w:type="dxa"/>
            <w:vAlign w:val="center"/>
          </w:tcPr>
          <w:p w:rsidR="00F56F55" w:rsidRPr="00691F19" w:rsidRDefault="00F56F55" w:rsidP="00D13A23">
            <w:pPr>
              <w:jc w:val="center"/>
              <w:rPr>
                <w:rFonts w:ascii="Times New Roman" w:eastAsia="Times New Roman" w:hAnsi="Times New Roman" w:cs="Times New Roman"/>
                <w:lang w:eastAsia="ru-RU"/>
              </w:rPr>
            </w:pPr>
            <w:r w:rsidRPr="00691F19">
              <w:rPr>
                <w:rFonts w:ascii="Times New Roman" w:eastAsia="Times New Roman" w:hAnsi="Times New Roman" w:cs="Times New Roman"/>
                <w:lang w:eastAsia="ru-RU"/>
              </w:rPr>
              <w:t>5947,0</w:t>
            </w:r>
          </w:p>
        </w:tc>
        <w:tc>
          <w:tcPr>
            <w:tcW w:w="900" w:type="dxa"/>
            <w:tcBorders>
              <w:right w:val="single" w:sz="4" w:space="0" w:color="auto"/>
            </w:tcBorders>
            <w:vAlign w:val="center"/>
          </w:tcPr>
          <w:p w:rsidR="00F56F55" w:rsidRPr="00691F19" w:rsidRDefault="00F56F55" w:rsidP="00D13A23">
            <w:pPr>
              <w:ind w:left="-105" w:right="-26"/>
              <w:jc w:val="center"/>
              <w:rPr>
                <w:rFonts w:ascii="Times New Roman" w:eastAsia="Times New Roman" w:hAnsi="Times New Roman" w:cs="Times New Roman"/>
                <w:lang w:eastAsia="ru-RU"/>
              </w:rPr>
            </w:pPr>
            <w:r w:rsidRPr="00691F19">
              <w:rPr>
                <w:rFonts w:ascii="Times New Roman" w:eastAsia="Times New Roman" w:hAnsi="Times New Roman" w:cs="Times New Roman"/>
                <w:lang w:eastAsia="ru-RU"/>
              </w:rPr>
              <w:t>4545,7</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F56F55" w:rsidRPr="00691F19" w:rsidRDefault="00F56F55" w:rsidP="00D13A23">
            <w:pPr>
              <w:ind w:left="-105"/>
              <w:jc w:val="center"/>
              <w:rPr>
                <w:rFonts w:ascii="Times New Roman" w:eastAsia="Times New Roman" w:hAnsi="Times New Roman" w:cs="Times New Roman"/>
                <w:color w:val="000000"/>
                <w:lang w:eastAsia="ru-RU"/>
              </w:rPr>
            </w:pPr>
            <w:r w:rsidRPr="00691F19">
              <w:rPr>
                <w:rFonts w:ascii="Times New Roman" w:eastAsia="Times New Roman" w:hAnsi="Times New Roman" w:cs="Times New Roman"/>
                <w:color w:val="000000"/>
                <w:lang w:eastAsia="ru-RU"/>
              </w:rPr>
              <w:t>1401,3</w:t>
            </w:r>
          </w:p>
        </w:tc>
        <w:tc>
          <w:tcPr>
            <w:tcW w:w="810" w:type="dxa"/>
            <w:tcBorders>
              <w:left w:val="single" w:sz="4" w:space="0" w:color="auto"/>
            </w:tcBorders>
            <w:vAlign w:val="center"/>
          </w:tcPr>
          <w:p w:rsidR="00F56F55" w:rsidRPr="00691F19" w:rsidRDefault="00F56F55" w:rsidP="00D13A23">
            <w:pPr>
              <w:jc w:val="center"/>
              <w:rPr>
                <w:rFonts w:ascii="Times New Roman" w:eastAsia="Times New Roman" w:hAnsi="Times New Roman" w:cs="Times New Roman"/>
                <w:bCs/>
                <w:color w:val="000000"/>
                <w:lang w:eastAsia="ru-RU"/>
              </w:rPr>
            </w:pPr>
            <w:r w:rsidRPr="00691F19">
              <w:rPr>
                <w:rFonts w:ascii="Times New Roman" w:eastAsia="Times New Roman" w:hAnsi="Times New Roman" w:cs="Times New Roman"/>
                <w:bCs/>
                <w:color w:val="000000"/>
                <w:lang w:eastAsia="ru-RU"/>
              </w:rPr>
              <w:t>130,8</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56F55" w:rsidRPr="00691F19" w:rsidRDefault="00F56F55" w:rsidP="00D13A23">
            <w:pPr>
              <w:jc w:val="center"/>
              <w:rPr>
                <w:rFonts w:ascii="Times New Roman" w:eastAsia="Times New Roman" w:hAnsi="Times New Roman" w:cs="Times New Roman"/>
                <w:color w:val="000000"/>
                <w:lang w:eastAsia="ru-RU"/>
              </w:rPr>
            </w:pPr>
            <w:r w:rsidRPr="00691F19">
              <w:rPr>
                <w:rFonts w:ascii="Times New Roman" w:eastAsia="Times New Roman" w:hAnsi="Times New Roman" w:cs="Times New Roman"/>
                <w:color w:val="000000"/>
                <w:lang w:eastAsia="ru-RU"/>
              </w:rPr>
              <w:t>4,0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56F55" w:rsidRPr="00691F19" w:rsidRDefault="00F56F55" w:rsidP="00D13A23">
            <w:pPr>
              <w:jc w:val="center"/>
              <w:rPr>
                <w:rFonts w:ascii="Times New Roman" w:eastAsia="Times New Roman" w:hAnsi="Times New Roman" w:cs="Times New Roman"/>
                <w:color w:val="000000"/>
                <w:lang w:eastAsia="ru-RU"/>
              </w:rPr>
            </w:pPr>
            <w:r w:rsidRPr="00691F19">
              <w:rPr>
                <w:rFonts w:ascii="Times New Roman" w:eastAsia="Times New Roman" w:hAnsi="Times New Roman" w:cs="Times New Roman"/>
                <w:color w:val="000000"/>
                <w:lang w:eastAsia="ru-RU"/>
              </w:rPr>
              <w:t>3,4</w:t>
            </w:r>
          </w:p>
        </w:tc>
      </w:tr>
      <w:tr w:rsidR="00F56F55" w:rsidRPr="00691F19" w:rsidTr="00365D6E">
        <w:trPr>
          <w:gridAfter w:val="1"/>
          <w:wAfter w:w="8" w:type="dxa"/>
        </w:trPr>
        <w:tc>
          <w:tcPr>
            <w:tcW w:w="3681" w:type="dxa"/>
          </w:tcPr>
          <w:p w:rsidR="00F56F55" w:rsidRPr="00691F19" w:rsidRDefault="00F56F55" w:rsidP="00B0321C">
            <w:pPr>
              <w:rPr>
                <w:rFonts w:ascii="Times New Roman" w:eastAsia="Times New Roman" w:hAnsi="Times New Roman" w:cs="Times New Roman"/>
                <w:lang w:eastAsia="ru-RU"/>
              </w:rPr>
            </w:pPr>
            <w:r w:rsidRPr="00691F19">
              <w:rPr>
                <w:rFonts w:ascii="Times New Roman" w:eastAsia="Times New Roman" w:hAnsi="Times New Roman" w:cs="Times New Roman"/>
                <w:lang w:eastAsia="ru-RU"/>
              </w:rPr>
              <w:t xml:space="preserve">Taxe pentru servicii specifice </w:t>
            </w:r>
          </w:p>
        </w:tc>
        <w:tc>
          <w:tcPr>
            <w:tcW w:w="990" w:type="dxa"/>
            <w:vAlign w:val="center"/>
          </w:tcPr>
          <w:p w:rsidR="00F56F55" w:rsidRPr="00691F19" w:rsidRDefault="00F56F55" w:rsidP="00D13A23">
            <w:pPr>
              <w:jc w:val="center"/>
              <w:rPr>
                <w:rFonts w:ascii="Times New Roman" w:eastAsia="Times New Roman" w:hAnsi="Times New Roman" w:cs="Times New Roman"/>
                <w:color w:val="000000"/>
                <w:lang w:eastAsia="ru-RU"/>
              </w:rPr>
            </w:pPr>
            <w:r w:rsidRPr="00691F19">
              <w:rPr>
                <w:rFonts w:ascii="Times New Roman" w:eastAsia="Times New Roman" w:hAnsi="Times New Roman" w:cs="Times New Roman"/>
                <w:color w:val="000000"/>
                <w:lang w:eastAsia="ru-RU"/>
              </w:rPr>
              <w:t>10,0</w:t>
            </w:r>
          </w:p>
        </w:tc>
        <w:tc>
          <w:tcPr>
            <w:tcW w:w="990" w:type="dxa"/>
            <w:vAlign w:val="center"/>
          </w:tcPr>
          <w:p w:rsidR="00F56F55" w:rsidRPr="00691F19" w:rsidRDefault="00F56F55" w:rsidP="00D13A23">
            <w:pPr>
              <w:jc w:val="center"/>
              <w:rPr>
                <w:rFonts w:ascii="Times New Roman" w:eastAsia="Times New Roman" w:hAnsi="Times New Roman" w:cs="Times New Roman"/>
                <w:lang w:eastAsia="ru-RU"/>
              </w:rPr>
            </w:pPr>
            <w:r w:rsidRPr="00691F19">
              <w:rPr>
                <w:rFonts w:ascii="Times New Roman" w:eastAsia="Times New Roman" w:hAnsi="Times New Roman" w:cs="Times New Roman"/>
                <w:lang w:eastAsia="ru-RU"/>
              </w:rPr>
              <w:t>9,6</w:t>
            </w:r>
          </w:p>
        </w:tc>
        <w:tc>
          <w:tcPr>
            <w:tcW w:w="900" w:type="dxa"/>
            <w:tcBorders>
              <w:right w:val="single" w:sz="4" w:space="0" w:color="auto"/>
            </w:tcBorders>
            <w:vAlign w:val="center"/>
          </w:tcPr>
          <w:p w:rsidR="00F56F55" w:rsidRPr="00691F19" w:rsidRDefault="00F56F55" w:rsidP="00D13A23">
            <w:pPr>
              <w:ind w:left="-105" w:right="-26"/>
              <w:jc w:val="center"/>
              <w:rPr>
                <w:rFonts w:ascii="Times New Roman" w:eastAsia="Times New Roman" w:hAnsi="Times New Roman" w:cs="Times New Roman"/>
                <w:lang w:eastAsia="ru-RU"/>
              </w:rPr>
            </w:pPr>
            <w:r w:rsidRPr="00691F19">
              <w:rPr>
                <w:rFonts w:ascii="Times New Roman" w:eastAsia="Times New Roman" w:hAnsi="Times New Roman" w:cs="Times New Roman"/>
                <w:lang w:eastAsia="ru-RU"/>
              </w:rPr>
              <w:t>12,7</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F56F55" w:rsidRPr="00691F19" w:rsidRDefault="00F56F55" w:rsidP="00D13A23">
            <w:pPr>
              <w:ind w:left="-105"/>
              <w:jc w:val="center"/>
              <w:rPr>
                <w:rFonts w:ascii="Times New Roman" w:eastAsia="Times New Roman" w:hAnsi="Times New Roman" w:cs="Times New Roman"/>
                <w:color w:val="000000"/>
                <w:lang w:eastAsia="ru-RU"/>
              </w:rPr>
            </w:pPr>
            <w:r w:rsidRPr="00691F19">
              <w:rPr>
                <w:rFonts w:ascii="Times New Roman" w:eastAsia="Times New Roman" w:hAnsi="Times New Roman" w:cs="Times New Roman"/>
                <w:color w:val="000000"/>
                <w:lang w:eastAsia="ru-RU"/>
              </w:rPr>
              <w:t>-3,1</w:t>
            </w:r>
          </w:p>
        </w:tc>
        <w:tc>
          <w:tcPr>
            <w:tcW w:w="810" w:type="dxa"/>
            <w:tcBorders>
              <w:left w:val="single" w:sz="4" w:space="0" w:color="auto"/>
            </w:tcBorders>
            <w:vAlign w:val="center"/>
          </w:tcPr>
          <w:p w:rsidR="00F56F55" w:rsidRPr="00691F19" w:rsidRDefault="00F56F55" w:rsidP="00D13A23">
            <w:pPr>
              <w:jc w:val="center"/>
              <w:rPr>
                <w:rFonts w:ascii="Times New Roman" w:eastAsia="Times New Roman" w:hAnsi="Times New Roman" w:cs="Times New Roman"/>
                <w:bCs/>
                <w:color w:val="000000"/>
                <w:lang w:eastAsia="ru-RU"/>
              </w:rPr>
            </w:pPr>
            <w:r w:rsidRPr="00691F19">
              <w:rPr>
                <w:rFonts w:ascii="Times New Roman" w:eastAsia="Times New Roman" w:hAnsi="Times New Roman" w:cs="Times New Roman"/>
                <w:bCs/>
                <w:color w:val="000000"/>
                <w:lang w:eastAsia="ru-RU"/>
              </w:rPr>
              <w:t>75,6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56F55" w:rsidRPr="00691F19" w:rsidRDefault="00F56F55" w:rsidP="00D13A23">
            <w:pPr>
              <w:jc w:val="center"/>
              <w:rPr>
                <w:rFonts w:ascii="Times New Roman" w:eastAsia="Times New Roman" w:hAnsi="Times New Roman" w:cs="Times New Roman"/>
                <w:color w:val="000000"/>
                <w:lang w:eastAsia="ru-RU"/>
              </w:rPr>
            </w:pPr>
            <w:r w:rsidRPr="00691F19">
              <w:rPr>
                <w:rFonts w:ascii="Times New Roman" w:eastAsia="Times New Roman" w:hAnsi="Times New Roman" w:cs="Times New Roman"/>
                <w:color w:val="000000"/>
                <w:lang w:eastAsia="ru-RU"/>
              </w:rPr>
              <w:t>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56F55" w:rsidRPr="00691F19" w:rsidRDefault="00F56F55" w:rsidP="00D13A23">
            <w:pPr>
              <w:jc w:val="center"/>
              <w:rPr>
                <w:rFonts w:ascii="Times New Roman" w:eastAsia="Times New Roman" w:hAnsi="Times New Roman" w:cs="Times New Roman"/>
                <w:color w:val="000000"/>
                <w:lang w:eastAsia="ru-RU"/>
              </w:rPr>
            </w:pPr>
            <w:r w:rsidRPr="00691F19">
              <w:rPr>
                <w:rFonts w:ascii="Times New Roman" w:eastAsia="Times New Roman" w:hAnsi="Times New Roman" w:cs="Times New Roman"/>
                <w:color w:val="000000"/>
                <w:lang w:eastAsia="ru-RU"/>
              </w:rPr>
              <w:t>0,0</w:t>
            </w:r>
          </w:p>
        </w:tc>
      </w:tr>
      <w:tr w:rsidR="00F56F55" w:rsidRPr="00691F19" w:rsidTr="00365D6E">
        <w:trPr>
          <w:gridAfter w:val="1"/>
          <w:wAfter w:w="8" w:type="dxa"/>
        </w:trPr>
        <w:tc>
          <w:tcPr>
            <w:tcW w:w="3681" w:type="dxa"/>
          </w:tcPr>
          <w:p w:rsidR="00F56F55" w:rsidRPr="00691F19" w:rsidRDefault="00F56F55" w:rsidP="00B0321C">
            <w:pPr>
              <w:rPr>
                <w:rFonts w:ascii="Times New Roman" w:eastAsia="Times New Roman" w:hAnsi="Times New Roman" w:cs="Times New Roman"/>
                <w:lang w:eastAsia="ru-RU"/>
              </w:rPr>
            </w:pPr>
            <w:r w:rsidRPr="00691F19">
              <w:rPr>
                <w:rFonts w:ascii="Times New Roman" w:eastAsia="Times New Roman" w:hAnsi="Times New Roman" w:cs="Times New Roman"/>
                <w:lang w:eastAsia="ru-RU"/>
              </w:rPr>
              <w:t>Taxe și plăți pentru utilizarea mărfurilor și pentru practicarea unor genuri de activitate</w:t>
            </w:r>
          </w:p>
        </w:tc>
        <w:tc>
          <w:tcPr>
            <w:tcW w:w="990" w:type="dxa"/>
            <w:vAlign w:val="center"/>
          </w:tcPr>
          <w:p w:rsidR="00F56F55" w:rsidRPr="00691F19" w:rsidRDefault="00F56F55" w:rsidP="00D13A23">
            <w:pPr>
              <w:jc w:val="center"/>
              <w:rPr>
                <w:rFonts w:ascii="Times New Roman" w:eastAsia="Times New Roman" w:hAnsi="Times New Roman" w:cs="Times New Roman"/>
                <w:color w:val="000000"/>
                <w:lang w:eastAsia="ru-RU"/>
              </w:rPr>
            </w:pPr>
            <w:r w:rsidRPr="00691F19">
              <w:rPr>
                <w:rFonts w:ascii="Times New Roman" w:eastAsia="Times New Roman" w:hAnsi="Times New Roman" w:cs="Times New Roman"/>
                <w:color w:val="000000"/>
                <w:lang w:eastAsia="ru-RU"/>
              </w:rPr>
              <w:t>373,6</w:t>
            </w:r>
          </w:p>
        </w:tc>
        <w:tc>
          <w:tcPr>
            <w:tcW w:w="990" w:type="dxa"/>
            <w:vAlign w:val="center"/>
          </w:tcPr>
          <w:p w:rsidR="00F56F55" w:rsidRPr="00691F19" w:rsidRDefault="00F56F55" w:rsidP="00D13A23">
            <w:pPr>
              <w:jc w:val="center"/>
              <w:rPr>
                <w:rFonts w:ascii="Times New Roman" w:eastAsia="Times New Roman" w:hAnsi="Times New Roman" w:cs="Times New Roman"/>
                <w:lang w:eastAsia="ru-RU"/>
              </w:rPr>
            </w:pPr>
            <w:r w:rsidRPr="00691F19">
              <w:rPr>
                <w:rFonts w:ascii="Times New Roman" w:eastAsia="Times New Roman" w:hAnsi="Times New Roman" w:cs="Times New Roman"/>
                <w:lang w:eastAsia="ru-RU"/>
              </w:rPr>
              <w:t>399,8</w:t>
            </w:r>
          </w:p>
        </w:tc>
        <w:tc>
          <w:tcPr>
            <w:tcW w:w="900" w:type="dxa"/>
            <w:tcBorders>
              <w:right w:val="single" w:sz="4" w:space="0" w:color="auto"/>
            </w:tcBorders>
            <w:vAlign w:val="center"/>
          </w:tcPr>
          <w:p w:rsidR="00F56F55" w:rsidRPr="00691F19" w:rsidRDefault="00F56F55" w:rsidP="00D13A23">
            <w:pPr>
              <w:ind w:left="-105" w:right="-26"/>
              <w:jc w:val="center"/>
              <w:rPr>
                <w:rFonts w:ascii="Times New Roman" w:eastAsia="Times New Roman" w:hAnsi="Times New Roman" w:cs="Times New Roman"/>
                <w:lang w:eastAsia="ru-RU"/>
              </w:rPr>
            </w:pPr>
            <w:r w:rsidRPr="00691F19">
              <w:rPr>
                <w:rFonts w:ascii="Times New Roman" w:eastAsia="Times New Roman" w:hAnsi="Times New Roman" w:cs="Times New Roman"/>
                <w:lang w:eastAsia="ru-RU"/>
              </w:rPr>
              <w:t>433,4</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F56F55" w:rsidRPr="00691F19" w:rsidRDefault="00F56F55" w:rsidP="00D13A23">
            <w:pPr>
              <w:ind w:left="-105"/>
              <w:jc w:val="center"/>
              <w:rPr>
                <w:rFonts w:ascii="Times New Roman" w:eastAsia="Times New Roman" w:hAnsi="Times New Roman" w:cs="Times New Roman"/>
                <w:color w:val="000000"/>
                <w:lang w:eastAsia="ru-RU"/>
              </w:rPr>
            </w:pPr>
            <w:r w:rsidRPr="00691F19">
              <w:rPr>
                <w:rFonts w:ascii="Times New Roman" w:eastAsia="Times New Roman" w:hAnsi="Times New Roman" w:cs="Times New Roman"/>
                <w:color w:val="000000"/>
                <w:lang w:eastAsia="ru-RU"/>
              </w:rPr>
              <w:t>-33,6</w:t>
            </w:r>
          </w:p>
        </w:tc>
        <w:tc>
          <w:tcPr>
            <w:tcW w:w="810" w:type="dxa"/>
            <w:tcBorders>
              <w:left w:val="single" w:sz="4" w:space="0" w:color="auto"/>
            </w:tcBorders>
            <w:vAlign w:val="center"/>
          </w:tcPr>
          <w:p w:rsidR="00F56F55" w:rsidRPr="00691F19" w:rsidRDefault="00F56F55" w:rsidP="00D13A23">
            <w:pPr>
              <w:jc w:val="center"/>
              <w:rPr>
                <w:rFonts w:ascii="Times New Roman" w:eastAsia="Times New Roman" w:hAnsi="Times New Roman" w:cs="Times New Roman"/>
                <w:bCs/>
                <w:color w:val="000000"/>
                <w:lang w:eastAsia="ru-RU"/>
              </w:rPr>
            </w:pPr>
            <w:r w:rsidRPr="00691F19">
              <w:rPr>
                <w:rFonts w:ascii="Times New Roman" w:eastAsia="Times New Roman" w:hAnsi="Times New Roman" w:cs="Times New Roman"/>
                <w:bCs/>
                <w:color w:val="000000"/>
                <w:lang w:eastAsia="ru-RU"/>
              </w:rPr>
              <w:t>92,2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56F55" w:rsidRPr="00691F19" w:rsidRDefault="00F56F55" w:rsidP="00D13A23">
            <w:pPr>
              <w:jc w:val="center"/>
              <w:rPr>
                <w:rFonts w:ascii="Times New Roman" w:eastAsia="Times New Roman" w:hAnsi="Times New Roman" w:cs="Times New Roman"/>
                <w:color w:val="000000"/>
                <w:lang w:eastAsia="ru-RU"/>
              </w:rPr>
            </w:pPr>
            <w:r w:rsidRPr="00691F19">
              <w:rPr>
                <w:rFonts w:ascii="Times New Roman" w:eastAsia="Times New Roman" w:hAnsi="Times New Roman" w:cs="Times New Roman"/>
                <w:color w:val="000000"/>
                <w:lang w:eastAsia="ru-RU"/>
              </w:rPr>
              <w:t>0,3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56F55" w:rsidRPr="00691F19" w:rsidRDefault="00F56F55" w:rsidP="00D13A23">
            <w:pPr>
              <w:jc w:val="center"/>
              <w:rPr>
                <w:rFonts w:ascii="Times New Roman" w:eastAsia="Times New Roman" w:hAnsi="Times New Roman" w:cs="Times New Roman"/>
                <w:color w:val="000000"/>
                <w:lang w:eastAsia="ru-RU"/>
              </w:rPr>
            </w:pPr>
            <w:r w:rsidRPr="00691F19">
              <w:rPr>
                <w:rFonts w:ascii="Times New Roman" w:eastAsia="Times New Roman" w:hAnsi="Times New Roman" w:cs="Times New Roman"/>
                <w:color w:val="000000"/>
                <w:lang w:eastAsia="ru-RU"/>
              </w:rPr>
              <w:t>0,3</w:t>
            </w:r>
          </w:p>
        </w:tc>
      </w:tr>
      <w:tr w:rsidR="00F56F55" w:rsidRPr="00691F19" w:rsidTr="00365D6E">
        <w:trPr>
          <w:gridAfter w:val="1"/>
          <w:wAfter w:w="8" w:type="dxa"/>
        </w:trPr>
        <w:tc>
          <w:tcPr>
            <w:tcW w:w="3681" w:type="dxa"/>
          </w:tcPr>
          <w:p w:rsidR="00F56F55" w:rsidRPr="00691F19" w:rsidRDefault="00F56F55" w:rsidP="00B0321C">
            <w:pPr>
              <w:rPr>
                <w:rFonts w:ascii="Times New Roman" w:eastAsia="Times New Roman" w:hAnsi="Times New Roman" w:cs="Times New Roman"/>
                <w:lang w:eastAsia="ru-RU"/>
              </w:rPr>
            </w:pPr>
            <w:r w:rsidRPr="00691F19">
              <w:rPr>
                <w:rFonts w:ascii="Times New Roman" w:eastAsia="Times New Roman" w:hAnsi="Times New Roman" w:cs="Times New Roman"/>
                <w:lang w:eastAsia="ru-RU"/>
              </w:rPr>
              <w:t>Alte taxe pentru mărfuri și servicii</w:t>
            </w:r>
          </w:p>
        </w:tc>
        <w:tc>
          <w:tcPr>
            <w:tcW w:w="990" w:type="dxa"/>
            <w:vAlign w:val="center"/>
          </w:tcPr>
          <w:p w:rsidR="00F56F55" w:rsidRPr="00691F19" w:rsidRDefault="00F56F55" w:rsidP="00D13A23">
            <w:pPr>
              <w:jc w:val="center"/>
              <w:rPr>
                <w:rFonts w:ascii="Times New Roman" w:eastAsia="Times New Roman" w:hAnsi="Times New Roman" w:cs="Times New Roman"/>
                <w:color w:val="000000"/>
                <w:lang w:eastAsia="ru-RU"/>
              </w:rPr>
            </w:pPr>
            <w:r w:rsidRPr="00691F19">
              <w:rPr>
                <w:rFonts w:ascii="Times New Roman" w:eastAsia="Times New Roman" w:hAnsi="Times New Roman" w:cs="Times New Roman"/>
                <w:color w:val="000000"/>
                <w:lang w:eastAsia="ru-RU"/>
              </w:rPr>
              <w:t>892,7</w:t>
            </w:r>
          </w:p>
        </w:tc>
        <w:tc>
          <w:tcPr>
            <w:tcW w:w="990" w:type="dxa"/>
            <w:vAlign w:val="center"/>
          </w:tcPr>
          <w:p w:rsidR="00F56F55" w:rsidRPr="00691F19" w:rsidRDefault="00F56F55" w:rsidP="00D13A23">
            <w:pPr>
              <w:jc w:val="center"/>
              <w:rPr>
                <w:rFonts w:ascii="Times New Roman" w:eastAsia="Times New Roman" w:hAnsi="Times New Roman" w:cs="Times New Roman"/>
                <w:lang w:eastAsia="ru-RU"/>
              </w:rPr>
            </w:pPr>
            <w:r w:rsidRPr="00691F19">
              <w:rPr>
                <w:rFonts w:ascii="Times New Roman" w:eastAsia="Times New Roman" w:hAnsi="Times New Roman" w:cs="Times New Roman"/>
                <w:lang w:eastAsia="ru-RU"/>
              </w:rPr>
              <w:t>878,6</w:t>
            </w:r>
          </w:p>
        </w:tc>
        <w:tc>
          <w:tcPr>
            <w:tcW w:w="900" w:type="dxa"/>
            <w:tcBorders>
              <w:right w:val="single" w:sz="4" w:space="0" w:color="auto"/>
            </w:tcBorders>
            <w:vAlign w:val="center"/>
          </w:tcPr>
          <w:p w:rsidR="00F56F55" w:rsidRPr="00691F19" w:rsidRDefault="00F56F55" w:rsidP="00D13A23">
            <w:pPr>
              <w:ind w:left="-105" w:right="-26"/>
              <w:jc w:val="center"/>
              <w:rPr>
                <w:rFonts w:ascii="Times New Roman" w:eastAsia="Times New Roman" w:hAnsi="Times New Roman" w:cs="Times New Roman"/>
                <w:lang w:eastAsia="ru-RU"/>
              </w:rPr>
            </w:pPr>
            <w:r w:rsidRPr="00691F19">
              <w:rPr>
                <w:rFonts w:ascii="Times New Roman" w:eastAsia="Times New Roman" w:hAnsi="Times New Roman" w:cs="Times New Roman"/>
                <w:lang w:eastAsia="ru-RU"/>
              </w:rPr>
              <w:t>475,8</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F56F55" w:rsidRPr="00691F19" w:rsidRDefault="00F56F55" w:rsidP="00D13A23">
            <w:pPr>
              <w:ind w:left="-105"/>
              <w:jc w:val="center"/>
              <w:rPr>
                <w:rFonts w:ascii="Times New Roman" w:eastAsia="Times New Roman" w:hAnsi="Times New Roman" w:cs="Times New Roman"/>
                <w:color w:val="000000"/>
                <w:lang w:eastAsia="ru-RU"/>
              </w:rPr>
            </w:pPr>
            <w:r w:rsidRPr="00691F19">
              <w:rPr>
                <w:rFonts w:ascii="Times New Roman" w:eastAsia="Times New Roman" w:hAnsi="Times New Roman" w:cs="Times New Roman"/>
                <w:color w:val="000000"/>
                <w:lang w:eastAsia="ru-RU"/>
              </w:rPr>
              <w:t>402,8</w:t>
            </w:r>
          </w:p>
        </w:tc>
        <w:tc>
          <w:tcPr>
            <w:tcW w:w="810" w:type="dxa"/>
            <w:tcBorders>
              <w:left w:val="single" w:sz="4" w:space="0" w:color="auto"/>
            </w:tcBorders>
            <w:vAlign w:val="center"/>
          </w:tcPr>
          <w:p w:rsidR="00F56F55" w:rsidRPr="00691F19" w:rsidRDefault="00F56F55" w:rsidP="00D13A23">
            <w:pPr>
              <w:jc w:val="center"/>
              <w:rPr>
                <w:rFonts w:ascii="Times New Roman" w:eastAsia="Times New Roman" w:hAnsi="Times New Roman" w:cs="Times New Roman"/>
                <w:bCs/>
                <w:color w:val="000000"/>
                <w:lang w:eastAsia="ru-RU"/>
              </w:rPr>
            </w:pPr>
            <w:r w:rsidRPr="00691F19">
              <w:rPr>
                <w:rFonts w:ascii="Times New Roman" w:eastAsia="Times New Roman" w:hAnsi="Times New Roman" w:cs="Times New Roman"/>
                <w:bCs/>
                <w:color w:val="000000"/>
                <w:lang w:eastAsia="ru-RU"/>
              </w:rPr>
              <w:t>184,7</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56F55" w:rsidRPr="00691F19" w:rsidRDefault="00F56F55" w:rsidP="00D13A23">
            <w:pPr>
              <w:jc w:val="center"/>
              <w:rPr>
                <w:rFonts w:ascii="Times New Roman" w:eastAsia="Times New Roman" w:hAnsi="Times New Roman" w:cs="Times New Roman"/>
                <w:color w:val="000000"/>
                <w:lang w:eastAsia="ru-RU"/>
              </w:rPr>
            </w:pPr>
            <w:r w:rsidRPr="00691F19">
              <w:rPr>
                <w:rFonts w:ascii="Times New Roman" w:eastAsia="Times New Roman" w:hAnsi="Times New Roman" w:cs="Times New Roman"/>
                <w:color w:val="000000"/>
                <w:lang w:eastAsia="ru-RU"/>
              </w:rPr>
              <w:t>0,6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56F55" w:rsidRPr="00691F19" w:rsidRDefault="00F56F55" w:rsidP="00D13A23">
            <w:pPr>
              <w:jc w:val="center"/>
              <w:rPr>
                <w:rFonts w:ascii="Times New Roman" w:eastAsia="Times New Roman" w:hAnsi="Times New Roman" w:cs="Times New Roman"/>
                <w:color w:val="000000"/>
                <w:lang w:eastAsia="ru-RU"/>
              </w:rPr>
            </w:pPr>
            <w:r w:rsidRPr="00691F19">
              <w:rPr>
                <w:rFonts w:ascii="Times New Roman" w:eastAsia="Times New Roman" w:hAnsi="Times New Roman" w:cs="Times New Roman"/>
                <w:color w:val="000000"/>
                <w:lang w:eastAsia="ru-RU"/>
              </w:rPr>
              <w:t>0,4</w:t>
            </w:r>
          </w:p>
        </w:tc>
      </w:tr>
      <w:tr w:rsidR="00F56F55" w:rsidRPr="00691F19" w:rsidTr="00365D6E">
        <w:trPr>
          <w:gridAfter w:val="1"/>
          <w:wAfter w:w="8" w:type="dxa"/>
        </w:trPr>
        <w:tc>
          <w:tcPr>
            <w:tcW w:w="3681" w:type="dxa"/>
          </w:tcPr>
          <w:p w:rsidR="00F56F55" w:rsidRPr="00691F19" w:rsidRDefault="00F56F55" w:rsidP="00B0321C">
            <w:pPr>
              <w:rPr>
                <w:rFonts w:ascii="Times New Roman" w:eastAsia="Times New Roman" w:hAnsi="Times New Roman" w:cs="Times New Roman"/>
                <w:b/>
                <w:lang w:eastAsia="ru-RU"/>
              </w:rPr>
            </w:pPr>
            <w:r w:rsidRPr="00691F19">
              <w:rPr>
                <w:rFonts w:ascii="Times New Roman" w:eastAsia="Times New Roman" w:hAnsi="Times New Roman" w:cs="Times New Roman"/>
                <w:b/>
                <w:lang w:eastAsia="ru-RU"/>
              </w:rPr>
              <w:t>Taxa asupra comerțului exterior și operațiunilor externe</w:t>
            </w:r>
          </w:p>
        </w:tc>
        <w:tc>
          <w:tcPr>
            <w:tcW w:w="990" w:type="dxa"/>
            <w:vAlign w:val="center"/>
          </w:tcPr>
          <w:p w:rsidR="00F56F55" w:rsidRPr="00691F19" w:rsidRDefault="00F56F55" w:rsidP="00D13A23">
            <w:pPr>
              <w:jc w:val="center"/>
              <w:rPr>
                <w:rFonts w:ascii="Times New Roman" w:eastAsia="Times New Roman" w:hAnsi="Times New Roman" w:cs="Times New Roman"/>
                <w:b/>
                <w:color w:val="000000"/>
                <w:lang w:eastAsia="ru-RU"/>
              </w:rPr>
            </w:pPr>
            <w:r w:rsidRPr="00691F19">
              <w:rPr>
                <w:rFonts w:ascii="Times New Roman" w:eastAsia="Times New Roman" w:hAnsi="Times New Roman" w:cs="Times New Roman"/>
                <w:b/>
                <w:color w:val="000000"/>
                <w:lang w:eastAsia="ru-RU"/>
              </w:rPr>
              <w:t>1478,7</w:t>
            </w:r>
          </w:p>
        </w:tc>
        <w:tc>
          <w:tcPr>
            <w:tcW w:w="990" w:type="dxa"/>
            <w:vAlign w:val="center"/>
          </w:tcPr>
          <w:p w:rsidR="00F56F55" w:rsidRPr="00691F19" w:rsidRDefault="00F56F55" w:rsidP="00D13A23">
            <w:pPr>
              <w:jc w:val="center"/>
              <w:rPr>
                <w:rFonts w:ascii="Times New Roman" w:eastAsia="Times New Roman" w:hAnsi="Times New Roman" w:cs="Times New Roman"/>
                <w:b/>
                <w:lang w:eastAsia="ru-RU"/>
              </w:rPr>
            </w:pPr>
            <w:r w:rsidRPr="00691F19">
              <w:rPr>
                <w:rFonts w:ascii="Times New Roman" w:eastAsia="Times New Roman" w:hAnsi="Times New Roman" w:cs="Times New Roman"/>
                <w:b/>
                <w:lang w:eastAsia="ru-RU"/>
              </w:rPr>
              <w:t>1591,1</w:t>
            </w:r>
          </w:p>
        </w:tc>
        <w:tc>
          <w:tcPr>
            <w:tcW w:w="900" w:type="dxa"/>
            <w:tcBorders>
              <w:right w:val="single" w:sz="4" w:space="0" w:color="auto"/>
            </w:tcBorders>
            <w:vAlign w:val="center"/>
          </w:tcPr>
          <w:p w:rsidR="00F56F55" w:rsidRPr="00691F19" w:rsidRDefault="00F56F55" w:rsidP="00D13A23">
            <w:pPr>
              <w:ind w:left="-105" w:right="-26"/>
              <w:jc w:val="center"/>
              <w:rPr>
                <w:rFonts w:ascii="Times New Roman" w:eastAsia="Times New Roman" w:hAnsi="Times New Roman" w:cs="Times New Roman"/>
                <w:b/>
                <w:lang w:eastAsia="ru-RU"/>
              </w:rPr>
            </w:pPr>
            <w:r w:rsidRPr="00691F19">
              <w:rPr>
                <w:rFonts w:ascii="Times New Roman" w:eastAsia="Times New Roman" w:hAnsi="Times New Roman" w:cs="Times New Roman"/>
                <w:b/>
                <w:lang w:eastAsia="ru-RU"/>
              </w:rPr>
              <w:t>1451,8</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F56F55" w:rsidRPr="00691F19" w:rsidRDefault="00F56F55" w:rsidP="00D13A23">
            <w:pPr>
              <w:ind w:left="-105"/>
              <w:jc w:val="center"/>
              <w:rPr>
                <w:rFonts w:ascii="Times New Roman" w:eastAsia="Times New Roman" w:hAnsi="Times New Roman" w:cs="Times New Roman"/>
                <w:b/>
                <w:bCs/>
                <w:color w:val="000000"/>
                <w:lang w:eastAsia="ru-RU"/>
              </w:rPr>
            </w:pPr>
            <w:r w:rsidRPr="00691F19">
              <w:rPr>
                <w:rFonts w:ascii="Times New Roman" w:eastAsia="Times New Roman" w:hAnsi="Times New Roman" w:cs="Times New Roman"/>
                <w:b/>
                <w:bCs/>
                <w:color w:val="000000"/>
                <w:lang w:eastAsia="ru-RU"/>
              </w:rPr>
              <w:t>139,3</w:t>
            </w:r>
          </w:p>
        </w:tc>
        <w:tc>
          <w:tcPr>
            <w:tcW w:w="810" w:type="dxa"/>
            <w:tcBorders>
              <w:left w:val="single" w:sz="4" w:space="0" w:color="auto"/>
            </w:tcBorders>
            <w:vAlign w:val="center"/>
          </w:tcPr>
          <w:p w:rsidR="00F56F55" w:rsidRPr="00691F19" w:rsidRDefault="00F56F55" w:rsidP="00D13A23">
            <w:pPr>
              <w:jc w:val="center"/>
              <w:rPr>
                <w:rFonts w:ascii="Times New Roman" w:eastAsia="Times New Roman" w:hAnsi="Times New Roman" w:cs="Times New Roman"/>
                <w:b/>
                <w:bCs/>
                <w:color w:val="000000"/>
                <w:lang w:eastAsia="ru-RU"/>
              </w:rPr>
            </w:pPr>
            <w:r w:rsidRPr="00691F19">
              <w:rPr>
                <w:rFonts w:ascii="Times New Roman" w:eastAsia="Times New Roman" w:hAnsi="Times New Roman" w:cs="Times New Roman"/>
                <w:b/>
                <w:bCs/>
                <w:color w:val="000000"/>
                <w:lang w:eastAsia="ru-RU"/>
              </w:rPr>
              <w:t>109,6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56F55" w:rsidRPr="00691F19" w:rsidRDefault="00F56F55" w:rsidP="00D13A23">
            <w:pPr>
              <w:jc w:val="center"/>
              <w:rPr>
                <w:rFonts w:ascii="Times New Roman" w:eastAsia="Times New Roman" w:hAnsi="Times New Roman" w:cs="Times New Roman"/>
                <w:b/>
                <w:color w:val="000000"/>
                <w:lang w:eastAsia="ru-RU"/>
              </w:rPr>
            </w:pPr>
            <w:r w:rsidRPr="00691F19">
              <w:rPr>
                <w:rFonts w:ascii="Times New Roman" w:eastAsia="Times New Roman" w:hAnsi="Times New Roman" w:cs="Times New Roman"/>
                <w:b/>
                <w:color w:val="000000"/>
                <w:lang w:eastAsia="ru-RU"/>
              </w:rPr>
              <w:t>1,1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56F55" w:rsidRPr="00691F19" w:rsidRDefault="00F56F55" w:rsidP="00D13A23">
            <w:pPr>
              <w:jc w:val="center"/>
              <w:rPr>
                <w:rFonts w:ascii="Times New Roman" w:eastAsia="Times New Roman" w:hAnsi="Times New Roman" w:cs="Times New Roman"/>
                <w:b/>
                <w:color w:val="000000"/>
                <w:lang w:eastAsia="ru-RU"/>
              </w:rPr>
            </w:pPr>
            <w:r w:rsidRPr="00691F19">
              <w:rPr>
                <w:rFonts w:ascii="Times New Roman" w:eastAsia="Times New Roman" w:hAnsi="Times New Roman" w:cs="Times New Roman"/>
                <w:b/>
                <w:color w:val="000000"/>
                <w:lang w:eastAsia="ru-RU"/>
              </w:rPr>
              <w:t>1,1</w:t>
            </w:r>
          </w:p>
        </w:tc>
      </w:tr>
      <w:tr w:rsidR="00F56F55" w:rsidRPr="00691F19" w:rsidTr="00365D6E">
        <w:trPr>
          <w:gridAfter w:val="1"/>
          <w:wAfter w:w="8" w:type="dxa"/>
        </w:trPr>
        <w:tc>
          <w:tcPr>
            <w:tcW w:w="3681" w:type="dxa"/>
          </w:tcPr>
          <w:p w:rsidR="00F56F55" w:rsidRPr="00691F19" w:rsidRDefault="00F56F55" w:rsidP="00B0321C">
            <w:pPr>
              <w:rPr>
                <w:rFonts w:ascii="Times New Roman" w:eastAsia="Times New Roman" w:hAnsi="Times New Roman" w:cs="Times New Roman"/>
                <w:lang w:eastAsia="ru-RU"/>
              </w:rPr>
            </w:pPr>
            <w:r w:rsidRPr="00691F19">
              <w:rPr>
                <w:rFonts w:ascii="Times New Roman" w:eastAsia="Times New Roman" w:hAnsi="Times New Roman" w:cs="Times New Roman"/>
                <w:lang w:eastAsia="ru-RU"/>
              </w:rPr>
              <w:t>Taxe vamale și alte taxe de import</w:t>
            </w:r>
          </w:p>
        </w:tc>
        <w:tc>
          <w:tcPr>
            <w:tcW w:w="990" w:type="dxa"/>
            <w:vAlign w:val="center"/>
          </w:tcPr>
          <w:p w:rsidR="00F56F55" w:rsidRPr="00691F19" w:rsidRDefault="00F56F55" w:rsidP="00D13A23">
            <w:pPr>
              <w:jc w:val="center"/>
              <w:rPr>
                <w:rFonts w:ascii="Times New Roman" w:eastAsia="Times New Roman" w:hAnsi="Times New Roman" w:cs="Times New Roman"/>
                <w:color w:val="000000"/>
                <w:lang w:eastAsia="ru-RU"/>
              </w:rPr>
            </w:pPr>
            <w:r w:rsidRPr="00691F19">
              <w:rPr>
                <w:rFonts w:ascii="Times New Roman" w:eastAsia="Times New Roman" w:hAnsi="Times New Roman" w:cs="Times New Roman"/>
                <w:color w:val="000000"/>
                <w:lang w:eastAsia="ru-RU"/>
              </w:rPr>
              <w:t>993,1</w:t>
            </w:r>
          </w:p>
        </w:tc>
        <w:tc>
          <w:tcPr>
            <w:tcW w:w="990" w:type="dxa"/>
            <w:vAlign w:val="center"/>
          </w:tcPr>
          <w:p w:rsidR="00F56F55" w:rsidRPr="00691F19" w:rsidRDefault="00F56F55" w:rsidP="00D13A23">
            <w:pPr>
              <w:jc w:val="center"/>
              <w:rPr>
                <w:rFonts w:ascii="Times New Roman" w:eastAsia="Times New Roman" w:hAnsi="Times New Roman" w:cs="Times New Roman"/>
                <w:lang w:eastAsia="ru-RU"/>
              </w:rPr>
            </w:pPr>
            <w:r w:rsidRPr="00691F19">
              <w:rPr>
                <w:rFonts w:ascii="Times New Roman" w:eastAsia="Times New Roman" w:hAnsi="Times New Roman" w:cs="Times New Roman"/>
                <w:lang w:eastAsia="ru-RU"/>
              </w:rPr>
              <w:t>1068,1</w:t>
            </w:r>
          </w:p>
        </w:tc>
        <w:tc>
          <w:tcPr>
            <w:tcW w:w="900" w:type="dxa"/>
            <w:tcBorders>
              <w:right w:val="single" w:sz="4" w:space="0" w:color="auto"/>
            </w:tcBorders>
            <w:vAlign w:val="center"/>
          </w:tcPr>
          <w:p w:rsidR="00F56F55" w:rsidRPr="00691F19" w:rsidRDefault="00F56F55" w:rsidP="00D13A23">
            <w:pPr>
              <w:ind w:left="-105" w:right="-26"/>
              <w:jc w:val="center"/>
              <w:rPr>
                <w:rFonts w:ascii="Times New Roman" w:eastAsia="Times New Roman" w:hAnsi="Times New Roman" w:cs="Times New Roman"/>
                <w:lang w:eastAsia="ru-RU"/>
              </w:rPr>
            </w:pPr>
            <w:r w:rsidRPr="00691F19">
              <w:rPr>
                <w:rFonts w:ascii="Times New Roman" w:eastAsia="Times New Roman" w:hAnsi="Times New Roman" w:cs="Times New Roman"/>
                <w:lang w:eastAsia="ru-RU"/>
              </w:rPr>
              <w:t>983,1</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F56F55" w:rsidRPr="00691F19" w:rsidRDefault="00F56F55" w:rsidP="00D13A23">
            <w:pPr>
              <w:ind w:left="-105"/>
              <w:jc w:val="center"/>
              <w:rPr>
                <w:rFonts w:ascii="Times New Roman" w:eastAsia="Times New Roman" w:hAnsi="Times New Roman" w:cs="Times New Roman"/>
                <w:color w:val="000000"/>
                <w:lang w:eastAsia="ru-RU"/>
              </w:rPr>
            </w:pPr>
            <w:r w:rsidRPr="00691F19">
              <w:rPr>
                <w:rFonts w:ascii="Times New Roman" w:eastAsia="Times New Roman" w:hAnsi="Times New Roman" w:cs="Times New Roman"/>
                <w:color w:val="000000"/>
                <w:lang w:eastAsia="ru-RU"/>
              </w:rPr>
              <w:t>85</w:t>
            </w:r>
          </w:p>
        </w:tc>
        <w:tc>
          <w:tcPr>
            <w:tcW w:w="810" w:type="dxa"/>
            <w:tcBorders>
              <w:left w:val="single" w:sz="4" w:space="0" w:color="auto"/>
            </w:tcBorders>
            <w:vAlign w:val="center"/>
          </w:tcPr>
          <w:p w:rsidR="00F56F55" w:rsidRPr="00691F19" w:rsidRDefault="00F56F55" w:rsidP="00D13A23">
            <w:pPr>
              <w:jc w:val="center"/>
              <w:rPr>
                <w:rFonts w:ascii="Times New Roman" w:eastAsia="Times New Roman" w:hAnsi="Times New Roman" w:cs="Times New Roman"/>
                <w:bCs/>
                <w:color w:val="000000"/>
                <w:lang w:eastAsia="ru-RU"/>
              </w:rPr>
            </w:pPr>
            <w:r w:rsidRPr="00691F19">
              <w:rPr>
                <w:rFonts w:ascii="Times New Roman" w:eastAsia="Times New Roman" w:hAnsi="Times New Roman" w:cs="Times New Roman"/>
                <w:bCs/>
                <w:color w:val="000000"/>
                <w:lang w:eastAsia="ru-RU"/>
              </w:rPr>
              <w:t>108,6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56F55" w:rsidRPr="00691F19" w:rsidRDefault="00F56F55" w:rsidP="00D13A23">
            <w:pPr>
              <w:jc w:val="center"/>
              <w:rPr>
                <w:rFonts w:ascii="Times New Roman" w:eastAsia="Times New Roman" w:hAnsi="Times New Roman" w:cs="Times New Roman"/>
                <w:color w:val="000000"/>
                <w:lang w:eastAsia="ru-RU"/>
              </w:rPr>
            </w:pPr>
            <w:r w:rsidRPr="00691F19">
              <w:rPr>
                <w:rFonts w:ascii="Times New Roman" w:eastAsia="Times New Roman" w:hAnsi="Times New Roman" w:cs="Times New Roman"/>
                <w:color w:val="000000"/>
                <w:lang w:eastAsia="ru-RU"/>
              </w:rPr>
              <w:t>0,7</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56F55" w:rsidRPr="00691F19" w:rsidRDefault="00F56F55" w:rsidP="00D13A23">
            <w:pPr>
              <w:jc w:val="center"/>
              <w:rPr>
                <w:rFonts w:ascii="Times New Roman" w:eastAsia="Times New Roman" w:hAnsi="Times New Roman" w:cs="Times New Roman"/>
                <w:color w:val="000000"/>
                <w:lang w:eastAsia="ru-RU"/>
              </w:rPr>
            </w:pPr>
            <w:r w:rsidRPr="00691F19">
              <w:rPr>
                <w:rFonts w:ascii="Times New Roman" w:eastAsia="Times New Roman" w:hAnsi="Times New Roman" w:cs="Times New Roman"/>
                <w:color w:val="000000"/>
                <w:lang w:eastAsia="ru-RU"/>
              </w:rPr>
              <w:t>0,7</w:t>
            </w:r>
          </w:p>
        </w:tc>
      </w:tr>
      <w:tr w:rsidR="00F56F55" w:rsidRPr="00691F19" w:rsidTr="00365D6E">
        <w:trPr>
          <w:gridAfter w:val="1"/>
          <w:wAfter w:w="8" w:type="dxa"/>
        </w:trPr>
        <w:tc>
          <w:tcPr>
            <w:tcW w:w="3681" w:type="dxa"/>
          </w:tcPr>
          <w:p w:rsidR="00F56F55" w:rsidRPr="00691F19" w:rsidRDefault="00F56F55" w:rsidP="00B0321C">
            <w:pPr>
              <w:rPr>
                <w:rFonts w:ascii="Times New Roman" w:eastAsia="Times New Roman" w:hAnsi="Times New Roman" w:cs="Times New Roman"/>
                <w:lang w:eastAsia="ru-RU"/>
              </w:rPr>
            </w:pPr>
            <w:r w:rsidRPr="00691F19">
              <w:rPr>
                <w:rFonts w:ascii="Times New Roman" w:eastAsia="Times New Roman" w:hAnsi="Times New Roman" w:cs="Times New Roman"/>
                <w:lang w:eastAsia="ru-RU"/>
              </w:rPr>
              <w:t>Alte taxe asupra comerțului exterior și operațiunilor externe</w:t>
            </w:r>
          </w:p>
        </w:tc>
        <w:tc>
          <w:tcPr>
            <w:tcW w:w="990" w:type="dxa"/>
            <w:vAlign w:val="center"/>
          </w:tcPr>
          <w:p w:rsidR="00F56F55" w:rsidRPr="00691F19" w:rsidRDefault="00F56F55" w:rsidP="00D13A23">
            <w:pPr>
              <w:jc w:val="center"/>
              <w:rPr>
                <w:rFonts w:ascii="Times New Roman" w:eastAsia="Times New Roman" w:hAnsi="Times New Roman" w:cs="Times New Roman"/>
                <w:color w:val="000000"/>
                <w:lang w:eastAsia="ru-RU"/>
              </w:rPr>
            </w:pPr>
            <w:r w:rsidRPr="00691F19">
              <w:rPr>
                <w:rFonts w:ascii="Times New Roman" w:eastAsia="Times New Roman" w:hAnsi="Times New Roman" w:cs="Times New Roman"/>
                <w:color w:val="000000"/>
                <w:lang w:eastAsia="ru-RU"/>
              </w:rPr>
              <w:t>485,6</w:t>
            </w:r>
          </w:p>
        </w:tc>
        <w:tc>
          <w:tcPr>
            <w:tcW w:w="990" w:type="dxa"/>
            <w:vAlign w:val="center"/>
          </w:tcPr>
          <w:p w:rsidR="00F56F55" w:rsidRPr="00691F19" w:rsidRDefault="00F56F55" w:rsidP="00D13A23">
            <w:pPr>
              <w:jc w:val="center"/>
              <w:rPr>
                <w:rFonts w:ascii="Times New Roman" w:eastAsia="Times New Roman" w:hAnsi="Times New Roman" w:cs="Times New Roman"/>
                <w:lang w:eastAsia="ru-RU"/>
              </w:rPr>
            </w:pPr>
            <w:r w:rsidRPr="00691F19">
              <w:rPr>
                <w:rFonts w:ascii="Times New Roman" w:eastAsia="Times New Roman" w:hAnsi="Times New Roman" w:cs="Times New Roman"/>
                <w:lang w:eastAsia="ru-RU"/>
              </w:rPr>
              <w:t>523,0</w:t>
            </w:r>
          </w:p>
        </w:tc>
        <w:tc>
          <w:tcPr>
            <w:tcW w:w="900" w:type="dxa"/>
            <w:tcBorders>
              <w:right w:val="single" w:sz="4" w:space="0" w:color="auto"/>
            </w:tcBorders>
            <w:vAlign w:val="center"/>
          </w:tcPr>
          <w:p w:rsidR="00F56F55" w:rsidRPr="00691F19" w:rsidRDefault="00F56F55" w:rsidP="00D13A23">
            <w:pPr>
              <w:ind w:left="-105" w:right="-26"/>
              <w:jc w:val="center"/>
              <w:rPr>
                <w:rFonts w:ascii="Times New Roman" w:eastAsia="Times New Roman" w:hAnsi="Times New Roman" w:cs="Times New Roman"/>
                <w:lang w:eastAsia="ru-RU"/>
              </w:rPr>
            </w:pPr>
            <w:r w:rsidRPr="00691F19">
              <w:rPr>
                <w:rFonts w:ascii="Times New Roman" w:eastAsia="Times New Roman" w:hAnsi="Times New Roman" w:cs="Times New Roman"/>
                <w:lang w:eastAsia="ru-RU"/>
              </w:rPr>
              <w:t>468,8</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F56F55" w:rsidRPr="00691F19" w:rsidRDefault="00F56F55" w:rsidP="00D13A23">
            <w:pPr>
              <w:ind w:left="-105"/>
              <w:jc w:val="center"/>
              <w:rPr>
                <w:rFonts w:ascii="Times New Roman" w:eastAsia="Times New Roman" w:hAnsi="Times New Roman" w:cs="Times New Roman"/>
                <w:color w:val="000000"/>
                <w:lang w:eastAsia="ru-RU"/>
              </w:rPr>
            </w:pPr>
            <w:r w:rsidRPr="00691F19">
              <w:rPr>
                <w:rFonts w:ascii="Times New Roman" w:eastAsia="Times New Roman" w:hAnsi="Times New Roman" w:cs="Times New Roman"/>
                <w:color w:val="000000"/>
                <w:lang w:eastAsia="ru-RU"/>
              </w:rPr>
              <w:t>54,2</w:t>
            </w:r>
          </w:p>
        </w:tc>
        <w:tc>
          <w:tcPr>
            <w:tcW w:w="810" w:type="dxa"/>
            <w:tcBorders>
              <w:left w:val="single" w:sz="4" w:space="0" w:color="auto"/>
            </w:tcBorders>
            <w:vAlign w:val="center"/>
          </w:tcPr>
          <w:p w:rsidR="00F56F55" w:rsidRPr="00691F19" w:rsidRDefault="00F56F55" w:rsidP="00D13A23">
            <w:pPr>
              <w:jc w:val="center"/>
              <w:rPr>
                <w:rFonts w:ascii="Times New Roman" w:eastAsia="Times New Roman" w:hAnsi="Times New Roman" w:cs="Times New Roman"/>
                <w:bCs/>
                <w:color w:val="000000"/>
                <w:lang w:eastAsia="ru-RU"/>
              </w:rPr>
            </w:pPr>
            <w:r w:rsidRPr="00691F19">
              <w:rPr>
                <w:rFonts w:ascii="Times New Roman" w:eastAsia="Times New Roman" w:hAnsi="Times New Roman" w:cs="Times New Roman"/>
                <w:bCs/>
                <w:color w:val="000000"/>
                <w:lang w:eastAsia="ru-RU"/>
              </w:rPr>
              <w:t>111,6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56F55" w:rsidRPr="00691F19" w:rsidRDefault="00F56F55" w:rsidP="00D13A23">
            <w:pPr>
              <w:jc w:val="center"/>
              <w:rPr>
                <w:rFonts w:ascii="Times New Roman" w:eastAsia="Times New Roman" w:hAnsi="Times New Roman" w:cs="Times New Roman"/>
                <w:color w:val="000000"/>
                <w:lang w:eastAsia="ru-RU"/>
              </w:rPr>
            </w:pPr>
            <w:r w:rsidRPr="00691F19">
              <w:rPr>
                <w:rFonts w:ascii="Times New Roman" w:eastAsia="Times New Roman" w:hAnsi="Times New Roman" w:cs="Times New Roman"/>
                <w:color w:val="000000"/>
                <w:lang w:eastAsia="ru-RU"/>
              </w:rPr>
              <w:t>0,3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56F55" w:rsidRPr="00691F19" w:rsidRDefault="00F56F55" w:rsidP="00D13A23">
            <w:pPr>
              <w:jc w:val="center"/>
              <w:rPr>
                <w:rFonts w:ascii="Times New Roman" w:eastAsia="Times New Roman" w:hAnsi="Times New Roman" w:cs="Times New Roman"/>
                <w:color w:val="000000"/>
                <w:lang w:eastAsia="ru-RU"/>
              </w:rPr>
            </w:pPr>
            <w:r w:rsidRPr="00691F19">
              <w:rPr>
                <w:rFonts w:ascii="Times New Roman" w:eastAsia="Times New Roman" w:hAnsi="Times New Roman" w:cs="Times New Roman"/>
                <w:color w:val="000000"/>
                <w:lang w:eastAsia="ru-RU"/>
              </w:rPr>
              <w:t>0,3</w:t>
            </w:r>
          </w:p>
        </w:tc>
      </w:tr>
      <w:tr w:rsidR="00F56F55" w:rsidRPr="00691F19" w:rsidTr="00365D6E">
        <w:trPr>
          <w:gridAfter w:val="1"/>
          <w:wAfter w:w="8" w:type="dxa"/>
        </w:trPr>
        <w:tc>
          <w:tcPr>
            <w:tcW w:w="3681" w:type="dxa"/>
          </w:tcPr>
          <w:p w:rsidR="00F56F55" w:rsidRPr="00691F19" w:rsidRDefault="00F56F55" w:rsidP="00B0321C">
            <w:pPr>
              <w:rPr>
                <w:rFonts w:ascii="Times New Roman" w:eastAsia="Times New Roman" w:hAnsi="Times New Roman" w:cs="Times New Roman"/>
                <w:b/>
                <w:lang w:eastAsia="ru-RU"/>
              </w:rPr>
            </w:pPr>
            <w:r w:rsidRPr="00691F19">
              <w:rPr>
                <w:rFonts w:ascii="Times New Roman" w:eastAsia="Times New Roman" w:hAnsi="Times New Roman" w:cs="Times New Roman"/>
                <w:b/>
                <w:lang w:eastAsia="ru-RU"/>
              </w:rPr>
              <w:t>Granturi primite</w:t>
            </w:r>
          </w:p>
        </w:tc>
        <w:tc>
          <w:tcPr>
            <w:tcW w:w="990" w:type="dxa"/>
            <w:vAlign w:val="center"/>
          </w:tcPr>
          <w:p w:rsidR="00F56F55" w:rsidRPr="00691F19" w:rsidRDefault="00F56F55" w:rsidP="00D13A23">
            <w:pPr>
              <w:jc w:val="center"/>
              <w:rPr>
                <w:rFonts w:ascii="Times New Roman" w:eastAsia="Times New Roman" w:hAnsi="Times New Roman" w:cs="Times New Roman"/>
                <w:b/>
                <w:color w:val="000000"/>
                <w:lang w:eastAsia="ru-RU"/>
              </w:rPr>
            </w:pPr>
            <w:r w:rsidRPr="00691F19">
              <w:rPr>
                <w:rFonts w:ascii="Times New Roman" w:eastAsia="Times New Roman" w:hAnsi="Times New Roman" w:cs="Times New Roman"/>
                <w:b/>
                <w:color w:val="000000"/>
                <w:lang w:eastAsia="ru-RU"/>
              </w:rPr>
              <w:t>1181,9</w:t>
            </w:r>
          </w:p>
        </w:tc>
        <w:tc>
          <w:tcPr>
            <w:tcW w:w="990" w:type="dxa"/>
            <w:vAlign w:val="center"/>
          </w:tcPr>
          <w:p w:rsidR="00F56F55" w:rsidRPr="00691F19" w:rsidRDefault="00F56F55" w:rsidP="00D13A23">
            <w:pPr>
              <w:jc w:val="center"/>
              <w:rPr>
                <w:rFonts w:ascii="Times New Roman" w:eastAsia="Times New Roman" w:hAnsi="Times New Roman" w:cs="Times New Roman"/>
                <w:b/>
                <w:lang w:eastAsia="ru-RU"/>
              </w:rPr>
            </w:pPr>
            <w:r w:rsidRPr="00691F19">
              <w:rPr>
                <w:rFonts w:ascii="Times New Roman" w:eastAsia="Times New Roman" w:hAnsi="Times New Roman" w:cs="Times New Roman"/>
                <w:b/>
                <w:lang w:eastAsia="ru-RU"/>
              </w:rPr>
              <w:t>992,9</w:t>
            </w:r>
          </w:p>
        </w:tc>
        <w:tc>
          <w:tcPr>
            <w:tcW w:w="900" w:type="dxa"/>
            <w:tcBorders>
              <w:right w:val="single" w:sz="4" w:space="0" w:color="auto"/>
            </w:tcBorders>
            <w:vAlign w:val="center"/>
          </w:tcPr>
          <w:p w:rsidR="00F56F55" w:rsidRPr="00691F19" w:rsidRDefault="00F56F55" w:rsidP="00D13A23">
            <w:pPr>
              <w:ind w:left="-105" w:right="-26"/>
              <w:jc w:val="center"/>
              <w:rPr>
                <w:rFonts w:ascii="Times New Roman" w:eastAsia="Times New Roman" w:hAnsi="Times New Roman" w:cs="Times New Roman"/>
                <w:b/>
                <w:lang w:eastAsia="ru-RU"/>
              </w:rPr>
            </w:pPr>
            <w:r w:rsidRPr="00691F19">
              <w:rPr>
                <w:rFonts w:ascii="Times New Roman" w:eastAsia="Times New Roman" w:hAnsi="Times New Roman" w:cs="Times New Roman"/>
                <w:b/>
                <w:lang w:eastAsia="ru-RU"/>
              </w:rPr>
              <w:t>1276,0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F56F55" w:rsidRPr="00691F19" w:rsidRDefault="00F56F55" w:rsidP="00D13A23">
            <w:pPr>
              <w:ind w:left="-105"/>
              <w:jc w:val="center"/>
              <w:rPr>
                <w:rFonts w:ascii="Times New Roman" w:eastAsia="Times New Roman" w:hAnsi="Times New Roman" w:cs="Times New Roman"/>
                <w:b/>
                <w:bCs/>
                <w:color w:val="000000"/>
                <w:lang w:eastAsia="ru-RU"/>
              </w:rPr>
            </w:pPr>
            <w:r w:rsidRPr="00691F19">
              <w:rPr>
                <w:rFonts w:ascii="Times New Roman" w:eastAsia="Times New Roman" w:hAnsi="Times New Roman" w:cs="Times New Roman"/>
                <w:b/>
                <w:bCs/>
                <w:color w:val="000000"/>
                <w:lang w:eastAsia="ru-RU"/>
              </w:rPr>
              <w:t>-283,1</w:t>
            </w:r>
          </w:p>
        </w:tc>
        <w:tc>
          <w:tcPr>
            <w:tcW w:w="810" w:type="dxa"/>
            <w:tcBorders>
              <w:left w:val="single" w:sz="4" w:space="0" w:color="auto"/>
            </w:tcBorders>
            <w:vAlign w:val="center"/>
          </w:tcPr>
          <w:p w:rsidR="00F56F55" w:rsidRPr="00691F19" w:rsidRDefault="00F56F55" w:rsidP="00D13A23">
            <w:pPr>
              <w:jc w:val="center"/>
              <w:rPr>
                <w:rFonts w:ascii="Times New Roman" w:eastAsia="Times New Roman" w:hAnsi="Times New Roman" w:cs="Times New Roman"/>
                <w:b/>
                <w:bCs/>
                <w:color w:val="000000"/>
                <w:lang w:eastAsia="ru-RU"/>
              </w:rPr>
            </w:pPr>
            <w:r w:rsidRPr="00691F19">
              <w:rPr>
                <w:rFonts w:ascii="Times New Roman" w:eastAsia="Times New Roman" w:hAnsi="Times New Roman" w:cs="Times New Roman"/>
                <w:b/>
                <w:bCs/>
                <w:color w:val="000000"/>
                <w:lang w:eastAsia="ru-RU"/>
              </w:rPr>
              <w:t>77,8</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56F55" w:rsidRPr="00691F19" w:rsidRDefault="00F56F55" w:rsidP="00D13A23">
            <w:pPr>
              <w:jc w:val="center"/>
              <w:rPr>
                <w:rFonts w:ascii="Times New Roman" w:eastAsia="Times New Roman" w:hAnsi="Times New Roman" w:cs="Times New Roman"/>
                <w:b/>
                <w:color w:val="000000"/>
                <w:lang w:eastAsia="ru-RU"/>
              </w:rPr>
            </w:pPr>
            <w:r w:rsidRPr="00691F19">
              <w:rPr>
                <w:rFonts w:ascii="Times New Roman" w:eastAsia="Times New Roman" w:hAnsi="Times New Roman" w:cs="Times New Roman"/>
                <w:b/>
                <w:color w:val="000000"/>
                <w:lang w:eastAsia="ru-RU"/>
              </w:rPr>
              <w:t>0,7</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56F55" w:rsidRPr="00691F19" w:rsidRDefault="00F56F55" w:rsidP="00D13A23">
            <w:pPr>
              <w:jc w:val="center"/>
              <w:rPr>
                <w:rFonts w:ascii="Times New Roman" w:eastAsia="Times New Roman" w:hAnsi="Times New Roman" w:cs="Times New Roman"/>
                <w:b/>
                <w:color w:val="000000"/>
                <w:lang w:eastAsia="ru-RU"/>
              </w:rPr>
            </w:pPr>
            <w:r w:rsidRPr="00691F19">
              <w:rPr>
                <w:rFonts w:ascii="Times New Roman" w:eastAsia="Times New Roman" w:hAnsi="Times New Roman" w:cs="Times New Roman"/>
                <w:b/>
                <w:color w:val="000000"/>
                <w:lang w:eastAsia="ru-RU"/>
              </w:rPr>
              <w:t>0,9</w:t>
            </w:r>
          </w:p>
        </w:tc>
      </w:tr>
      <w:tr w:rsidR="00F56F55" w:rsidRPr="00691F19" w:rsidTr="00365D6E">
        <w:trPr>
          <w:gridAfter w:val="1"/>
          <w:wAfter w:w="8" w:type="dxa"/>
        </w:trPr>
        <w:tc>
          <w:tcPr>
            <w:tcW w:w="3681" w:type="dxa"/>
          </w:tcPr>
          <w:p w:rsidR="00F56F55" w:rsidRPr="00691F19" w:rsidRDefault="00F56F55" w:rsidP="00B0321C">
            <w:pPr>
              <w:rPr>
                <w:rFonts w:ascii="Times New Roman" w:eastAsia="Times New Roman" w:hAnsi="Times New Roman" w:cs="Times New Roman"/>
                <w:b/>
                <w:lang w:eastAsia="ru-RU"/>
              </w:rPr>
            </w:pPr>
            <w:r w:rsidRPr="00691F19">
              <w:rPr>
                <w:rFonts w:ascii="Times New Roman" w:eastAsia="Times New Roman" w:hAnsi="Times New Roman" w:cs="Times New Roman"/>
                <w:b/>
                <w:lang w:eastAsia="ru-RU"/>
              </w:rPr>
              <w:t>Granturi primite de la guvernele altor state</w:t>
            </w:r>
          </w:p>
        </w:tc>
        <w:tc>
          <w:tcPr>
            <w:tcW w:w="990" w:type="dxa"/>
            <w:vAlign w:val="center"/>
          </w:tcPr>
          <w:p w:rsidR="00F56F55" w:rsidRPr="00691F19" w:rsidRDefault="00F56F55" w:rsidP="00D13A23">
            <w:pPr>
              <w:jc w:val="center"/>
              <w:rPr>
                <w:rFonts w:ascii="Times New Roman" w:eastAsia="Times New Roman" w:hAnsi="Times New Roman" w:cs="Times New Roman"/>
                <w:b/>
                <w:color w:val="000000"/>
                <w:lang w:eastAsia="ru-RU"/>
              </w:rPr>
            </w:pPr>
            <w:r w:rsidRPr="00691F19">
              <w:rPr>
                <w:rFonts w:ascii="Times New Roman" w:eastAsia="Times New Roman" w:hAnsi="Times New Roman" w:cs="Times New Roman"/>
                <w:b/>
                <w:color w:val="000000"/>
                <w:lang w:eastAsia="ru-RU"/>
              </w:rPr>
              <w:t>163,8</w:t>
            </w:r>
          </w:p>
        </w:tc>
        <w:tc>
          <w:tcPr>
            <w:tcW w:w="990" w:type="dxa"/>
            <w:vAlign w:val="center"/>
          </w:tcPr>
          <w:p w:rsidR="00F56F55" w:rsidRPr="00691F19" w:rsidRDefault="00F56F55" w:rsidP="00D13A23">
            <w:pPr>
              <w:jc w:val="center"/>
              <w:rPr>
                <w:rFonts w:ascii="Times New Roman" w:eastAsia="Times New Roman" w:hAnsi="Times New Roman" w:cs="Times New Roman"/>
                <w:b/>
                <w:lang w:eastAsia="ru-RU"/>
              </w:rPr>
            </w:pPr>
            <w:r w:rsidRPr="00691F19">
              <w:rPr>
                <w:rFonts w:ascii="Times New Roman" w:eastAsia="Times New Roman" w:hAnsi="Times New Roman" w:cs="Times New Roman"/>
                <w:b/>
                <w:lang w:eastAsia="ru-RU"/>
              </w:rPr>
              <w:t>61,2</w:t>
            </w:r>
          </w:p>
        </w:tc>
        <w:tc>
          <w:tcPr>
            <w:tcW w:w="900" w:type="dxa"/>
            <w:tcBorders>
              <w:right w:val="single" w:sz="4" w:space="0" w:color="auto"/>
            </w:tcBorders>
            <w:vAlign w:val="center"/>
          </w:tcPr>
          <w:p w:rsidR="00F56F55" w:rsidRPr="00691F19" w:rsidRDefault="00F56F55" w:rsidP="00D13A23">
            <w:pPr>
              <w:ind w:left="-105" w:right="-26"/>
              <w:jc w:val="center"/>
              <w:rPr>
                <w:rFonts w:ascii="Times New Roman" w:eastAsia="Times New Roman" w:hAnsi="Times New Roman" w:cs="Times New Roman"/>
                <w:b/>
                <w:lang w:eastAsia="ru-RU"/>
              </w:rPr>
            </w:pPr>
            <w:r w:rsidRPr="00691F19">
              <w:rPr>
                <w:rFonts w:ascii="Times New Roman" w:eastAsia="Times New Roman" w:hAnsi="Times New Roman" w:cs="Times New Roman"/>
                <w:b/>
                <w:lang w:eastAsia="ru-RU"/>
              </w:rPr>
              <w:t>110,0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F56F55" w:rsidRPr="00691F19" w:rsidRDefault="00F56F55" w:rsidP="00D13A23">
            <w:pPr>
              <w:ind w:left="-105"/>
              <w:jc w:val="center"/>
              <w:rPr>
                <w:rFonts w:ascii="Times New Roman" w:eastAsia="Times New Roman" w:hAnsi="Times New Roman" w:cs="Times New Roman"/>
                <w:b/>
                <w:bCs/>
                <w:color w:val="000000"/>
                <w:lang w:eastAsia="ru-RU"/>
              </w:rPr>
            </w:pPr>
            <w:r w:rsidRPr="00691F19">
              <w:rPr>
                <w:rFonts w:ascii="Times New Roman" w:eastAsia="Times New Roman" w:hAnsi="Times New Roman" w:cs="Times New Roman"/>
                <w:b/>
                <w:bCs/>
                <w:color w:val="000000"/>
                <w:lang w:eastAsia="ru-RU"/>
              </w:rPr>
              <w:t>-48,8</w:t>
            </w:r>
          </w:p>
        </w:tc>
        <w:tc>
          <w:tcPr>
            <w:tcW w:w="810" w:type="dxa"/>
            <w:tcBorders>
              <w:left w:val="single" w:sz="4" w:space="0" w:color="auto"/>
            </w:tcBorders>
            <w:vAlign w:val="center"/>
          </w:tcPr>
          <w:p w:rsidR="00F56F55" w:rsidRPr="00691F19" w:rsidRDefault="00F56F55" w:rsidP="00D13A23">
            <w:pPr>
              <w:jc w:val="center"/>
              <w:rPr>
                <w:rFonts w:ascii="Times New Roman" w:eastAsia="Times New Roman" w:hAnsi="Times New Roman" w:cs="Times New Roman"/>
                <w:b/>
                <w:bCs/>
                <w:color w:val="000000"/>
                <w:lang w:eastAsia="ru-RU"/>
              </w:rPr>
            </w:pPr>
            <w:r w:rsidRPr="00691F19">
              <w:rPr>
                <w:rFonts w:ascii="Times New Roman" w:eastAsia="Times New Roman" w:hAnsi="Times New Roman" w:cs="Times New Roman"/>
                <w:b/>
                <w:bCs/>
                <w:color w:val="000000"/>
                <w:lang w:eastAsia="ru-RU"/>
              </w:rPr>
              <w:t>55,6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56F55" w:rsidRPr="00691F19" w:rsidRDefault="00F56F55" w:rsidP="00D13A23">
            <w:pPr>
              <w:jc w:val="center"/>
              <w:rPr>
                <w:rFonts w:ascii="Times New Roman" w:eastAsia="Times New Roman" w:hAnsi="Times New Roman" w:cs="Times New Roman"/>
                <w:b/>
                <w:color w:val="000000"/>
                <w:lang w:eastAsia="ru-RU"/>
              </w:rPr>
            </w:pPr>
            <w:r w:rsidRPr="00691F19">
              <w:rPr>
                <w:rFonts w:ascii="Times New Roman" w:eastAsia="Times New Roman" w:hAnsi="Times New Roman" w:cs="Times New Roman"/>
                <w:b/>
                <w:color w:val="000000"/>
                <w:lang w:eastAsia="ru-RU"/>
              </w:rPr>
              <w:t>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56F55" w:rsidRPr="00691F19" w:rsidRDefault="00F56F55" w:rsidP="00D13A23">
            <w:pPr>
              <w:jc w:val="center"/>
              <w:rPr>
                <w:rFonts w:ascii="Times New Roman" w:eastAsia="Times New Roman" w:hAnsi="Times New Roman" w:cs="Times New Roman"/>
                <w:b/>
                <w:color w:val="000000"/>
                <w:lang w:eastAsia="ru-RU"/>
              </w:rPr>
            </w:pPr>
            <w:r w:rsidRPr="00691F19">
              <w:rPr>
                <w:rFonts w:ascii="Times New Roman" w:eastAsia="Times New Roman" w:hAnsi="Times New Roman" w:cs="Times New Roman"/>
                <w:b/>
                <w:color w:val="000000"/>
                <w:lang w:eastAsia="ru-RU"/>
              </w:rPr>
              <w:t>0,1</w:t>
            </w:r>
          </w:p>
        </w:tc>
      </w:tr>
      <w:tr w:rsidR="00F56F55" w:rsidRPr="00691F19" w:rsidTr="00365D6E">
        <w:trPr>
          <w:gridAfter w:val="1"/>
          <w:wAfter w:w="8" w:type="dxa"/>
        </w:trPr>
        <w:tc>
          <w:tcPr>
            <w:tcW w:w="3681" w:type="dxa"/>
          </w:tcPr>
          <w:p w:rsidR="00F56F55" w:rsidRPr="00691F19" w:rsidRDefault="00F56F55" w:rsidP="00B0321C">
            <w:pPr>
              <w:rPr>
                <w:rFonts w:ascii="Times New Roman" w:eastAsia="Times New Roman" w:hAnsi="Times New Roman" w:cs="Times New Roman"/>
                <w:i/>
                <w:lang w:eastAsia="ru-RU"/>
              </w:rPr>
            </w:pPr>
            <w:r w:rsidRPr="00691F19">
              <w:rPr>
                <w:rFonts w:ascii="Times New Roman" w:eastAsia="Times New Roman" w:hAnsi="Times New Roman" w:cs="Times New Roman"/>
                <w:i/>
                <w:lang w:eastAsia="ru-RU"/>
              </w:rPr>
              <w:t>Pentru proiecte finanțate din surse externe</w:t>
            </w:r>
          </w:p>
        </w:tc>
        <w:tc>
          <w:tcPr>
            <w:tcW w:w="990" w:type="dxa"/>
            <w:vAlign w:val="center"/>
          </w:tcPr>
          <w:p w:rsidR="00F56F55" w:rsidRPr="00691F19" w:rsidRDefault="00F56F55" w:rsidP="00D13A23">
            <w:pPr>
              <w:jc w:val="center"/>
              <w:rPr>
                <w:rFonts w:ascii="Times New Roman" w:eastAsia="Times New Roman" w:hAnsi="Times New Roman" w:cs="Times New Roman"/>
                <w:i/>
                <w:color w:val="000000"/>
                <w:lang w:eastAsia="ru-RU"/>
              </w:rPr>
            </w:pPr>
            <w:r w:rsidRPr="00691F19">
              <w:rPr>
                <w:rFonts w:ascii="Times New Roman" w:eastAsia="Times New Roman" w:hAnsi="Times New Roman" w:cs="Times New Roman"/>
                <w:i/>
                <w:color w:val="000000"/>
                <w:lang w:eastAsia="ru-RU"/>
              </w:rPr>
              <w:t>163,8</w:t>
            </w:r>
          </w:p>
        </w:tc>
        <w:tc>
          <w:tcPr>
            <w:tcW w:w="990" w:type="dxa"/>
            <w:vAlign w:val="center"/>
          </w:tcPr>
          <w:p w:rsidR="00F56F55" w:rsidRPr="00691F19" w:rsidRDefault="00F56F55" w:rsidP="00D13A23">
            <w:pPr>
              <w:jc w:val="center"/>
              <w:rPr>
                <w:rFonts w:ascii="Times New Roman" w:eastAsia="Times New Roman" w:hAnsi="Times New Roman" w:cs="Times New Roman"/>
                <w:i/>
                <w:lang w:eastAsia="ru-RU"/>
              </w:rPr>
            </w:pPr>
            <w:r w:rsidRPr="00691F19">
              <w:rPr>
                <w:rFonts w:ascii="Times New Roman" w:eastAsia="Times New Roman" w:hAnsi="Times New Roman" w:cs="Times New Roman"/>
                <w:i/>
                <w:lang w:eastAsia="ru-RU"/>
              </w:rPr>
              <w:t>61,2</w:t>
            </w:r>
          </w:p>
        </w:tc>
        <w:tc>
          <w:tcPr>
            <w:tcW w:w="900" w:type="dxa"/>
            <w:tcBorders>
              <w:right w:val="single" w:sz="4" w:space="0" w:color="auto"/>
            </w:tcBorders>
            <w:vAlign w:val="center"/>
          </w:tcPr>
          <w:p w:rsidR="00F56F55" w:rsidRPr="00691F19" w:rsidRDefault="00F56F55" w:rsidP="00D13A23">
            <w:pPr>
              <w:ind w:left="-105" w:right="-26"/>
              <w:jc w:val="center"/>
              <w:rPr>
                <w:rFonts w:ascii="Times New Roman" w:eastAsia="Times New Roman" w:hAnsi="Times New Roman" w:cs="Times New Roman"/>
                <w:i/>
                <w:lang w:eastAsia="ru-RU"/>
              </w:rPr>
            </w:pPr>
            <w:r w:rsidRPr="00691F19">
              <w:rPr>
                <w:rFonts w:ascii="Times New Roman" w:eastAsia="Times New Roman" w:hAnsi="Times New Roman" w:cs="Times New Roman"/>
                <w:i/>
                <w:lang w:eastAsia="ru-RU"/>
              </w:rPr>
              <w:t>110,0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F56F55" w:rsidRPr="00691F19" w:rsidRDefault="00F56F55" w:rsidP="00D13A23">
            <w:pPr>
              <w:ind w:left="-105"/>
              <w:jc w:val="center"/>
              <w:rPr>
                <w:rFonts w:ascii="Times New Roman" w:eastAsia="Times New Roman" w:hAnsi="Times New Roman" w:cs="Times New Roman"/>
                <w:i/>
                <w:iCs/>
                <w:color w:val="000000"/>
                <w:lang w:eastAsia="ru-RU"/>
              </w:rPr>
            </w:pPr>
            <w:r w:rsidRPr="00691F19">
              <w:rPr>
                <w:rFonts w:ascii="Times New Roman" w:eastAsia="Times New Roman" w:hAnsi="Times New Roman" w:cs="Times New Roman"/>
                <w:i/>
                <w:iCs/>
                <w:color w:val="000000"/>
                <w:lang w:eastAsia="ru-RU"/>
              </w:rPr>
              <w:t>-48,8</w:t>
            </w:r>
          </w:p>
        </w:tc>
        <w:tc>
          <w:tcPr>
            <w:tcW w:w="810" w:type="dxa"/>
            <w:tcBorders>
              <w:left w:val="single" w:sz="4" w:space="0" w:color="auto"/>
            </w:tcBorders>
            <w:vAlign w:val="center"/>
          </w:tcPr>
          <w:p w:rsidR="00F56F55" w:rsidRPr="00691F19" w:rsidRDefault="00F56F55" w:rsidP="00D13A23">
            <w:pPr>
              <w:jc w:val="center"/>
              <w:rPr>
                <w:rFonts w:ascii="Times New Roman" w:eastAsia="Times New Roman" w:hAnsi="Times New Roman" w:cs="Times New Roman"/>
                <w:bCs/>
                <w:i/>
                <w:color w:val="000000"/>
                <w:lang w:eastAsia="ru-RU"/>
              </w:rPr>
            </w:pPr>
            <w:r w:rsidRPr="00691F19">
              <w:rPr>
                <w:rFonts w:ascii="Times New Roman" w:eastAsia="Times New Roman" w:hAnsi="Times New Roman" w:cs="Times New Roman"/>
                <w:bCs/>
                <w:i/>
                <w:color w:val="000000"/>
                <w:lang w:eastAsia="ru-RU"/>
              </w:rPr>
              <w:t>55,6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56F55" w:rsidRPr="00691F19" w:rsidRDefault="00F56F55" w:rsidP="00D13A23">
            <w:pPr>
              <w:jc w:val="center"/>
              <w:rPr>
                <w:rFonts w:ascii="Times New Roman" w:eastAsia="Times New Roman" w:hAnsi="Times New Roman" w:cs="Times New Roman"/>
                <w:i/>
                <w:color w:val="000000"/>
                <w:lang w:eastAsia="ru-RU"/>
              </w:rPr>
            </w:pPr>
            <w:r w:rsidRPr="00691F19">
              <w:rPr>
                <w:rFonts w:ascii="Times New Roman" w:eastAsia="Times New Roman" w:hAnsi="Times New Roman" w:cs="Times New Roman"/>
                <w:i/>
                <w:color w:val="000000"/>
                <w:lang w:eastAsia="ru-RU"/>
              </w:rPr>
              <w:t>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56F55" w:rsidRPr="00691F19" w:rsidRDefault="00F56F55" w:rsidP="00D13A23">
            <w:pPr>
              <w:jc w:val="center"/>
              <w:rPr>
                <w:rFonts w:ascii="Times New Roman" w:eastAsia="Times New Roman" w:hAnsi="Times New Roman" w:cs="Times New Roman"/>
                <w:i/>
                <w:color w:val="000000"/>
                <w:lang w:eastAsia="ru-RU"/>
              </w:rPr>
            </w:pPr>
            <w:r w:rsidRPr="00691F19">
              <w:rPr>
                <w:rFonts w:ascii="Times New Roman" w:eastAsia="Times New Roman" w:hAnsi="Times New Roman" w:cs="Times New Roman"/>
                <w:i/>
                <w:color w:val="000000"/>
                <w:lang w:eastAsia="ru-RU"/>
              </w:rPr>
              <w:t>0,1</w:t>
            </w:r>
          </w:p>
        </w:tc>
      </w:tr>
      <w:tr w:rsidR="00F56F55" w:rsidRPr="00691F19" w:rsidTr="00365D6E">
        <w:trPr>
          <w:gridAfter w:val="1"/>
          <w:wAfter w:w="8" w:type="dxa"/>
        </w:trPr>
        <w:tc>
          <w:tcPr>
            <w:tcW w:w="3681" w:type="dxa"/>
          </w:tcPr>
          <w:p w:rsidR="00F56F55" w:rsidRPr="00691F19" w:rsidRDefault="00F56F55" w:rsidP="00B0321C">
            <w:pPr>
              <w:rPr>
                <w:rFonts w:ascii="Times New Roman" w:eastAsia="Times New Roman" w:hAnsi="Times New Roman" w:cs="Times New Roman"/>
                <w:b/>
                <w:lang w:eastAsia="ru-RU"/>
              </w:rPr>
            </w:pPr>
            <w:r w:rsidRPr="00691F19">
              <w:rPr>
                <w:rFonts w:ascii="Times New Roman" w:eastAsia="Times New Roman" w:hAnsi="Times New Roman" w:cs="Times New Roman"/>
                <w:b/>
                <w:lang w:eastAsia="ru-RU"/>
              </w:rPr>
              <w:t>Granturi primite de la organizațiile internaționale</w:t>
            </w:r>
          </w:p>
        </w:tc>
        <w:tc>
          <w:tcPr>
            <w:tcW w:w="990" w:type="dxa"/>
            <w:vAlign w:val="center"/>
          </w:tcPr>
          <w:p w:rsidR="00F56F55" w:rsidRPr="00691F19" w:rsidRDefault="00F56F55" w:rsidP="00D13A23">
            <w:pPr>
              <w:jc w:val="center"/>
              <w:rPr>
                <w:rFonts w:ascii="Times New Roman" w:eastAsia="Times New Roman" w:hAnsi="Times New Roman" w:cs="Times New Roman"/>
                <w:b/>
                <w:color w:val="000000"/>
                <w:lang w:eastAsia="ru-RU"/>
              </w:rPr>
            </w:pPr>
            <w:r w:rsidRPr="00691F19">
              <w:rPr>
                <w:rFonts w:ascii="Times New Roman" w:eastAsia="Times New Roman" w:hAnsi="Times New Roman" w:cs="Times New Roman"/>
                <w:b/>
                <w:color w:val="000000"/>
                <w:lang w:eastAsia="ru-RU"/>
              </w:rPr>
              <w:t>1018,1</w:t>
            </w:r>
          </w:p>
        </w:tc>
        <w:tc>
          <w:tcPr>
            <w:tcW w:w="990" w:type="dxa"/>
            <w:vAlign w:val="center"/>
          </w:tcPr>
          <w:p w:rsidR="00F56F55" w:rsidRPr="00691F19" w:rsidRDefault="00F56F55" w:rsidP="00D13A23">
            <w:pPr>
              <w:jc w:val="center"/>
              <w:rPr>
                <w:rFonts w:ascii="Times New Roman" w:eastAsia="Times New Roman" w:hAnsi="Times New Roman" w:cs="Times New Roman"/>
                <w:b/>
                <w:lang w:eastAsia="ru-RU"/>
              </w:rPr>
            </w:pPr>
            <w:r w:rsidRPr="00691F19">
              <w:rPr>
                <w:rFonts w:ascii="Times New Roman" w:eastAsia="Times New Roman" w:hAnsi="Times New Roman" w:cs="Times New Roman"/>
                <w:b/>
                <w:lang w:eastAsia="ru-RU"/>
              </w:rPr>
              <w:t>931,7</w:t>
            </w:r>
          </w:p>
        </w:tc>
        <w:tc>
          <w:tcPr>
            <w:tcW w:w="900" w:type="dxa"/>
            <w:tcBorders>
              <w:right w:val="single" w:sz="4" w:space="0" w:color="auto"/>
            </w:tcBorders>
            <w:vAlign w:val="center"/>
          </w:tcPr>
          <w:p w:rsidR="00F56F55" w:rsidRPr="00691F19" w:rsidRDefault="00F56F55" w:rsidP="00D13A23">
            <w:pPr>
              <w:ind w:left="-105" w:right="-26"/>
              <w:jc w:val="center"/>
              <w:rPr>
                <w:rFonts w:ascii="Times New Roman" w:eastAsia="Times New Roman" w:hAnsi="Times New Roman" w:cs="Times New Roman"/>
                <w:b/>
                <w:lang w:eastAsia="ru-RU"/>
              </w:rPr>
            </w:pPr>
            <w:r w:rsidRPr="00691F19">
              <w:rPr>
                <w:rFonts w:ascii="Times New Roman" w:eastAsia="Times New Roman" w:hAnsi="Times New Roman" w:cs="Times New Roman"/>
                <w:b/>
                <w:lang w:eastAsia="ru-RU"/>
              </w:rPr>
              <w:t>1165,9</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F56F55" w:rsidRPr="00691F19" w:rsidRDefault="00F56F55" w:rsidP="00D13A23">
            <w:pPr>
              <w:ind w:left="-105"/>
              <w:jc w:val="center"/>
              <w:rPr>
                <w:rFonts w:ascii="Times New Roman" w:eastAsia="Times New Roman" w:hAnsi="Times New Roman" w:cs="Times New Roman"/>
                <w:b/>
                <w:bCs/>
                <w:color w:val="000000"/>
                <w:lang w:eastAsia="ru-RU"/>
              </w:rPr>
            </w:pPr>
            <w:r w:rsidRPr="00691F19">
              <w:rPr>
                <w:rFonts w:ascii="Times New Roman" w:eastAsia="Times New Roman" w:hAnsi="Times New Roman" w:cs="Times New Roman"/>
                <w:b/>
                <w:bCs/>
                <w:color w:val="000000"/>
                <w:lang w:eastAsia="ru-RU"/>
              </w:rPr>
              <w:t>-234,2</w:t>
            </w:r>
          </w:p>
        </w:tc>
        <w:tc>
          <w:tcPr>
            <w:tcW w:w="810" w:type="dxa"/>
            <w:tcBorders>
              <w:left w:val="single" w:sz="4" w:space="0" w:color="auto"/>
            </w:tcBorders>
            <w:vAlign w:val="center"/>
          </w:tcPr>
          <w:p w:rsidR="00F56F55" w:rsidRPr="00691F19" w:rsidRDefault="00F56F55" w:rsidP="00D13A23">
            <w:pPr>
              <w:jc w:val="center"/>
              <w:rPr>
                <w:rFonts w:ascii="Times New Roman" w:eastAsia="Times New Roman" w:hAnsi="Times New Roman" w:cs="Times New Roman"/>
                <w:b/>
                <w:bCs/>
                <w:color w:val="000000"/>
                <w:lang w:eastAsia="ru-RU"/>
              </w:rPr>
            </w:pPr>
            <w:r w:rsidRPr="00691F19">
              <w:rPr>
                <w:rFonts w:ascii="Times New Roman" w:eastAsia="Times New Roman" w:hAnsi="Times New Roman" w:cs="Times New Roman"/>
                <w:b/>
                <w:bCs/>
                <w:color w:val="000000"/>
                <w:lang w:eastAsia="ru-RU"/>
              </w:rPr>
              <w:t>79,9</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56F55" w:rsidRPr="00691F19" w:rsidRDefault="00F56F55" w:rsidP="00D13A23">
            <w:pPr>
              <w:jc w:val="center"/>
              <w:rPr>
                <w:rFonts w:ascii="Times New Roman" w:eastAsia="Times New Roman" w:hAnsi="Times New Roman" w:cs="Times New Roman"/>
                <w:b/>
                <w:color w:val="000000"/>
                <w:lang w:eastAsia="ru-RU"/>
              </w:rPr>
            </w:pPr>
            <w:r w:rsidRPr="00691F19">
              <w:rPr>
                <w:rFonts w:ascii="Times New Roman" w:eastAsia="Times New Roman" w:hAnsi="Times New Roman" w:cs="Times New Roman"/>
                <w:b/>
                <w:color w:val="000000"/>
                <w:lang w:eastAsia="ru-RU"/>
              </w:rPr>
              <w:t>0,6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56F55" w:rsidRPr="00691F19" w:rsidRDefault="00F56F55" w:rsidP="00D13A23">
            <w:pPr>
              <w:jc w:val="center"/>
              <w:rPr>
                <w:rFonts w:ascii="Times New Roman" w:eastAsia="Times New Roman" w:hAnsi="Times New Roman" w:cs="Times New Roman"/>
                <w:b/>
                <w:color w:val="000000"/>
                <w:lang w:eastAsia="ru-RU"/>
              </w:rPr>
            </w:pPr>
            <w:r w:rsidRPr="00691F19">
              <w:rPr>
                <w:rFonts w:ascii="Times New Roman" w:eastAsia="Times New Roman" w:hAnsi="Times New Roman" w:cs="Times New Roman"/>
                <w:b/>
                <w:color w:val="000000"/>
                <w:lang w:eastAsia="ru-RU"/>
              </w:rPr>
              <w:t>0,9</w:t>
            </w:r>
          </w:p>
        </w:tc>
      </w:tr>
      <w:tr w:rsidR="00F56F55" w:rsidRPr="00691F19" w:rsidTr="00365D6E">
        <w:trPr>
          <w:gridAfter w:val="1"/>
          <w:wAfter w:w="8" w:type="dxa"/>
        </w:trPr>
        <w:tc>
          <w:tcPr>
            <w:tcW w:w="3681" w:type="dxa"/>
          </w:tcPr>
          <w:p w:rsidR="00F56F55" w:rsidRPr="00691F19" w:rsidRDefault="00F56F55" w:rsidP="00B0321C">
            <w:pPr>
              <w:rPr>
                <w:rFonts w:ascii="Times New Roman" w:eastAsia="Times New Roman" w:hAnsi="Times New Roman" w:cs="Times New Roman"/>
                <w:i/>
                <w:lang w:eastAsia="ru-RU"/>
              </w:rPr>
            </w:pPr>
            <w:r w:rsidRPr="00691F19">
              <w:rPr>
                <w:rFonts w:ascii="Times New Roman" w:eastAsia="Times New Roman" w:hAnsi="Times New Roman" w:cs="Times New Roman"/>
                <w:i/>
                <w:lang w:eastAsia="ru-RU"/>
              </w:rPr>
              <w:t>Pentru susținerea bugetului</w:t>
            </w:r>
          </w:p>
        </w:tc>
        <w:tc>
          <w:tcPr>
            <w:tcW w:w="990" w:type="dxa"/>
            <w:vAlign w:val="center"/>
          </w:tcPr>
          <w:p w:rsidR="00F56F55" w:rsidRPr="00691F19" w:rsidRDefault="00F56F55" w:rsidP="00D13A23">
            <w:pPr>
              <w:jc w:val="center"/>
              <w:rPr>
                <w:rFonts w:ascii="Times New Roman" w:eastAsia="Times New Roman" w:hAnsi="Times New Roman" w:cs="Times New Roman"/>
                <w:i/>
                <w:color w:val="000000"/>
                <w:lang w:eastAsia="ru-RU"/>
              </w:rPr>
            </w:pPr>
            <w:r w:rsidRPr="00691F19">
              <w:rPr>
                <w:rFonts w:ascii="Times New Roman" w:eastAsia="Times New Roman" w:hAnsi="Times New Roman" w:cs="Times New Roman"/>
                <w:i/>
                <w:color w:val="000000"/>
                <w:lang w:eastAsia="ru-RU"/>
              </w:rPr>
              <w:t>462,0</w:t>
            </w:r>
          </w:p>
        </w:tc>
        <w:tc>
          <w:tcPr>
            <w:tcW w:w="990" w:type="dxa"/>
            <w:vAlign w:val="center"/>
          </w:tcPr>
          <w:p w:rsidR="00F56F55" w:rsidRPr="00691F19" w:rsidRDefault="00F56F55" w:rsidP="00D13A23">
            <w:pPr>
              <w:jc w:val="center"/>
              <w:rPr>
                <w:rFonts w:ascii="Times New Roman" w:eastAsia="Times New Roman" w:hAnsi="Times New Roman" w:cs="Times New Roman"/>
                <w:i/>
                <w:lang w:eastAsia="ru-RU"/>
              </w:rPr>
            </w:pPr>
            <w:r w:rsidRPr="00691F19">
              <w:rPr>
                <w:rFonts w:ascii="Times New Roman" w:eastAsia="Times New Roman" w:hAnsi="Times New Roman" w:cs="Times New Roman"/>
                <w:i/>
                <w:lang w:eastAsia="ru-RU"/>
              </w:rPr>
              <w:t>739,6</w:t>
            </w:r>
          </w:p>
        </w:tc>
        <w:tc>
          <w:tcPr>
            <w:tcW w:w="900" w:type="dxa"/>
            <w:tcBorders>
              <w:right w:val="single" w:sz="4" w:space="0" w:color="auto"/>
            </w:tcBorders>
            <w:vAlign w:val="center"/>
          </w:tcPr>
          <w:p w:rsidR="00F56F55" w:rsidRPr="00691F19" w:rsidRDefault="00F56F55" w:rsidP="00D13A23">
            <w:pPr>
              <w:ind w:left="-105" w:right="-26"/>
              <w:jc w:val="center"/>
              <w:rPr>
                <w:rFonts w:ascii="Times New Roman" w:eastAsia="Times New Roman" w:hAnsi="Times New Roman" w:cs="Times New Roman"/>
                <w:i/>
                <w:lang w:eastAsia="ru-RU"/>
              </w:rPr>
            </w:pPr>
            <w:r w:rsidRPr="00691F19">
              <w:rPr>
                <w:rFonts w:ascii="Times New Roman" w:eastAsia="Times New Roman" w:hAnsi="Times New Roman" w:cs="Times New Roman"/>
                <w:i/>
                <w:lang w:eastAsia="ru-RU"/>
              </w:rPr>
              <w:t>952,0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F56F55" w:rsidRPr="00691F19" w:rsidRDefault="00F56F55" w:rsidP="00D13A23">
            <w:pPr>
              <w:ind w:left="-105"/>
              <w:jc w:val="center"/>
              <w:rPr>
                <w:rFonts w:ascii="Times New Roman" w:eastAsia="Times New Roman" w:hAnsi="Times New Roman" w:cs="Times New Roman"/>
                <w:i/>
                <w:iCs/>
                <w:color w:val="000000"/>
                <w:lang w:eastAsia="ru-RU"/>
              </w:rPr>
            </w:pPr>
            <w:r w:rsidRPr="00691F19">
              <w:rPr>
                <w:rFonts w:ascii="Times New Roman" w:eastAsia="Times New Roman" w:hAnsi="Times New Roman" w:cs="Times New Roman"/>
                <w:i/>
                <w:iCs/>
                <w:color w:val="000000"/>
                <w:lang w:eastAsia="ru-RU"/>
              </w:rPr>
              <w:t>-212,4</w:t>
            </w:r>
          </w:p>
        </w:tc>
        <w:tc>
          <w:tcPr>
            <w:tcW w:w="810" w:type="dxa"/>
            <w:tcBorders>
              <w:left w:val="single" w:sz="4" w:space="0" w:color="auto"/>
            </w:tcBorders>
            <w:vAlign w:val="center"/>
          </w:tcPr>
          <w:p w:rsidR="00F56F55" w:rsidRPr="00691F19" w:rsidRDefault="00F56F55" w:rsidP="00D13A23">
            <w:pPr>
              <w:jc w:val="center"/>
              <w:rPr>
                <w:rFonts w:ascii="Times New Roman" w:eastAsia="Times New Roman" w:hAnsi="Times New Roman" w:cs="Times New Roman"/>
                <w:bCs/>
                <w:i/>
                <w:color w:val="000000"/>
                <w:lang w:eastAsia="ru-RU"/>
              </w:rPr>
            </w:pPr>
            <w:r w:rsidRPr="00691F19">
              <w:rPr>
                <w:rFonts w:ascii="Times New Roman" w:eastAsia="Times New Roman" w:hAnsi="Times New Roman" w:cs="Times New Roman"/>
                <w:bCs/>
                <w:i/>
                <w:color w:val="000000"/>
                <w:lang w:eastAsia="ru-RU"/>
              </w:rPr>
              <w:t>77,7</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56F55" w:rsidRPr="00691F19" w:rsidRDefault="00F56F55" w:rsidP="00D13A23">
            <w:pPr>
              <w:jc w:val="center"/>
              <w:rPr>
                <w:rFonts w:ascii="Times New Roman" w:eastAsia="Times New Roman" w:hAnsi="Times New Roman" w:cs="Times New Roman"/>
                <w:i/>
                <w:color w:val="000000"/>
                <w:lang w:eastAsia="ru-RU"/>
              </w:rPr>
            </w:pPr>
            <w:r w:rsidRPr="00691F19">
              <w:rPr>
                <w:rFonts w:ascii="Times New Roman" w:eastAsia="Times New Roman" w:hAnsi="Times New Roman" w:cs="Times New Roman"/>
                <w:i/>
                <w:color w:val="000000"/>
                <w:lang w:eastAsia="ru-RU"/>
              </w:rPr>
              <w:t>0,5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56F55" w:rsidRPr="00691F19" w:rsidRDefault="00F56F55" w:rsidP="00D13A23">
            <w:pPr>
              <w:jc w:val="center"/>
              <w:rPr>
                <w:rFonts w:ascii="Times New Roman" w:eastAsia="Times New Roman" w:hAnsi="Times New Roman" w:cs="Times New Roman"/>
                <w:i/>
                <w:color w:val="000000"/>
                <w:lang w:eastAsia="ru-RU"/>
              </w:rPr>
            </w:pPr>
            <w:r w:rsidRPr="00691F19">
              <w:rPr>
                <w:rFonts w:ascii="Times New Roman" w:eastAsia="Times New Roman" w:hAnsi="Times New Roman" w:cs="Times New Roman"/>
                <w:i/>
                <w:color w:val="000000"/>
                <w:lang w:eastAsia="ru-RU"/>
              </w:rPr>
              <w:t>0,7</w:t>
            </w:r>
          </w:p>
        </w:tc>
      </w:tr>
      <w:tr w:rsidR="00F56F55" w:rsidRPr="00691F19" w:rsidTr="00365D6E">
        <w:trPr>
          <w:gridAfter w:val="1"/>
          <w:wAfter w:w="8" w:type="dxa"/>
        </w:trPr>
        <w:tc>
          <w:tcPr>
            <w:tcW w:w="3681" w:type="dxa"/>
          </w:tcPr>
          <w:p w:rsidR="00F56F55" w:rsidRPr="00691F19" w:rsidRDefault="00F56F55" w:rsidP="00B0321C">
            <w:pPr>
              <w:rPr>
                <w:rFonts w:ascii="Times New Roman" w:eastAsia="Times New Roman" w:hAnsi="Times New Roman" w:cs="Times New Roman"/>
                <w:i/>
                <w:lang w:eastAsia="ru-RU"/>
              </w:rPr>
            </w:pPr>
            <w:r w:rsidRPr="00691F19">
              <w:rPr>
                <w:rFonts w:ascii="Times New Roman" w:eastAsia="Times New Roman" w:hAnsi="Times New Roman" w:cs="Times New Roman"/>
                <w:i/>
                <w:lang w:eastAsia="ru-RU"/>
              </w:rPr>
              <w:t>Pentru proiecte finanțate din surse externe</w:t>
            </w:r>
          </w:p>
        </w:tc>
        <w:tc>
          <w:tcPr>
            <w:tcW w:w="990" w:type="dxa"/>
            <w:vAlign w:val="center"/>
          </w:tcPr>
          <w:p w:rsidR="00F56F55" w:rsidRPr="00691F19" w:rsidRDefault="00F56F55" w:rsidP="00D13A23">
            <w:pPr>
              <w:jc w:val="center"/>
              <w:rPr>
                <w:rFonts w:ascii="Times New Roman" w:eastAsia="Times New Roman" w:hAnsi="Times New Roman" w:cs="Times New Roman"/>
                <w:i/>
                <w:color w:val="000000"/>
                <w:lang w:eastAsia="ru-RU"/>
              </w:rPr>
            </w:pPr>
            <w:r w:rsidRPr="00691F19">
              <w:rPr>
                <w:rFonts w:ascii="Times New Roman" w:eastAsia="Times New Roman" w:hAnsi="Times New Roman" w:cs="Times New Roman"/>
                <w:i/>
                <w:color w:val="000000"/>
                <w:lang w:eastAsia="ru-RU"/>
              </w:rPr>
              <w:t>556,1</w:t>
            </w:r>
          </w:p>
        </w:tc>
        <w:tc>
          <w:tcPr>
            <w:tcW w:w="990" w:type="dxa"/>
            <w:vAlign w:val="center"/>
          </w:tcPr>
          <w:p w:rsidR="00F56F55" w:rsidRPr="00691F19" w:rsidRDefault="00F56F55" w:rsidP="00D13A23">
            <w:pPr>
              <w:jc w:val="center"/>
              <w:rPr>
                <w:rFonts w:ascii="Times New Roman" w:eastAsia="Times New Roman" w:hAnsi="Times New Roman" w:cs="Times New Roman"/>
                <w:i/>
                <w:lang w:eastAsia="ru-RU"/>
              </w:rPr>
            </w:pPr>
            <w:r w:rsidRPr="00691F19">
              <w:rPr>
                <w:rFonts w:ascii="Times New Roman" w:eastAsia="Times New Roman" w:hAnsi="Times New Roman" w:cs="Times New Roman"/>
                <w:i/>
                <w:lang w:eastAsia="ru-RU"/>
              </w:rPr>
              <w:t>192,1</w:t>
            </w:r>
          </w:p>
        </w:tc>
        <w:tc>
          <w:tcPr>
            <w:tcW w:w="900" w:type="dxa"/>
            <w:tcBorders>
              <w:right w:val="single" w:sz="4" w:space="0" w:color="auto"/>
            </w:tcBorders>
            <w:vAlign w:val="center"/>
          </w:tcPr>
          <w:p w:rsidR="00F56F55" w:rsidRPr="00691F19" w:rsidRDefault="00F56F55" w:rsidP="00D13A23">
            <w:pPr>
              <w:ind w:left="-105" w:right="-26"/>
              <w:jc w:val="center"/>
              <w:rPr>
                <w:rFonts w:ascii="Times New Roman" w:eastAsia="Times New Roman" w:hAnsi="Times New Roman" w:cs="Times New Roman"/>
                <w:i/>
                <w:lang w:eastAsia="ru-RU"/>
              </w:rPr>
            </w:pPr>
            <w:r w:rsidRPr="00691F19">
              <w:rPr>
                <w:rFonts w:ascii="Times New Roman" w:eastAsia="Times New Roman" w:hAnsi="Times New Roman" w:cs="Times New Roman"/>
                <w:i/>
                <w:lang w:eastAsia="ru-RU"/>
              </w:rPr>
              <w:t>213,9</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F56F55" w:rsidRPr="00691F19" w:rsidRDefault="00F56F55" w:rsidP="00D13A23">
            <w:pPr>
              <w:ind w:left="-105"/>
              <w:jc w:val="center"/>
              <w:rPr>
                <w:rFonts w:ascii="Times New Roman" w:eastAsia="Times New Roman" w:hAnsi="Times New Roman" w:cs="Times New Roman"/>
                <w:i/>
                <w:iCs/>
                <w:color w:val="000000"/>
                <w:lang w:eastAsia="ru-RU"/>
              </w:rPr>
            </w:pPr>
            <w:r w:rsidRPr="00691F19">
              <w:rPr>
                <w:rFonts w:ascii="Times New Roman" w:eastAsia="Times New Roman" w:hAnsi="Times New Roman" w:cs="Times New Roman"/>
                <w:i/>
                <w:iCs/>
                <w:color w:val="000000"/>
                <w:lang w:eastAsia="ru-RU"/>
              </w:rPr>
              <w:t>-21,8</w:t>
            </w:r>
          </w:p>
        </w:tc>
        <w:tc>
          <w:tcPr>
            <w:tcW w:w="810" w:type="dxa"/>
            <w:tcBorders>
              <w:left w:val="single" w:sz="4" w:space="0" w:color="auto"/>
            </w:tcBorders>
            <w:vAlign w:val="center"/>
          </w:tcPr>
          <w:p w:rsidR="00F56F55" w:rsidRPr="00691F19" w:rsidRDefault="00F56F55" w:rsidP="00D13A23">
            <w:pPr>
              <w:jc w:val="center"/>
              <w:rPr>
                <w:rFonts w:ascii="Times New Roman" w:eastAsia="Times New Roman" w:hAnsi="Times New Roman" w:cs="Times New Roman"/>
                <w:bCs/>
                <w:i/>
                <w:color w:val="000000"/>
                <w:lang w:eastAsia="ru-RU"/>
              </w:rPr>
            </w:pPr>
            <w:r w:rsidRPr="00691F19">
              <w:rPr>
                <w:rFonts w:ascii="Times New Roman" w:eastAsia="Times New Roman" w:hAnsi="Times New Roman" w:cs="Times New Roman"/>
                <w:bCs/>
                <w:i/>
                <w:color w:val="000000"/>
                <w:lang w:eastAsia="ru-RU"/>
              </w:rPr>
              <w:t>89,8</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56F55" w:rsidRPr="00691F19" w:rsidRDefault="00F56F55" w:rsidP="00D13A23">
            <w:pPr>
              <w:jc w:val="center"/>
              <w:rPr>
                <w:rFonts w:ascii="Times New Roman" w:eastAsia="Times New Roman" w:hAnsi="Times New Roman" w:cs="Times New Roman"/>
                <w:i/>
                <w:color w:val="000000"/>
                <w:lang w:eastAsia="ru-RU"/>
              </w:rPr>
            </w:pPr>
            <w:r w:rsidRPr="00691F19">
              <w:rPr>
                <w:rFonts w:ascii="Times New Roman" w:eastAsia="Times New Roman" w:hAnsi="Times New Roman" w:cs="Times New Roman"/>
                <w:i/>
                <w:color w:val="000000"/>
                <w:lang w:eastAsia="ru-RU"/>
              </w:rPr>
              <w:t>0,1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56F55" w:rsidRPr="00691F19" w:rsidRDefault="00F56F55" w:rsidP="00D13A23">
            <w:pPr>
              <w:jc w:val="center"/>
              <w:rPr>
                <w:rFonts w:ascii="Times New Roman" w:eastAsia="Times New Roman" w:hAnsi="Times New Roman" w:cs="Times New Roman"/>
                <w:i/>
                <w:color w:val="000000"/>
                <w:lang w:eastAsia="ru-RU"/>
              </w:rPr>
            </w:pPr>
            <w:r w:rsidRPr="00691F19">
              <w:rPr>
                <w:rFonts w:ascii="Times New Roman" w:eastAsia="Times New Roman" w:hAnsi="Times New Roman" w:cs="Times New Roman"/>
                <w:i/>
                <w:color w:val="000000"/>
                <w:lang w:eastAsia="ru-RU"/>
              </w:rPr>
              <w:t>0,2</w:t>
            </w:r>
          </w:p>
        </w:tc>
      </w:tr>
      <w:tr w:rsidR="00F56F55" w:rsidRPr="00691F19" w:rsidTr="00365D6E">
        <w:trPr>
          <w:gridAfter w:val="1"/>
          <w:wAfter w:w="8" w:type="dxa"/>
        </w:trPr>
        <w:tc>
          <w:tcPr>
            <w:tcW w:w="3681" w:type="dxa"/>
          </w:tcPr>
          <w:p w:rsidR="00F56F55" w:rsidRPr="00691F19" w:rsidRDefault="00F56F55" w:rsidP="00B0321C">
            <w:pPr>
              <w:rPr>
                <w:rFonts w:ascii="Times New Roman" w:eastAsia="Times New Roman" w:hAnsi="Times New Roman" w:cs="Times New Roman"/>
                <w:b/>
                <w:lang w:eastAsia="ru-RU"/>
              </w:rPr>
            </w:pPr>
            <w:r w:rsidRPr="00691F19">
              <w:rPr>
                <w:rFonts w:ascii="Times New Roman" w:eastAsia="Times New Roman" w:hAnsi="Times New Roman" w:cs="Times New Roman"/>
                <w:b/>
                <w:lang w:eastAsia="ru-RU"/>
              </w:rPr>
              <w:t>Alte venituri</w:t>
            </w:r>
          </w:p>
        </w:tc>
        <w:tc>
          <w:tcPr>
            <w:tcW w:w="990" w:type="dxa"/>
            <w:vAlign w:val="center"/>
          </w:tcPr>
          <w:p w:rsidR="00F56F55" w:rsidRPr="00691F19" w:rsidRDefault="00F56F55" w:rsidP="00D13A23">
            <w:pPr>
              <w:jc w:val="center"/>
              <w:rPr>
                <w:rFonts w:ascii="Times New Roman" w:eastAsia="Times New Roman" w:hAnsi="Times New Roman" w:cs="Times New Roman"/>
                <w:b/>
                <w:color w:val="000000"/>
                <w:lang w:eastAsia="ru-RU"/>
              </w:rPr>
            </w:pPr>
            <w:r w:rsidRPr="00691F19">
              <w:rPr>
                <w:rFonts w:ascii="Times New Roman" w:eastAsia="Times New Roman" w:hAnsi="Times New Roman" w:cs="Times New Roman"/>
                <w:b/>
                <w:color w:val="000000"/>
                <w:lang w:eastAsia="ru-RU"/>
              </w:rPr>
              <w:t>1773,5</w:t>
            </w:r>
          </w:p>
        </w:tc>
        <w:tc>
          <w:tcPr>
            <w:tcW w:w="990" w:type="dxa"/>
            <w:vAlign w:val="center"/>
          </w:tcPr>
          <w:p w:rsidR="00F56F55" w:rsidRPr="00691F19" w:rsidRDefault="00F56F55" w:rsidP="00D13A23">
            <w:pPr>
              <w:jc w:val="center"/>
              <w:rPr>
                <w:rFonts w:ascii="Times New Roman" w:eastAsia="Times New Roman" w:hAnsi="Times New Roman" w:cs="Times New Roman"/>
                <w:b/>
                <w:lang w:eastAsia="ru-RU"/>
              </w:rPr>
            </w:pPr>
            <w:r w:rsidRPr="00691F19">
              <w:rPr>
                <w:rFonts w:ascii="Times New Roman" w:eastAsia="Times New Roman" w:hAnsi="Times New Roman" w:cs="Times New Roman"/>
                <w:b/>
                <w:lang w:eastAsia="ru-RU"/>
              </w:rPr>
              <w:t>1740,2</w:t>
            </w:r>
          </w:p>
        </w:tc>
        <w:tc>
          <w:tcPr>
            <w:tcW w:w="900" w:type="dxa"/>
            <w:tcBorders>
              <w:right w:val="single" w:sz="4" w:space="0" w:color="auto"/>
            </w:tcBorders>
            <w:vAlign w:val="center"/>
          </w:tcPr>
          <w:p w:rsidR="00F56F55" w:rsidRPr="00691F19" w:rsidRDefault="00F56F55" w:rsidP="00D13A23">
            <w:pPr>
              <w:ind w:left="-105" w:right="-26"/>
              <w:jc w:val="center"/>
              <w:rPr>
                <w:rFonts w:ascii="Times New Roman" w:eastAsia="Times New Roman" w:hAnsi="Times New Roman" w:cs="Times New Roman"/>
                <w:b/>
                <w:lang w:eastAsia="ru-RU"/>
              </w:rPr>
            </w:pPr>
            <w:r w:rsidRPr="00691F19">
              <w:rPr>
                <w:rFonts w:ascii="Times New Roman" w:eastAsia="Times New Roman" w:hAnsi="Times New Roman" w:cs="Times New Roman"/>
                <w:b/>
                <w:lang w:eastAsia="ru-RU"/>
              </w:rPr>
              <w:t>1466,9</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F56F55" w:rsidRPr="00691F19" w:rsidRDefault="00F56F55" w:rsidP="00D13A23">
            <w:pPr>
              <w:ind w:left="-105"/>
              <w:jc w:val="center"/>
              <w:rPr>
                <w:rFonts w:ascii="Times New Roman" w:eastAsia="Times New Roman" w:hAnsi="Times New Roman" w:cs="Times New Roman"/>
                <w:b/>
                <w:bCs/>
                <w:color w:val="000000"/>
                <w:lang w:eastAsia="ru-RU"/>
              </w:rPr>
            </w:pPr>
            <w:r w:rsidRPr="00691F19">
              <w:rPr>
                <w:rFonts w:ascii="Times New Roman" w:eastAsia="Times New Roman" w:hAnsi="Times New Roman" w:cs="Times New Roman"/>
                <w:b/>
                <w:bCs/>
                <w:color w:val="000000"/>
                <w:lang w:eastAsia="ru-RU"/>
              </w:rPr>
              <w:t>273,3</w:t>
            </w:r>
          </w:p>
        </w:tc>
        <w:tc>
          <w:tcPr>
            <w:tcW w:w="810" w:type="dxa"/>
            <w:tcBorders>
              <w:left w:val="single" w:sz="4" w:space="0" w:color="auto"/>
            </w:tcBorders>
            <w:vAlign w:val="center"/>
          </w:tcPr>
          <w:p w:rsidR="00F56F55" w:rsidRPr="00691F19" w:rsidRDefault="00F56F55" w:rsidP="00D13A23">
            <w:pPr>
              <w:jc w:val="center"/>
              <w:rPr>
                <w:rFonts w:ascii="Times New Roman" w:eastAsia="Times New Roman" w:hAnsi="Times New Roman" w:cs="Times New Roman"/>
                <w:b/>
                <w:bCs/>
                <w:color w:val="000000"/>
                <w:lang w:eastAsia="ru-RU"/>
              </w:rPr>
            </w:pPr>
            <w:r w:rsidRPr="00691F19">
              <w:rPr>
                <w:rFonts w:ascii="Times New Roman" w:eastAsia="Times New Roman" w:hAnsi="Times New Roman" w:cs="Times New Roman"/>
                <w:b/>
                <w:bCs/>
                <w:color w:val="000000"/>
                <w:lang w:eastAsia="ru-RU"/>
              </w:rPr>
              <w:t>118,6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56F55" w:rsidRPr="00691F19" w:rsidRDefault="00F56F55" w:rsidP="00D13A23">
            <w:pPr>
              <w:jc w:val="center"/>
              <w:rPr>
                <w:rFonts w:ascii="Times New Roman" w:eastAsia="Times New Roman" w:hAnsi="Times New Roman" w:cs="Times New Roman"/>
                <w:b/>
                <w:color w:val="000000"/>
                <w:lang w:eastAsia="ru-RU"/>
              </w:rPr>
            </w:pPr>
            <w:r w:rsidRPr="00691F19">
              <w:rPr>
                <w:rFonts w:ascii="Times New Roman" w:eastAsia="Times New Roman" w:hAnsi="Times New Roman" w:cs="Times New Roman"/>
                <w:b/>
                <w:color w:val="000000"/>
                <w:lang w:eastAsia="ru-RU"/>
              </w:rPr>
              <w:t>1,2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56F55" w:rsidRPr="00691F19" w:rsidRDefault="00F56F55" w:rsidP="00D13A23">
            <w:pPr>
              <w:jc w:val="center"/>
              <w:rPr>
                <w:rFonts w:ascii="Times New Roman" w:eastAsia="Times New Roman" w:hAnsi="Times New Roman" w:cs="Times New Roman"/>
                <w:b/>
                <w:color w:val="000000"/>
                <w:lang w:eastAsia="ru-RU"/>
              </w:rPr>
            </w:pPr>
            <w:r w:rsidRPr="00691F19">
              <w:rPr>
                <w:rFonts w:ascii="Times New Roman" w:eastAsia="Times New Roman" w:hAnsi="Times New Roman" w:cs="Times New Roman"/>
                <w:b/>
                <w:color w:val="000000"/>
                <w:lang w:eastAsia="ru-RU"/>
              </w:rPr>
              <w:t>1,1</w:t>
            </w:r>
          </w:p>
        </w:tc>
      </w:tr>
      <w:tr w:rsidR="00F56F55" w:rsidRPr="00691F19" w:rsidTr="00365D6E">
        <w:trPr>
          <w:gridAfter w:val="1"/>
          <w:wAfter w:w="8" w:type="dxa"/>
        </w:trPr>
        <w:tc>
          <w:tcPr>
            <w:tcW w:w="3681" w:type="dxa"/>
          </w:tcPr>
          <w:p w:rsidR="00F56F55" w:rsidRPr="00691F19" w:rsidRDefault="00F56F55" w:rsidP="00B0321C">
            <w:pPr>
              <w:rPr>
                <w:rFonts w:ascii="Times New Roman" w:eastAsia="Times New Roman" w:hAnsi="Times New Roman" w:cs="Times New Roman"/>
                <w:b/>
                <w:lang w:eastAsia="ru-RU"/>
              </w:rPr>
            </w:pPr>
            <w:r w:rsidRPr="00691F19">
              <w:rPr>
                <w:rFonts w:ascii="Times New Roman" w:eastAsia="Times New Roman" w:hAnsi="Times New Roman" w:cs="Times New Roman"/>
                <w:b/>
                <w:lang w:eastAsia="ru-RU"/>
              </w:rPr>
              <w:t>Venituri din proprietate</w:t>
            </w:r>
          </w:p>
        </w:tc>
        <w:tc>
          <w:tcPr>
            <w:tcW w:w="990" w:type="dxa"/>
            <w:vAlign w:val="center"/>
          </w:tcPr>
          <w:p w:rsidR="00F56F55" w:rsidRPr="00691F19" w:rsidRDefault="00F56F55" w:rsidP="00D13A23">
            <w:pPr>
              <w:jc w:val="center"/>
              <w:rPr>
                <w:rFonts w:ascii="Times New Roman" w:eastAsia="Times New Roman" w:hAnsi="Times New Roman" w:cs="Times New Roman"/>
                <w:b/>
                <w:color w:val="000000"/>
                <w:lang w:eastAsia="ru-RU"/>
              </w:rPr>
            </w:pPr>
            <w:r w:rsidRPr="00691F19">
              <w:rPr>
                <w:rFonts w:ascii="Times New Roman" w:eastAsia="Times New Roman" w:hAnsi="Times New Roman" w:cs="Times New Roman"/>
                <w:b/>
                <w:color w:val="000000"/>
                <w:lang w:eastAsia="ru-RU"/>
              </w:rPr>
              <w:t>314,1</w:t>
            </w:r>
          </w:p>
        </w:tc>
        <w:tc>
          <w:tcPr>
            <w:tcW w:w="990" w:type="dxa"/>
            <w:vAlign w:val="center"/>
          </w:tcPr>
          <w:p w:rsidR="00F56F55" w:rsidRPr="00691F19" w:rsidRDefault="00F56F55" w:rsidP="00D13A23">
            <w:pPr>
              <w:jc w:val="center"/>
              <w:rPr>
                <w:rFonts w:ascii="Times New Roman" w:eastAsia="Times New Roman" w:hAnsi="Times New Roman" w:cs="Times New Roman"/>
                <w:b/>
                <w:lang w:eastAsia="ru-RU"/>
              </w:rPr>
            </w:pPr>
            <w:r w:rsidRPr="00691F19">
              <w:rPr>
                <w:rFonts w:ascii="Times New Roman" w:eastAsia="Times New Roman" w:hAnsi="Times New Roman" w:cs="Times New Roman"/>
                <w:b/>
                <w:lang w:eastAsia="ru-RU"/>
              </w:rPr>
              <w:t>321,2</w:t>
            </w:r>
          </w:p>
        </w:tc>
        <w:tc>
          <w:tcPr>
            <w:tcW w:w="900" w:type="dxa"/>
            <w:tcBorders>
              <w:right w:val="single" w:sz="4" w:space="0" w:color="auto"/>
            </w:tcBorders>
            <w:vAlign w:val="center"/>
          </w:tcPr>
          <w:p w:rsidR="00F56F55" w:rsidRPr="00691F19" w:rsidRDefault="00F56F55" w:rsidP="00D13A23">
            <w:pPr>
              <w:ind w:left="-105" w:right="-26"/>
              <w:jc w:val="center"/>
              <w:rPr>
                <w:rFonts w:ascii="Times New Roman" w:eastAsia="Times New Roman" w:hAnsi="Times New Roman" w:cs="Times New Roman"/>
                <w:b/>
                <w:lang w:eastAsia="ru-RU"/>
              </w:rPr>
            </w:pPr>
            <w:r w:rsidRPr="00691F19">
              <w:rPr>
                <w:rFonts w:ascii="Times New Roman" w:eastAsia="Times New Roman" w:hAnsi="Times New Roman" w:cs="Times New Roman"/>
                <w:b/>
                <w:lang w:eastAsia="ru-RU"/>
              </w:rPr>
              <w:t>233,8</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F56F55" w:rsidRPr="00691F19" w:rsidRDefault="00F56F55" w:rsidP="00D13A23">
            <w:pPr>
              <w:ind w:left="-105"/>
              <w:jc w:val="center"/>
              <w:rPr>
                <w:rFonts w:ascii="Times New Roman" w:eastAsia="Times New Roman" w:hAnsi="Times New Roman" w:cs="Times New Roman"/>
                <w:b/>
                <w:bCs/>
                <w:color w:val="000000"/>
                <w:lang w:eastAsia="ru-RU"/>
              </w:rPr>
            </w:pPr>
            <w:r w:rsidRPr="00691F19">
              <w:rPr>
                <w:rFonts w:ascii="Times New Roman" w:eastAsia="Times New Roman" w:hAnsi="Times New Roman" w:cs="Times New Roman"/>
                <w:b/>
                <w:bCs/>
                <w:color w:val="000000"/>
                <w:lang w:eastAsia="ru-RU"/>
              </w:rPr>
              <w:t>87,4</w:t>
            </w:r>
          </w:p>
        </w:tc>
        <w:tc>
          <w:tcPr>
            <w:tcW w:w="810" w:type="dxa"/>
            <w:tcBorders>
              <w:left w:val="single" w:sz="4" w:space="0" w:color="auto"/>
            </w:tcBorders>
            <w:vAlign w:val="center"/>
          </w:tcPr>
          <w:p w:rsidR="00F56F55" w:rsidRPr="00691F19" w:rsidRDefault="00F56F55" w:rsidP="00D13A23">
            <w:pPr>
              <w:jc w:val="center"/>
              <w:rPr>
                <w:rFonts w:ascii="Times New Roman" w:eastAsia="Times New Roman" w:hAnsi="Times New Roman" w:cs="Times New Roman"/>
                <w:b/>
                <w:bCs/>
                <w:color w:val="000000"/>
                <w:lang w:eastAsia="ru-RU"/>
              </w:rPr>
            </w:pPr>
            <w:r w:rsidRPr="00691F19">
              <w:rPr>
                <w:rFonts w:ascii="Times New Roman" w:eastAsia="Times New Roman" w:hAnsi="Times New Roman" w:cs="Times New Roman"/>
                <w:b/>
                <w:bCs/>
                <w:color w:val="000000"/>
                <w:lang w:eastAsia="ru-RU"/>
              </w:rPr>
              <w:t>137,4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56F55" w:rsidRPr="00691F19" w:rsidRDefault="00F56F55" w:rsidP="00D13A23">
            <w:pPr>
              <w:jc w:val="center"/>
              <w:rPr>
                <w:rFonts w:ascii="Times New Roman" w:eastAsia="Times New Roman" w:hAnsi="Times New Roman" w:cs="Times New Roman"/>
                <w:b/>
                <w:color w:val="000000"/>
                <w:lang w:eastAsia="ru-RU"/>
              </w:rPr>
            </w:pPr>
            <w:r w:rsidRPr="00691F19">
              <w:rPr>
                <w:rFonts w:ascii="Times New Roman" w:eastAsia="Times New Roman" w:hAnsi="Times New Roman" w:cs="Times New Roman"/>
                <w:b/>
                <w:color w:val="000000"/>
                <w:lang w:eastAsia="ru-RU"/>
              </w:rPr>
              <w:t>0,2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56F55" w:rsidRPr="00691F19" w:rsidRDefault="00F56F55" w:rsidP="00D13A23">
            <w:pPr>
              <w:jc w:val="center"/>
              <w:rPr>
                <w:rFonts w:ascii="Times New Roman" w:eastAsia="Times New Roman" w:hAnsi="Times New Roman" w:cs="Times New Roman"/>
                <w:b/>
                <w:color w:val="000000"/>
                <w:lang w:eastAsia="ru-RU"/>
              </w:rPr>
            </w:pPr>
            <w:r w:rsidRPr="00691F19">
              <w:rPr>
                <w:rFonts w:ascii="Times New Roman" w:eastAsia="Times New Roman" w:hAnsi="Times New Roman" w:cs="Times New Roman"/>
                <w:b/>
                <w:color w:val="000000"/>
                <w:lang w:eastAsia="ru-RU"/>
              </w:rPr>
              <w:t>0,2</w:t>
            </w:r>
          </w:p>
        </w:tc>
      </w:tr>
      <w:tr w:rsidR="00F56F55" w:rsidRPr="00691F19" w:rsidTr="00365D6E">
        <w:trPr>
          <w:gridAfter w:val="1"/>
          <w:wAfter w:w="8" w:type="dxa"/>
        </w:trPr>
        <w:tc>
          <w:tcPr>
            <w:tcW w:w="3681" w:type="dxa"/>
          </w:tcPr>
          <w:p w:rsidR="00F56F55" w:rsidRPr="00691F19" w:rsidRDefault="00F56F55" w:rsidP="00B0321C">
            <w:pPr>
              <w:rPr>
                <w:rFonts w:ascii="Times New Roman" w:eastAsia="Times New Roman" w:hAnsi="Times New Roman" w:cs="Times New Roman"/>
                <w:lang w:eastAsia="ru-RU"/>
              </w:rPr>
            </w:pPr>
            <w:r w:rsidRPr="00691F19">
              <w:rPr>
                <w:rFonts w:ascii="Times New Roman" w:eastAsia="Times New Roman" w:hAnsi="Times New Roman" w:cs="Times New Roman"/>
                <w:lang w:eastAsia="ru-RU"/>
              </w:rPr>
              <w:t>Dobânzi încasate</w:t>
            </w:r>
          </w:p>
        </w:tc>
        <w:tc>
          <w:tcPr>
            <w:tcW w:w="990" w:type="dxa"/>
            <w:vAlign w:val="center"/>
          </w:tcPr>
          <w:p w:rsidR="00F56F55" w:rsidRPr="00691F19" w:rsidRDefault="00F56F55" w:rsidP="00D13A23">
            <w:pPr>
              <w:jc w:val="center"/>
              <w:rPr>
                <w:rFonts w:ascii="Times New Roman" w:eastAsia="Times New Roman" w:hAnsi="Times New Roman" w:cs="Times New Roman"/>
                <w:color w:val="000000"/>
                <w:lang w:eastAsia="ru-RU"/>
              </w:rPr>
            </w:pPr>
            <w:r w:rsidRPr="00691F19">
              <w:rPr>
                <w:rFonts w:ascii="Times New Roman" w:eastAsia="Times New Roman" w:hAnsi="Times New Roman" w:cs="Times New Roman"/>
                <w:color w:val="000000"/>
                <w:lang w:eastAsia="ru-RU"/>
              </w:rPr>
              <w:t>150,8</w:t>
            </w:r>
          </w:p>
        </w:tc>
        <w:tc>
          <w:tcPr>
            <w:tcW w:w="990" w:type="dxa"/>
            <w:vAlign w:val="center"/>
          </w:tcPr>
          <w:p w:rsidR="00F56F55" w:rsidRPr="00691F19" w:rsidRDefault="00F56F55" w:rsidP="00D13A23">
            <w:pPr>
              <w:jc w:val="center"/>
              <w:rPr>
                <w:rFonts w:ascii="Times New Roman" w:eastAsia="Times New Roman" w:hAnsi="Times New Roman" w:cs="Times New Roman"/>
                <w:lang w:eastAsia="ru-RU"/>
              </w:rPr>
            </w:pPr>
            <w:r w:rsidRPr="00691F19">
              <w:rPr>
                <w:rFonts w:ascii="Times New Roman" w:eastAsia="Times New Roman" w:hAnsi="Times New Roman" w:cs="Times New Roman"/>
                <w:lang w:eastAsia="ru-RU"/>
              </w:rPr>
              <w:t>154,0</w:t>
            </w:r>
          </w:p>
        </w:tc>
        <w:tc>
          <w:tcPr>
            <w:tcW w:w="900" w:type="dxa"/>
            <w:tcBorders>
              <w:right w:val="single" w:sz="4" w:space="0" w:color="auto"/>
            </w:tcBorders>
            <w:vAlign w:val="center"/>
          </w:tcPr>
          <w:p w:rsidR="00F56F55" w:rsidRPr="00691F19" w:rsidRDefault="00F56F55" w:rsidP="00D13A23">
            <w:pPr>
              <w:ind w:left="-105" w:right="-26"/>
              <w:jc w:val="center"/>
              <w:rPr>
                <w:rFonts w:ascii="Times New Roman" w:eastAsia="Times New Roman" w:hAnsi="Times New Roman" w:cs="Times New Roman"/>
                <w:lang w:eastAsia="ru-RU"/>
              </w:rPr>
            </w:pPr>
            <w:r w:rsidRPr="00691F19">
              <w:rPr>
                <w:rFonts w:ascii="Times New Roman" w:eastAsia="Times New Roman" w:hAnsi="Times New Roman" w:cs="Times New Roman"/>
                <w:lang w:eastAsia="ru-RU"/>
              </w:rPr>
              <w:t>108,5</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F56F55" w:rsidRPr="00691F19" w:rsidRDefault="00F56F55" w:rsidP="00D13A23">
            <w:pPr>
              <w:ind w:left="-105"/>
              <w:jc w:val="center"/>
              <w:rPr>
                <w:rFonts w:ascii="Times New Roman" w:eastAsia="Times New Roman" w:hAnsi="Times New Roman" w:cs="Times New Roman"/>
                <w:color w:val="000000"/>
                <w:lang w:eastAsia="ru-RU"/>
              </w:rPr>
            </w:pPr>
            <w:r w:rsidRPr="00691F19">
              <w:rPr>
                <w:rFonts w:ascii="Times New Roman" w:eastAsia="Times New Roman" w:hAnsi="Times New Roman" w:cs="Times New Roman"/>
                <w:color w:val="000000"/>
                <w:lang w:eastAsia="ru-RU"/>
              </w:rPr>
              <w:t>45,5</w:t>
            </w:r>
          </w:p>
        </w:tc>
        <w:tc>
          <w:tcPr>
            <w:tcW w:w="810" w:type="dxa"/>
            <w:tcBorders>
              <w:left w:val="single" w:sz="4" w:space="0" w:color="auto"/>
              <w:right w:val="single" w:sz="4" w:space="0" w:color="auto"/>
            </w:tcBorders>
            <w:vAlign w:val="center"/>
          </w:tcPr>
          <w:p w:rsidR="00F56F55" w:rsidRPr="00691F19" w:rsidRDefault="00F56F55" w:rsidP="00D13A23">
            <w:pPr>
              <w:jc w:val="center"/>
              <w:rPr>
                <w:rFonts w:ascii="Times New Roman" w:eastAsia="Times New Roman" w:hAnsi="Times New Roman" w:cs="Times New Roman"/>
                <w:bCs/>
                <w:color w:val="000000"/>
                <w:lang w:eastAsia="ru-RU"/>
              </w:rPr>
            </w:pPr>
            <w:r w:rsidRPr="00691F19">
              <w:rPr>
                <w:rFonts w:ascii="Times New Roman" w:eastAsia="Times New Roman" w:hAnsi="Times New Roman" w:cs="Times New Roman"/>
                <w:bCs/>
                <w:color w:val="000000"/>
                <w:lang w:eastAsia="ru-RU"/>
              </w:rPr>
              <w:t>141,9</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56F55" w:rsidRPr="00691F19" w:rsidRDefault="00F56F55" w:rsidP="00D13A23">
            <w:pPr>
              <w:jc w:val="center"/>
              <w:rPr>
                <w:rFonts w:ascii="Times New Roman" w:eastAsia="Times New Roman" w:hAnsi="Times New Roman" w:cs="Times New Roman"/>
                <w:color w:val="000000"/>
                <w:lang w:eastAsia="ru-RU"/>
              </w:rPr>
            </w:pPr>
            <w:r w:rsidRPr="00691F19">
              <w:rPr>
                <w:rFonts w:ascii="Times New Roman" w:eastAsia="Times New Roman" w:hAnsi="Times New Roman" w:cs="Times New Roman"/>
                <w:color w:val="000000"/>
                <w:lang w:eastAsia="ru-RU"/>
              </w:rPr>
              <w:t>0,1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56F55" w:rsidRPr="00691F19" w:rsidRDefault="00F56F55" w:rsidP="00D13A23">
            <w:pPr>
              <w:jc w:val="center"/>
              <w:rPr>
                <w:rFonts w:ascii="Times New Roman" w:eastAsia="Times New Roman" w:hAnsi="Times New Roman" w:cs="Times New Roman"/>
                <w:color w:val="000000"/>
                <w:lang w:eastAsia="ru-RU"/>
              </w:rPr>
            </w:pPr>
            <w:r w:rsidRPr="00691F19">
              <w:rPr>
                <w:rFonts w:ascii="Times New Roman" w:eastAsia="Times New Roman" w:hAnsi="Times New Roman" w:cs="Times New Roman"/>
                <w:color w:val="000000"/>
                <w:lang w:eastAsia="ru-RU"/>
              </w:rPr>
              <w:t>0,1</w:t>
            </w:r>
          </w:p>
        </w:tc>
      </w:tr>
      <w:tr w:rsidR="00F56F55" w:rsidRPr="00691F19" w:rsidTr="00365D6E">
        <w:trPr>
          <w:gridAfter w:val="1"/>
          <w:wAfter w:w="8" w:type="dxa"/>
        </w:trPr>
        <w:tc>
          <w:tcPr>
            <w:tcW w:w="3681" w:type="dxa"/>
          </w:tcPr>
          <w:p w:rsidR="00F56F55" w:rsidRPr="00691F19" w:rsidRDefault="00F56F55" w:rsidP="00B0321C">
            <w:pPr>
              <w:rPr>
                <w:rFonts w:ascii="Times New Roman" w:eastAsia="Times New Roman" w:hAnsi="Times New Roman" w:cs="Times New Roman"/>
                <w:lang w:eastAsia="ru-RU"/>
              </w:rPr>
            </w:pPr>
            <w:r w:rsidRPr="00691F19">
              <w:rPr>
                <w:rFonts w:ascii="Times New Roman" w:eastAsia="Times New Roman" w:hAnsi="Times New Roman" w:cs="Times New Roman"/>
                <w:lang w:eastAsia="ru-RU"/>
              </w:rPr>
              <w:t>Dividende primite</w:t>
            </w:r>
          </w:p>
        </w:tc>
        <w:tc>
          <w:tcPr>
            <w:tcW w:w="990" w:type="dxa"/>
            <w:vAlign w:val="center"/>
          </w:tcPr>
          <w:p w:rsidR="00F56F55" w:rsidRPr="00691F19" w:rsidRDefault="00F56F55" w:rsidP="00D13A23">
            <w:pPr>
              <w:jc w:val="center"/>
              <w:rPr>
                <w:rFonts w:ascii="Times New Roman" w:eastAsia="Times New Roman" w:hAnsi="Times New Roman" w:cs="Times New Roman"/>
                <w:color w:val="000000"/>
                <w:lang w:eastAsia="ru-RU"/>
              </w:rPr>
            </w:pPr>
            <w:r w:rsidRPr="00691F19">
              <w:rPr>
                <w:rFonts w:ascii="Times New Roman" w:eastAsia="Times New Roman" w:hAnsi="Times New Roman" w:cs="Times New Roman"/>
                <w:color w:val="000000"/>
                <w:lang w:eastAsia="ru-RU"/>
              </w:rPr>
              <w:t>163,3</w:t>
            </w:r>
          </w:p>
        </w:tc>
        <w:tc>
          <w:tcPr>
            <w:tcW w:w="990" w:type="dxa"/>
            <w:vAlign w:val="center"/>
          </w:tcPr>
          <w:p w:rsidR="00F56F55" w:rsidRPr="00691F19" w:rsidRDefault="00F56F55" w:rsidP="00D13A23">
            <w:pPr>
              <w:jc w:val="center"/>
              <w:rPr>
                <w:rFonts w:ascii="Times New Roman" w:eastAsia="Times New Roman" w:hAnsi="Times New Roman" w:cs="Times New Roman"/>
                <w:lang w:eastAsia="ru-RU"/>
              </w:rPr>
            </w:pPr>
            <w:r w:rsidRPr="00691F19">
              <w:rPr>
                <w:rFonts w:ascii="Times New Roman" w:eastAsia="Times New Roman" w:hAnsi="Times New Roman" w:cs="Times New Roman"/>
                <w:lang w:eastAsia="ru-RU"/>
              </w:rPr>
              <w:t>167,1</w:t>
            </w:r>
          </w:p>
        </w:tc>
        <w:tc>
          <w:tcPr>
            <w:tcW w:w="900" w:type="dxa"/>
            <w:tcBorders>
              <w:right w:val="single" w:sz="4" w:space="0" w:color="auto"/>
            </w:tcBorders>
            <w:vAlign w:val="center"/>
          </w:tcPr>
          <w:p w:rsidR="00F56F55" w:rsidRPr="00691F19" w:rsidRDefault="00F56F55" w:rsidP="00D13A23">
            <w:pPr>
              <w:ind w:left="-105" w:right="-26"/>
              <w:jc w:val="center"/>
              <w:rPr>
                <w:rFonts w:ascii="Times New Roman" w:eastAsia="Times New Roman" w:hAnsi="Times New Roman" w:cs="Times New Roman"/>
                <w:lang w:eastAsia="ru-RU"/>
              </w:rPr>
            </w:pPr>
            <w:r w:rsidRPr="00691F19">
              <w:rPr>
                <w:rFonts w:ascii="Times New Roman" w:eastAsia="Times New Roman" w:hAnsi="Times New Roman" w:cs="Times New Roman"/>
                <w:lang w:eastAsia="ru-RU"/>
              </w:rPr>
              <w:t>124,4</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F56F55" w:rsidRPr="00691F19" w:rsidRDefault="00F56F55" w:rsidP="00D13A23">
            <w:pPr>
              <w:ind w:left="-105"/>
              <w:jc w:val="center"/>
              <w:rPr>
                <w:rFonts w:ascii="Times New Roman" w:eastAsia="Times New Roman" w:hAnsi="Times New Roman" w:cs="Times New Roman"/>
                <w:color w:val="000000"/>
                <w:lang w:eastAsia="ru-RU"/>
              </w:rPr>
            </w:pPr>
            <w:r w:rsidRPr="00691F19">
              <w:rPr>
                <w:rFonts w:ascii="Times New Roman" w:eastAsia="Times New Roman" w:hAnsi="Times New Roman" w:cs="Times New Roman"/>
                <w:color w:val="000000"/>
                <w:lang w:eastAsia="ru-RU"/>
              </w:rPr>
              <w:t>42,7</w:t>
            </w:r>
          </w:p>
        </w:tc>
        <w:tc>
          <w:tcPr>
            <w:tcW w:w="810" w:type="dxa"/>
            <w:tcBorders>
              <w:left w:val="single" w:sz="4" w:space="0" w:color="auto"/>
              <w:right w:val="single" w:sz="4" w:space="0" w:color="auto"/>
            </w:tcBorders>
            <w:vAlign w:val="center"/>
          </w:tcPr>
          <w:p w:rsidR="00F56F55" w:rsidRPr="00691F19" w:rsidRDefault="00F56F55" w:rsidP="00D13A23">
            <w:pPr>
              <w:jc w:val="center"/>
              <w:rPr>
                <w:rFonts w:ascii="Times New Roman" w:eastAsia="Times New Roman" w:hAnsi="Times New Roman" w:cs="Times New Roman"/>
                <w:bCs/>
                <w:color w:val="000000"/>
                <w:lang w:eastAsia="ru-RU"/>
              </w:rPr>
            </w:pPr>
            <w:r w:rsidRPr="00691F19">
              <w:rPr>
                <w:rFonts w:ascii="Times New Roman" w:eastAsia="Times New Roman" w:hAnsi="Times New Roman" w:cs="Times New Roman"/>
                <w:bCs/>
                <w:color w:val="000000"/>
                <w:lang w:eastAsia="ru-RU"/>
              </w:rPr>
              <w:t>134,3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56F55" w:rsidRPr="00691F19" w:rsidRDefault="00F56F55" w:rsidP="00D13A23">
            <w:pPr>
              <w:jc w:val="center"/>
              <w:rPr>
                <w:rFonts w:ascii="Times New Roman" w:eastAsia="Times New Roman" w:hAnsi="Times New Roman" w:cs="Times New Roman"/>
                <w:color w:val="000000"/>
                <w:lang w:eastAsia="ru-RU"/>
              </w:rPr>
            </w:pPr>
            <w:r w:rsidRPr="00691F19">
              <w:rPr>
                <w:rFonts w:ascii="Times New Roman" w:eastAsia="Times New Roman" w:hAnsi="Times New Roman" w:cs="Times New Roman"/>
                <w:color w:val="000000"/>
                <w:lang w:eastAsia="ru-RU"/>
              </w:rPr>
              <w:t>0,1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56F55" w:rsidRPr="00691F19" w:rsidRDefault="00F56F55" w:rsidP="00D13A23">
            <w:pPr>
              <w:jc w:val="center"/>
              <w:rPr>
                <w:rFonts w:ascii="Times New Roman" w:eastAsia="Times New Roman" w:hAnsi="Times New Roman" w:cs="Times New Roman"/>
                <w:color w:val="000000"/>
                <w:lang w:eastAsia="ru-RU"/>
              </w:rPr>
            </w:pPr>
            <w:r w:rsidRPr="00691F19">
              <w:rPr>
                <w:rFonts w:ascii="Times New Roman" w:eastAsia="Times New Roman" w:hAnsi="Times New Roman" w:cs="Times New Roman"/>
                <w:color w:val="000000"/>
                <w:lang w:eastAsia="ru-RU"/>
              </w:rPr>
              <w:t>0,1</w:t>
            </w:r>
          </w:p>
        </w:tc>
      </w:tr>
      <w:tr w:rsidR="00F56F55" w:rsidRPr="00691F19" w:rsidTr="00365D6E">
        <w:trPr>
          <w:gridAfter w:val="1"/>
          <w:wAfter w:w="8" w:type="dxa"/>
        </w:trPr>
        <w:tc>
          <w:tcPr>
            <w:tcW w:w="3681" w:type="dxa"/>
          </w:tcPr>
          <w:p w:rsidR="00F56F55" w:rsidRPr="00691F19" w:rsidRDefault="00F56F55" w:rsidP="00B0321C">
            <w:pPr>
              <w:rPr>
                <w:rFonts w:ascii="Times New Roman" w:eastAsia="Times New Roman" w:hAnsi="Times New Roman" w:cs="Times New Roman"/>
                <w:lang w:eastAsia="ru-RU"/>
              </w:rPr>
            </w:pPr>
            <w:r w:rsidRPr="00691F19">
              <w:rPr>
                <w:rFonts w:ascii="Times New Roman" w:eastAsia="Times New Roman" w:hAnsi="Times New Roman" w:cs="Times New Roman"/>
                <w:lang w:eastAsia="ru-RU"/>
              </w:rPr>
              <w:t>Renta</w:t>
            </w:r>
          </w:p>
        </w:tc>
        <w:tc>
          <w:tcPr>
            <w:tcW w:w="990" w:type="dxa"/>
            <w:vAlign w:val="center"/>
          </w:tcPr>
          <w:p w:rsidR="00F56F55" w:rsidRPr="00691F19" w:rsidRDefault="00F56F55" w:rsidP="00D13A23">
            <w:pPr>
              <w:jc w:val="center"/>
              <w:rPr>
                <w:rFonts w:ascii="Times New Roman" w:eastAsia="Times New Roman" w:hAnsi="Times New Roman" w:cs="Times New Roman"/>
                <w:color w:val="000000"/>
                <w:lang w:eastAsia="ru-RU"/>
              </w:rPr>
            </w:pPr>
          </w:p>
        </w:tc>
        <w:tc>
          <w:tcPr>
            <w:tcW w:w="990" w:type="dxa"/>
            <w:vAlign w:val="center"/>
          </w:tcPr>
          <w:p w:rsidR="00F56F55" w:rsidRPr="00691F19" w:rsidRDefault="00F56F55" w:rsidP="00D13A23">
            <w:pPr>
              <w:jc w:val="center"/>
              <w:rPr>
                <w:rFonts w:ascii="Times New Roman" w:eastAsia="Times New Roman" w:hAnsi="Times New Roman" w:cs="Times New Roman"/>
                <w:lang w:eastAsia="ru-RU"/>
              </w:rPr>
            </w:pPr>
            <w:r w:rsidRPr="00691F19">
              <w:rPr>
                <w:rFonts w:ascii="Times New Roman" w:eastAsia="Times New Roman" w:hAnsi="Times New Roman" w:cs="Times New Roman"/>
                <w:lang w:eastAsia="ru-RU"/>
              </w:rPr>
              <w:t>0,1</w:t>
            </w:r>
          </w:p>
        </w:tc>
        <w:tc>
          <w:tcPr>
            <w:tcW w:w="900" w:type="dxa"/>
            <w:tcBorders>
              <w:right w:val="single" w:sz="4" w:space="0" w:color="auto"/>
            </w:tcBorders>
            <w:vAlign w:val="center"/>
          </w:tcPr>
          <w:p w:rsidR="00F56F55" w:rsidRPr="00691F19" w:rsidRDefault="00F56F55" w:rsidP="00D13A23">
            <w:pPr>
              <w:ind w:left="-105" w:right="-26"/>
              <w:jc w:val="center"/>
              <w:rPr>
                <w:rFonts w:ascii="Times New Roman" w:eastAsia="Times New Roman" w:hAnsi="Times New Roman" w:cs="Times New Roman"/>
                <w:lang w:eastAsia="ru-RU"/>
              </w:rPr>
            </w:pPr>
            <w:r w:rsidRPr="00691F19">
              <w:rPr>
                <w:rFonts w:ascii="Times New Roman" w:eastAsia="Times New Roman" w:hAnsi="Times New Roman" w:cs="Times New Roman"/>
                <w:lang w:eastAsia="ru-RU"/>
              </w:rPr>
              <w:t>0,9</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F56F55" w:rsidRPr="00691F19" w:rsidRDefault="00F56F55" w:rsidP="00D13A23">
            <w:pPr>
              <w:ind w:left="-105"/>
              <w:jc w:val="center"/>
              <w:rPr>
                <w:rFonts w:ascii="Times New Roman" w:eastAsia="Times New Roman" w:hAnsi="Times New Roman" w:cs="Times New Roman"/>
                <w:color w:val="000000"/>
                <w:lang w:eastAsia="ru-RU"/>
              </w:rPr>
            </w:pPr>
            <w:r w:rsidRPr="00691F19">
              <w:rPr>
                <w:rFonts w:ascii="Times New Roman" w:eastAsia="Times New Roman" w:hAnsi="Times New Roman" w:cs="Times New Roman"/>
                <w:color w:val="000000"/>
                <w:lang w:eastAsia="ru-RU"/>
              </w:rPr>
              <w:t>-0,8</w:t>
            </w:r>
          </w:p>
        </w:tc>
        <w:tc>
          <w:tcPr>
            <w:tcW w:w="810" w:type="dxa"/>
            <w:tcBorders>
              <w:left w:val="single" w:sz="4" w:space="0" w:color="auto"/>
              <w:right w:val="single" w:sz="4" w:space="0" w:color="auto"/>
            </w:tcBorders>
            <w:vAlign w:val="center"/>
          </w:tcPr>
          <w:p w:rsidR="00F56F55" w:rsidRPr="00691F19" w:rsidRDefault="00F56F55" w:rsidP="00D13A23">
            <w:pPr>
              <w:jc w:val="center"/>
              <w:rPr>
                <w:rFonts w:ascii="Times New Roman" w:eastAsia="Times New Roman" w:hAnsi="Times New Roman" w:cs="Times New Roman"/>
                <w:bCs/>
                <w:color w:val="000000"/>
                <w:lang w:eastAsia="ru-RU"/>
              </w:rPr>
            </w:pPr>
            <w:r w:rsidRPr="00691F19">
              <w:rPr>
                <w:rFonts w:ascii="Times New Roman" w:eastAsia="Times New Roman" w:hAnsi="Times New Roman" w:cs="Times New Roman"/>
                <w:bCs/>
                <w:color w:val="000000"/>
                <w:lang w:eastAsia="ru-RU"/>
              </w:rPr>
              <w:t>11,1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56F55" w:rsidRPr="00691F19" w:rsidRDefault="00F56F55" w:rsidP="00D13A23">
            <w:pPr>
              <w:jc w:val="center"/>
              <w:rPr>
                <w:rFonts w:ascii="Times New Roman" w:eastAsia="Times New Roman" w:hAnsi="Times New Roman" w:cs="Times New Roman"/>
                <w:color w:val="000000"/>
                <w:lang w:eastAsia="ru-RU"/>
              </w:rPr>
            </w:pPr>
            <w:r w:rsidRPr="00691F19">
              <w:rPr>
                <w:rFonts w:ascii="Times New Roman" w:eastAsia="Times New Roman" w:hAnsi="Times New Roman" w:cs="Times New Roman"/>
                <w:color w:val="000000"/>
                <w:lang w:eastAsia="ru-RU"/>
              </w:rPr>
              <w:t>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56F55" w:rsidRPr="00691F19" w:rsidRDefault="00F56F55" w:rsidP="00D13A23">
            <w:pPr>
              <w:jc w:val="center"/>
              <w:rPr>
                <w:rFonts w:ascii="Times New Roman" w:eastAsia="Times New Roman" w:hAnsi="Times New Roman" w:cs="Times New Roman"/>
                <w:color w:val="000000"/>
                <w:lang w:eastAsia="ru-RU"/>
              </w:rPr>
            </w:pPr>
            <w:r w:rsidRPr="00691F19">
              <w:rPr>
                <w:rFonts w:ascii="Times New Roman" w:eastAsia="Times New Roman" w:hAnsi="Times New Roman" w:cs="Times New Roman"/>
                <w:color w:val="000000"/>
                <w:lang w:eastAsia="ru-RU"/>
              </w:rPr>
              <w:t>0,0</w:t>
            </w:r>
          </w:p>
        </w:tc>
      </w:tr>
      <w:tr w:rsidR="00F56F55" w:rsidRPr="00691F19" w:rsidTr="00365D6E">
        <w:trPr>
          <w:gridAfter w:val="1"/>
          <w:wAfter w:w="8" w:type="dxa"/>
        </w:trPr>
        <w:tc>
          <w:tcPr>
            <w:tcW w:w="3681" w:type="dxa"/>
          </w:tcPr>
          <w:p w:rsidR="00F56F55" w:rsidRPr="00691F19" w:rsidRDefault="00F56F55" w:rsidP="00B0321C">
            <w:pPr>
              <w:rPr>
                <w:rFonts w:ascii="Times New Roman" w:eastAsia="Times New Roman" w:hAnsi="Times New Roman" w:cs="Times New Roman"/>
                <w:b/>
                <w:lang w:eastAsia="ru-RU"/>
              </w:rPr>
            </w:pPr>
            <w:r w:rsidRPr="00691F19">
              <w:rPr>
                <w:rFonts w:ascii="Times New Roman" w:eastAsia="Times New Roman" w:hAnsi="Times New Roman" w:cs="Times New Roman"/>
                <w:b/>
                <w:lang w:eastAsia="ru-RU"/>
              </w:rPr>
              <w:lastRenderedPageBreak/>
              <w:t>Venituri din vânzarea mărfurilor și serviciilor</w:t>
            </w:r>
          </w:p>
        </w:tc>
        <w:tc>
          <w:tcPr>
            <w:tcW w:w="990" w:type="dxa"/>
            <w:vAlign w:val="center"/>
          </w:tcPr>
          <w:p w:rsidR="00F56F55" w:rsidRPr="00691F19" w:rsidRDefault="00F56F55" w:rsidP="00D13A23">
            <w:pPr>
              <w:jc w:val="center"/>
              <w:rPr>
                <w:rFonts w:ascii="Times New Roman" w:eastAsia="Times New Roman" w:hAnsi="Times New Roman" w:cs="Times New Roman"/>
                <w:b/>
                <w:color w:val="000000"/>
                <w:lang w:eastAsia="ru-RU"/>
              </w:rPr>
            </w:pPr>
            <w:r w:rsidRPr="00691F19">
              <w:rPr>
                <w:rFonts w:ascii="Times New Roman" w:eastAsia="Times New Roman" w:hAnsi="Times New Roman" w:cs="Times New Roman"/>
                <w:b/>
                <w:color w:val="000000"/>
                <w:lang w:eastAsia="ru-RU"/>
              </w:rPr>
              <w:t>1057,9</w:t>
            </w:r>
          </w:p>
        </w:tc>
        <w:tc>
          <w:tcPr>
            <w:tcW w:w="990" w:type="dxa"/>
            <w:vAlign w:val="center"/>
          </w:tcPr>
          <w:p w:rsidR="00F56F55" w:rsidRPr="00691F19" w:rsidRDefault="00F56F55" w:rsidP="00D13A23">
            <w:pPr>
              <w:jc w:val="center"/>
              <w:rPr>
                <w:rFonts w:ascii="Times New Roman" w:eastAsia="Times New Roman" w:hAnsi="Times New Roman" w:cs="Times New Roman"/>
                <w:b/>
                <w:lang w:eastAsia="ru-RU"/>
              </w:rPr>
            </w:pPr>
            <w:r w:rsidRPr="00691F19">
              <w:rPr>
                <w:rFonts w:ascii="Times New Roman" w:eastAsia="Times New Roman" w:hAnsi="Times New Roman" w:cs="Times New Roman"/>
                <w:b/>
                <w:lang w:eastAsia="ru-RU"/>
              </w:rPr>
              <w:t>1014,1</w:t>
            </w:r>
          </w:p>
        </w:tc>
        <w:tc>
          <w:tcPr>
            <w:tcW w:w="900" w:type="dxa"/>
            <w:vAlign w:val="center"/>
          </w:tcPr>
          <w:p w:rsidR="00F56F55" w:rsidRPr="00691F19" w:rsidRDefault="00F56F55" w:rsidP="00D13A23">
            <w:pPr>
              <w:ind w:left="-105" w:right="-26"/>
              <w:jc w:val="center"/>
              <w:rPr>
                <w:rFonts w:ascii="Times New Roman" w:eastAsia="Times New Roman" w:hAnsi="Times New Roman" w:cs="Times New Roman"/>
                <w:b/>
                <w:lang w:eastAsia="ru-RU"/>
              </w:rPr>
            </w:pPr>
            <w:r w:rsidRPr="00691F19">
              <w:rPr>
                <w:rFonts w:ascii="Times New Roman" w:eastAsia="Times New Roman" w:hAnsi="Times New Roman" w:cs="Times New Roman"/>
                <w:b/>
                <w:lang w:eastAsia="ru-RU"/>
              </w:rPr>
              <w:t>1014,4</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F56F55" w:rsidRPr="00691F19" w:rsidRDefault="00F56F55" w:rsidP="00D13A23">
            <w:pPr>
              <w:ind w:left="-105"/>
              <w:jc w:val="center"/>
              <w:rPr>
                <w:rFonts w:ascii="Times New Roman" w:eastAsia="Times New Roman" w:hAnsi="Times New Roman" w:cs="Times New Roman"/>
                <w:b/>
                <w:bCs/>
                <w:color w:val="000000"/>
                <w:lang w:eastAsia="ru-RU"/>
              </w:rPr>
            </w:pPr>
            <w:r w:rsidRPr="00691F19">
              <w:rPr>
                <w:rFonts w:ascii="Times New Roman" w:eastAsia="Times New Roman" w:hAnsi="Times New Roman" w:cs="Times New Roman"/>
                <w:b/>
                <w:bCs/>
                <w:color w:val="000000"/>
                <w:lang w:eastAsia="ru-RU"/>
              </w:rPr>
              <w:t>-0,3</w:t>
            </w:r>
          </w:p>
        </w:tc>
        <w:tc>
          <w:tcPr>
            <w:tcW w:w="810" w:type="dxa"/>
            <w:vAlign w:val="center"/>
          </w:tcPr>
          <w:p w:rsidR="00F56F55" w:rsidRPr="00691F19" w:rsidRDefault="00F56F55" w:rsidP="00D13A23">
            <w:pPr>
              <w:jc w:val="center"/>
              <w:rPr>
                <w:rFonts w:ascii="Times New Roman" w:eastAsia="Times New Roman" w:hAnsi="Times New Roman" w:cs="Times New Roman"/>
                <w:b/>
                <w:bCs/>
                <w:color w:val="000000"/>
                <w:lang w:eastAsia="ru-RU"/>
              </w:rPr>
            </w:pPr>
            <w:r w:rsidRPr="00691F19">
              <w:rPr>
                <w:rFonts w:ascii="Times New Roman" w:eastAsia="Times New Roman" w:hAnsi="Times New Roman" w:cs="Times New Roman"/>
                <w:b/>
                <w:bCs/>
                <w:color w:val="000000"/>
                <w:lang w:eastAsia="ru-RU"/>
              </w:rPr>
              <w:t>100,0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56F55" w:rsidRPr="00691F19" w:rsidRDefault="00F56F55" w:rsidP="00D13A23">
            <w:pPr>
              <w:jc w:val="center"/>
              <w:rPr>
                <w:rFonts w:ascii="Times New Roman" w:eastAsia="Times New Roman" w:hAnsi="Times New Roman" w:cs="Times New Roman"/>
                <w:b/>
                <w:color w:val="000000"/>
                <w:lang w:eastAsia="ru-RU"/>
              </w:rPr>
            </w:pPr>
            <w:r w:rsidRPr="00691F19">
              <w:rPr>
                <w:rFonts w:ascii="Times New Roman" w:eastAsia="Times New Roman" w:hAnsi="Times New Roman" w:cs="Times New Roman"/>
                <w:b/>
                <w:color w:val="000000"/>
                <w:lang w:eastAsia="ru-RU"/>
              </w:rPr>
              <w:t>0,7</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56F55" w:rsidRPr="00691F19" w:rsidRDefault="00F56F55" w:rsidP="00D13A23">
            <w:pPr>
              <w:jc w:val="center"/>
              <w:rPr>
                <w:rFonts w:ascii="Times New Roman" w:eastAsia="Times New Roman" w:hAnsi="Times New Roman" w:cs="Times New Roman"/>
                <w:b/>
                <w:color w:val="000000"/>
                <w:lang w:eastAsia="ru-RU"/>
              </w:rPr>
            </w:pPr>
            <w:r w:rsidRPr="00691F19">
              <w:rPr>
                <w:rFonts w:ascii="Times New Roman" w:eastAsia="Times New Roman" w:hAnsi="Times New Roman" w:cs="Times New Roman"/>
                <w:b/>
                <w:color w:val="000000"/>
                <w:lang w:eastAsia="ru-RU"/>
              </w:rPr>
              <w:t>0,7</w:t>
            </w:r>
          </w:p>
        </w:tc>
      </w:tr>
      <w:tr w:rsidR="00F56F55" w:rsidRPr="00691F19" w:rsidTr="00365D6E">
        <w:trPr>
          <w:gridAfter w:val="1"/>
          <w:wAfter w:w="8" w:type="dxa"/>
        </w:trPr>
        <w:tc>
          <w:tcPr>
            <w:tcW w:w="3681" w:type="dxa"/>
          </w:tcPr>
          <w:p w:rsidR="00F56F55" w:rsidRPr="00691F19" w:rsidRDefault="00F56F55" w:rsidP="00B0321C">
            <w:pPr>
              <w:rPr>
                <w:rFonts w:ascii="Times New Roman" w:eastAsia="Times New Roman" w:hAnsi="Times New Roman" w:cs="Times New Roman"/>
                <w:lang w:eastAsia="ru-RU"/>
              </w:rPr>
            </w:pPr>
            <w:r w:rsidRPr="00691F19">
              <w:rPr>
                <w:rFonts w:ascii="Times New Roman" w:eastAsia="Times New Roman" w:hAnsi="Times New Roman" w:cs="Times New Roman"/>
                <w:lang w:eastAsia="ru-RU"/>
              </w:rPr>
              <w:t>Taxe și plăți administrative</w:t>
            </w:r>
          </w:p>
        </w:tc>
        <w:tc>
          <w:tcPr>
            <w:tcW w:w="990" w:type="dxa"/>
            <w:vAlign w:val="center"/>
          </w:tcPr>
          <w:p w:rsidR="00F56F55" w:rsidRPr="00691F19" w:rsidRDefault="00F56F55" w:rsidP="00D13A23">
            <w:pPr>
              <w:jc w:val="center"/>
              <w:rPr>
                <w:rFonts w:ascii="Times New Roman" w:eastAsia="Times New Roman" w:hAnsi="Times New Roman" w:cs="Times New Roman"/>
                <w:color w:val="000000"/>
                <w:lang w:eastAsia="ru-RU"/>
              </w:rPr>
            </w:pPr>
            <w:r w:rsidRPr="00691F19">
              <w:rPr>
                <w:rFonts w:ascii="Times New Roman" w:eastAsia="Times New Roman" w:hAnsi="Times New Roman" w:cs="Times New Roman"/>
                <w:color w:val="000000"/>
                <w:lang w:eastAsia="ru-RU"/>
              </w:rPr>
              <w:t>289,9</w:t>
            </w:r>
          </w:p>
        </w:tc>
        <w:tc>
          <w:tcPr>
            <w:tcW w:w="990" w:type="dxa"/>
            <w:vAlign w:val="center"/>
          </w:tcPr>
          <w:p w:rsidR="00F56F55" w:rsidRPr="00691F19" w:rsidRDefault="00F56F55" w:rsidP="00D13A23">
            <w:pPr>
              <w:jc w:val="center"/>
              <w:rPr>
                <w:rFonts w:ascii="Times New Roman" w:eastAsia="Times New Roman" w:hAnsi="Times New Roman" w:cs="Times New Roman"/>
                <w:lang w:eastAsia="ru-RU"/>
              </w:rPr>
            </w:pPr>
            <w:r w:rsidRPr="00691F19">
              <w:rPr>
                <w:rFonts w:ascii="Times New Roman" w:eastAsia="Times New Roman" w:hAnsi="Times New Roman" w:cs="Times New Roman"/>
                <w:lang w:eastAsia="ru-RU"/>
              </w:rPr>
              <w:t>294,6</w:t>
            </w:r>
          </w:p>
        </w:tc>
        <w:tc>
          <w:tcPr>
            <w:tcW w:w="900" w:type="dxa"/>
            <w:vAlign w:val="center"/>
          </w:tcPr>
          <w:p w:rsidR="00F56F55" w:rsidRPr="00691F19" w:rsidRDefault="00F56F55" w:rsidP="00D13A23">
            <w:pPr>
              <w:ind w:left="-105" w:right="-26"/>
              <w:jc w:val="center"/>
              <w:rPr>
                <w:rFonts w:ascii="Times New Roman" w:eastAsia="Times New Roman" w:hAnsi="Times New Roman" w:cs="Times New Roman"/>
                <w:lang w:eastAsia="ru-RU"/>
              </w:rPr>
            </w:pPr>
            <w:r w:rsidRPr="00691F19">
              <w:rPr>
                <w:rFonts w:ascii="Times New Roman" w:eastAsia="Times New Roman" w:hAnsi="Times New Roman" w:cs="Times New Roman"/>
                <w:lang w:eastAsia="ru-RU"/>
              </w:rPr>
              <w:t>296,4</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F56F55" w:rsidRPr="00691F19" w:rsidRDefault="00F56F55" w:rsidP="00D13A23">
            <w:pPr>
              <w:ind w:left="-105"/>
              <w:jc w:val="center"/>
              <w:rPr>
                <w:rFonts w:ascii="Times New Roman" w:eastAsia="Times New Roman" w:hAnsi="Times New Roman" w:cs="Times New Roman"/>
                <w:color w:val="000000"/>
                <w:lang w:eastAsia="ru-RU"/>
              </w:rPr>
            </w:pPr>
            <w:r w:rsidRPr="00691F19">
              <w:rPr>
                <w:rFonts w:ascii="Times New Roman" w:eastAsia="Times New Roman" w:hAnsi="Times New Roman" w:cs="Times New Roman"/>
                <w:color w:val="000000"/>
                <w:lang w:eastAsia="ru-RU"/>
              </w:rPr>
              <w:t>-1,8</w:t>
            </w:r>
          </w:p>
        </w:tc>
        <w:tc>
          <w:tcPr>
            <w:tcW w:w="810" w:type="dxa"/>
            <w:vAlign w:val="center"/>
          </w:tcPr>
          <w:p w:rsidR="00F56F55" w:rsidRPr="00691F19" w:rsidRDefault="00F56F55" w:rsidP="00D13A23">
            <w:pPr>
              <w:jc w:val="center"/>
              <w:rPr>
                <w:rFonts w:ascii="Times New Roman" w:eastAsia="Times New Roman" w:hAnsi="Times New Roman" w:cs="Times New Roman"/>
                <w:bCs/>
                <w:color w:val="000000"/>
                <w:lang w:eastAsia="ru-RU"/>
              </w:rPr>
            </w:pPr>
            <w:r w:rsidRPr="00691F19">
              <w:rPr>
                <w:rFonts w:ascii="Times New Roman" w:eastAsia="Times New Roman" w:hAnsi="Times New Roman" w:cs="Times New Roman"/>
                <w:bCs/>
                <w:color w:val="000000"/>
                <w:lang w:eastAsia="ru-RU"/>
              </w:rPr>
              <w:t>99,4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56F55" w:rsidRPr="00691F19" w:rsidRDefault="00F56F55" w:rsidP="00D13A23">
            <w:pPr>
              <w:jc w:val="center"/>
              <w:rPr>
                <w:rFonts w:ascii="Times New Roman" w:eastAsia="Times New Roman" w:hAnsi="Times New Roman" w:cs="Times New Roman"/>
                <w:color w:val="000000"/>
                <w:lang w:eastAsia="ru-RU"/>
              </w:rPr>
            </w:pPr>
            <w:r w:rsidRPr="00691F19">
              <w:rPr>
                <w:rFonts w:ascii="Times New Roman" w:eastAsia="Times New Roman" w:hAnsi="Times New Roman" w:cs="Times New Roman"/>
                <w:color w:val="000000"/>
                <w:lang w:eastAsia="ru-RU"/>
              </w:rPr>
              <w:t>0,2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56F55" w:rsidRPr="00691F19" w:rsidRDefault="00F56F55" w:rsidP="00D13A23">
            <w:pPr>
              <w:jc w:val="center"/>
              <w:rPr>
                <w:rFonts w:ascii="Times New Roman" w:eastAsia="Times New Roman" w:hAnsi="Times New Roman" w:cs="Times New Roman"/>
                <w:color w:val="000000"/>
                <w:lang w:eastAsia="ru-RU"/>
              </w:rPr>
            </w:pPr>
            <w:r w:rsidRPr="00691F19">
              <w:rPr>
                <w:rFonts w:ascii="Times New Roman" w:eastAsia="Times New Roman" w:hAnsi="Times New Roman" w:cs="Times New Roman"/>
                <w:color w:val="000000"/>
                <w:lang w:eastAsia="ru-RU"/>
              </w:rPr>
              <w:t>0,2</w:t>
            </w:r>
          </w:p>
        </w:tc>
      </w:tr>
      <w:tr w:rsidR="00F56F55" w:rsidRPr="00691F19" w:rsidTr="00365D6E">
        <w:trPr>
          <w:gridAfter w:val="1"/>
          <w:wAfter w:w="8" w:type="dxa"/>
        </w:trPr>
        <w:tc>
          <w:tcPr>
            <w:tcW w:w="3681" w:type="dxa"/>
          </w:tcPr>
          <w:p w:rsidR="00F56F55" w:rsidRPr="00691F19" w:rsidRDefault="00F56F55" w:rsidP="00B0321C">
            <w:pPr>
              <w:rPr>
                <w:rFonts w:ascii="Times New Roman" w:eastAsia="Times New Roman" w:hAnsi="Times New Roman" w:cs="Times New Roman"/>
                <w:lang w:eastAsia="ru-RU"/>
              </w:rPr>
            </w:pPr>
            <w:r w:rsidRPr="00691F19">
              <w:rPr>
                <w:rFonts w:ascii="Times New Roman" w:eastAsia="Times New Roman" w:hAnsi="Times New Roman" w:cs="Times New Roman"/>
                <w:lang w:eastAsia="ru-RU"/>
              </w:rPr>
              <w:t>Comercializarea mărfurilor și serviciilor de către instituțiile bugetare</w:t>
            </w:r>
          </w:p>
        </w:tc>
        <w:tc>
          <w:tcPr>
            <w:tcW w:w="990" w:type="dxa"/>
            <w:vAlign w:val="center"/>
          </w:tcPr>
          <w:p w:rsidR="00F56F55" w:rsidRPr="00691F19" w:rsidRDefault="00F56F55" w:rsidP="00D13A23">
            <w:pPr>
              <w:jc w:val="center"/>
              <w:rPr>
                <w:rFonts w:ascii="Times New Roman" w:eastAsia="Times New Roman" w:hAnsi="Times New Roman" w:cs="Times New Roman"/>
                <w:color w:val="000000"/>
                <w:lang w:eastAsia="ru-RU"/>
              </w:rPr>
            </w:pPr>
            <w:r w:rsidRPr="00691F19">
              <w:rPr>
                <w:rFonts w:ascii="Times New Roman" w:eastAsia="Times New Roman" w:hAnsi="Times New Roman" w:cs="Times New Roman"/>
                <w:color w:val="000000"/>
                <w:lang w:eastAsia="ru-RU"/>
              </w:rPr>
              <w:t>768,0</w:t>
            </w:r>
          </w:p>
        </w:tc>
        <w:tc>
          <w:tcPr>
            <w:tcW w:w="990" w:type="dxa"/>
            <w:vAlign w:val="center"/>
          </w:tcPr>
          <w:p w:rsidR="00F56F55" w:rsidRPr="00691F19" w:rsidRDefault="00F56F55" w:rsidP="00D13A23">
            <w:pPr>
              <w:jc w:val="center"/>
              <w:rPr>
                <w:rFonts w:ascii="Times New Roman" w:eastAsia="Times New Roman" w:hAnsi="Times New Roman" w:cs="Times New Roman"/>
                <w:lang w:eastAsia="ru-RU"/>
              </w:rPr>
            </w:pPr>
            <w:r w:rsidRPr="00691F19">
              <w:rPr>
                <w:rFonts w:ascii="Times New Roman" w:eastAsia="Times New Roman" w:hAnsi="Times New Roman" w:cs="Times New Roman"/>
                <w:lang w:eastAsia="ru-RU"/>
              </w:rPr>
              <w:t>719,5</w:t>
            </w:r>
          </w:p>
        </w:tc>
        <w:tc>
          <w:tcPr>
            <w:tcW w:w="900" w:type="dxa"/>
            <w:vAlign w:val="center"/>
          </w:tcPr>
          <w:p w:rsidR="00F56F55" w:rsidRPr="00691F19" w:rsidRDefault="00F56F55" w:rsidP="00D13A23">
            <w:pPr>
              <w:ind w:left="-105" w:right="-26"/>
              <w:jc w:val="center"/>
              <w:rPr>
                <w:rFonts w:ascii="Times New Roman" w:eastAsia="Times New Roman" w:hAnsi="Times New Roman" w:cs="Times New Roman"/>
                <w:lang w:eastAsia="ru-RU"/>
              </w:rPr>
            </w:pPr>
            <w:r w:rsidRPr="00691F19">
              <w:rPr>
                <w:rFonts w:ascii="Times New Roman" w:eastAsia="Times New Roman" w:hAnsi="Times New Roman" w:cs="Times New Roman"/>
                <w:lang w:eastAsia="ru-RU"/>
              </w:rPr>
              <w:t>718,0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F56F55" w:rsidRPr="00691F19" w:rsidRDefault="00F56F55" w:rsidP="00D13A23">
            <w:pPr>
              <w:ind w:left="-105"/>
              <w:jc w:val="center"/>
              <w:rPr>
                <w:rFonts w:ascii="Times New Roman" w:eastAsia="Times New Roman" w:hAnsi="Times New Roman" w:cs="Times New Roman"/>
                <w:color w:val="000000"/>
                <w:lang w:eastAsia="ru-RU"/>
              </w:rPr>
            </w:pPr>
            <w:r w:rsidRPr="00691F19">
              <w:rPr>
                <w:rFonts w:ascii="Times New Roman" w:eastAsia="Times New Roman" w:hAnsi="Times New Roman" w:cs="Times New Roman"/>
                <w:color w:val="000000"/>
                <w:lang w:eastAsia="ru-RU"/>
              </w:rPr>
              <w:t>1,5</w:t>
            </w:r>
          </w:p>
        </w:tc>
        <w:tc>
          <w:tcPr>
            <w:tcW w:w="810" w:type="dxa"/>
            <w:vAlign w:val="center"/>
          </w:tcPr>
          <w:p w:rsidR="00F56F55" w:rsidRPr="00691F19" w:rsidRDefault="00F56F55" w:rsidP="00D13A23">
            <w:pPr>
              <w:jc w:val="center"/>
              <w:rPr>
                <w:rFonts w:ascii="Times New Roman" w:eastAsia="Times New Roman" w:hAnsi="Times New Roman" w:cs="Times New Roman"/>
                <w:bCs/>
                <w:color w:val="000000"/>
                <w:lang w:eastAsia="ru-RU"/>
              </w:rPr>
            </w:pPr>
            <w:r w:rsidRPr="00691F19">
              <w:rPr>
                <w:rFonts w:ascii="Times New Roman" w:eastAsia="Times New Roman" w:hAnsi="Times New Roman" w:cs="Times New Roman"/>
                <w:bCs/>
                <w:color w:val="000000"/>
                <w:lang w:eastAsia="ru-RU"/>
              </w:rPr>
              <w:t>100,2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56F55" w:rsidRPr="00691F19" w:rsidRDefault="00F56F55" w:rsidP="00D13A23">
            <w:pPr>
              <w:jc w:val="center"/>
              <w:rPr>
                <w:rFonts w:ascii="Times New Roman" w:eastAsia="Times New Roman" w:hAnsi="Times New Roman" w:cs="Times New Roman"/>
                <w:color w:val="000000"/>
                <w:lang w:eastAsia="ru-RU"/>
              </w:rPr>
            </w:pPr>
            <w:r w:rsidRPr="00691F19">
              <w:rPr>
                <w:rFonts w:ascii="Times New Roman" w:eastAsia="Times New Roman" w:hAnsi="Times New Roman" w:cs="Times New Roman"/>
                <w:color w:val="000000"/>
                <w:lang w:eastAsia="ru-RU"/>
              </w:rPr>
              <w:t>0,5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56F55" w:rsidRPr="00691F19" w:rsidRDefault="00F56F55" w:rsidP="00D13A23">
            <w:pPr>
              <w:jc w:val="center"/>
              <w:rPr>
                <w:rFonts w:ascii="Times New Roman" w:eastAsia="Times New Roman" w:hAnsi="Times New Roman" w:cs="Times New Roman"/>
                <w:color w:val="000000"/>
                <w:lang w:eastAsia="ru-RU"/>
              </w:rPr>
            </w:pPr>
            <w:r w:rsidRPr="00691F19">
              <w:rPr>
                <w:rFonts w:ascii="Times New Roman" w:eastAsia="Times New Roman" w:hAnsi="Times New Roman" w:cs="Times New Roman"/>
                <w:color w:val="000000"/>
                <w:lang w:eastAsia="ru-RU"/>
              </w:rPr>
              <w:t>0,5</w:t>
            </w:r>
          </w:p>
        </w:tc>
      </w:tr>
      <w:tr w:rsidR="00F56F55" w:rsidRPr="00691F19" w:rsidTr="00365D6E">
        <w:trPr>
          <w:gridAfter w:val="1"/>
          <w:wAfter w:w="8" w:type="dxa"/>
        </w:trPr>
        <w:tc>
          <w:tcPr>
            <w:tcW w:w="3681" w:type="dxa"/>
          </w:tcPr>
          <w:p w:rsidR="00F56F55" w:rsidRPr="00691F19" w:rsidRDefault="00F56F55" w:rsidP="00B0321C">
            <w:pPr>
              <w:rPr>
                <w:rFonts w:ascii="Times New Roman" w:eastAsia="Times New Roman" w:hAnsi="Times New Roman" w:cs="Times New Roman"/>
                <w:b/>
                <w:lang w:eastAsia="ru-RU"/>
              </w:rPr>
            </w:pPr>
            <w:r w:rsidRPr="00691F19">
              <w:rPr>
                <w:rFonts w:ascii="Times New Roman" w:eastAsia="Times New Roman" w:hAnsi="Times New Roman" w:cs="Times New Roman"/>
                <w:b/>
                <w:lang w:eastAsia="ru-RU"/>
              </w:rPr>
              <w:t>Amenzi și sancțiuni</w:t>
            </w:r>
          </w:p>
        </w:tc>
        <w:tc>
          <w:tcPr>
            <w:tcW w:w="990" w:type="dxa"/>
            <w:vAlign w:val="center"/>
          </w:tcPr>
          <w:p w:rsidR="00F56F55" w:rsidRPr="00691F19" w:rsidRDefault="00F56F55" w:rsidP="00D13A23">
            <w:pPr>
              <w:jc w:val="center"/>
              <w:rPr>
                <w:rFonts w:ascii="Times New Roman" w:eastAsia="Times New Roman" w:hAnsi="Times New Roman" w:cs="Times New Roman"/>
                <w:b/>
                <w:color w:val="000000"/>
                <w:lang w:eastAsia="ru-RU"/>
              </w:rPr>
            </w:pPr>
            <w:r w:rsidRPr="00691F19">
              <w:rPr>
                <w:rFonts w:ascii="Times New Roman" w:eastAsia="Times New Roman" w:hAnsi="Times New Roman" w:cs="Times New Roman"/>
                <w:b/>
                <w:color w:val="000000"/>
                <w:lang w:eastAsia="ru-RU"/>
              </w:rPr>
              <w:t>307,9</w:t>
            </w:r>
          </w:p>
        </w:tc>
        <w:tc>
          <w:tcPr>
            <w:tcW w:w="990" w:type="dxa"/>
            <w:vAlign w:val="center"/>
          </w:tcPr>
          <w:p w:rsidR="00F56F55" w:rsidRPr="00691F19" w:rsidRDefault="00F56F55" w:rsidP="00D13A23">
            <w:pPr>
              <w:jc w:val="center"/>
              <w:rPr>
                <w:rFonts w:ascii="Times New Roman" w:eastAsia="Times New Roman" w:hAnsi="Times New Roman" w:cs="Times New Roman"/>
                <w:b/>
                <w:lang w:eastAsia="ru-RU"/>
              </w:rPr>
            </w:pPr>
            <w:r w:rsidRPr="00691F19">
              <w:rPr>
                <w:rFonts w:ascii="Times New Roman" w:eastAsia="Times New Roman" w:hAnsi="Times New Roman" w:cs="Times New Roman"/>
                <w:b/>
                <w:lang w:eastAsia="ru-RU"/>
              </w:rPr>
              <w:t>344,9</w:t>
            </w:r>
          </w:p>
        </w:tc>
        <w:tc>
          <w:tcPr>
            <w:tcW w:w="900" w:type="dxa"/>
            <w:vAlign w:val="center"/>
          </w:tcPr>
          <w:p w:rsidR="00F56F55" w:rsidRPr="00691F19" w:rsidRDefault="00F56F55" w:rsidP="00D13A23">
            <w:pPr>
              <w:ind w:left="-105" w:right="-26"/>
              <w:jc w:val="center"/>
              <w:rPr>
                <w:rFonts w:ascii="Times New Roman" w:eastAsia="Times New Roman" w:hAnsi="Times New Roman" w:cs="Times New Roman"/>
                <w:b/>
                <w:lang w:eastAsia="ru-RU"/>
              </w:rPr>
            </w:pPr>
            <w:r w:rsidRPr="00691F19">
              <w:rPr>
                <w:rFonts w:ascii="Times New Roman" w:eastAsia="Times New Roman" w:hAnsi="Times New Roman" w:cs="Times New Roman"/>
                <w:b/>
                <w:lang w:eastAsia="ru-RU"/>
              </w:rPr>
              <w:t>170,9</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F56F55" w:rsidRPr="00691F19" w:rsidRDefault="00F56F55" w:rsidP="00D13A23">
            <w:pPr>
              <w:ind w:left="-105"/>
              <w:jc w:val="center"/>
              <w:rPr>
                <w:rFonts w:ascii="Times New Roman" w:eastAsia="Times New Roman" w:hAnsi="Times New Roman" w:cs="Times New Roman"/>
                <w:b/>
                <w:bCs/>
                <w:color w:val="000000"/>
                <w:lang w:eastAsia="ru-RU"/>
              </w:rPr>
            </w:pPr>
            <w:r w:rsidRPr="00691F19">
              <w:rPr>
                <w:rFonts w:ascii="Times New Roman" w:eastAsia="Times New Roman" w:hAnsi="Times New Roman" w:cs="Times New Roman"/>
                <w:b/>
                <w:bCs/>
                <w:color w:val="000000"/>
                <w:lang w:eastAsia="ru-RU"/>
              </w:rPr>
              <w:t>174</w:t>
            </w:r>
          </w:p>
        </w:tc>
        <w:tc>
          <w:tcPr>
            <w:tcW w:w="810" w:type="dxa"/>
            <w:vAlign w:val="center"/>
          </w:tcPr>
          <w:p w:rsidR="00F56F55" w:rsidRPr="00691F19" w:rsidRDefault="00F56F55" w:rsidP="00D13A23">
            <w:pPr>
              <w:jc w:val="center"/>
              <w:rPr>
                <w:rFonts w:ascii="Times New Roman" w:eastAsia="Times New Roman" w:hAnsi="Times New Roman" w:cs="Times New Roman"/>
                <w:b/>
                <w:bCs/>
                <w:color w:val="000000"/>
                <w:lang w:eastAsia="ru-RU"/>
              </w:rPr>
            </w:pPr>
            <w:r w:rsidRPr="00691F19">
              <w:rPr>
                <w:rFonts w:ascii="Times New Roman" w:eastAsia="Times New Roman" w:hAnsi="Times New Roman" w:cs="Times New Roman"/>
                <w:b/>
                <w:bCs/>
                <w:color w:val="000000"/>
                <w:lang w:eastAsia="ru-RU"/>
              </w:rPr>
              <w:t>201,8</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56F55" w:rsidRPr="00691F19" w:rsidRDefault="00F56F55" w:rsidP="00D13A23">
            <w:pPr>
              <w:jc w:val="center"/>
              <w:rPr>
                <w:rFonts w:ascii="Times New Roman" w:eastAsia="Times New Roman" w:hAnsi="Times New Roman" w:cs="Times New Roman"/>
                <w:b/>
                <w:color w:val="000000"/>
                <w:lang w:eastAsia="ru-RU"/>
              </w:rPr>
            </w:pPr>
            <w:r w:rsidRPr="00691F19">
              <w:rPr>
                <w:rFonts w:ascii="Times New Roman" w:eastAsia="Times New Roman" w:hAnsi="Times New Roman" w:cs="Times New Roman"/>
                <w:b/>
                <w:color w:val="000000"/>
                <w:lang w:eastAsia="ru-RU"/>
              </w:rPr>
              <w:t>0,2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56F55" w:rsidRPr="00691F19" w:rsidRDefault="00F56F55" w:rsidP="00D13A23">
            <w:pPr>
              <w:jc w:val="center"/>
              <w:rPr>
                <w:rFonts w:ascii="Times New Roman" w:eastAsia="Times New Roman" w:hAnsi="Times New Roman" w:cs="Times New Roman"/>
                <w:b/>
                <w:color w:val="000000"/>
                <w:lang w:eastAsia="ru-RU"/>
              </w:rPr>
            </w:pPr>
            <w:r w:rsidRPr="00691F19">
              <w:rPr>
                <w:rFonts w:ascii="Times New Roman" w:eastAsia="Times New Roman" w:hAnsi="Times New Roman" w:cs="Times New Roman"/>
                <w:b/>
                <w:color w:val="000000"/>
                <w:lang w:eastAsia="ru-RU"/>
              </w:rPr>
              <w:t>0,1</w:t>
            </w:r>
          </w:p>
        </w:tc>
      </w:tr>
      <w:tr w:rsidR="00F56F55" w:rsidRPr="00691F19" w:rsidTr="00365D6E">
        <w:trPr>
          <w:gridAfter w:val="1"/>
          <w:wAfter w:w="8" w:type="dxa"/>
        </w:trPr>
        <w:tc>
          <w:tcPr>
            <w:tcW w:w="3681" w:type="dxa"/>
          </w:tcPr>
          <w:p w:rsidR="00F56F55" w:rsidRPr="00691F19" w:rsidRDefault="00F56F55" w:rsidP="00B0321C">
            <w:pPr>
              <w:rPr>
                <w:rFonts w:ascii="Times New Roman" w:eastAsia="Times New Roman" w:hAnsi="Times New Roman" w:cs="Times New Roman"/>
                <w:b/>
                <w:lang w:eastAsia="ru-RU"/>
              </w:rPr>
            </w:pPr>
            <w:r w:rsidRPr="00691F19">
              <w:rPr>
                <w:rFonts w:ascii="Times New Roman" w:eastAsia="Times New Roman" w:hAnsi="Times New Roman" w:cs="Times New Roman"/>
                <w:b/>
                <w:lang w:eastAsia="ru-RU"/>
              </w:rPr>
              <w:t>Donații voluntare</w:t>
            </w:r>
          </w:p>
        </w:tc>
        <w:tc>
          <w:tcPr>
            <w:tcW w:w="990" w:type="dxa"/>
            <w:vAlign w:val="center"/>
          </w:tcPr>
          <w:p w:rsidR="00F56F55" w:rsidRPr="00691F19" w:rsidRDefault="00F56F55" w:rsidP="00D13A23">
            <w:pPr>
              <w:jc w:val="center"/>
              <w:rPr>
                <w:rFonts w:ascii="Times New Roman" w:eastAsia="Times New Roman" w:hAnsi="Times New Roman" w:cs="Times New Roman"/>
                <w:b/>
                <w:color w:val="000000"/>
                <w:lang w:eastAsia="ru-RU"/>
              </w:rPr>
            </w:pPr>
            <w:r w:rsidRPr="00691F19">
              <w:rPr>
                <w:rFonts w:ascii="Times New Roman" w:eastAsia="Times New Roman" w:hAnsi="Times New Roman" w:cs="Times New Roman"/>
                <w:b/>
                <w:color w:val="000000"/>
                <w:lang w:eastAsia="ru-RU"/>
              </w:rPr>
              <w:t>43,9</w:t>
            </w:r>
          </w:p>
        </w:tc>
        <w:tc>
          <w:tcPr>
            <w:tcW w:w="990" w:type="dxa"/>
            <w:vAlign w:val="center"/>
          </w:tcPr>
          <w:p w:rsidR="00F56F55" w:rsidRPr="00691F19" w:rsidRDefault="00F56F55" w:rsidP="00D13A23">
            <w:pPr>
              <w:jc w:val="center"/>
              <w:rPr>
                <w:rFonts w:ascii="Times New Roman" w:eastAsia="Times New Roman" w:hAnsi="Times New Roman" w:cs="Times New Roman"/>
                <w:b/>
                <w:lang w:eastAsia="ru-RU"/>
              </w:rPr>
            </w:pPr>
            <w:r w:rsidRPr="00691F19">
              <w:rPr>
                <w:rFonts w:ascii="Times New Roman" w:eastAsia="Times New Roman" w:hAnsi="Times New Roman" w:cs="Times New Roman"/>
                <w:b/>
                <w:lang w:eastAsia="ru-RU"/>
              </w:rPr>
              <w:t>36,0</w:t>
            </w:r>
          </w:p>
        </w:tc>
        <w:tc>
          <w:tcPr>
            <w:tcW w:w="900" w:type="dxa"/>
            <w:vAlign w:val="center"/>
          </w:tcPr>
          <w:p w:rsidR="00F56F55" w:rsidRPr="00691F19" w:rsidRDefault="00F56F55" w:rsidP="00D13A23">
            <w:pPr>
              <w:ind w:left="-105" w:right="-26"/>
              <w:jc w:val="center"/>
              <w:rPr>
                <w:rFonts w:ascii="Times New Roman" w:eastAsia="Times New Roman" w:hAnsi="Times New Roman" w:cs="Times New Roman"/>
                <w:b/>
                <w:lang w:eastAsia="ru-RU"/>
              </w:rPr>
            </w:pPr>
            <w:r w:rsidRPr="00691F19">
              <w:rPr>
                <w:rFonts w:ascii="Times New Roman" w:eastAsia="Times New Roman" w:hAnsi="Times New Roman" w:cs="Times New Roman"/>
                <w:b/>
                <w:lang w:eastAsia="ru-RU"/>
              </w:rPr>
              <w:t>30,2</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F56F55" w:rsidRPr="00691F19" w:rsidRDefault="00F56F55" w:rsidP="00D13A23">
            <w:pPr>
              <w:ind w:left="-105"/>
              <w:jc w:val="center"/>
              <w:rPr>
                <w:rFonts w:ascii="Times New Roman" w:eastAsia="Times New Roman" w:hAnsi="Times New Roman" w:cs="Times New Roman"/>
                <w:b/>
                <w:bCs/>
                <w:color w:val="000000"/>
                <w:lang w:eastAsia="ru-RU"/>
              </w:rPr>
            </w:pPr>
            <w:r w:rsidRPr="00691F19">
              <w:rPr>
                <w:rFonts w:ascii="Times New Roman" w:eastAsia="Times New Roman" w:hAnsi="Times New Roman" w:cs="Times New Roman"/>
                <w:b/>
                <w:bCs/>
                <w:color w:val="000000"/>
                <w:lang w:eastAsia="ru-RU"/>
              </w:rPr>
              <w:t>5,8</w:t>
            </w:r>
          </w:p>
        </w:tc>
        <w:tc>
          <w:tcPr>
            <w:tcW w:w="810" w:type="dxa"/>
            <w:vAlign w:val="center"/>
          </w:tcPr>
          <w:p w:rsidR="00F56F55" w:rsidRPr="00691F19" w:rsidRDefault="00F56F55" w:rsidP="00D13A23">
            <w:pPr>
              <w:jc w:val="center"/>
              <w:rPr>
                <w:rFonts w:ascii="Times New Roman" w:eastAsia="Times New Roman" w:hAnsi="Times New Roman" w:cs="Times New Roman"/>
                <w:b/>
                <w:bCs/>
                <w:color w:val="000000"/>
                <w:lang w:eastAsia="ru-RU"/>
              </w:rPr>
            </w:pPr>
            <w:r w:rsidRPr="00691F19">
              <w:rPr>
                <w:rFonts w:ascii="Times New Roman" w:eastAsia="Times New Roman" w:hAnsi="Times New Roman" w:cs="Times New Roman"/>
                <w:b/>
                <w:bCs/>
                <w:color w:val="000000"/>
                <w:lang w:eastAsia="ru-RU"/>
              </w:rPr>
              <w:t>119,2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56F55" w:rsidRPr="00691F19" w:rsidRDefault="00F56F55" w:rsidP="00D13A23">
            <w:pPr>
              <w:jc w:val="center"/>
              <w:rPr>
                <w:rFonts w:ascii="Times New Roman" w:eastAsia="Times New Roman" w:hAnsi="Times New Roman" w:cs="Times New Roman"/>
                <w:b/>
                <w:color w:val="000000"/>
                <w:lang w:eastAsia="ru-RU"/>
              </w:rPr>
            </w:pPr>
            <w:r w:rsidRPr="00691F19">
              <w:rPr>
                <w:rFonts w:ascii="Times New Roman" w:eastAsia="Times New Roman" w:hAnsi="Times New Roman" w:cs="Times New Roman"/>
                <w:b/>
                <w:color w:val="000000"/>
                <w:lang w:eastAsia="ru-RU"/>
              </w:rPr>
              <w:t>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56F55" w:rsidRPr="00691F19" w:rsidRDefault="00F56F55" w:rsidP="00D13A23">
            <w:pPr>
              <w:jc w:val="center"/>
              <w:rPr>
                <w:rFonts w:ascii="Times New Roman" w:eastAsia="Times New Roman" w:hAnsi="Times New Roman" w:cs="Times New Roman"/>
                <w:b/>
                <w:color w:val="000000"/>
                <w:lang w:eastAsia="ru-RU"/>
              </w:rPr>
            </w:pPr>
            <w:r w:rsidRPr="00691F19">
              <w:rPr>
                <w:rFonts w:ascii="Times New Roman" w:eastAsia="Times New Roman" w:hAnsi="Times New Roman" w:cs="Times New Roman"/>
                <w:b/>
                <w:color w:val="000000"/>
                <w:lang w:eastAsia="ru-RU"/>
              </w:rPr>
              <w:t>0,0</w:t>
            </w:r>
          </w:p>
        </w:tc>
      </w:tr>
      <w:tr w:rsidR="00F56F55" w:rsidRPr="00691F19" w:rsidTr="00365D6E">
        <w:trPr>
          <w:gridAfter w:val="1"/>
          <w:wAfter w:w="8" w:type="dxa"/>
        </w:trPr>
        <w:tc>
          <w:tcPr>
            <w:tcW w:w="3681" w:type="dxa"/>
          </w:tcPr>
          <w:p w:rsidR="00F56F55" w:rsidRPr="00691F19" w:rsidRDefault="00F56F55" w:rsidP="00B0321C">
            <w:pPr>
              <w:rPr>
                <w:rFonts w:ascii="Times New Roman" w:eastAsia="Times New Roman" w:hAnsi="Times New Roman" w:cs="Times New Roman"/>
                <w:b/>
                <w:lang w:eastAsia="ru-RU"/>
              </w:rPr>
            </w:pPr>
            <w:r w:rsidRPr="00691F19">
              <w:rPr>
                <w:rFonts w:ascii="Times New Roman" w:eastAsia="Times New Roman" w:hAnsi="Times New Roman" w:cs="Times New Roman"/>
                <w:b/>
                <w:lang w:eastAsia="ru-RU"/>
              </w:rPr>
              <w:t>Alte venituri și venituri neidentificate</w:t>
            </w:r>
          </w:p>
        </w:tc>
        <w:tc>
          <w:tcPr>
            <w:tcW w:w="990" w:type="dxa"/>
            <w:vAlign w:val="center"/>
          </w:tcPr>
          <w:p w:rsidR="00F56F55" w:rsidRPr="00691F19" w:rsidRDefault="00F56F55" w:rsidP="00D13A23">
            <w:pPr>
              <w:jc w:val="center"/>
              <w:rPr>
                <w:rFonts w:ascii="Times New Roman" w:eastAsia="Times New Roman" w:hAnsi="Times New Roman" w:cs="Times New Roman"/>
                <w:b/>
                <w:color w:val="000000"/>
                <w:lang w:eastAsia="ru-RU"/>
              </w:rPr>
            </w:pPr>
            <w:r w:rsidRPr="00691F19">
              <w:rPr>
                <w:rFonts w:ascii="Times New Roman" w:eastAsia="Times New Roman" w:hAnsi="Times New Roman" w:cs="Times New Roman"/>
                <w:b/>
                <w:color w:val="000000"/>
                <w:lang w:eastAsia="ru-RU"/>
              </w:rPr>
              <w:t>49,8</w:t>
            </w:r>
          </w:p>
        </w:tc>
        <w:tc>
          <w:tcPr>
            <w:tcW w:w="990" w:type="dxa"/>
            <w:vAlign w:val="center"/>
          </w:tcPr>
          <w:p w:rsidR="00F56F55" w:rsidRPr="00691F19" w:rsidRDefault="00F56F55" w:rsidP="00D13A23">
            <w:pPr>
              <w:jc w:val="center"/>
              <w:rPr>
                <w:rFonts w:ascii="Times New Roman" w:eastAsia="Times New Roman" w:hAnsi="Times New Roman" w:cs="Times New Roman"/>
                <w:b/>
                <w:lang w:eastAsia="ru-RU"/>
              </w:rPr>
            </w:pPr>
            <w:r w:rsidRPr="00691F19">
              <w:rPr>
                <w:rFonts w:ascii="Times New Roman" w:eastAsia="Times New Roman" w:hAnsi="Times New Roman" w:cs="Times New Roman"/>
                <w:b/>
                <w:lang w:eastAsia="ru-RU"/>
              </w:rPr>
              <w:t>24,1</w:t>
            </w:r>
          </w:p>
        </w:tc>
        <w:tc>
          <w:tcPr>
            <w:tcW w:w="900" w:type="dxa"/>
            <w:vAlign w:val="center"/>
          </w:tcPr>
          <w:p w:rsidR="00F56F55" w:rsidRPr="00691F19" w:rsidRDefault="00F56F55" w:rsidP="00D13A23">
            <w:pPr>
              <w:ind w:left="-105" w:right="-26"/>
              <w:jc w:val="center"/>
              <w:rPr>
                <w:rFonts w:ascii="Times New Roman" w:eastAsia="Times New Roman" w:hAnsi="Times New Roman" w:cs="Times New Roman"/>
                <w:b/>
                <w:lang w:eastAsia="ru-RU"/>
              </w:rPr>
            </w:pPr>
            <w:r w:rsidRPr="00691F19">
              <w:rPr>
                <w:rFonts w:ascii="Times New Roman" w:eastAsia="Times New Roman" w:hAnsi="Times New Roman" w:cs="Times New Roman"/>
                <w:b/>
                <w:lang w:eastAsia="ru-RU"/>
              </w:rPr>
              <w:t>17,6</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F56F55" w:rsidRPr="00691F19" w:rsidRDefault="00F56F55" w:rsidP="00D13A23">
            <w:pPr>
              <w:ind w:left="-105"/>
              <w:jc w:val="center"/>
              <w:rPr>
                <w:rFonts w:ascii="Times New Roman" w:eastAsia="Times New Roman" w:hAnsi="Times New Roman" w:cs="Times New Roman"/>
                <w:b/>
                <w:bCs/>
                <w:color w:val="000000"/>
                <w:lang w:eastAsia="ru-RU"/>
              </w:rPr>
            </w:pPr>
            <w:r w:rsidRPr="00691F19">
              <w:rPr>
                <w:rFonts w:ascii="Times New Roman" w:eastAsia="Times New Roman" w:hAnsi="Times New Roman" w:cs="Times New Roman"/>
                <w:b/>
                <w:bCs/>
                <w:color w:val="000000"/>
                <w:lang w:eastAsia="ru-RU"/>
              </w:rPr>
              <w:t>6,5</w:t>
            </w:r>
          </w:p>
        </w:tc>
        <w:tc>
          <w:tcPr>
            <w:tcW w:w="810" w:type="dxa"/>
            <w:vAlign w:val="center"/>
          </w:tcPr>
          <w:p w:rsidR="00F56F55" w:rsidRPr="00691F19" w:rsidRDefault="00F56F55" w:rsidP="00D13A23">
            <w:pPr>
              <w:jc w:val="center"/>
              <w:rPr>
                <w:rFonts w:ascii="Times New Roman" w:eastAsia="Times New Roman" w:hAnsi="Times New Roman" w:cs="Times New Roman"/>
                <w:b/>
                <w:bCs/>
                <w:color w:val="000000"/>
                <w:lang w:eastAsia="ru-RU"/>
              </w:rPr>
            </w:pPr>
            <w:r w:rsidRPr="00691F19">
              <w:rPr>
                <w:rFonts w:ascii="Times New Roman" w:eastAsia="Times New Roman" w:hAnsi="Times New Roman" w:cs="Times New Roman"/>
                <w:b/>
                <w:bCs/>
                <w:color w:val="000000"/>
                <w:lang w:eastAsia="ru-RU"/>
              </w:rPr>
              <w:t>136,9</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56F55" w:rsidRPr="00691F19" w:rsidRDefault="00F56F55" w:rsidP="00D13A23">
            <w:pPr>
              <w:jc w:val="center"/>
              <w:rPr>
                <w:rFonts w:ascii="Times New Roman" w:eastAsia="Times New Roman" w:hAnsi="Times New Roman" w:cs="Times New Roman"/>
                <w:b/>
                <w:color w:val="000000"/>
                <w:lang w:eastAsia="ru-RU"/>
              </w:rPr>
            </w:pPr>
            <w:r w:rsidRPr="00691F19">
              <w:rPr>
                <w:rFonts w:ascii="Times New Roman" w:eastAsia="Times New Roman" w:hAnsi="Times New Roman" w:cs="Times New Roman"/>
                <w:b/>
                <w:color w:val="000000"/>
                <w:lang w:eastAsia="ru-RU"/>
              </w:rPr>
              <w:t>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56F55" w:rsidRPr="00691F19" w:rsidRDefault="00F56F55" w:rsidP="00D13A23">
            <w:pPr>
              <w:jc w:val="center"/>
              <w:rPr>
                <w:rFonts w:ascii="Times New Roman" w:eastAsia="Times New Roman" w:hAnsi="Times New Roman" w:cs="Times New Roman"/>
                <w:b/>
                <w:color w:val="000000"/>
                <w:lang w:eastAsia="ru-RU"/>
              </w:rPr>
            </w:pPr>
            <w:r w:rsidRPr="00691F19">
              <w:rPr>
                <w:rFonts w:ascii="Times New Roman" w:eastAsia="Times New Roman" w:hAnsi="Times New Roman" w:cs="Times New Roman"/>
                <w:b/>
                <w:color w:val="000000"/>
                <w:lang w:eastAsia="ru-RU"/>
              </w:rPr>
              <w:t>0,0</w:t>
            </w:r>
          </w:p>
        </w:tc>
      </w:tr>
      <w:tr w:rsidR="00F56F55" w:rsidRPr="00691F19" w:rsidTr="00365D6E">
        <w:trPr>
          <w:gridAfter w:val="1"/>
          <w:wAfter w:w="8" w:type="dxa"/>
        </w:trPr>
        <w:tc>
          <w:tcPr>
            <w:tcW w:w="3681" w:type="dxa"/>
          </w:tcPr>
          <w:p w:rsidR="00F56F55" w:rsidRPr="00691F19" w:rsidRDefault="00F56F55" w:rsidP="00B0321C">
            <w:pPr>
              <w:rPr>
                <w:rFonts w:ascii="Times New Roman" w:eastAsia="Times New Roman" w:hAnsi="Times New Roman" w:cs="Times New Roman"/>
                <w:b/>
                <w:lang w:eastAsia="ru-RU"/>
              </w:rPr>
            </w:pPr>
            <w:r w:rsidRPr="00691F19">
              <w:rPr>
                <w:rFonts w:ascii="Times New Roman" w:eastAsia="Times New Roman" w:hAnsi="Times New Roman" w:cs="Times New Roman"/>
                <w:b/>
                <w:lang w:eastAsia="ru-RU"/>
              </w:rPr>
              <w:t>Transferuri primite în cadrul bugetului public național</w:t>
            </w:r>
          </w:p>
        </w:tc>
        <w:tc>
          <w:tcPr>
            <w:tcW w:w="990" w:type="dxa"/>
            <w:vAlign w:val="center"/>
          </w:tcPr>
          <w:p w:rsidR="00F56F55" w:rsidRPr="00691F19" w:rsidRDefault="00F56F55" w:rsidP="00D13A23">
            <w:pPr>
              <w:jc w:val="center"/>
              <w:rPr>
                <w:rFonts w:ascii="Times New Roman" w:eastAsia="Times New Roman" w:hAnsi="Times New Roman" w:cs="Times New Roman"/>
                <w:b/>
                <w:color w:val="000000"/>
                <w:lang w:eastAsia="ru-RU"/>
              </w:rPr>
            </w:pPr>
            <w:r w:rsidRPr="00691F19">
              <w:rPr>
                <w:rFonts w:ascii="Times New Roman" w:eastAsia="Times New Roman" w:hAnsi="Times New Roman" w:cs="Times New Roman"/>
                <w:b/>
                <w:color w:val="000000"/>
                <w:lang w:eastAsia="ru-RU"/>
              </w:rPr>
              <w:t>19,0</w:t>
            </w:r>
          </w:p>
        </w:tc>
        <w:tc>
          <w:tcPr>
            <w:tcW w:w="990" w:type="dxa"/>
            <w:vAlign w:val="center"/>
          </w:tcPr>
          <w:p w:rsidR="00F56F55" w:rsidRPr="00691F19" w:rsidRDefault="00F56F55" w:rsidP="00D13A23">
            <w:pPr>
              <w:jc w:val="center"/>
              <w:rPr>
                <w:rFonts w:ascii="Times New Roman" w:eastAsia="Times New Roman" w:hAnsi="Times New Roman" w:cs="Times New Roman"/>
                <w:b/>
                <w:lang w:eastAsia="ru-RU"/>
              </w:rPr>
            </w:pPr>
            <w:r w:rsidRPr="00691F19">
              <w:rPr>
                <w:rFonts w:ascii="Times New Roman" w:eastAsia="Times New Roman" w:hAnsi="Times New Roman" w:cs="Times New Roman"/>
                <w:b/>
                <w:lang w:eastAsia="ru-RU"/>
              </w:rPr>
              <w:t>12,8</w:t>
            </w:r>
          </w:p>
        </w:tc>
        <w:tc>
          <w:tcPr>
            <w:tcW w:w="900" w:type="dxa"/>
            <w:vAlign w:val="center"/>
          </w:tcPr>
          <w:p w:rsidR="00F56F55" w:rsidRPr="00691F19" w:rsidRDefault="00F56F55" w:rsidP="00D13A23">
            <w:pPr>
              <w:ind w:left="-105" w:right="-26"/>
              <w:jc w:val="center"/>
              <w:rPr>
                <w:rFonts w:ascii="Times New Roman" w:eastAsia="Times New Roman" w:hAnsi="Times New Roman" w:cs="Times New Roman"/>
                <w:b/>
                <w:lang w:eastAsia="ru-RU"/>
              </w:rPr>
            </w:pPr>
            <w:r w:rsidRPr="00691F19">
              <w:rPr>
                <w:rFonts w:ascii="Times New Roman" w:eastAsia="Times New Roman" w:hAnsi="Times New Roman" w:cs="Times New Roman"/>
                <w:b/>
                <w:lang w:eastAsia="ru-RU"/>
              </w:rPr>
              <w:t>11,1</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F56F55" w:rsidRPr="00691F19" w:rsidRDefault="00F56F55" w:rsidP="00D13A23">
            <w:pPr>
              <w:ind w:left="-105"/>
              <w:jc w:val="center"/>
              <w:rPr>
                <w:rFonts w:ascii="Times New Roman" w:eastAsia="Times New Roman" w:hAnsi="Times New Roman" w:cs="Times New Roman"/>
                <w:b/>
                <w:bCs/>
                <w:color w:val="000000"/>
                <w:lang w:eastAsia="ru-RU"/>
              </w:rPr>
            </w:pPr>
            <w:r w:rsidRPr="00691F19">
              <w:rPr>
                <w:rFonts w:ascii="Times New Roman" w:eastAsia="Times New Roman" w:hAnsi="Times New Roman" w:cs="Times New Roman"/>
                <w:b/>
                <w:bCs/>
                <w:color w:val="000000"/>
                <w:lang w:eastAsia="ru-RU"/>
              </w:rPr>
              <w:t>1,7</w:t>
            </w:r>
          </w:p>
        </w:tc>
        <w:tc>
          <w:tcPr>
            <w:tcW w:w="810" w:type="dxa"/>
            <w:vAlign w:val="center"/>
          </w:tcPr>
          <w:p w:rsidR="00F56F55" w:rsidRPr="00691F19" w:rsidRDefault="00F56F55" w:rsidP="00D13A23">
            <w:pPr>
              <w:jc w:val="center"/>
              <w:rPr>
                <w:rFonts w:ascii="Times New Roman" w:eastAsia="Times New Roman" w:hAnsi="Times New Roman" w:cs="Times New Roman"/>
                <w:b/>
                <w:bCs/>
                <w:color w:val="000000"/>
                <w:lang w:eastAsia="ru-RU"/>
              </w:rPr>
            </w:pPr>
            <w:r w:rsidRPr="00691F19">
              <w:rPr>
                <w:rFonts w:ascii="Times New Roman" w:eastAsia="Times New Roman" w:hAnsi="Times New Roman" w:cs="Times New Roman"/>
                <w:b/>
                <w:bCs/>
                <w:color w:val="000000"/>
                <w:lang w:eastAsia="ru-RU"/>
              </w:rPr>
              <w:t>115,3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56F55" w:rsidRPr="00691F19" w:rsidRDefault="00F56F55" w:rsidP="00D13A23">
            <w:pPr>
              <w:jc w:val="center"/>
              <w:rPr>
                <w:rFonts w:ascii="Times New Roman" w:eastAsia="Times New Roman" w:hAnsi="Times New Roman" w:cs="Times New Roman"/>
                <w:b/>
                <w:color w:val="000000"/>
                <w:lang w:eastAsia="ru-RU"/>
              </w:rPr>
            </w:pPr>
            <w:r w:rsidRPr="00691F19">
              <w:rPr>
                <w:rFonts w:ascii="Times New Roman" w:eastAsia="Times New Roman" w:hAnsi="Times New Roman" w:cs="Times New Roman"/>
                <w:b/>
                <w:color w:val="000000"/>
                <w:lang w:eastAsia="ru-RU"/>
              </w:rPr>
              <w:t>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56F55" w:rsidRPr="00691F19" w:rsidRDefault="00F56F55" w:rsidP="00D13A23">
            <w:pPr>
              <w:jc w:val="center"/>
              <w:rPr>
                <w:rFonts w:ascii="Times New Roman" w:eastAsia="Times New Roman" w:hAnsi="Times New Roman" w:cs="Times New Roman"/>
                <w:b/>
                <w:color w:val="000000"/>
                <w:lang w:eastAsia="ru-RU"/>
              </w:rPr>
            </w:pPr>
            <w:r w:rsidRPr="00691F19">
              <w:rPr>
                <w:rFonts w:ascii="Times New Roman" w:eastAsia="Times New Roman" w:hAnsi="Times New Roman" w:cs="Times New Roman"/>
                <w:b/>
                <w:color w:val="000000"/>
                <w:lang w:eastAsia="ru-RU"/>
              </w:rPr>
              <w:t>0,0</w:t>
            </w:r>
          </w:p>
        </w:tc>
      </w:tr>
      <w:tr w:rsidR="00F56F55" w:rsidRPr="00691F19" w:rsidTr="00365D6E">
        <w:trPr>
          <w:gridAfter w:val="1"/>
          <w:wAfter w:w="8" w:type="dxa"/>
        </w:trPr>
        <w:tc>
          <w:tcPr>
            <w:tcW w:w="3681" w:type="dxa"/>
          </w:tcPr>
          <w:p w:rsidR="00F56F55" w:rsidRPr="00691F19" w:rsidRDefault="00F56F55" w:rsidP="00B0321C">
            <w:pPr>
              <w:rPr>
                <w:rFonts w:ascii="Times New Roman" w:eastAsia="Times New Roman" w:hAnsi="Times New Roman" w:cs="Times New Roman"/>
                <w:b/>
                <w:lang w:eastAsia="ru-RU"/>
              </w:rPr>
            </w:pPr>
            <w:r w:rsidRPr="00691F19">
              <w:rPr>
                <w:rFonts w:ascii="Times New Roman" w:eastAsia="Times New Roman" w:hAnsi="Times New Roman" w:cs="Times New Roman"/>
                <w:b/>
                <w:lang w:eastAsia="ru-RU"/>
              </w:rPr>
              <w:t>Transferuri primite între bugetul de stat și bugetele locale</w:t>
            </w:r>
          </w:p>
        </w:tc>
        <w:tc>
          <w:tcPr>
            <w:tcW w:w="990" w:type="dxa"/>
            <w:vAlign w:val="center"/>
          </w:tcPr>
          <w:p w:rsidR="00F56F55" w:rsidRPr="00691F19" w:rsidRDefault="00F56F55" w:rsidP="00D13A23">
            <w:pPr>
              <w:jc w:val="center"/>
              <w:rPr>
                <w:rFonts w:ascii="Times New Roman" w:eastAsia="Times New Roman" w:hAnsi="Times New Roman" w:cs="Times New Roman"/>
                <w:b/>
                <w:color w:val="000000"/>
                <w:lang w:eastAsia="ru-RU"/>
              </w:rPr>
            </w:pPr>
            <w:r w:rsidRPr="00691F19">
              <w:rPr>
                <w:rFonts w:ascii="Times New Roman" w:eastAsia="Times New Roman" w:hAnsi="Times New Roman" w:cs="Times New Roman"/>
                <w:b/>
                <w:color w:val="000000"/>
                <w:lang w:eastAsia="ru-RU"/>
              </w:rPr>
              <w:t>19,0</w:t>
            </w:r>
          </w:p>
        </w:tc>
        <w:tc>
          <w:tcPr>
            <w:tcW w:w="990" w:type="dxa"/>
            <w:vAlign w:val="center"/>
          </w:tcPr>
          <w:p w:rsidR="00F56F55" w:rsidRPr="00691F19" w:rsidRDefault="00F56F55" w:rsidP="00D13A23">
            <w:pPr>
              <w:jc w:val="center"/>
              <w:rPr>
                <w:rFonts w:ascii="Times New Roman" w:eastAsia="Times New Roman" w:hAnsi="Times New Roman" w:cs="Times New Roman"/>
                <w:b/>
                <w:lang w:eastAsia="ru-RU"/>
              </w:rPr>
            </w:pPr>
            <w:r w:rsidRPr="00691F19">
              <w:rPr>
                <w:rFonts w:ascii="Times New Roman" w:eastAsia="Times New Roman" w:hAnsi="Times New Roman" w:cs="Times New Roman"/>
                <w:b/>
                <w:lang w:eastAsia="ru-RU"/>
              </w:rPr>
              <w:t>12,8</w:t>
            </w:r>
          </w:p>
        </w:tc>
        <w:tc>
          <w:tcPr>
            <w:tcW w:w="900" w:type="dxa"/>
            <w:vAlign w:val="center"/>
          </w:tcPr>
          <w:p w:rsidR="00F56F55" w:rsidRPr="00691F19" w:rsidRDefault="00F56F55" w:rsidP="00D13A23">
            <w:pPr>
              <w:ind w:left="-105" w:right="-26"/>
              <w:jc w:val="center"/>
              <w:rPr>
                <w:rFonts w:ascii="Times New Roman" w:eastAsia="Times New Roman" w:hAnsi="Times New Roman" w:cs="Times New Roman"/>
                <w:b/>
                <w:lang w:eastAsia="ru-RU"/>
              </w:rPr>
            </w:pPr>
            <w:r w:rsidRPr="00691F19">
              <w:rPr>
                <w:rFonts w:ascii="Times New Roman" w:eastAsia="Times New Roman" w:hAnsi="Times New Roman" w:cs="Times New Roman"/>
                <w:b/>
                <w:lang w:eastAsia="ru-RU"/>
              </w:rPr>
              <w:t>11,1</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F56F55" w:rsidRPr="00691F19" w:rsidRDefault="00F56F55" w:rsidP="00D13A23">
            <w:pPr>
              <w:ind w:left="-105"/>
              <w:jc w:val="center"/>
              <w:rPr>
                <w:rFonts w:ascii="Times New Roman" w:eastAsia="Times New Roman" w:hAnsi="Times New Roman" w:cs="Times New Roman"/>
                <w:b/>
                <w:bCs/>
                <w:color w:val="000000"/>
                <w:lang w:eastAsia="ru-RU"/>
              </w:rPr>
            </w:pPr>
            <w:r w:rsidRPr="00691F19">
              <w:rPr>
                <w:rFonts w:ascii="Times New Roman" w:eastAsia="Times New Roman" w:hAnsi="Times New Roman" w:cs="Times New Roman"/>
                <w:b/>
                <w:bCs/>
                <w:color w:val="000000"/>
                <w:lang w:eastAsia="ru-RU"/>
              </w:rPr>
              <w:t>1,7</w:t>
            </w:r>
          </w:p>
        </w:tc>
        <w:tc>
          <w:tcPr>
            <w:tcW w:w="810" w:type="dxa"/>
            <w:vAlign w:val="center"/>
          </w:tcPr>
          <w:p w:rsidR="00F56F55" w:rsidRPr="00691F19" w:rsidRDefault="00F56F55" w:rsidP="00D13A23">
            <w:pPr>
              <w:jc w:val="center"/>
              <w:rPr>
                <w:rFonts w:ascii="Times New Roman" w:eastAsia="Times New Roman" w:hAnsi="Times New Roman" w:cs="Times New Roman"/>
                <w:b/>
                <w:bCs/>
                <w:color w:val="000000"/>
                <w:lang w:eastAsia="ru-RU"/>
              </w:rPr>
            </w:pPr>
            <w:r w:rsidRPr="00691F19">
              <w:rPr>
                <w:rFonts w:ascii="Times New Roman" w:eastAsia="Times New Roman" w:hAnsi="Times New Roman" w:cs="Times New Roman"/>
                <w:b/>
                <w:bCs/>
                <w:color w:val="000000"/>
                <w:lang w:eastAsia="ru-RU"/>
              </w:rPr>
              <w:t>115,3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56F55" w:rsidRPr="00691F19" w:rsidRDefault="00F56F55" w:rsidP="00D13A23">
            <w:pPr>
              <w:jc w:val="center"/>
              <w:rPr>
                <w:rFonts w:ascii="Times New Roman" w:eastAsia="Times New Roman" w:hAnsi="Times New Roman" w:cs="Times New Roman"/>
                <w:b/>
                <w:color w:val="000000"/>
                <w:lang w:eastAsia="ru-RU"/>
              </w:rPr>
            </w:pPr>
            <w:r w:rsidRPr="00691F19">
              <w:rPr>
                <w:rFonts w:ascii="Times New Roman" w:eastAsia="Times New Roman" w:hAnsi="Times New Roman" w:cs="Times New Roman"/>
                <w:b/>
                <w:color w:val="000000"/>
                <w:lang w:eastAsia="ru-RU"/>
              </w:rPr>
              <w:t>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56F55" w:rsidRPr="00691F19" w:rsidRDefault="00F56F55" w:rsidP="00D13A23">
            <w:pPr>
              <w:jc w:val="center"/>
              <w:rPr>
                <w:rFonts w:ascii="Times New Roman" w:eastAsia="Times New Roman" w:hAnsi="Times New Roman" w:cs="Times New Roman"/>
                <w:b/>
                <w:color w:val="000000"/>
                <w:lang w:eastAsia="ru-RU"/>
              </w:rPr>
            </w:pPr>
            <w:r w:rsidRPr="00691F19">
              <w:rPr>
                <w:rFonts w:ascii="Times New Roman" w:eastAsia="Times New Roman" w:hAnsi="Times New Roman" w:cs="Times New Roman"/>
                <w:b/>
                <w:color w:val="000000"/>
                <w:lang w:eastAsia="ru-RU"/>
              </w:rPr>
              <w:t>0,0</w:t>
            </w:r>
          </w:p>
        </w:tc>
      </w:tr>
      <w:tr w:rsidR="00F56F55" w:rsidRPr="00691F19" w:rsidTr="00B0321C">
        <w:tc>
          <w:tcPr>
            <w:tcW w:w="9629" w:type="dxa"/>
            <w:gridSpan w:val="9"/>
            <w:tcBorders>
              <w:right w:val="single" w:sz="4" w:space="0" w:color="auto"/>
            </w:tcBorders>
          </w:tcPr>
          <w:p w:rsidR="00F56F55" w:rsidRPr="00691F19" w:rsidRDefault="00F56F55" w:rsidP="00B0321C">
            <w:pPr>
              <w:ind w:left="22"/>
              <w:jc w:val="both"/>
              <w:rPr>
                <w:rFonts w:ascii="Times New Roman" w:eastAsia="Times New Roman" w:hAnsi="Times New Roman" w:cs="Times New Roman"/>
                <w:sz w:val="20"/>
                <w:szCs w:val="24"/>
                <w:lang w:eastAsia="ru-RU"/>
              </w:rPr>
            </w:pPr>
            <w:r w:rsidRPr="00691F19">
              <w:rPr>
                <w:rFonts w:ascii="Times New Roman" w:eastAsia="Times New Roman" w:hAnsi="Times New Roman" w:cs="Times New Roman"/>
                <w:sz w:val="20"/>
                <w:szCs w:val="24"/>
                <w:lang w:eastAsia="ru-RU"/>
              </w:rPr>
              <w:t xml:space="preserve">* Produsul intern brut luat în calcul pentru anul 2017, conform </w:t>
            </w:r>
            <w:r w:rsidRPr="00A93944">
              <w:rPr>
                <w:rFonts w:ascii="Times New Roman" w:eastAsia="Times New Roman" w:hAnsi="Times New Roman" w:cs="Times New Roman"/>
                <w:sz w:val="20"/>
                <w:szCs w:val="24"/>
                <w:lang w:eastAsia="ru-RU"/>
              </w:rPr>
              <w:t>datelor preliminare</w:t>
            </w:r>
            <w:r w:rsidR="00D61F6D">
              <w:rPr>
                <w:rFonts w:ascii="Times New Roman" w:eastAsia="Times New Roman" w:hAnsi="Times New Roman" w:cs="Times New Roman"/>
                <w:sz w:val="20"/>
                <w:szCs w:val="24"/>
                <w:lang w:eastAsia="ru-RU"/>
              </w:rPr>
              <w:t xml:space="preserve"> ale BNS este de 150</w:t>
            </w:r>
            <w:r w:rsidRPr="00691F19">
              <w:rPr>
                <w:rFonts w:ascii="Times New Roman" w:eastAsia="Times New Roman" w:hAnsi="Times New Roman" w:cs="Times New Roman"/>
                <w:sz w:val="20"/>
                <w:szCs w:val="24"/>
                <w:lang w:eastAsia="ru-RU"/>
              </w:rPr>
              <w:t>369,0 mil.lei</w:t>
            </w:r>
          </w:p>
          <w:p w:rsidR="00F56F55" w:rsidRPr="00691F19" w:rsidRDefault="00F56F55" w:rsidP="00B0321C">
            <w:pPr>
              <w:ind w:left="22"/>
              <w:jc w:val="both"/>
              <w:rPr>
                <w:rFonts w:ascii="Times New Roman" w:eastAsia="Times New Roman" w:hAnsi="Times New Roman" w:cs="Times New Roman"/>
                <w:b/>
                <w:color w:val="000000"/>
                <w:lang w:eastAsia="ru-RU"/>
              </w:rPr>
            </w:pPr>
            <w:r w:rsidRPr="00691F19">
              <w:rPr>
                <w:rFonts w:ascii="Times New Roman" w:eastAsia="Times New Roman" w:hAnsi="Times New Roman" w:cs="Times New Roman"/>
                <w:sz w:val="20"/>
                <w:szCs w:val="24"/>
                <w:lang w:eastAsia="ru-RU"/>
              </w:rPr>
              <w:t>** Produsul intern brut luat în calcul pentru anul 2016, conform datelor BN</w:t>
            </w:r>
            <w:r>
              <w:rPr>
                <w:rFonts w:ascii="Times New Roman" w:eastAsia="Times New Roman" w:hAnsi="Times New Roman" w:cs="Times New Roman"/>
                <w:sz w:val="20"/>
                <w:szCs w:val="24"/>
                <w:lang w:eastAsia="ru-RU"/>
              </w:rPr>
              <w:t>S este de 135</w:t>
            </w:r>
            <w:r w:rsidRPr="00691F19">
              <w:rPr>
                <w:rFonts w:ascii="Times New Roman" w:eastAsia="Times New Roman" w:hAnsi="Times New Roman" w:cs="Times New Roman"/>
                <w:sz w:val="20"/>
                <w:szCs w:val="24"/>
                <w:lang w:eastAsia="ru-RU"/>
              </w:rPr>
              <w:t xml:space="preserve">397,0 mil.lei </w:t>
            </w:r>
          </w:p>
        </w:tc>
      </w:tr>
    </w:tbl>
    <w:p w:rsidR="009B00AC" w:rsidRDefault="00F56F55" w:rsidP="00F56F55">
      <w:pPr>
        <w:spacing w:after="0" w:line="276" w:lineRule="auto"/>
        <w:jc w:val="both"/>
        <w:rPr>
          <w:rFonts w:ascii="Times New Roman" w:eastAsia="Times New Roman" w:hAnsi="Times New Roman" w:cs="Times New Roman"/>
          <w:b/>
          <w:bCs/>
          <w:i/>
          <w:iCs/>
          <w:sz w:val="28"/>
          <w:szCs w:val="28"/>
          <w:lang w:eastAsia="ru-RU"/>
        </w:rPr>
      </w:pPr>
      <w:r w:rsidRPr="00691F19">
        <w:rPr>
          <w:rFonts w:ascii="Times New Roman" w:eastAsia="Times New Roman" w:hAnsi="Times New Roman" w:cs="Times New Roman"/>
          <w:sz w:val="28"/>
          <w:szCs w:val="24"/>
          <w:lang w:eastAsia="ru-RU"/>
        </w:rPr>
        <w:t xml:space="preserve"> </w:t>
      </w:r>
      <w:r w:rsidRPr="00DF288C">
        <w:rPr>
          <w:rFonts w:ascii="Times New Roman" w:eastAsia="Times New Roman" w:hAnsi="Times New Roman" w:cs="Times New Roman"/>
          <w:b/>
          <w:i/>
          <w:sz w:val="20"/>
          <w:szCs w:val="24"/>
          <w:lang w:eastAsia="ru-RU"/>
        </w:rPr>
        <w:t>Surs</w:t>
      </w:r>
      <w:r w:rsidR="00E24D74">
        <w:rPr>
          <w:rFonts w:ascii="Times New Roman" w:eastAsia="Times New Roman" w:hAnsi="Times New Roman" w:cs="Times New Roman"/>
          <w:b/>
          <w:i/>
          <w:sz w:val="20"/>
          <w:szCs w:val="24"/>
          <w:lang w:eastAsia="ru-RU"/>
        </w:rPr>
        <w:t>ă</w:t>
      </w:r>
      <w:r w:rsidRPr="00DF288C">
        <w:rPr>
          <w:rFonts w:ascii="Times New Roman" w:eastAsia="Times New Roman" w:hAnsi="Times New Roman" w:cs="Times New Roman"/>
          <w:b/>
          <w:i/>
          <w:sz w:val="20"/>
          <w:szCs w:val="24"/>
          <w:lang w:eastAsia="ru-RU"/>
        </w:rPr>
        <w:t>:</w:t>
      </w:r>
      <w:r w:rsidRPr="00DF288C">
        <w:rPr>
          <w:rFonts w:ascii="Times New Roman" w:eastAsia="Times New Roman" w:hAnsi="Times New Roman" w:cs="Times New Roman"/>
          <w:i/>
          <w:sz w:val="20"/>
          <w:szCs w:val="24"/>
          <w:lang w:eastAsia="ru-RU"/>
        </w:rPr>
        <w:t xml:space="preserve"> Date </w:t>
      </w:r>
      <w:r>
        <w:rPr>
          <w:rFonts w:ascii="Times New Roman" w:eastAsia="Times New Roman" w:hAnsi="Times New Roman" w:cs="Times New Roman"/>
          <w:i/>
          <w:sz w:val="20"/>
          <w:szCs w:val="24"/>
          <w:lang w:eastAsia="ru-RU"/>
        </w:rPr>
        <w:t>generalizate de echipa de audit conform Rapoartel</w:t>
      </w:r>
      <w:r w:rsidR="009333E2">
        <w:rPr>
          <w:rFonts w:ascii="Times New Roman" w:eastAsia="Times New Roman" w:hAnsi="Times New Roman" w:cs="Times New Roman"/>
          <w:i/>
          <w:sz w:val="20"/>
          <w:szCs w:val="24"/>
          <w:lang w:eastAsia="ru-RU"/>
        </w:rPr>
        <w:t>or</w:t>
      </w:r>
      <w:r>
        <w:rPr>
          <w:rFonts w:ascii="Times New Roman" w:eastAsia="Times New Roman" w:hAnsi="Times New Roman" w:cs="Times New Roman"/>
          <w:i/>
          <w:sz w:val="20"/>
          <w:szCs w:val="24"/>
          <w:lang w:eastAsia="ru-RU"/>
        </w:rPr>
        <w:t xml:space="preserve"> privind executarea bugetului de stat pe an</w:t>
      </w:r>
      <w:r w:rsidR="009333E2">
        <w:rPr>
          <w:rFonts w:ascii="Times New Roman" w:eastAsia="Times New Roman" w:hAnsi="Times New Roman" w:cs="Times New Roman"/>
          <w:i/>
          <w:sz w:val="20"/>
          <w:szCs w:val="24"/>
          <w:lang w:eastAsia="ru-RU"/>
        </w:rPr>
        <w:t>ii</w:t>
      </w:r>
      <w:r>
        <w:rPr>
          <w:rFonts w:ascii="Times New Roman" w:eastAsia="Times New Roman" w:hAnsi="Times New Roman" w:cs="Times New Roman"/>
          <w:i/>
          <w:sz w:val="20"/>
          <w:szCs w:val="24"/>
          <w:lang w:eastAsia="ru-RU"/>
        </w:rPr>
        <w:t xml:space="preserve"> 2016 și 2017, Formularul nr.2</w:t>
      </w:r>
    </w:p>
    <w:p w:rsidR="00775930" w:rsidRDefault="00775930" w:rsidP="008F32F8">
      <w:pPr>
        <w:spacing w:after="0" w:line="276" w:lineRule="auto"/>
        <w:ind w:right="51" w:firstLine="709"/>
        <w:jc w:val="right"/>
        <w:rPr>
          <w:rFonts w:ascii="Times New Roman" w:hAnsi="Times New Roman" w:cs="Times New Roman"/>
          <w:i/>
          <w:color w:val="000000"/>
          <w:sz w:val="28"/>
          <w:szCs w:val="24"/>
          <w:lang w:bidi="en-US"/>
        </w:rPr>
      </w:pPr>
    </w:p>
    <w:p w:rsidR="008F32F8" w:rsidRPr="00D13A23" w:rsidRDefault="00437EF7" w:rsidP="008F32F8">
      <w:pPr>
        <w:spacing w:after="0" w:line="276" w:lineRule="auto"/>
        <w:ind w:right="51" w:firstLine="709"/>
        <w:jc w:val="right"/>
        <w:rPr>
          <w:rFonts w:ascii="Times New Roman" w:hAnsi="Times New Roman" w:cs="Times New Roman"/>
          <w:i/>
          <w:color w:val="000000"/>
          <w:sz w:val="28"/>
          <w:szCs w:val="24"/>
          <w:lang w:bidi="en-US"/>
        </w:rPr>
      </w:pPr>
      <w:r>
        <w:rPr>
          <w:rFonts w:ascii="Times New Roman" w:hAnsi="Times New Roman" w:cs="Times New Roman"/>
          <w:i/>
          <w:color w:val="000000"/>
          <w:sz w:val="28"/>
          <w:szCs w:val="24"/>
          <w:lang w:bidi="en-US"/>
        </w:rPr>
        <w:t>T</w:t>
      </w:r>
      <w:r w:rsidR="008F32F8" w:rsidRPr="00D13A23">
        <w:rPr>
          <w:rFonts w:ascii="Times New Roman" w:hAnsi="Times New Roman" w:cs="Times New Roman"/>
          <w:i/>
          <w:color w:val="000000"/>
          <w:sz w:val="28"/>
          <w:szCs w:val="24"/>
          <w:lang w:bidi="en-US"/>
        </w:rPr>
        <w:t>abelul nr.</w:t>
      </w:r>
      <w:r w:rsidR="00024D8E">
        <w:rPr>
          <w:rFonts w:ascii="Times New Roman" w:hAnsi="Times New Roman" w:cs="Times New Roman"/>
          <w:i/>
          <w:color w:val="000000"/>
          <w:sz w:val="28"/>
          <w:szCs w:val="24"/>
          <w:lang w:bidi="en-US"/>
        </w:rPr>
        <w:t>2</w:t>
      </w:r>
    </w:p>
    <w:p w:rsidR="008F32F8" w:rsidRPr="00D13A23" w:rsidRDefault="008F32F8" w:rsidP="008F32F8">
      <w:pPr>
        <w:spacing w:after="0" w:line="276" w:lineRule="auto"/>
        <w:ind w:right="51"/>
        <w:jc w:val="center"/>
        <w:rPr>
          <w:rFonts w:ascii="Times New Roman" w:hAnsi="Times New Roman" w:cs="Times New Roman"/>
          <w:b/>
          <w:i/>
          <w:color w:val="000000"/>
          <w:sz w:val="24"/>
          <w:szCs w:val="24"/>
          <w:lang w:bidi="en-US"/>
        </w:rPr>
      </w:pPr>
      <w:r w:rsidRPr="00D13A23">
        <w:rPr>
          <w:rFonts w:ascii="Times New Roman" w:hAnsi="Times New Roman" w:cs="Times New Roman"/>
          <w:b/>
          <w:i/>
          <w:color w:val="000000"/>
          <w:sz w:val="24"/>
          <w:szCs w:val="24"/>
          <w:lang w:bidi="en-US"/>
        </w:rPr>
        <w:t>Soldurile veniturilor colectate ale autorităților/instituțiilor bugetare reorganizate</w:t>
      </w:r>
    </w:p>
    <w:p w:rsidR="008F32F8" w:rsidRPr="00D13A23" w:rsidRDefault="008F32F8" w:rsidP="008F32F8">
      <w:pPr>
        <w:spacing w:after="0" w:line="276" w:lineRule="auto"/>
        <w:ind w:right="51" w:firstLine="709"/>
        <w:jc w:val="right"/>
        <w:rPr>
          <w:rFonts w:ascii="Times New Roman" w:hAnsi="Times New Roman" w:cs="Times New Roman"/>
          <w:i/>
          <w:color w:val="000000"/>
          <w:sz w:val="24"/>
          <w:szCs w:val="24"/>
          <w:lang w:bidi="en-US"/>
        </w:rPr>
      </w:pPr>
      <w:r w:rsidRPr="00D13A23">
        <w:rPr>
          <w:rFonts w:ascii="Times New Roman" w:hAnsi="Times New Roman" w:cs="Times New Roman"/>
          <w:i/>
          <w:color w:val="000000"/>
          <w:sz w:val="24"/>
          <w:szCs w:val="24"/>
          <w:lang w:bidi="en-US"/>
        </w:rPr>
        <w:t>(mii lei)</w:t>
      </w:r>
    </w:p>
    <w:tbl>
      <w:tblPr>
        <w:tblW w:w="9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704"/>
        <w:gridCol w:w="4394"/>
        <w:gridCol w:w="858"/>
        <w:gridCol w:w="851"/>
        <w:gridCol w:w="992"/>
        <w:gridCol w:w="1776"/>
      </w:tblGrid>
      <w:tr w:rsidR="008F32F8" w:rsidRPr="00A07ADA" w:rsidTr="00406684">
        <w:trPr>
          <w:trHeight w:hRule="exact" w:val="1415"/>
        </w:trPr>
        <w:tc>
          <w:tcPr>
            <w:tcW w:w="704" w:type="dxa"/>
            <w:shd w:val="clear" w:color="auto" w:fill="FFFFFF"/>
            <w:vAlign w:val="center"/>
          </w:tcPr>
          <w:p w:rsidR="008F32F8" w:rsidRPr="00D13A23" w:rsidRDefault="00E24D74" w:rsidP="00406684">
            <w:pPr>
              <w:pStyle w:val="Bodytext20"/>
              <w:shd w:val="clear" w:color="auto" w:fill="auto"/>
              <w:spacing w:line="244" w:lineRule="exact"/>
              <w:ind w:left="140"/>
              <w:rPr>
                <w:b/>
                <w:i/>
                <w:sz w:val="24"/>
                <w:szCs w:val="24"/>
                <w:lang w:val="ro-RO"/>
              </w:rPr>
            </w:pPr>
            <w:r w:rsidRPr="00D13A23">
              <w:rPr>
                <w:rStyle w:val="Bodytext211pt"/>
                <w:b/>
                <w:i/>
                <w:sz w:val="24"/>
                <w:szCs w:val="24"/>
                <w:lang w:val="ro-RO"/>
              </w:rPr>
              <w:t>Nr. crt.</w:t>
            </w:r>
          </w:p>
        </w:tc>
        <w:tc>
          <w:tcPr>
            <w:tcW w:w="4394" w:type="dxa"/>
            <w:shd w:val="clear" w:color="auto" w:fill="FFFFFF"/>
            <w:vAlign w:val="center"/>
          </w:tcPr>
          <w:p w:rsidR="008F32F8" w:rsidRPr="00D13A23" w:rsidRDefault="008F32F8" w:rsidP="00D13A23">
            <w:pPr>
              <w:pStyle w:val="Bodytext20"/>
              <w:shd w:val="clear" w:color="auto" w:fill="auto"/>
              <w:spacing w:line="266" w:lineRule="exact"/>
              <w:jc w:val="center"/>
              <w:rPr>
                <w:b/>
                <w:i/>
                <w:sz w:val="24"/>
                <w:szCs w:val="24"/>
                <w:lang w:val="ro-RO"/>
              </w:rPr>
            </w:pPr>
            <w:r w:rsidRPr="00D13A23">
              <w:rPr>
                <w:rStyle w:val="Bodytext212pt"/>
                <w:b/>
                <w:i/>
                <w:lang w:val="ro-RO"/>
              </w:rPr>
              <w:t>Denumirea instituției</w:t>
            </w:r>
          </w:p>
        </w:tc>
        <w:tc>
          <w:tcPr>
            <w:tcW w:w="858" w:type="dxa"/>
            <w:shd w:val="clear" w:color="auto" w:fill="FFFFFF"/>
            <w:vAlign w:val="center"/>
          </w:tcPr>
          <w:p w:rsidR="008F32F8" w:rsidRPr="00D13A23" w:rsidRDefault="008F32F8" w:rsidP="00D13A23">
            <w:pPr>
              <w:pStyle w:val="Bodytext20"/>
              <w:shd w:val="clear" w:color="auto" w:fill="auto"/>
              <w:spacing w:line="269" w:lineRule="exact"/>
              <w:jc w:val="center"/>
              <w:rPr>
                <w:b/>
                <w:i/>
                <w:sz w:val="24"/>
                <w:szCs w:val="24"/>
                <w:lang w:val="ro-RO"/>
              </w:rPr>
            </w:pPr>
            <w:r w:rsidRPr="00D13A23">
              <w:rPr>
                <w:rStyle w:val="Bodytext211pt"/>
                <w:b/>
                <w:i/>
                <w:sz w:val="24"/>
                <w:szCs w:val="24"/>
                <w:lang w:val="ro-RO"/>
              </w:rPr>
              <w:t>ORG 2 vechi</w:t>
            </w:r>
          </w:p>
        </w:tc>
        <w:tc>
          <w:tcPr>
            <w:tcW w:w="851" w:type="dxa"/>
            <w:shd w:val="clear" w:color="auto" w:fill="FFFFFF"/>
            <w:vAlign w:val="center"/>
          </w:tcPr>
          <w:p w:rsidR="008F32F8" w:rsidRPr="00D13A23" w:rsidRDefault="008F32F8" w:rsidP="00D13A23">
            <w:pPr>
              <w:pStyle w:val="Bodytext20"/>
              <w:shd w:val="clear" w:color="auto" w:fill="auto"/>
              <w:spacing w:line="244" w:lineRule="exact"/>
              <w:jc w:val="center"/>
              <w:rPr>
                <w:b/>
                <w:i/>
                <w:sz w:val="24"/>
                <w:szCs w:val="24"/>
                <w:lang w:val="ro-RO"/>
              </w:rPr>
            </w:pPr>
            <w:r w:rsidRPr="00D13A23">
              <w:rPr>
                <w:rStyle w:val="Bodytext211pt"/>
                <w:b/>
                <w:i/>
                <w:sz w:val="24"/>
                <w:szCs w:val="24"/>
                <w:lang w:val="ro-RO"/>
              </w:rPr>
              <w:t>ORG 2</w:t>
            </w:r>
          </w:p>
          <w:p w:rsidR="008F32F8" w:rsidRPr="00D13A23" w:rsidRDefault="008F32F8" w:rsidP="00D13A23">
            <w:pPr>
              <w:pStyle w:val="Bodytext20"/>
              <w:shd w:val="clear" w:color="auto" w:fill="auto"/>
              <w:spacing w:line="244" w:lineRule="exact"/>
              <w:jc w:val="center"/>
              <w:rPr>
                <w:b/>
                <w:i/>
                <w:sz w:val="24"/>
                <w:szCs w:val="24"/>
                <w:lang w:val="ro-RO"/>
              </w:rPr>
            </w:pPr>
            <w:r w:rsidRPr="00D13A23">
              <w:rPr>
                <w:rStyle w:val="Bodytext211pt"/>
                <w:b/>
                <w:i/>
                <w:sz w:val="24"/>
                <w:szCs w:val="24"/>
                <w:lang w:val="ro-RO"/>
              </w:rPr>
              <w:t>nou</w:t>
            </w:r>
          </w:p>
        </w:tc>
        <w:tc>
          <w:tcPr>
            <w:tcW w:w="992" w:type="dxa"/>
            <w:shd w:val="clear" w:color="auto" w:fill="FFFFFF"/>
            <w:vAlign w:val="center"/>
          </w:tcPr>
          <w:p w:rsidR="008F32F8" w:rsidRPr="00D13A23" w:rsidRDefault="008F32F8" w:rsidP="00D13A23">
            <w:pPr>
              <w:pStyle w:val="Bodytext20"/>
              <w:shd w:val="clear" w:color="auto" w:fill="auto"/>
              <w:spacing w:line="244" w:lineRule="exact"/>
              <w:jc w:val="center"/>
              <w:rPr>
                <w:b/>
                <w:i/>
                <w:sz w:val="24"/>
                <w:szCs w:val="24"/>
                <w:lang w:val="ro-RO"/>
              </w:rPr>
            </w:pPr>
            <w:r w:rsidRPr="00D13A23">
              <w:rPr>
                <w:rStyle w:val="Bodytext211pt"/>
                <w:b/>
                <w:i/>
                <w:sz w:val="24"/>
                <w:szCs w:val="24"/>
                <w:lang w:val="ro-RO"/>
              </w:rPr>
              <w:t>Data</w:t>
            </w:r>
          </w:p>
        </w:tc>
        <w:tc>
          <w:tcPr>
            <w:tcW w:w="1776" w:type="dxa"/>
            <w:shd w:val="clear" w:color="auto" w:fill="FFFFFF"/>
            <w:vAlign w:val="bottom"/>
          </w:tcPr>
          <w:p w:rsidR="008F32F8" w:rsidRPr="00D13A23" w:rsidRDefault="008F32F8" w:rsidP="00D13A23">
            <w:pPr>
              <w:pStyle w:val="Bodytext20"/>
              <w:shd w:val="clear" w:color="auto" w:fill="auto"/>
              <w:spacing w:line="274" w:lineRule="exact"/>
              <w:jc w:val="center"/>
              <w:rPr>
                <w:b/>
                <w:i/>
                <w:sz w:val="24"/>
                <w:szCs w:val="24"/>
                <w:lang w:val="ro-RO"/>
              </w:rPr>
            </w:pPr>
            <w:r w:rsidRPr="00D13A23">
              <w:rPr>
                <w:rStyle w:val="Bodytext211pt"/>
                <w:b/>
                <w:i/>
                <w:sz w:val="24"/>
                <w:szCs w:val="24"/>
                <w:lang w:val="ro-RO"/>
              </w:rPr>
              <w:t>Suma mijloacelor</w:t>
            </w:r>
            <w:r w:rsidRPr="00D13A23">
              <w:rPr>
                <w:b/>
                <w:i/>
                <w:sz w:val="24"/>
                <w:szCs w:val="24"/>
                <w:lang w:val="ro-RO"/>
              </w:rPr>
              <w:t xml:space="preserve"> b</w:t>
            </w:r>
            <w:r w:rsidRPr="00D13A23">
              <w:rPr>
                <w:rStyle w:val="Bodytext211pt"/>
                <w:b/>
                <w:i/>
                <w:sz w:val="24"/>
                <w:szCs w:val="24"/>
                <w:lang w:val="ro-RO"/>
              </w:rPr>
              <w:t>ănești transferată de la ORG 2 vechi la ORG 2 nou</w:t>
            </w:r>
          </w:p>
        </w:tc>
      </w:tr>
      <w:tr w:rsidR="009333E2" w:rsidRPr="00A07ADA" w:rsidTr="00666325">
        <w:trPr>
          <w:trHeight w:hRule="exact" w:val="419"/>
        </w:trPr>
        <w:tc>
          <w:tcPr>
            <w:tcW w:w="704" w:type="dxa"/>
            <w:shd w:val="clear" w:color="auto" w:fill="EDEDED" w:themeFill="accent3" w:themeFillTint="33"/>
          </w:tcPr>
          <w:p w:rsidR="009333E2" w:rsidRPr="00D13A23" w:rsidRDefault="009333E2" w:rsidP="00406684">
            <w:pPr>
              <w:rPr>
                <w:rFonts w:ascii="Times New Roman" w:hAnsi="Times New Roman" w:cs="Times New Roman"/>
                <w:sz w:val="24"/>
                <w:szCs w:val="24"/>
              </w:rPr>
            </w:pPr>
          </w:p>
        </w:tc>
        <w:tc>
          <w:tcPr>
            <w:tcW w:w="8871" w:type="dxa"/>
            <w:gridSpan w:val="5"/>
            <w:shd w:val="clear" w:color="auto" w:fill="EDEDED" w:themeFill="accent3" w:themeFillTint="33"/>
            <w:vAlign w:val="center"/>
          </w:tcPr>
          <w:p w:rsidR="009333E2" w:rsidRPr="00D13A23" w:rsidRDefault="00666325" w:rsidP="00666325">
            <w:pPr>
              <w:ind w:firstLine="130"/>
              <w:rPr>
                <w:rFonts w:ascii="Times New Roman" w:hAnsi="Times New Roman" w:cs="Times New Roman"/>
                <w:b/>
                <w:i/>
                <w:sz w:val="24"/>
                <w:szCs w:val="24"/>
              </w:rPr>
            </w:pPr>
            <w:r w:rsidRPr="00D13A23">
              <w:rPr>
                <w:rFonts w:ascii="Times New Roman" w:hAnsi="Times New Roman" w:cs="Times New Roman"/>
                <w:b/>
                <w:i/>
                <w:sz w:val="28"/>
                <w:szCs w:val="24"/>
              </w:rPr>
              <w:t>Ministerul Agriculturii</w:t>
            </w:r>
          </w:p>
        </w:tc>
      </w:tr>
      <w:tr w:rsidR="008F32F8" w:rsidRPr="00A07ADA" w:rsidTr="00406684">
        <w:trPr>
          <w:trHeight w:hRule="exact" w:val="552"/>
        </w:trPr>
        <w:tc>
          <w:tcPr>
            <w:tcW w:w="704" w:type="dxa"/>
            <w:shd w:val="clear" w:color="auto" w:fill="FFFFFF"/>
            <w:vAlign w:val="center"/>
          </w:tcPr>
          <w:p w:rsidR="008F32F8" w:rsidRPr="00D13A23" w:rsidRDefault="008F32F8" w:rsidP="00406684">
            <w:pPr>
              <w:pStyle w:val="Bodytext20"/>
              <w:shd w:val="clear" w:color="auto" w:fill="auto"/>
              <w:spacing w:line="308" w:lineRule="exact"/>
              <w:ind w:left="140"/>
              <w:rPr>
                <w:b/>
                <w:sz w:val="24"/>
                <w:szCs w:val="24"/>
                <w:lang w:val="ro-RO"/>
              </w:rPr>
            </w:pPr>
            <w:r w:rsidRPr="00D13A23">
              <w:rPr>
                <w:rStyle w:val="Bodytext2BookAntiqua"/>
                <w:rFonts w:ascii="Times New Roman" w:hAnsi="Times New Roman" w:cs="Times New Roman"/>
                <w:b/>
                <w:sz w:val="24"/>
                <w:szCs w:val="24"/>
                <w:lang w:val="ro-RO"/>
              </w:rPr>
              <w:t>1</w:t>
            </w:r>
            <w:r w:rsidRPr="00D13A23">
              <w:rPr>
                <w:rStyle w:val="Bodytext2LucidaSansUnicode"/>
                <w:rFonts w:ascii="Times New Roman" w:hAnsi="Times New Roman" w:cs="Times New Roman"/>
                <w:b w:val="0"/>
                <w:sz w:val="24"/>
                <w:szCs w:val="24"/>
                <w:lang w:val="ro-RO"/>
              </w:rPr>
              <w:t>.</w:t>
            </w:r>
          </w:p>
        </w:tc>
        <w:tc>
          <w:tcPr>
            <w:tcW w:w="4394" w:type="dxa"/>
            <w:shd w:val="clear" w:color="auto" w:fill="FFFFFF"/>
          </w:tcPr>
          <w:p w:rsidR="008F32F8" w:rsidRPr="00D13A23" w:rsidRDefault="008F32F8" w:rsidP="00E24D74">
            <w:pPr>
              <w:pStyle w:val="Bodytext20"/>
              <w:shd w:val="clear" w:color="auto" w:fill="auto"/>
              <w:spacing w:line="274" w:lineRule="exact"/>
              <w:rPr>
                <w:sz w:val="24"/>
                <w:szCs w:val="24"/>
                <w:lang w:val="ro-RO"/>
              </w:rPr>
            </w:pPr>
            <w:r w:rsidRPr="00D13A23">
              <w:rPr>
                <w:rStyle w:val="Bodytext211pt"/>
                <w:sz w:val="24"/>
                <w:szCs w:val="24"/>
                <w:lang w:val="ro-RO"/>
              </w:rPr>
              <w:t>I.P. Centrul de Excelen</w:t>
            </w:r>
            <w:r w:rsidR="00E24D74" w:rsidRPr="00D13A23">
              <w:rPr>
                <w:rStyle w:val="Bodytext211pt"/>
                <w:sz w:val="24"/>
                <w:szCs w:val="24"/>
                <w:lang w:val="ro-RO"/>
              </w:rPr>
              <w:t>ță</w:t>
            </w:r>
            <w:r w:rsidRPr="00D13A23">
              <w:rPr>
                <w:rStyle w:val="Bodytext211pt"/>
                <w:sz w:val="24"/>
                <w:szCs w:val="24"/>
                <w:lang w:val="ro-RO"/>
              </w:rPr>
              <w:t xml:space="preserve"> în Viticultur</w:t>
            </w:r>
            <w:r w:rsidR="00E24D74" w:rsidRPr="00D13A23">
              <w:rPr>
                <w:rStyle w:val="Bodytext211pt"/>
                <w:sz w:val="24"/>
                <w:szCs w:val="24"/>
                <w:lang w:val="ro-RO"/>
              </w:rPr>
              <w:t>ă</w:t>
            </w:r>
            <w:r w:rsidRPr="00D13A23">
              <w:rPr>
                <w:rStyle w:val="Bodytext211pt"/>
                <w:sz w:val="24"/>
                <w:szCs w:val="24"/>
                <w:lang w:val="ro-RO"/>
              </w:rPr>
              <w:t xml:space="preserve"> și Vinificație</w:t>
            </w:r>
          </w:p>
        </w:tc>
        <w:tc>
          <w:tcPr>
            <w:tcW w:w="858" w:type="dxa"/>
            <w:shd w:val="clear" w:color="auto" w:fill="FFFFFF"/>
          </w:tcPr>
          <w:p w:rsidR="008F32F8" w:rsidRPr="00D13A23" w:rsidRDefault="008F32F8" w:rsidP="00D13A23">
            <w:pPr>
              <w:pStyle w:val="Bodytext20"/>
              <w:shd w:val="clear" w:color="auto" w:fill="auto"/>
              <w:spacing w:line="244" w:lineRule="exact"/>
              <w:jc w:val="center"/>
              <w:rPr>
                <w:sz w:val="24"/>
                <w:szCs w:val="24"/>
                <w:lang w:val="ro-RO"/>
              </w:rPr>
            </w:pPr>
            <w:r w:rsidRPr="00D13A23">
              <w:rPr>
                <w:rStyle w:val="Bodytext211pt"/>
                <w:sz w:val="24"/>
                <w:szCs w:val="24"/>
                <w:lang w:val="ro-RO"/>
              </w:rPr>
              <w:t>15152</w:t>
            </w:r>
          </w:p>
        </w:tc>
        <w:tc>
          <w:tcPr>
            <w:tcW w:w="851" w:type="dxa"/>
            <w:shd w:val="clear" w:color="auto" w:fill="FFFFFF"/>
          </w:tcPr>
          <w:p w:rsidR="008F32F8" w:rsidRPr="00D13A23" w:rsidRDefault="008F32F8" w:rsidP="00D13A23">
            <w:pPr>
              <w:pStyle w:val="Bodytext20"/>
              <w:shd w:val="clear" w:color="auto" w:fill="auto"/>
              <w:spacing w:line="244" w:lineRule="exact"/>
              <w:jc w:val="center"/>
              <w:rPr>
                <w:sz w:val="24"/>
                <w:szCs w:val="24"/>
                <w:lang w:val="ro-RO"/>
              </w:rPr>
            </w:pPr>
            <w:r w:rsidRPr="00D13A23">
              <w:rPr>
                <w:rStyle w:val="Bodytext211pt"/>
                <w:sz w:val="24"/>
                <w:szCs w:val="24"/>
                <w:lang w:val="ro-RO"/>
              </w:rPr>
              <w:t>15477</w:t>
            </w:r>
          </w:p>
        </w:tc>
        <w:tc>
          <w:tcPr>
            <w:tcW w:w="992" w:type="dxa"/>
            <w:shd w:val="clear" w:color="auto" w:fill="FFFFFF"/>
          </w:tcPr>
          <w:p w:rsidR="008F32F8" w:rsidRPr="00D13A23" w:rsidRDefault="008F32F8" w:rsidP="00D13A23">
            <w:pPr>
              <w:pStyle w:val="Bodytext20"/>
              <w:shd w:val="clear" w:color="auto" w:fill="auto"/>
              <w:spacing w:line="244" w:lineRule="exact"/>
              <w:jc w:val="center"/>
              <w:rPr>
                <w:sz w:val="24"/>
                <w:szCs w:val="24"/>
                <w:lang w:val="ro-RO"/>
              </w:rPr>
            </w:pPr>
            <w:r w:rsidRPr="00D13A23">
              <w:rPr>
                <w:rStyle w:val="Bodytext211pt"/>
                <w:sz w:val="24"/>
                <w:szCs w:val="24"/>
                <w:lang w:val="ro-RO"/>
              </w:rPr>
              <w:t>07.11.17</w:t>
            </w:r>
          </w:p>
        </w:tc>
        <w:tc>
          <w:tcPr>
            <w:tcW w:w="1776" w:type="dxa"/>
            <w:shd w:val="clear" w:color="auto" w:fill="FFFFFF"/>
          </w:tcPr>
          <w:p w:rsidR="008F32F8" w:rsidRPr="00D13A23" w:rsidRDefault="008F32F8" w:rsidP="00D13A23">
            <w:pPr>
              <w:pStyle w:val="Bodytext20"/>
              <w:shd w:val="clear" w:color="auto" w:fill="auto"/>
              <w:spacing w:line="244" w:lineRule="exact"/>
              <w:ind w:right="499"/>
              <w:jc w:val="center"/>
              <w:rPr>
                <w:sz w:val="24"/>
                <w:szCs w:val="24"/>
                <w:lang w:val="ro-RO"/>
              </w:rPr>
            </w:pPr>
            <w:r w:rsidRPr="00D13A23">
              <w:rPr>
                <w:rStyle w:val="Bodytext211pt"/>
                <w:sz w:val="24"/>
                <w:szCs w:val="24"/>
                <w:lang w:val="ro-RO"/>
              </w:rPr>
              <w:t>82,0</w:t>
            </w:r>
          </w:p>
        </w:tc>
      </w:tr>
      <w:tr w:rsidR="008F32F8" w:rsidRPr="00A07ADA" w:rsidTr="00406684">
        <w:trPr>
          <w:trHeight w:hRule="exact" w:val="562"/>
        </w:trPr>
        <w:tc>
          <w:tcPr>
            <w:tcW w:w="704" w:type="dxa"/>
            <w:shd w:val="clear" w:color="auto" w:fill="FFFFFF"/>
            <w:vAlign w:val="center"/>
          </w:tcPr>
          <w:p w:rsidR="008F32F8" w:rsidRPr="00D13A23" w:rsidRDefault="008F32F8" w:rsidP="00406684">
            <w:pPr>
              <w:pStyle w:val="Bodytext20"/>
              <w:shd w:val="clear" w:color="auto" w:fill="auto"/>
              <w:spacing w:line="244" w:lineRule="exact"/>
              <w:ind w:left="140"/>
              <w:rPr>
                <w:b/>
                <w:sz w:val="24"/>
                <w:szCs w:val="24"/>
                <w:lang w:val="ro-RO"/>
              </w:rPr>
            </w:pPr>
            <w:r w:rsidRPr="00D13A23">
              <w:rPr>
                <w:rStyle w:val="Bodytext211pt"/>
                <w:b/>
                <w:sz w:val="24"/>
                <w:szCs w:val="24"/>
                <w:lang w:val="ro-RO"/>
              </w:rPr>
              <w:t>2.</w:t>
            </w:r>
          </w:p>
        </w:tc>
        <w:tc>
          <w:tcPr>
            <w:tcW w:w="4394" w:type="dxa"/>
            <w:shd w:val="clear" w:color="auto" w:fill="FFFFFF"/>
            <w:vAlign w:val="bottom"/>
          </w:tcPr>
          <w:p w:rsidR="008F32F8" w:rsidRPr="00D13A23" w:rsidRDefault="008F32F8" w:rsidP="00406684">
            <w:pPr>
              <w:pStyle w:val="Bodytext20"/>
              <w:shd w:val="clear" w:color="auto" w:fill="auto"/>
              <w:spacing w:line="244" w:lineRule="exact"/>
              <w:rPr>
                <w:sz w:val="24"/>
                <w:szCs w:val="24"/>
                <w:lang w:val="ro-RO"/>
              </w:rPr>
            </w:pPr>
            <w:r w:rsidRPr="00D13A23">
              <w:rPr>
                <w:rStyle w:val="Bodytext211pt"/>
                <w:sz w:val="24"/>
                <w:szCs w:val="24"/>
                <w:lang w:val="ro-RO"/>
              </w:rPr>
              <w:t>Comisia de stat a RM pentru testarea soiurilor de plante</w:t>
            </w:r>
          </w:p>
        </w:tc>
        <w:tc>
          <w:tcPr>
            <w:tcW w:w="858" w:type="dxa"/>
            <w:shd w:val="clear" w:color="auto" w:fill="FFFFFF"/>
          </w:tcPr>
          <w:p w:rsidR="008F32F8" w:rsidRPr="00D13A23" w:rsidRDefault="008F32F8" w:rsidP="00D13A23">
            <w:pPr>
              <w:pStyle w:val="Bodytext20"/>
              <w:shd w:val="clear" w:color="auto" w:fill="auto"/>
              <w:spacing w:line="244" w:lineRule="exact"/>
              <w:jc w:val="center"/>
              <w:rPr>
                <w:sz w:val="24"/>
                <w:szCs w:val="24"/>
                <w:lang w:val="ro-RO"/>
              </w:rPr>
            </w:pPr>
            <w:r w:rsidRPr="00D13A23">
              <w:rPr>
                <w:rStyle w:val="Bodytext211pt"/>
                <w:sz w:val="24"/>
                <w:szCs w:val="24"/>
                <w:lang w:val="ro-RO"/>
              </w:rPr>
              <w:t>00902</w:t>
            </w:r>
          </w:p>
        </w:tc>
        <w:tc>
          <w:tcPr>
            <w:tcW w:w="851" w:type="dxa"/>
            <w:shd w:val="clear" w:color="auto" w:fill="FFFFFF"/>
          </w:tcPr>
          <w:p w:rsidR="008F32F8" w:rsidRPr="00D13A23" w:rsidRDefault="008F32F8" w:rsidP="00D13A23">
            <w:pPr>
              <w:pStyle w:val="Bodytext20"/>
              <w:shd w:val="clear" w:color="auto" w:fill="auto"/>
              <w:spacing w:line="244" w:lineRule="exact"/>
              <w:jc w:val="center"/>
              <w:rPr>
                <w:sz w:val="24"/>
                <w:szCs w:val="24"/>
                <w:lang w:val="ro-RO"/>
              </w:rPr>
            </w:pPr>
            <w:r w:rsidRPr="00D13A23">
              <w:rPr>
                <w:rStyle w:val="Bodytext211pt"/>
                <w:sz w:val="24"/>
                <w:szCs w:val="24"/>
                <w:lang w:val="ro-RO"/>
              </w:rPr>
              <w:t>15458</w:t>
            </w:r>
          </w:p>
        </w:tc>
        <w:tc>
          <w:tcPr>
            <w:tcW w:w="992" w:type="dxa"/>
            <w:shd w:val="clear" w:color="auto" w:fill="FFFFFF"/>
          </w:tcPr>
          <w:p w:rsidR="008F32F8" w:rsidRPr="00D13A23" w:rsidRDefault="008F32F8" w:rsidP="00D13A23">
            <w:pPr>
              <w:pStyle w:val="Bodytext20"/>
              <w:shd w:val="clear" w:color="auto" w:fill="auto"/>
              <w:spacing w:line="244" w:lineRule="exact"/>
              <w:jc w:val="center"/>
              <w:rPr>
                <w:sz w:val="24"/>
                <w:szCs w:val="24"/>
                <w:lang w:val="ro-RO"/>
              </w:rPr>
            </w:pPr>
            <w:r w:rsidRPr="00D13A23">
              <w:rPr>
                <w:rStyle w:val="Bodytext211pt"/>
                <w:sz w:val="24"/>
                <w:szCs w:val="24"/>
                <w:lang w:val="ro-RO"/>
              </w:rPr>
              <w:t>13.11.17</w:t>
            </w:r>
          </w:p>
        </w:tc>
        <w:tc>
          <w:tcPr>
            <w:tcW w:w="1776" w:type="dxa"/>
            <w:shd w:val="clear" w:color="auto" w:fill="FFFFFF"/>
          </w:tcPr>
          <w:p w:rsidR="008F32F8" w:rsidRPr="00D13A23" w:rsidRDefault="008F32F8" w:rsidP="00D13A23">
            <w:pPr>
              <w:pStyle w:val="Bodytext20"/>
              <w:shd w:val="clear" w:color="auto" w:fill="auto"/>
              <w:spacing w:line="244" w:lineRule="exact"/>
              <w:ind w:right="499"/>
              <w:jc w:val="center"/>
              <w:rPr>
                <w:sz w:val="24"/>
                <w:szCs w:val="24"/>
                <w:lang w:val="ro-RO"/>
              </w:rPr>
            </w:pPr>
            <w:r w:rsidRPr="00D13A23">
              <w:rPr>
                <w:rStyle w:val="Bodytext211pt"/>
                <w:sz w:val="24"/>
                <w:szCs w:val="24"/>
                <w:lang w:val="ro-RO"/>
              </w:rPr>
              <w:t>3691,0</w:t>
            </w:r>
          </w:p>
        </w:tc>
      </w:tr>
      <w:tr w:rsidR="008F32F8" w:rsidRPr="00A07ADA" w:rsidTr="00406684">
        <w:trPr>
          <w:trHeight w:hRule="exact" w:val="580"/>
        </w:trPr>
        <w:tc>
          <w:tcPr>
            <w:tcW w:w="704" w:type="dxa"/>
            <w:shd w:val="clear" w:color="auto" w:fill="FFFFFF"/>
            <w:vAlign w:val="center"/>
          </w:tcPr>
          <w:p w:rsidR="008F32F8" w:rsidRPr="00D13A23" w:rsidRDefault="008F32F8" w:rsidP="00406684">
            <w:pPr>
              <w:pStyle w:val="Bodytext20"/>
              <w:shd w:val="clear" w:color="auto" w:fill="auto"/>
              <w:spacing w:line="244" w:lineRule="exact"/>
              <w:ind w:left="140"/>
              <w:rPr>
                <w:b/>
                <w:sz w:val="24"/>
                <w:szCs w:val="24"/>
                <w:lang w:val="ro-RO"/>
              </w:rPr>
            </w:pPr>
            <w:r w:rsidRPr="00D13A23">
              <w:rPr>
                <w:rStyle w:val="Bodytext211pt"/>
                <w:b/>
                <w:sz w:val="24"/>
                <w:szCs w:val="24"/>
                <w:lang w:val="ro-RO"/>
              </w:rPr>
              <w:t>3.</w:t>
            </w:r>
          </w:p>
        </w:tc>
        <w:tc>
          <w:tcPr>
            <w:tcW w:w="4394" w:type="dxa"/>
            <w:shd w:val="clear" w:color="auto" w:fill="FFFFFF"/>
            <w:vAlign w:val="bottom"/>
          </w:tcPr>
          <w:p w:rsidR="008F32F8" w:rsidRPr="00D13A23" w:rsidRDefault="008F32F8" w:rsidP="00406684">
            <w:pPr>
              <w:pStyle w:val="Bodytext20"/>
              <w:shd w:val="clear" w:color="auto" w:fill="auto"/>
              <w:spacing w:line="278" w:lineRule="exact"/>
              <w:rPr>
                <w:sz w:val="24"/>
                <w:szCs w:val="24"/>
                <w:lang w:val="ro-RO"/>
              </w:rPr>
            </w:pPr>
            <w:r w:rsidRPr="00D13A23">
              <w:rPr>
                <w:rStyle w:val="Bodytext211pt"/>
                <w:sz w:val="24"/>
                <w:szCs w:val="24"/>
                <w:lang w:val="ro-RO"/>
              </w:rPr>
              <w:t>Serviciul Special pentru Influențe Active asupra Proceselor Hidrometeorologice</w:t>
            </w:r>
          </w:p>
        </w:tc>
        <w:tc>
          <w:tcPr>
            <w:tcW w:w="858" w:type="dxa"/>
            <w:shd w:val="clear" w:color="auto" w:fill="FFFFFF"/>
          </w:tcPr>
          <w:p w:rsidR="008F32F8" w:rsidRPr="00D13A23" w:rsidRDefault="008F32F8" w:rsidP="00D13A23">
            <w:pPr>
              <w:pStyle w:val="Bodytext20"/>
              <w:shd w:val="clear" w:color="auto" w:fill="auto"/>
              <w:spacing w:line="244" w:lineRule="exact"/>
              <w:jc w:val="center"/>
              <w:rPr>
                <w:sz w:val="24"/>
                <w:szCs w:val="24"/>
                <w:lang w:val="ro-RO"/>
              </w:rPr>
            </w:pPr>
            <w:r w:rsidRPr="00D13A23">
              <w:rPr>
                <w:rStyle w:val="Bodytext211pt"/>
                <w:sz w:val="24"/>
                <w:szCs w:val="24"/>
                <w:lang w:val="ro-RO"/>
              </w:rPr>
              <w:t>00904</w:t>
            </w:r>
          </w:p>
        </w:tc>
        <w:tc>
          <w:tcPr>
            <w:tcW w:w="851" w:type="dxa"/>
            <w:shd w:val="clear" w:color="auto" w:fill="FFFFFF"/>
          </w:tcPr>
          <w:p w:rsidR="008F32F8" w:rsidRPr="00D13A23" w:rsidRDefault="008F32F8" w:rsidP="00D13A23">
            <w:pPr>
              <w:pStyle w:val="Bodytext20"/>
              <w:shd w:val="clear" w:color="auto" w:fill="auto"/>
              <w:spacing w:line="244" w:lineRule="exact"/>
              <w:jc w:val="center"/>
              <w:rPr>
                <w:sz w:val="24"/>
                <w:szCs w:val="24"/>
                <w:lang w:val="ro-RO"/>
              </w:rPr>
            </w:pPr>
            <w:r w:rsidRPr="00D13A23">
              <w:rPr>
                <w:rStyle w:val="Bodytext211pt"/>
                <w:sz w:val="24"/>
                <w:szCs w:val="24"/>
                <w:lang w:val="ro-RO"/>
              </w:rPr>
              <w:t>15560</w:t>
            </w:r>
          </w:p>
        </w:tc>
        <w:tc>
          <w:tcPr>
            <w:tcW w:w="992" w:type="dxa"/>
            <w:shd w:val="clear" w:color="auto" w:fill="FFFFFF"/>
          </w:tcPr>
          <w:p w:rsidR="008F32F8" w:rsidRPr="00D13A23" w:rsidRDefault="008F32F8" w:rsidP="00D13A23">
            <w:pPr>
              <w:pStyle w:val="Bodytext20"/>
              <w:shd w:val="clear" w:color="auto" w:fill="auto"/>
              <w:spacing w:line="244" w:lineRule="exact"/>
              <w:jc w:val="center"/>
              <w:rPr>
                <w:sz w:val="24"/>
                <w:szCs w:val="24"/>
                <w:lang w:val="ro-RO"/>
              </w:rPr>
            </w:pPr>
            <w:r w:rsidRPr="00D13A23">
              <w:rPr>
                <w:rStyle w:val="Bodytext211pt"/>
                <w:sz w:val="24"/>
                <w:szCs w:val="24"/>
                <w:lang w:val="ro-RO"/>
              </w:rPr>
              <w:t>07.11.17</w:t>
            </w:r>
          </w:p>
        </w:tc>
        <w:tc>
          <w:tcPr>
            <w:tcW w:w="1776" w:type="dxa"/>
            <w:shd w:val="clear" w:color="auto" w:fill="FFFFFF"/>
          </w:tcPr>
          <w:p w:rsidR="008F32F8" w:rsidRPr="00D13A23" w:rsidRDefault="008F32F8" w:rsidP="00D13A23">
            <w:pPr>
              <w:pStyle w:val="Bodytext20"/>
              <w:shd w:val="clear" w:color="auto" w:fill="auto"/>
              <w:spacing w:line="244" w:lineRule="exact"/>
              <w:ind w:right="499"/>
              <w:jc w:val="center"/>
              <w:rPr>
                <w:sz w:val="24"/>
                <w:szCs w:val="24"/>
                <w:lang w:val="ro-RO"/>
              </w:rPr>
            </w:pPr>
            <w:r w:rsidRPr="00D13A23">
              <w:rPr>
                <w:rStyle w:val="Bodytext211pt"/>
                <w:sz w:val="24"/>
                <w:szCs w:val="24"/>
                <w:lang w:val="ro-RO"/>
              </w:rPr>
              <w:t>38,8</w:t>
            </w:r>
          </w:p>
        </w:tc>
      </w:tr>
      <w:tr w:rsidR="008F32F8" w:rsidRPr="00A07ADA" w:rsidTr="00406684">
        <w:trPr>
          <w:trHeight w:hRule="exact" w:val="557"/>
        </w:trPr>
        <w:tc>
          <w:tcPr>
            <w:tcW w:w="704" w:type="dxa"/>
            <w:shd w:val="clear" w:color="auto" w:fill="FFFFFF"/>
          </w:tcPr>
          <w:p w:rsidR="008F32F8" w:rsidRPr="00D13A23" w:rsidRDefault="008F32F8" w:rsidP="00406684">
            <w:pPr>
              <w:pStyle w:val="Bodytext20"/>
              <w:shd w:val="clear" w:color="auto" w:fill="auto"/>
              <w:spacing w:line="244" w:lineRule="exact"/>
              <w:ind w:left="140"/>
              <w:rPr>
                <w:b/>
                <w:sz w:val="24"/>
                <w:szCs w:val="24"/>
                <w:lang w:val="ro-RO"/>
              </w:rPr>
            </w:pPr>
            <w:r w:rsidRPr="00D13A23">
              <w:rPr>
                <w:rStyle w:val="Bodytext211pt"/>
                <w:b/>
                <w:sz w:val="24"/>
                <w:szCs w:val="24"/>
                <w:lang w:val="ro-RO"/>
              </w:rPr>
              <w:t>4.</w:t>
            </w:r>
          </w:p>
        </w:tc>
        <w:tc>
          <w:tcPr>
            <w:tcW w:w="4394" w:type="dxa"/>
            <w:shd w:val="clear" w:color="auto" w:fill="FFFFFF"/>
            <w:vAlign w:val="bottom"/>
          </w:tcPr>
          <w:p w:rsidR="008F32F8" w:rsidRPr="00D13A23" w:rsidRDefault="008F32F8" w:rsidP="00406684">
            <w:pPr>
              <w:pStyle w:val="Bodytext20"/>
              <w:shd w:val="clear" w:color="auto" w:fill="auto"/>
              <w:spacing w:line="274" w:lineRule="exact"/>
              <w:rPr>
                <w:sz w:val="24"/>
                <w:szCs w:val="24"/>
                <w:lang w:val="ro-RO"/>
              </w:rPr>
            </w:pPr>
            <w:r w:rsidRPr="00D13A23">
              <w:rPr>
                <w:rStyle w:val="Bodytext211pt"/>
                <w:sz w:val="24"/>
                <w:szCs w:val="24"/>
                <w:lang w:val="ro-RO"/>
              </w:rPr>
              <w:t>Institutul Științifico-Practic de Horticultură și Tehnologii Alimentare</w:t>
            </w:r>
          </w:p>
        </w:tc>
        <w:tc>
          <w:tcPr>
            <w:tcW w:w="858" w:type="dxa"/>
            <w:shd w:val="clear" w:color="auto" w:fill="FFFFFF"/>
          </w:tcPr>
          <w:p w:rsidR="008F32F8" w:rsidRPr="00D13A23" w:rsidRDefault="008F32F8" w:rsidP="00D13A23">
            <w:pPr>
              <w:pStyle w:val="Bodytext20"/>
              <w:shd w:val="clear" w:color="auto" w:fill="auto"/>
              <w:spacing w:line="244" w:lineRule="exact"/>
              <w:jc w:val="center"/>
              <w:rPr>
                <w:sz w:val="24"/>
                <w:szCs w:val="24"/>
                <w:lang w:val="ro-RO"/>
              </w:rPr>
            </w:pPr>
            <w:r w:rsidRPr="00D13A23">
              <w:rPr>
                <w:rStyle w:val="Bodytext211pt"/>
                <w:sz w:val="24"/>
                <w:szCs w:val="24"/>
                <w:lang w:val="ro-RO"/>
              </w:rPr>
              <w:t>00913</w:t>
            </w:r>
          </w:p>
        </w:tc>
        <w:tc>
          <w:tcPr>
            <w:tcW w:w="851" w:type="dxa"/>
            <w:shd w:val="clear" w:color="auto" w:fill="FFFFFF"/>
          </w:tcPr>
          <w:p w:rsidR="008F32F8" w:rsidRPr="00D13A23" w:rsidRDefault="008F32F8" w:rsidP="00D13A23">
            <w:pPr>
              <w:pStyle w:val="Bodytext20"/>
              <w:shd w:val="clear" w:color="auto" w:fill="auto"/>
              <w:spacing w:line="244" w:lineRule="exact"/>
              <w:jc w:val="center"/>
              <w:rPr>
                <w:sz w:val="24"/>
                <w:szCs w:val="24"/>
                <w:lang w:val="ro-RO"/>
              </w:rPr>
            </w:pPr>
            <w:r w:rsidRPr="00D13A23">
              <w:rPr>
                <w:rStyle w:val="Bodytext211pt"/>
                <w:sz w:val="24"/>
                <w:szCs w:val="24"/>
                <w:lang w:val="ro-RO"/>
              </w:rPr>
              <w:t>15467</w:t>
            </w:r>
          </w:p>
        </w:tc>
        <w:tc>
          <w:tcPr>
            <w:tcW w:w="992" w:type="dxa"/>
            <w:shd w:val="clear" w:color="auto" w:fill="FFFFFF"/>
          </w:tcPr>
          <w:p w:rsidR="008F32F8" w:rsidRPr="00D13A23" w:rsidRDefault="008F32F8" w:rsidP="00D13A23">
            <w:pPr>
              <w:pStyle w:val="Bodytext20"/>
              <w:shd w:val="clear" w:color="auto" w:fill="auto"/>
              <w:spacing w:line="244" w:lineRule="exact"/>
              <w:jc w:val="center"/>
              <w:rPr>
                <w:sz w:val="24"/>
                <w:szCs w:val="24"/>
                <w:lang w:val="ro-RO"/>
              </w:rPr>
            </w:pPr>
            <w:r w:rsidRPr="00D13A23">
              <w:rPr>
                <w:rStyle w:val="Bodytext211pt"/>
                <w:sz w:val="24"/>
                <w:szCs w:val="24"/>
                <w:lang w:val="ro-RO"/>
              </w:rPr>
              <w:t>31.10.17</w:t>
            </w:r>
          </w:p>
        </w:tc>
        <w:tc>
          <w:tcPr>
            <w:tcW w:w="1776" w:type="dxa"/>
            <w:shd w:val="clear" w:color="auto" w:fill="FFFFFF"/>
          </w:tcPr>
          <w:p w:rsidR="008F32F8" w:rsidRPr="00D13A23" w:rsidRDefault="008F32F8" w:rsidP="00D13A23">
            <w:pPr>
              <w:pStyle w:val="Bodytext20"/>
              <w:shd w:val="clear" w:color="auto" w:fill="auto"/>
              <w:spacing w:line="244" w:lineRule="exact"/>
              <w:ind w:right="499"/>
              <w:jc w:val="center"/>
              <w:rPr>
                <w:sz w:val="24"/>
                <w:szCs w:val="24"/>
                <w:lang w:val="ro-RO"/>
              </w:rPr>
            </w:pPr>
            <w:r w:rsidRPr="00D13A23">
              <w:rPr>
                <w:rStyle w:val="Bodytext211pt"/>
                <w:sz w:val="24"/>
                <w:szCs w:val="24"/>
                <w:lang w:val="ro-RO"/>
              </w:rPr>
              <w:t>76,0</w:t>
            </w:r>
          </w:p>
        </w:tc>
      </w:tr>
      <w:tr w:rsidR="008F32F8" w:rsidRPr="00A07ADA" w:rsidTr="00406684">
        <w:trPr>
          <w:trHeight w:hRule="exact" w:val="845"/>
        </w:trPr>
        <w:tc>
          <w:tcPr>
            <w:tcW w:w="704" w:type="dxa"/>
            <w:shd w:val="clear" w:color="auto" w:fill="FFFFFF"/>
          </w:tcPr>
          <w:p w:rsidR="008F32F8" w:rsidRPr="00D13A23" w:rsidRDefault="008F32F8" w:rsidP="00406684">
            <w:pPr>
              <w:pStyle w:val="Bodytext20"/>
              <w:shd w:val="clear" w:color="auto" w:fill="auto"/>
              <w:spacing w:line="244" w:lineRule="exact"/>
              <w:ind w:left="140"/>
              <w:rPr>
                <w:b/>
                <w:sz w:val="24"/>
                <w:szCs w:val="24"/>
                <w:lang w:val="ro-RO"/>
              </w:rPr>
            </w:pPr>
            <w:r w:rsidRPr="00D13A23">
              <w:rPr>
                <w:rStyle w:val="Bodytext211pt"/>
                <w:b/>
                <w:sz w:val="24"/>
                <w:szCs w:val="24"/>
                <w:lang w:val="ro-RO"/>
              </w:rPr>
              <w:t>5.</w:t>
            </w:r>
          </w:p>
        </w:tc>
        <w:tc>
          <w:tcPr>
            <w:tcW w:w="4394" w:type="dxa"/>
            <w:shd w:val="clear" w:color="auto" w:fill="FFFFFF"/>
            <w:vAlign w:val="bottom"/>
          </w:tcPr>
          <w:p w:rsidR="008F32F8" w:rsidRPr="00D13A23" w:rsidRDefault="008F32F8" w:rsidP="00E24D74">
            <w:pPr>
              <w:pStyle w:val="Bodytext20"/>
              <w:shd w:val="clear" w:color="auto" w:fill="auto"/>
              <w:tabs>
                <w:tab w:val="left" w:pos="139"/>
              </w:tabs>
              <w:spacing w:line="278" w:lineRule="exact"/>
              <w:rPr>
                <w:sz w:val="24"/>
                <w:szCs w:val="24"/>
                <w:lang w:val="ro-RO"/>
              </w:rPr>
            </w:pPr>
            <w:r w:rsidRPr="00D13A23">
              <w:rPr>
                <w:rStyle w:val="Bodytext211pt"/>
                <w:sz w:val="24"/>
                <w:szCs w:val="24"/>
                <w:lang w:val="ro-RO"/>
              </w:rPr>
              <w:t xml:space="preserve">Institutul de Pedologie, Agrochimie și Protecție a Solului </w:t>
            </w:r>
            <w:r w:rsidR="00E24D74" w:rsidRPr="00D13A23">
              <w:rPr>
                <w:rStyle w:val="Bodytext211pt"/>
                <w:sz w:val="24"/>
                <w:szCs w:val="24"/>
                <w:lang w:val="ro-RO"/>
              </w:rPr>
              <w:t>„</w:t>
            </w:r>
            <w:r w:rsidRPr="00D13A23">
              <w:rPr>
                <w:rStyle w:val="Bodytext211pt"/>
                <w:sz w:val="24"/>
                <w:szCs w:val="24"/>
                <w:lang w:val="ro-RO"/>
              </w:rPr>
              <w:t>Nicolae Dimo</w:t>
            </w:r>
            <w:r w:rsidR="00E24D74" w:rsidRPr="00D13A23">
              <w:rPr>
                <w:rStyle w:val="Bodytext211pt"/>
                <w:sz w:val="24"/>
                <w:szCs w:val="24"/>
                <w:lang w:val="ro-RO"/>
              </w:rPr>
              <w:t>”</w:t>
            </w:r>
            <w:r w:rsidRPr="00D13A23">
              <w:rPr>
                <w:rStyle w:val="Bodytext211pt"/>
                <w:sz w:val="24"/>
                <w:szCs w:val="24"/>
                <w:lang w:val="ro-RO"/>
              </w:rPr>
              <w:t>, mun. Chișinău</w:t>
            </w:r>
          </w:p>
        </w:tc>
        <w:tc>
          <w:tcPr>
            <w:tcW w:w="858" w:type="dxa"/>
            <w:shd w:val="clear" w:color="auto" w:fill="FFFFFF"/>
          </w:tcPr>
          <w:p w:rsidR="008F32F8" w:rsidRPr="00D13A23" w:rsidRDefault="008F32F8" w:rsidP="00D13A23">
            <w:pPr>
              <w:pStyle w:val="Bodytext20"/>
              <w:shd w:val="clear" w:color="auto" w:fill="auto"/>
              <w:spacing w:line="244" w:lineRule="exact"/>
              <w:jc w:val="center"/>
              <w:rPr>
                <w:sz w:val="24"/>
                <w:szCs w:val="24"/>
                <w:lang w:val="ro-RO"/>
              </w:rPr>
            </w:pPr>
            <w:r w:rsidRPr="00D13A23">
              <w:rPr>
                <w:rStyle w:val="Bodytext211pt"/>
                <w:sz w:val="24"/>
                <w:szCs w:val="24"/>
                <w:lang w:val="ro-RO"/>
              </w:rPr>
              <w:t>00914</w:t>
            </w:r>
          </w:p>
        </w:tc>
        <w:tc>
          <w:tcPr>
            <w:tcW w:w="851" w:type="dxa"/>
            <w:shd w:val="clear" w:color="auto" w:fill="FFFFFF"/>
          </w:tcPr>
          <w:p w:rsidR="008F32F8" w:rsidRPr="00D13A23" w:rsidRDefault="008F32F8" w:rsidP="00D13A23">
            <w:pPr>
              <w:pStyle w:val="Bodytext20"/>
              <w:shd w:val="clear" w:color="auto" w:fill="auto"/>
              <w:spacing w:line="244" w:lineRule="exact"/>
              <w:jc w:val="center"/>
              <w:rPr>
                <w:sz w:val="24"/>
                <w:szCs w:val="24"/>
                <w:lang w:val="ro-RO"/>
              </w:rPr>
            </w:pPr>
            <w:r w:rsidRPr="00D13A23">
              <w:rPr>
                <w:rStyle w:val="Bodytext211pt"/>
                <w:sz w:val="24"/>
                <w:szCs w:val="24"/>
                <w:lang w:val="ro-RO"/>
              </w:rPr>
              <w:t>15468</w:t>
            </w:r>
          </w:p>
        </w:tc>
        <w:tc>
          <w:tcPr>
            <w:tcW w:w="992" w:type="dxa"/>
            <w:shd w:val="clear" w:color="auto" w:fill="FFFFFF"/>
          </w:tcPr>
          <w:p w:rsidR="008F32F8" w:rsidRPr="00D13A23" w:rsidRDefault="008F32F8" w:rsidP="00D13A23">
            <w:pPr>
              <w:pStyle w:val="Bodytext20"/>
              <w:shd w:val="clear" w:color="auto" w:fill="auto"/>
              <w:spacing w:line="244" w:lineRule="exact"/>
              <w:jc w:val="center"/>
              <w:rPr>
                <w:sz w:val="24"/>
                <w:szCs w:val="24"/>
                <w:lang w:val="ro-RO"/>
              </w:rPr>
            </w:pPr>
            <w:r w:rsidRPr="00D13A23">
              <w:rPr>
                <w:rStyle w:val="Bodytext211pt"/>
                <w:sz w:val="24"/>
                <w:szCs w:val="24"/>
                <w:lang w:val="ro-RO"/>
              </w:rPr>
              <w:t>08.11.17</w:t>
            </w:r>
          </w:p>
        </w:tc>
        <w:tc>
          <w:tcPr>
            <w:tcW w:w="1776" w:type="dxa"/>
            <w:shd w:val="clear" w:color="auto" w:fill="FFFFFF"/>
          </w:tcPr>
          <w:p w:rsidR="008F32F8" w:rsidRPr="00D13A23" w:rsidRDefault="008F32F8" w:rsidP="00D13A23">
            <w:pPr>
              <w:pStyle w:val="Bodytext20"/>
              <w:shd w:val="clear" w:color="auto" w:fill="auto"/>
              <w:spacing w:line="244" w:lineRule="exact"/>
              <w:ind w:right="499"/>
              <w:jc w:val="center"/>
              <w:rPr>
                <w:sz w:val="24"/>
                <w:szCs w:val="24"/>
                <w:lang w:val="ro-RO"/>
              </w:rPr>
            </w:pPr>
            <w:r w:rsidRPr="00D13A23">
              <w:rPr>
                <w:rStyle w:val="Bodytext211pt"/>
                <w:sz w:val="24"/>
                <w:szCs w:val="24"/>
                <w:lang w:val="ro-RO"/>
              </w:rPr>
              <w:t>1,6</w:t>
            </w:r>
          </w:p>
        </w:tc>
      </w:tr>
      <w:tr w:rsidR="008F32F8" w:rsidRPr="00A07ADA" w:rsidTr="00406684">
        <w:trPr>
          <w:trHeight w:hRule="exact" w:val="294"/>
        </w:trPr>
        <w:tc>
          <w:tcPr>
            <w:tcW w:w="704" w:type="dxa"/>
            <w:shd w:val="clear" w:color="auto" w:fill="FFFFFF"/>
            <w:vAlign w:val="center"/>
          </w:tcPr>
          <w:p w:rsidR="008F32F8" w:rsidRPr="00D13A23" w:rsidRDefault="008F32F8" w:rsidP="00406684">
            <w:pPr>
              <w:pStyle w:val="Bodytext20"/>
              <w:shd w:val="clear" w:color="auto" w:fill="auto"/>
              <w:spacing w:line="244" w:lineRule="exact"/>
              <w:ind w:left="140"/>
              <w:rPr>
                <w:b/>
                <w:sz w:val="24"/>
                <w:szCs w:val="24"/>
                <w:lang w:val="ro-RO"/>
              </w:rPr>
            </w:pPr>
            <w:r w:rsidRPr="00D13A23">
              <w:rPr>
                <w:rStyle w:val="Bodytext211pt"/>
                <w:b/>
                <w:sz w:val="24"/>
                <w:szCs w:val="24"/>
                <w:lang w:val="ro-RO"/>
              </w:rPr>
              <w:t>6.</w:t>
            </w:r>
          </w:p>
        </w:tc>
        <w:tc>
          <w:tcPr>
            <w:tcW w:w="4394" w:type="dxa"/>
            <w:shd w:val="clear" w:color="auto" w:fill="FFFFFF"/>
          </w:tcPr>
          <w:p w:rsidR="008F32F8" w:rsidRPr="00D13A23" w:rsidRDefault="008F32F8" w:rsidP="00406684">
            <w:pPr>
              <w:pStyle w:val="Bodytext20"/>
              <w:shd w:val="clear" w:color="auto" w:fill="auto"/>
              <w:spacing w:line="244" w:lineRule="exact"/>
              <w:jc w:val="both"/>
              <w:rPr>
                <w:sz w:val="24"/>
                <w:szCs w:val="24"/>
                <w:lang w:val="ro-RO"/>
              </w:rPr>
            </w:pPr>
            <w:r w:rsidRPr="00D13A23">
              <w:rPr>
                <w:rStyle w:val="Bodytext211pt"/>
                <w:sz w:val="24"/>
                <w:szCs w:val="24"/>
                <w:lang w:val="ro-RO"/>
              </w:rPr>
              <w:t>Institutul de Fitotehnie „Porumbeni”</w:t>
            </w:r>
          </w:p>
        </w:tc>
        <w:tc>
          <w:tcPr>
            <w:tcW w:w="858" w:type="dxa"/>
            <w:shd w:val="clear" w:color="auto" w:fill="FFFFFF"/>
          </w:tcPr>
          <w:p w:rsidR="008F32F8" w:rsidRPr="00D13A23" w:rsidRDefault="008F32F8" w:rsidP="00D13A23">
            <w:pPr>
              <w:pStyle w:val="Bodytext20"/>
              <w:shd w:val="clear" w:color="auto" w:fill="auto"/>
              <w:spacing w:line="244" w:lineRule="exact"/>
              <w:jc w:val="center"/>
              <w:rPr>
                <w:sz w:val="24"/>
                <w:szCs w:val="24"/>
                <w:lang w:val="ro-RO"/>
              </w:rPr>
            </w:pPr>
            <w:r w:rsidRPr="00D13A23">
              <w:rPr>
                <w:rStyle w:val="Bodytext211pt"/>
                <w:sz w:val="24"/>
                <w:szCs w:val="24"/>
                <w:lang w:val="ro-RO"/>
              </w:rPr>
              <w:t>00917</w:t>
            </w:r>
          </w:p>
        </w:tc>
        <w:tc>
          <w:tcPr>
            <w:tcW w:w="851" w:type="dxa"/>
            <w:shd w:val="clear" w:color="auto" w:fill="FFFFFF"/>
          </w:tcPr>
          <w:p w:rsidR="008F32F8" w:rsidRPr="00D13A23" w:rsidRDefault="008F32F8" w:rsidP="00D13A23">
            <w:pPr>
              <w:pStyle w:val="Bodytext20"/>
              <w:shd w:val="clear" w:color="auto" w:fill="auto"/>
              <w:spacing w:line="244" w:lineRule="exact"/>
              <w:jc w:val="center"/>
              <w:rPr>
                <w:sz w:val="24"/>
                <w:szCs w:val="24"/>
                <w:lang w:val="ro-RO"/>
              </w:rPr>
            </w:pPr>
            <w:r w:rsidRPr="00D13A23">
              <w:rPr>
                <w:rStyle w:val="Bodytext211pt"/>
                <w:sz w:val="24"/>
                <w:szCs w:val="24"/>
                <w:lang w:val="ro-RO"/>
              </w:rPr>
              <w:t>15471</w:t>
            </w:r>
          </w:p>
        </w:tc>
        <w:tc>
          <w:tcPr>
            <w:tcW w:w="992" w:type="dxa"/>
            <w:shd w:val="clear" w:color="auto" w:fill="FFFFFF"/>
          </w:tcPr>
          <w:p w:rsidR="008F32F8" w:rsidRPr="00D13A23" w:rsidRDefault="008F32F8" w:rsidP="00D13A23">
            <w:pPr>
              <w:pStyle w:val="Bodytext20"/>
              <w:shd w:val="clear" w:color="auto" w:fill="auto"/>
              <w:spacing w:line="244" w:lineRule="exact"/>
              <w:jc w:val="center"/>
              <w:rPr>
                <w:sz w:val="24"/>
                <w:szCs w:val="24"/>
                <w:lang w:val="ro-RO"/>
              </w:rPr>
            </w:pPr>
            <w:r w:rsidRPr="00D13A23">
              <w:rPr>
                <w:rStyle w:val="Bodytext211pt"/>
                <w:sz w:val="24"/>
                <w:szCs w:val="24"/>
                <w:lang w:val="ro-RO"/>
              </w:rPr>
              <w:t>22.12.17</w:t>
            </w:r>
          </w:p>
        </w:tc>
        <w:tc>
          <w:tcPr>
            <w:tcW w:w="1776" w:type="dxa"/>
            <w:shd w:val="clear" w:color="auto" w:fill="FFFFFF"/>
          </w:tcPr>
          <w:p w:rsidR="008F32F8" w:rsidRPr="00D13A23" w:rsidRDefault="008F32F8" w:rsidP="00D13A23">
            <w:pPr>
              <w:pStyle w:val="Bodytext20"/>
              <w:shd w:val="clear" w:color="auto" w:fill="auto"/>
              <w:spacing w:line="244" w:lineRule="exact"/>
              <w:ind w:right="499"/>
              <w:jc w:val="center"/>
              <w:rPr>
                <w:sz w:val="24"/>
                <w:szCs w:val="24"/>
                <w:lang w:val="ro-RO"/>
              </w:rPr>
            </w:pPr>
            <w:r w:rsidRPr="00D13A23">
              <w:rPr>
                <w:rStyle w:val="Bodytext211pt"/>
                <w:sz w:val="24"/>
                <w:szCs w:val="24"/>
                <w:lang w:val="ro-RO"/>
              </w:rPr>
              <w:t>4749,4</w:t>
            </w:r>
          </w:p>
        </w:tc>
      </w:tr>
      <w:tr w:rsidR="008F32F8" w:rsidRPr="00A07ADA" w:rsidTr="00406684">
        <w:trPr>
          <w:trHeight w:hRule="exact" w:val="271"/>
        </w:trPr>
        <w:tc>
          <w:tcPr>
            <w:tcW w:w="704" w:type="dxa"/>
            <w:shd w:val="clear" w:color="auto" w:fill="FFFFFF"/>
          </w:tcPr>
          <w:p w:rsidR="008F32F8" w:rsidRPr="00D13A23" w:rsidRDefault="008F32F8" w:rsidP="00406684">
            <w:pPr>
              <w:pStyle w:val="Bodytext20"/>
              <w:shd w:val="clear" w:color="auto" w:fill="auto"/>
              <w:spacing w:line="244" w:lineRule="exact"/>
              <w:ind w:left="140"/>
              <w:rPr>
                <w:b/>
                <w:sz w:val="24"/>
                <w:szCs w:val="24"/>
                <w:lang w:val="ro-RO"/>
              </w:rPr>
            </w:pPr>
            <w:r w:rsidRPr="00D13A23">
              <w:rPr>
                <w:rStyle w:val="Bodytext211pt"/>
                <w:b/>
                <w:sz w:val="24"/>
                <w:szCs w:val="24"/>
                <w:lang w:val="ro-RO"/>
              </w:rPr>
              <w:t>7.</w:t>
            </w:r>
          </w:p>
        </w:tc>
        <w:tc>
          <w:tcPr>
            <w:tcW w:w="4394" w:type="dxa"/>
            <w:shd w:val="clear" w:color="auto" w:fill="FFFFFF"/>
          </w:tcPr>
          <w:p w:rsidR="008F32F8" w:rsidRPr="00D13A23" w:rsidRDefault="008F32F8" w:rsidP="00406684">
            <w:pPr>
              <w:pStyle w:val="Bodytext20"/>
              <w:shd w:val="clear" w:color="auto" w:fill="auto"/>
              <w:spacing w:line="244" w:lineRule="exact"/>
              <w:jc w:val="both"/>
              <w:rPr>
                <w:sz w:val="24"/>
                <w:szCs w:val="24"/>
                <w:lang w:val="ro-RO"/>
              </w:rPr>
            </w:pPr>
            <w:r w:rsidRPr="00D13A23">
              <w:rPr>
                <w:rStyle w:val="Bodytext211pt"/>
                <w:sz w:val="24"/>
                <w:szCs w:val="24"/>
                <w:lang w:val="ro-RO"/>
              </w:rPr>
              <w:t>Oficiul Național al Viei și Vinului</w:t>
            </w:r>
          </w:p>
        </w:tc>
        <w:tc>
          <w:tcPr>
            <w:tcW w:w="858" w:type="dxa"/>
            <w:shd w:val="clear" w:color="auto" w:fill="FFFFFF"/>
          </w:tcPr>
          <w:p w:rsidR="008F32F8" w:rsidRPr="00D13A23" w:rsidRDefault="008F32F8" w:rsidP="00D13A23">
            <w:pPr>
              <w:pStyle w:val="Bodytext20"/>
              <w:shd w:val="clear" w:color="auto" w:fill="auto"/>
              <w:spacing w:line="244" w:lineRule="exact"/>
              <w:jc w:val="center"/>
              <w:rPr>
                <w:sz w:val="24"/>
                <w:szCs w:val="24"/>
                <w:lang w:val="ro-RO"/>
              </w:rPr>
            </w:pPr>
            <w:r w:rsidRPr="00D13A23">
              <w:rPr>
                <w:rStyle w:val="Bodytext211pt"/>
                <w:sz w:val="24"/>
                <w:szCs w:val="24"/>
                <w:lang w:val="ro-RO"/>
              </w:rPr>
              <w:t>00920</w:t>
            </w:r>
          </w:p>
        </w:tc>
        <w:tc>
          <w:tcPr>
            <w:tcW w:w="851" w:type="dxa"/>
            <w:shd w:val="clear" w:color="auto" w:fill="FFFFFF"/>
          </w:tcPr>
          <w:p w:rsidR="008F32F8" w:rsidRPr="00D13A23" w:rsidRDefault="008F32F8" w:rsidP="00D13A23">
            <w:pPr>
              <w:pStyle w:val="Bodytext20"/>
              <w:shd w:val="clear" w:color="auto" w:fill="auto"/>
              <w:spacing w:line="244" w:lineRule="exact"/>
              <w:jc w:val="center"/>
              <w:rPr>
                <w:sz w:val="24"/>
                <w:szCs w:val="24"/>
                <w:lang w:val="ro-RO"/>
              </w:rPr>
            </w:pPr>
            <w:r w:rsidRPr="00D13A23">
              <w:rPr>
                <w:rStyle w:val="Bodytext211pt"/>
                <w:sz w:val="24"/>
                <w:szCs w:val="24"/>
                <w:lang w:val="ro-RO"/>
              </w:rPr>
              <w:t>15473</w:t>
            </w:r>
          </w:p>
        </w:tc>
        <w:tc>
          <w:tcPr>
            <w:tcW w:w="992" w:type="dxa"/>
            <w:shd w:val="clear" w:color="auto" w:fill="FFFFFF"/>
          </w:tcPr>
          <w:p w:rsidR="008F32F8" w:rsidRPr="00D13A23" w:rsidRDefault="008F32F8" w:rsidP="00D13A23">
            <w:pPr>
              <w:pStyle w:val="Bodytext20"/>
              <w:shd w:val="clear" w:color="auto" w:fill="auto"/>
              <w:spacing w:line="244" w:lineRule="exact"/>
              <w:jc w:val="center"/>
              <w:rPr>
                <w:sz w:val="24"/>
                <w:szCs w:val="24"/>
                <w:lang w:val="ro-RO"/>
              </w:rPr>
            </w:pPr>
            <w:r w:rsidRPr="00D13A23">
              <w:rPr>
                <w:rStyle w:val="Bodytext211pt"/>
                <w:sz w:val="24"/>
                <w:szCs w:val="24"/>
                <w:lang w:val="ro-RO"/>
              </w:rPr>
              <w:t>28.09.17</w:t>
            </w:r>
          </w:p>
        </w:tc>
        <w:tc>
          <w:tcPr>
            <w:tcW w:w="1776" w:type="dxa"/>
            <w:shd w:val="clear" w:color="auto" w:fill="FFFFFF"/>
          </w:tcPr>
          <w:p w:rsidR="008F32F8" w:rsidRPr="00D13A23" w:rsidRDefault="008F32F8" w:rsidP="00D13A23">
            <w:pPr>
              <w:pStyle w:val="Bodytext20"/>
              <w:shd w:val="clear" w:color="auto" w:fill="auto"/>
              <w:spacing w:line="244" w:lineRule="exact"/>
              <w:ind w:right="499"/>
              <w:jc w:val="center"/>
              <w:rPr>
                <w:sz w:val="24"/>
                <w:szCs w:val="24"/>
                <w:lang w:val="ro-RO"/>
              </w:rPr>
            </w:pPr>
            <w:r w:rsidRPr="00D13A23">
              <w:rPr>
                <w:rStyle w:val="Bodytext211pt"/>
                <w:sz w:val="24"/>
                <w:szCs w:val="24"/>
                <w:lang w:val="ro-RO"/>
              </w:rPr>
              <w:t>942,8</w:t>
            </w:r>
          </w:p>
        </w:tc>
      </w:tr>
      <w:tr w:rsidR="009333E2" w:rsidRPr="00A07ADA" w:rsidTr="00666325">
        <w:trPr>
          <w:trHeight w:hRule="exact" w:val="485"/>
        </w:trPr>
        <w:tc>
          <w:tcPr>
            <w:tcW w:w="704" w:type="dxa"/>
            <w:shd w:val="clear" w:color="auto" w:fill="EDEDED" w:themeFill="accent3" w:themeFillTint="33"/>
          </w:tcPr>
          <w:p w:rsidR="009333E2" w:rsidRPr="00D13A23" w:rsidRDefault="009333E2" w:rsidP="00406684">
            <w:pPr>
              <w:rPr>
                <w:rFonts w:ascii="Times New Roman" w:hAnsi="Times New Roman" w:cs="Times New Roman"/>
                <w:b/>
                <w:sz w:val="24"/>
                <w:szCs w:val="24"/>
              </w:rPr>
            </w:pPr>
          </w:p>
        </w:tc>
        <w:tc>
          <w:tcPr>
            <w:tcW w:w="8871" w:type="dxa"/>
            <w:gridSpan w:val="5"/>
            <w:shd w:val="clear" w:color="auto" w:fill="EDEDED" w:themeFill="accent3" w:themeFillTint="33"/>
            <w:vAlign w:val="center"/>
          </w:tcPr>
          <w:p w:rsidR="009333E2" w:rsidRPr="00D13A23" w:rsidRDefault="00666325" w:rsidP="00D13A23">
            <w:pPr>
              <w:spacing w:after="0"/>
              <w:ind w:right="499" w:firstLine="130"/>
              <w:jc w:val="center"/>
              <w:rPr>
                <w:rFonts w:ascii="Times New Roman" w:hAnsi="Times New Roman" w:cs="Times New Roman"/>
                <w:b/>
                <w:i/>
                <w:sz w:val="24"/>
                <w:szCs w:val="24"/>
              </w:rPr>
            </w:pPr>
            <w:r w:rsidRPr="00D13A23">
              <w:rPr>
                <w:rFonts w:ascii="Times New Roman" w:hAnsi="Times New Roman" w:cs="Times New Roman"/>
                <w:b/>
                <w:i/>
                <w:sz w:val="28"/>
                <w:szCs w:val="24"/>
              </w:rPr>
              <w:t>Ministerul Mediului</w:t>
            </w:r>
          </w:p>
        </w:tc>
      </w:tr>
      <w:tr w:rsidR="008F32F8" w:rsidRPr="00A07ADA" w:rsidTr="00406684">
        <w:trPr>
          <w:trHeight w:hRule="exact" w:val="239"/>
        </w:trPr>
        <w:tc>
          <w:tcPr>
            <w:tcW w:w="704" w:type="dxa"/>
            <w:shd w:val="clear" w:color="auto" w:fill="FFFFFF"/>
            <w:vAlign w:val="center"/>
          </w:tcPr>
          <w:p w:rsidR="008F32F8" w:rsidRPr="00D13A23" w:rsidRDefault="008F32F8" w:rsidP="00406684">
            <w:pPr>
              <w:pStyle w:val="Bodytext20"/>
              <w:shd w:val="clear" w:color="auto" w:fill="auto"/>
              <w:spacing w:line="244" w:lineRule="exact"/>
              <w:ind w:left="140"/>
              <w:rPr>
                <w:b/>
                <w:sz w:val="24"/>
                <w:szCs w:val="24"/>
                <w:lang w:val="ro-RO"/>
              </w:rPr>
            </w:pPr>
            <w:r w:rsidRPr="00D13A23">
              <w:rPr>
                <w:rStyle w:val="Bodytext211pt"/>
                <w:b/>
                <w:sz w:val="24"/>
                <w:szCs w:val="24"/>
                <w:lang w:val="ro-RO"/>
              </w:rPr>
              <w:t>8.</w:t>
            </w:r>
          </w:p>
        </w:tc>
        <w:tc>
          <w:tcPr>
            <w:tcW w:w="4394" w:type="dxa"/>
            <w:shd w:val="clear" w:color="auto" w:fill="FFFFFF"/>
          </w:tcPr>
          <w:p w:rsidR="008F32F8" w:rsidRPr="00D13A23" w:rsidRDefault="008F32F8" w:rsidP="00406684">
            <w:pPr>
              <w:pStyle w:val="Bodytext20"/>
              <w:shd w:val="clear" w:color="auto" w:fill="auto"/>
              <w:spacing w:line="244" w:lineRule="exact"/>
              <w:jc w:val="both"/>
              <w:rPr>
                <w:sz w:val="24"/>
                <w:szCs w:val="24"/>
                <w:lang w:val="ro-RO"/>
              </w:rPr>
            </w:pPr>
            <w:r w:rsidRPr="00D13A23">
              <w:rPr>
                <w:rStyle w:val="Bodytext211pt"/>
                <w:sz w:val="24"/>
                <w:szCs w:val="24"/>
                <w:lang w:val="ro-RO"/>
              </w:rPr>
              <w:t>Inspectoratul Ecologic de Stat</w:t>
            </w:r>
          </w:p>
        </w:tc>
        <w:tc>
          <w:tcPr>
            <w:tcW w:w="858" w:type="dxa"/>
            <w:shd w:val="clear" w:color="auto" w:fill="FFFFFF"/>
          </w:tcPr>
          <w:p w:rsidR="008F32F8" w:rsidRPr="00D13A23" w:rsidRDefault="008F32F8" w:rsidP="00D13A23">
            <w:pPr>
              <w:pStyle w:val="Bodytext20"/>
              <w:shd w:val="clear" w:color="auto" w:fill="auto"/>
              <w:spacing w:line="244" w:lineRule="exact"/>
              <w:jc w:val="center"/>
              <w:rPr>
                <w:sz w:val="24"/>
                <w:szCs w:val="24"/>
                <w:lang w:val="ro-RO"/>
              </w:rPr>
            </w:pPr>
            <w:r w:rsidRPr="00D13A23">
              <w:rPr>
                <w:rStyle w:val="Bodytext211pt"/>
                <w:sz w:val="24"/>
                <w:szCs w:val="24"/>
                <w:lang w:val="ro-RO"/>
              </w:rPr>
              <w:t>01242</w:t>
            </w:r>
          </w:p>
        </w:tc>
        <w:tc>
          <w:tcPr>
            <w:tcW w:w="851" w:type="dxa"/>
            <w:shd w:val="clear" w:color="auto" w:fill="FFFFFF"/>
          </w:tcPr>
          <w:p w:rsidR="008F32F8" w:rsidRPr="00D13A23" w:rsidRDefault="008F32F8" w:rsidP="00D13A23">
            <w:pPr>
              <w:pStyle w:val="Bodytext20"/>
              <w:shd w:val="clear" w:color="auto" w:fill="auto"/>
              <w:spacing w:line="244" w:lineRule="exact"/>
              <w:jc w:val="center"/>
              <w:rPr>
                <w:sz w:val="24"/>
                <w:szCs w:val="24"/>
                <w:lang w:val="ro-RO"/>
              </w:rPr>
            </w:pPr>
            <w:r w:rsidRPr="00D13A23">
              <w:rPr>
                <w:rStyle w:val="Bodytext211pt"/>
                <w:sz w:val="24"/>
                <w:szCs w:val="24"/>
                <w:lang w:val="ro-RO"/>
              </w:rPr>
              <w:t>15448</w:t>
            </w:r>
          </w:p>
        </w:tc>
        <w:tc>
          <w:tcPr>
            <w:tcW w:w="992" w:type="dxa"/>
            <w:shd w:val="clear" w:color="auto" w:fill="FFFFFF"/>
          </w:tcPr>
          <w:p w:rsidR="008F32F8" w:rsidRPr="00D13A23" w:rsidRDefault="008F32F8" w:rsidP="00D13A23">
            <w:pPr>
              <w:pStyle w:val="Bodytext20"/>
              <w:shd w:val="clear" w:color="auto" w:fill="auto"/>
              <w:spacing w:line="244" w:lineRule="exact"/>
              <w:jc w:val="center"/>
              <w:rPr>
                <w:sz w:val="24"/>
                <w:szCs w:val="24"/>
                <w:lang w:val="ro-RO"/>
              </w:rPr>
            </w:pPr>
            <w:r w:rsidRPr="00D13A23">
              <w:rPr>
                <w:rStyle w:val="Bodytext211pt"/>
                <w:sz w:val="24"/>
                <w:szCs w:val="24"/>
                <w:lang w:val="ro-RO"/>
              </w:rPr>
              <w:t>19.09.17</w:t>
            </w:r>
          </w:p>
        </w:tc>
        <w:tc>
          <w:tcPr>
            <w:tcW w:w="1776" w:type="dxa"/>
            <w:shd w:val="clear" w:color="auto" w:fill="FFFFFF"/>
          </w:tcPr>
          <w:p w:rsidR="008F32F8" w:rsidRPr="00D13A23" w:rsidRDefault="008F32F8" w:rsidP="00D13A23">
            <w:pPr>
              <w:pStyle w:val="Bodytext20"/>
              <w:shd w:val="clear" w:color="auto" w:fill="auto"/>
              <w:spacing w:line="244" w:lineRule="exact"/>
              <w:ind w:right="499"/>
              <w:jc w:val="center"/>
              <w:rPr>
                <w:sz w:val="24"/>
                <w:szCs w:val="24"/>
                <w:lang w:val="ro-RO"/>
              </w:rPr>
            </w:pPr>
            <w:r w:rsidRPr="00D13A23">
              <w:rPr>
                <w:rStyle w:val="Bodytext211pt"/>
                <w:sz w:val="24"/>
                <w:szCs w:val="24"/>
                <w:lang w:val="ro-RO"/>
              </w:rPr>
              <w:t>194,1</w:t>
            </w:r>
          </w:p>
        </w:tc>
      </w:tr>
      <w:tr w:rsidR="008F32F8" w:rsidRPr="00A07ADA" w:rsidTr="00406684">
        <w:trPr>
          <w:trHeight w:hRule="exact" w:val="285"/>
        </w:trPr>
        <w:tc>
          <w:tcPr>
            <w:tcW w:w="704" w:type="dxa"/>
            <w:shd w:val="clear" w:color="auto" w:fill="FFFFFF"/>
            <w:vAlign w:val="bottom"/>
          </w:tcPr>
          <w:p w:rsidR="008F32F8" w:rsidRPr="00D13A23" w:rsidRDefault="008F32F8" w:rsidP="00406684">
            <w:pPr>
              <w:pStyle w:val="Bodytext20"/>
              <w:shd w:val="clear" w:color="auto" w:fill="auto"/>
              <w:spacing w:line="244" w:lineRule="exact"/>
              <w:ind w:left="140"/>
              <w:rPr>
                <w:b/>
                <w:sz w:val="24"/>
                <w:szCs w:val="24"/>
                <w:lang w:val="ro-RO"/>
              </w:rPr>
            </w:pPr>
            <w:r w:rsidRPr="00D13A23">
              <w:rPr>
                <w:rStyle w:val="Bodytext211pt"/>
                <w:b/>
                <w:sz w:val="24"/>
                <w:szCs w:val="24"/>
                <w:lang w:val="ro-RO"/>
              </w:rPr>
              <w:t>9.</w:t>
            </w:r>
          </w:p>
        </w:tc>
        <w:tc>
          <w:tcPr>
            <w:tcW w:w="4394" w:type="dxa"/>
            <w:shd w:val="clear" w:color="auto" w:fill="FFFFFF"/>
            <w:vAlign w:val="bottom"/>
          </w:tcPr>
          <w:p w:rsidR="008F32F8" w:rsidRPr="00D13A23" w:rsidRDefault="008F32F8" w:rsidP="00406684">
            <w:pPr>
              <w:pStyle w:val="Bodytext20"/>
              <w:shd w:val="clear" w:color="auto" w:fill="auto"/>
              <w:spacing w:line="244" w:lineRule="exact"/>
              <w:jc w:val="both"/>
              <w:rPr>
                <w:sz w:val="24"/>
                <w:szCs w:val="24"/>
                <w:lang w:val="ro-RO"/>
              </w:rPr>
            </w:pPr>
            <w:r w:rsidRPr="00D13A23">
              <w:rPr>
                <w:rStyle w:val="Bodytext211pt"/>
                <w:sz w:val="24"/>
                <w:szCs w:val="24"/>
                <w:lang w:val="ro-RO"/>
              </w:rPr>
              <w:t>Serviciul Hidrometeorologic de Stat</w:t>
            </w:r>
          </w:p>
        </w:tc>
        <w:tc>
          <w:tcPr>
            <w:tcW w:w="858" w:type="dxa"/>
            <w:shd w:val="clear" w:color="auto" w:fill="FFFFFF"/>
          </w:tcPr>
          <w:p w:rsidR="008F32F8" w:rsidRPr="00D13A23" w:rsidRDefault="008F32F8" w:rsidP="00D13A23">
            <w:pPr>
              <w:pStyle w:val="Bodytext20"/>
              <w:shd w:val="clear" w:color="auto" w:fill="auto"/>
              <w:spacing w:line="244" w:lineRule="exact"/>
              <w:jc w:val="center"/>
              <w:rPr>
                <w:sz w:val="24"/>
                <w:szCs w:val="24"/>
                <w:lang w:val="ro-RO"/>
              </w:rPr>
            </w:pPr>
            <w:r w:rsidRPr="00D13A23">
              <w:rPr>
                <w:rStyle w:val="Bodytext211pt"/>
                <w:sz w:val="24"/>
                <w:szCs w:val="24"/>
                <w:lang w:val="ro-RO"/>
              </w:rPr>
              <w:t>01240</w:t>
            </w:r>
          </w:p>
        </w:tc>
        <w:tc>
          <w:tcPr>
            <w:tcW w:w="851" w:type="dxa"/>
            <w:shd w:val="clear" w:color="auto" w:fill="FFFFFF"/>
          </w:tcPr>
          <w:p w:rsidR="008F32F8" w:rsidRPr="00D13A23" w:rsidRDefault="008F32F8" w:rsidP="00D13A23">
            <w:pPr>
              <w:pStyle w:val="Bodytext20"/>
              <w:shd w:val="clear" w:color="auto" w:fill="auto"/>
              <w:spacing w:line="244" w:lineRule="exact"/>
              <w:jc w:val="center"/>
              <w:rPr>
                <w:sz w:val="24"/>
                <w:szCs w:val="24"/>
                <w:lang w:val="ro-RO"/>
              </w:rPr>
            </w:pPr>
            <w:r w:rsidRPr="00D13A23">
              <w:rPr>
                <w:rStyle w:val="Bodytext211pt"/>
                <w:sz w:val="24"/>
                <w:szCs w:val="24"/>
                <w:lang w:val="ro-RO"/>
              </w:rPr>
              <w:t>15446</w:t>
            </w:r>
          </w:p>
        </w:tc>
        <w:tc>
          <w:tcPr>
            <w:tcW w:w="992" w:type="dxa"/>
            <w:shd w:val="clear" w:color="auto" w:fill="FFFFFF"/>
          </w:tcPr>
          <w:p w:rsidR="008F32F8" w:rsidRPr="00D13A23" w:rsidRDefault="008F32F8" w:rsidP="00D13A23">
            <w:pPr>
              <w:pStyle w:val="Bodytext20"/>
              <w:shd w:val="clear" w:color="auto" w:fill="auto"/>
              <w:spacing w:line="244" w:lineRule="exact"/>
              <w:jc w:val="center"/>
              <w:rPr>
                <w:sz w:val="24"/>
                <w:szCs w:val="24"/>
                <w:lang w:val="ro-RO"/>
              </w:rPr>
            </w:pPr>
            <w:r w:rsidRPr="00D13A23">
              <w:rPr>
                <w:rStyle w:val="Bodytext211pt"/>
                <w:sz w:val="24"/>
                <w:szCs w:val="24"/>
                <w:lang w:val="ro-RO"/>
              </w:rPr>
              <w:t>28.09.17</w:t>
            </w:r>
          </w:p>
        </w:tc>
        <w:tc>
          <w:tcPr>
            <w:tcW w:w="1776" w:type="dxa"/>
            <w:shd w:val="clear" w:color="auto" w:fill="FFFFFF"/>
            <w:vAlign w:val="center"/>
          </w:tcPr>
          <w:p w:rsidR="008F32F8" w:rsidRPr="00D13A23" w:rsidRDefault="008F32F8" w:rsidP="00D13A23">
            <w:pPr>
              <w:pStyle w:val="Bodytext20"/>
              <w:shd w:val="clear" w:color="auto" w:fill="auto"/>
              <w:spacing w:line="244" w:lineRule="exact"/>
              <w:ind w:right="499"/>
              <w:jc w:val="center"/>
              <w:rPr>
                <w:sz w:val="24"/>
                <w:szCs w:val="24"/>
                <w:lang w:val="ro-RO"/>
              </w:rPr>
            </w:pPr>
            <w:r w:rsidRPr="00D13A23">
              <w:rPr>
                <w:rStyle w:val="Bodytext211pt"/>
                <w:sz w:val="24"/>
                <w:szCs w:val="24"/>
                <w:lang w:val="ro-RO"/>
              </w:rPr>
              <w:t>21,1</w:t>
            </w:r>
          </w:p>
        </w:tc>
      </w:tr>
      <w:tr w:rsidR="008F32F8" w:rsidRPr="00A07ADA" w:rsidTr="00406684">
        <w:trPr>
          <w:trHeight w:hRule="exact" w:val="275"/>
        </w:trPr>
        <w:tc>
          <w:tcPr>
            <w:tcW w:w="704" w:type="dxa"/>
            <w:shd w:val="clear" w:color="auto" w:fill="FFFFFF"/>
            <w:vAlign w:val="center"/>
          </w:tcPr>
          <w:p w:rsidR="008F32F8" w:rsidRPr="00D13A23" w:rsidRDefault="008F32F8" w:rsidP="00406684">
            <w:pPr>
              <w:pStyle w:val="Bodytext20"/>
              <w:shd w:val="clear" w:color="auto" w:fill="auto"/>
              <w:spacing w:line="244" w:lineRule="exact"/>
              <w:ind w:left="140"/>
              <w:rPr>
                <w:b/>
                <w:sz w:val="24"/>
                <w:szCs w:val="24"/>
                <w:lang w:val="ro-RO"/>
              </w:rPr>
            </w:pPr>
            <w:r w:rsidRPr="00D13A23">
              <w:rPr>
                <w:rStyle w:val="Bodytext211pt"/>
                <w:b/>
                <w:sz w:val="24"/>
                <w:szCs w:val="24"/>
                <w:lang w:val="ro-RO"/>
              </w:rPr>
              <w:t>10.</w:t>
            </w:r>
          </w:p>
        </w:tc>
        <w:tc>
          <w:tcPr>
            <w:tcW w:w="4394" w:type="dxa"/>
            <w:shd w:val="clear" w:color="auto" w:fill="FFFFFF"/>
          </w:tcPr>
          <w:p w:rsidR="008F32F8" w:rsidRPr="00D13A23" w:rsidRDefault="008F32F8" w:rsidP="00406684">
            <w:pPr>
              <w:pStyle w:val="Bodytext20"/>
              <w:shd w:val="clear" w:color="auto" w:fill="auto"/>
              <w:spacing w:line="244" w:lineRule="exact"/>
              <w:jc w:val="both"/>
              <w:rPr>
                <w:sz w:val="24"/>
                <w:szCs w:val="24"/>
                <w:lang w:val="ro-RO"/>
              </w:rPr>
            </w:pPr>
            <w:r w:rsidRPr="00D13A23">
              <w:rPr>
                <w:rStyle w:val="Bodytext211pt"/>
                <w:sz w:val="24"/>
                <w:szCs w:val="24"/>
                <w:lang w:val="ro-RO"/>
              </w:rPr>
              <w:t>Serviciul Piscicol de Stat</w:t>
            </w:r>
          </w:p>
        </w:tc>
        <w:tc>
          <w:tcPr>
            <w:tcW w:w="858" w:type="dxa"/>
            <w:shd w:val="clear" w:color="auto" w:fill="FFFFFF"/>
          </w:tcPr>
          <w:p w:rsidR="008F32F8" w:rsidRPr="00D13A23" w:rsidRDefault="008F32F8" w:rsidP="00D13A23">
            <w:pPr>
              <w:pStyle w:val="Bodytext20"/>
              <w:shd w:val="clear" w:color="auto" w:fill="auto"/>
              <w:spacing w:line="244" w:lineRule="exact"/>
              <w:jc w:val="center"/>
              <w:rPr>
                <w:sz w:val="24"/>
                <w:szCs w:val="24"/>
                <w:lang w:val="ro-RO"/>
              </w:rPr>
            </w:pPr>
            <w:r w:rsidRPr="00D13A23">
              <w:rPr>
                <w:rStyle w:val="Bodytext211pt"/>
                <w:sz w:val="24"/>
                <w:szCs w:val="24"/>
                <w:lang w:val="ro-RO"/>
              </w:rPr>
              <w:t>01243</w:t>
            </w:r>
          </w:p>
        </w:tc>
        <w:tc>
          <w:tcPr>
            <w:tcW w:w="851" w:type="dxa"/>
            <w:shd w:val="clear" w:color="auto" w:fill="FFFFFF"/>
          </w:tcPr>
          <w:p w:rsidR="008F32F8" w:rsidRPr="00D13A23" w:rsidRDefault="008F32F8" w:rsidP="00D13A23">
            <w:pPr>
              <w:pStyle w:val="Bodytext20"/>
              <w:shd w:val="clear" w:color="auto" w:fill="auto"/>
              <w:spacing w:line="244" w:lineRule="exact"/>
              <w:jc w:val="center"/>
              <w:rPr>
                <w:sz w:val="24"/>
                <w:szCs w:val="24"/>
                <w:lang w:val="ro-RO"/>
              </w:rPr>
            </w:pPr>
            <w:r w:rsidRPr="00D13A23">
              <w:rPr>
                <w:rStyle w:val="Bodytext211pt"/>
                <w:sz w:val="24"/>
                <w:szCs w:val="24"/>
                <w:lang w:val="ro-RO"/>
              </w:rPr>
              <w:t>15449</w:t>
            </w:r>
          </w:p>
        </w:tc>
        <w:tc>
          <w:tcPr>
            <w:tcW w:w="992" w:type="dxa"/>
            <w:shd w:val="clear" w:color="auto" w:fill="FFFFFF"/>
          </w:tcPr>
          <w:p w:rsidR="008F32F8" w:rsidRPr="00D13A23" w:rsidRDefault="008F32F8" w:rsidP="00D13A23">
            <w:pPr>
              <w:pStyle w:val="Bodytext20"/>
              <w:shd w:val="clear" w:color="auto" w:fill="auto"/>
              <w:spacing w:line="244" w:lineRule="exact"/>
              <w:jc w:val="center"/>
              <w:rPr>
                <w:sz w:val="24"/>
                <w:szCs w:val="24"/>
                <w:lang w:val="ro-RO"/>
              </w:rPr>
            </w:pPr>
            <w:r w:rsidRPr="00D13A23">
              <w:rPr>
                <w:rStyle w:val="Bodytext211pt"/>
                <w:sz w:val="24"/>
                <w:szCs w:val="24"/>
                <w:lang w:val="ro-RO"/>
              </w:rPr>
              <w:t>21.09.17</w:t>
            </w:r>
          </w:p>
        </w:tc>
        <w:tc>
          <w:tcPr>
            <w:tcW w:w="1776" w:type="dxa"/>
            <w:shd w:val="clear" w:color="auto" w:fill="FFFFFF"/>
          </w:tcPr>
          <w:p w:rsidR="008F32F8" w:rsidRPr="00D13A23" w:rsidRDefault="008F32F8" w:rsidP="00D13A23">
            <w:pPr>
              <w:pStyle w:val="Bodytext20"/>
              <w:shd w:val="clear" w:color="auto" w:fill="auto"/>
              <w:spacing w:line="244" w:lineRule="exact"/>
              <w:ind w:right="499"/>
              <w:jc w:val="center"/>
              <w:rPr>
                <w:sz w:val="24"/>
                <w:szCs w:val="24"/>
                <w:lang w:val="ro-RO"/>
              </w:rPr>
            </w:pPr>
            <w:r w:rsidRPr="00D13A23">
              <w:rPr>
                <w:rStyle w:val="Bodytext211pt"/>
                <w:sz w:val="24"/>
                <w:szCs w:val="24"/>
                <w:lang w:val="ro-RO"/>
              </w:rPr>
              <w:t>287,7</w:t>
            </w:r>
          </w:p>
        </w:tc>
      </w:tr>
      <w:tr w:rsidR="009333E2" w:rsidRPr="00A07ADA" w:rsidTr="00BC5413">
        <w:trPr>
          <w:trHeight w:hRule="exact" w:val="449"/>
        </w:trPr>
        <w:tc>
          <w:tcPr>
            <w:tcW w:w="704" w:type="dxa"/>
            <w:shd w:val="clear" w:color="auto" w:fill="EDEDED" w:themeFill="accent3" w:themeFillTint="33"/>
          </w:tcPr>
          <w:p w:rsidR="009333E2" w:rsidRPr="00D13A23" w:rsidRDefault="009333E2" w:rsidP="00406684">
            <w:pPr>
              <w:rPr>
                <w:rFonts w:ascii="Times New Roman" w:hAnsi="Times New Roman" w:cs="Times New Roman"/>
                <w:b/>
                <w:sz w:val="24"/>
                <w:szCs w:val="24"/>
              </w:rPr>
            </w:pPr>
          </w:p>
        </w:tc>
        <w:tc>
          <w:tcPr>
            <w:tcW w:w="8871" w:type="dxa"/>
            <w:gridSpan w:val="5"/>
            <w:shd w:val="clear" w:color="auto" w:fill="EDEDED" w:themeFill="accent3" w:themeFillTint="33"/>
            <w:vAlign w:val="center"/>
          </w:tcPr>
          <w:p w:rsidR="009333E2" w:rsidRPr="00D13A23" w:rsidRDefault="00666325" w:rsidP="00D13A23">
            <w:pPr>
              <w:spacing w:after="0"/>
              <w:ind w:right="499" w:firstLine="130"/>
              <w:jc w:val="center"/>
              <w:rPr>
                <w:rFonts w:ascii="Times New Roman" w:hAnsi="Times New Roman" w:cs="Times New Roman"/>
                <w:b/>
                <w:i/>
                <w:sz w:val="24"/>
                <w:szCs w:val="24"/>
              </w:rPr>
            </w:pPr>
            <w:r w:rsidRPr="00D13A23">
              <w:rPr>
                <w:rFonts w:ascii="Times New Roman" w:hAnsi="Times New Roman" w:cs="Times New Roman"/>
                <w:b/>
                <w:i/>
                <w:sz w:val="28"/>
                <w:szCs w:val="24"/>
              </w:rPr>
              <w:t>Ministerul Economiei</w:t>
            </w:r>
          </w:p>
        </w:tc>
      </w:tr>
      <w:tr w:rsidR="008F32F8" w:rsidRPr="00A07ADA" w:rsidTr="00406684">
        <w:trPr>
          <w:trHeight w:hRule="exact" w:val="315"/>
        </w:trPr>
        <w:tc>
          <w:tcPr>
            <w:tcW w:w="704" w:type="dxa"/>
            <w:shd w:val="clear" w:color="auto" w:fill="FFFFFF"/>
            <w:vAlign w:val="center"/>
          </w:tcPr>
          <w:p w:rsidR="008F32F8" w:rsidRPr="00D13A23" w:rsidRDefault="008F32F8" w:rsidP="00406684">
            <w:pPr>
              <w:pStyle w:val="Bodytext20"/>
              <w:shd w:val="clear" w:color="auto" w:fill="auto"/>
              <w:spacing w:line="244" w:lineRule="exact"/>
              <w:ind w:left="140"/>
              <w:rPr>
                <w:b/>
                <w:sz w:val="24"/>
                <w:szCs w:val="24"/>
                <w:lang w:val="ro-RO"/>
              </w:rPr>
            </w:pPr>
            <w:r w:rsidRPr="00D13A23">
              <w:rPr>
                <w:rStyle w:val="Bodytext211pt"/>
                <w:b/>
                <w:sz w:val="24"/>
                <w:szCs w:val="24"/>
                <w:lang w:val="ro-RO"/>
              </w:rPr>
              <w:t>11.</w:t>
            </w:r>
          </w:p>
        </w:tc>
        <w:tc>
          <w:tcPr>
            <w:tcW w:w="4394" w:type="dxa"/>
            <w:shd w:val="clear" w:color="auto" w:fill="FFFFFF"/>
          </w:tcPr>
          <w:p w:rsidR="008F32F8" w:rsidRPr="00D13A23" w:rsidRDefault="008F32F8" w:rsidP="00406684">
            <w:pPr>
              <w:pStyle w:val="Bodytext20"/>
              <w:shd w:val="clear" w:color="auto" w:fill="auto"/>
              <w:spacing w:line="244" w:lineRule="exact"/>
              <w:jc w:val="both"/>
              <w:rPr>
                <w:sz w:val="24"/>
                <w:szCs w:val="24"/>
                <w:lang w:val="ro-RO"/>
              </w:rPr>
            </w:pPr>
            <w:r w:rsidRPr="00D13A23">
              <w:rPr>
                <w:rStyle w:val="Bodytext211pt"/>
                <w:sz w:val="24"/>
                <w:szCs w:val="24"/>
                <w:lang w:val="ro-RO"/>
              </w:rPr>
              <w:t>Agenția Proprietății Publice</w:t>
            </w:r>
          </w:p>
        </w:tc>
        <w:tc>
          <w:tcPr>
            <w:tcW w:w="858" w:type="dxa"/>
            <w:shd w:val="clear" w:color="auto" w:fill="FFFFFF"/>
          </w:tcPr>
          <w:p w:rsidR="008F32F8" w:rsidRPr="00D13A23" w:rsidRDefault="008F32F8" w:rsidP="00D13A23">
            <w:pPr>
              <w:pStyle w:val="Bodytext20"/>
              <w:shd w:val="clear" w:color="auto" w:fill="auto"/>
              <w:spacing w:line="244" w:lineRule="exact"/>
              <w:jc w:val="center"/>
              <w:rPr>
                <w:sz w:val="24"/>
                <w:szCs w:val="24"/>
                <w:lang w:val="ro-RO"/>
              </w:rPr>
            </w:pPr>
            <w:r w:rsidRPr="00D13A23">
              <w:rPr>
                <w:rStyle w:val="Bodytext211pt"/>
                <w:sz w:val="24"/>
                <w:szCs w:val="24"/>
                <w:lang w:val="ro-RO"/>
              </w:rPr>
              <w:t>00512</w:t>
            </w:r>
          </w:p>
        </w:tc>
        <w:tc>
          <w:tcPr>
            <w:tcW w:w="851" w:type="dxa"/>
            <w:shd w:val="clear" w:color="auto" w:fill="FFFFFF"/>
          </w:tcPr>
          <w:p w:rsidR="008F32F8" w:rsidRPr="00D13A23" w:rsidRDefault="008F32F8" w:rsidP="00D13A23">
            <w:pPr>
              <w:pStyle w:val="Bodytext20"/>
              <w:shd w:val="clear" w:color="auto" w:fill="auto"/>
              <w:spacing w:line="244" w:lineRule="exact"/>
              <w:jc w:val="center"/>
              <w:rPr>
                <w:sz w:val="24"/>
                <w:szCs w:val="24"/>
                <w:lang w:val="ro-RO"/>
              </w:rPr>
            </w:pPr>
            <w:r w:rsidRPr="00D13A23">
              <w:rPr>
                <w:rStyle w:val="Bodytext211pt"/>
                <w:sz w:val="24"/>
                <w:szCs w:val="24"/>
                <w:lang w:val="ro-RO"/>
              </w:rPr>
              <w:t>15299</w:t>
            </w:r>
          </w:p>
        </w:tc>
        <w:tc>
          <w:tcPr>
            <w:tcW w:w="992" w:type="dxa"/>
            <w:shd w:val="clear" w:color="auto" w:fill="FFFFFF"/>
          </w:tcPr>
          <w:p w:rsidR="008F32F8" w:rsidRPr="00D13A23" w:rsidRDefault="008F32F8" w:rsidP="00D13A23">
            <w:pPr>
              <w:pStyle w:val="Bodytext20"/>
              <w:shd w:val="clear" w:color="auto" w:fill="auto"/>
              <w:spacing w:line="244" w:lineRule="exact"/>
              <w:jc w:val="center"/>
              <w:rPr>
                <w:sz w:val="24"/>
                <w:szCs w:val="24"/>
                <w:lang w:val="ro-RO"/>
              </w:rPr>
            </w:pPr>
            <w:r w:rsidRPr="00D13A23">
              <w:rPr>
                <w:rStyle w:val="Bodytext211pt"/>
                <w:sz w:val="24"/>
                <w:szCs w:val="24"/>
                <w:lang w:val="ro-RO"/>
              </w:rPr>
              <w:t>25.09.17</w:t>
            </w:r>
          </w:p>
        </w:tc>
        <w:tc>
          <w:tcPr>
            <w:tcW w:w="1776" w:type="dxa"/>
            <w:shd w:val="clear" w:color="auto" w:fill="FFFFFF"/>
            <w:vAlign w:val="center"/>
          </w:tcPr>
          <w:p w:rsidR="008F32F8" w:rsidRPr="00D13A23" w:rsidRDefault="008F32F8" w:rsidP="00D13A23">
            <w:pPr>
              <w:pStyle w:val="Bodytext20"/>
              <w:shd w:val="clear" w:color="auto" w:fill="auto"/>
              <w:spacing w:line="244" w:lineRule="exact"/>
              <w:ind w:right="499"/>
              <w:jc w:val="center"/>
              <w:rPr>
                <w:sz w:val="24"/>
                <w:szCs w:val="24"/>
                <w:lang w:val="ro-RO"/>
              </w:rPr>
            </w:pPr>
            <w:r w:rsidRPr="00D13A23">
              <w:rPr>
                <w:rStyle w:val="Bodytext211pt"/>
                <w:sz w:val="24"/>
                <w:szCs w:val="24"/>
                <w:lang w:val="ro-RO"/>
              </w:rPr>
              <w:t>21,2</w:t>
            </w:r>
          </w:p>
        </w:tc>
      </w:tr>
      <w:tr w:rsidR="009333E2" w:rsidRPr="00A07ADA" w:rsidTr="00BC5413">
        <w:trPr>
          <w:trHeight w:hRule="exact" w:val="446"/>
        </w:trPr>
        <w:tc>
          <w:tcPr>
            <w:tcW w:w="704" w:type="dxa"/>
            <w:shd w:val="clear" w:color="auto" w:fill="EDEDED" w:themeFill="accent3" w:themeFillTint="33"/>
          </w:tcPr>
          <w:p w:rsidR="009333E2" w:rsidRPr="00D13A23" w:rsidRDefault="009333E2" w:rsidP="00406684">
            <w:pPr>
              <w:rPr>
                <w:rFonts w:ascii="Times New Roman" w:hAnsi="Times New Roman" w:cs="Times New Roman"/>
                <w:b/>
                <w:sz w:val="24"/>
                <w:szCs w:val="24"/>
              </w:rPr>
            </w:pPr>
          </w:p>
        </w:tc>
        <w:tc>
          <w:tcPr>
            <w:tcW w:w="8871" w:type="dxa"/>
            <w:gridSpan w:val="5"/>
            <w:shd w:val="clear" w:color="auto" w:fill="EDEDED" w:themeFill="accent3" w:themeFillTint="33"/>
            <w:vAlign w:val="center"/>
          </w:tcPr>
          <w:p w:rsidR="009333E2" w:rsidRPr="00D13A23" w:rsidRDefault="00666325" w:rsidP="00D13A23">
            <w:pPr>
              <w:spacing w:after="0"/>
              <w:ind w:right="499"/>
              <w:jc w:val="center"/>
              <w:rPr>
                <w:rFonts w:ascii="Times New Roman" w:hAnsi="Times New Roman" w:cs="Times New Roman"/>
                <w:sz w:val="24"/>
                <w:szCs w:val="24"/>
              </w:rPr>
            </w:pPr>
            <w:r w:rsidRPr="00D13A23">
              <w:rPr>
                <w:rFonts w:ascii="Times New Roman" w:hAnsi="Times New Roman" w:cs="Times New Roman"/>
                <w:b/>
                <w:i/>
                <w:sz w:val="28"/>
                <w:szCs w:val="24"/>
              </w:rPr>
              <w:t>Ministerul Tineretului și Sportului</w:t>
            </w:r>
          </w:p>
        </w:tc>
      </w:tr>
      <w:tr w:rsidR="008F32F8" w:rsidRPr="00A07ADA" w:rsidTr="00FB5EDA">
        <w:trPr>
          <w:trHeight w:hRule="exact" w:val="438"/>
        </w:trPr>
        <w:tc>
          <w:tcPr>
            <w:tcW w:w="704" w:type="dxa"/>
            <w:shd w:val="clear" w:color="auto" w:fill="FFFFFF"/>
          </w:tcPr>
          <w:p w:rsidR="008F32F8" w:rsidRPr="00D13A23" w:rsidRDefault="008F32F8" w:rsidP="00406684">
            <w:pPr>
              <w:pStyle w:val="Bodytext20"/>
              <w:shd w:val="clear" w:color="auto" w:fill="auto"/>
              <w:spacing w:line="244" w:lineRule="exact"/>
              <w:ind w:left="140"/>
              <w:rPr>
                <w:b/>
                <w:sz w:val="24"/>
                <w:szCs w:val="24"/>
                <w:lang w:val="ro-RO"/>
              </w:rPr>
            </w:pPr>
            <w:r w:rsidRPr="00D13A23">
              <w:rPr>
                <w:rStyle w:val="Bodytext211pt"/>
                <w:b/>
                <w:sz w:val="24"/>
                <w:szCs w:val="24"/>
                <w:lang w:val="ro-RO"/>
              </w:rPr>
              <w:lastRenderedPageBreak/>
              <w:t>12.</w:t>
            </w:r>
          </w:p>
        </w:tc>
        <w:tc>
          <w:tcPr>
            <w:tcW w:w="4394" w:type="dxa"/>
            <w:shd w:val="clear" w:color="auto" w:fill="FFFFFF"/>
          </w:tcPr>
          <w:p w:rsidR="008F32F8" w:rsidRPr="00D13A23" w:rsidRDefault="008F32F8" w:rsidP="00FB5EDA">
            <w:pPr>
              <w:pStyle w:val="Bodytext20"/>
              <w:shd w:val="clear" w:color="auto" w:fill="auto"/>
              <w:spacing w:line="220" w:lineRule="exact"/>
              <w:rPr>
                <w:sz w:val="24"/>
                <w:szCs w:val="24"/>
                <w:lang w:val="ro-RO"/>
              </w:rPr>
            </w:pPr>
            <w:r w:rsidRPr="00D13A23">
              <w:rPr>
                <w:rStyle w:val="Bodytext211pt"/>
                <w:sz w:val="24"/>
                <w:szCs w:val="24"/>
                <w:lang w:val="ro-RO"/>
              </w:rPr>
              <w:t xml:space="preserve">Centrul Sportiv </w:t>
            </w:r>
            <w:r w:rsidR="002900BB" w:rsidRPr="00D13A23">
              <w:rPr>
                <w:rStyle w:val="Bodytext211pt"/>
                <w:sz w:val="24"/>
                <w:szCs w:val="24"/>
                <w:lang w:val="ro-RO"/>
              </w:rPr>
              <w:t>d</w:t>
            </w:r>
            <w:r w:rsidRPr="00D13A23">
              <w:rPr>
                <w:rStyle w:val="Bodytext211pt"/>
                <w:sz w:val="24"/>
                <w:szCs w:val="24"/>
                <w:lang w:val="ro-RO"/>
              </w:rPr>
              <w:t xml:space="preserve">e Pregătire </w:t>
            </w:r>
            <w:r w:rsidR="002900BB" w:rsidRPr="00D13A23">
              <w:rPr>
                <w:rStyle w:val="Bodytext211pt"/>
                <w:sz w:val="24"/>
                <w:szCs w:val="24"/>
                <w:lang w:val="ro-RO"/>
              </w:rPr>
              <w:t>a</w:t>
            </w:r>
            <w:r w:rsidRPr="00D13A23">
              <w:rPr>
                <w:rStyle w:val="Bodytext211pt"/>
                <w:sz w:val="24"/>
                <w:szCs w:val="24"/>
                <w:lang w:val="ro-RO"/>
              </w:rPr>
              <w:t xml:space="preserve"> Loturilor Naționale</w:t>
            </w:r>
          </w:p>
        </w:tc>
        <w:tc>
          <w:tcPr>
            <w:tcW w:w="858" w:type="dxa"/>
            <w:shd w:val="clear" w:color="auto" w:fill="FFFFFF"/>
          </w:tcPr>
          <w:p w:rsidR="008F32F8" w:rsidRPr="00D13A23" w:rsidRDefault="008F32F8" w:rsidP="00D13A23">
            <w:pPr>
              <w:pStyle w:val="Bodytext20"/>
              <w:shd w:val="clear" w:color="auto" w:fill="auto"/>
              <w:spacing w:line="244" w:lineRule="exact"/>
              <w:jc w:val="center"/>
              <w:rPr>
                <w:sz w:val="24"/>
                <w:szCs w:val="24"/>
                <w:lang w:val="ro-RO"/>
              </w:rPr>
            </w:pPr>
            <w:r w:rsidRPr="00D13A23">
              <w:rPr>
                <w:rStyle w:val="Bodytext211pt"/>
                <w:sz w:val="24"/>
                <w:szCs w:val="24"/>
                <w:lang w:val="ro-RO"/>
              </w:rPr>
              <w:t>01076</w:t>
            </w:r>
          </w:p>
        </w:tc>
        <w:tc>
          <w:tcPr>
            <w:tcW w:w="851" w:type="dxa"/>
            <w:shd w:val="clear" w:color="auto" w:fill="FFFFFF"/>
          </w:tcPr>
          <w:p w:rsidR="008F32F8" w:rsidRPr="00D13A23" w:rsidRDefault="008F32F8" w:rsidP="00D13A23">
            <w:pPr>
              <w:pStyle w:val="Bodytext20"/>
              <w:shd w:val="clear" w:color="auto" w:fill="auto"/>
              <w:spacing w:line="244" w:lineRule="exact"/>
              <w:jc w:val="center"/>
              <w:rPr>
                <w:sz w:val="24"/>
                <w:szCs w:val="24"/>
                <w:lang w:val="ro-RO"/>
              </w:rPr>
            </w:pPr>
            <w:r w:rsidRPr="00D13A23">
              <w:rPr>
                <w:rStyle w:val="Bodytext211pt"/>
                <w:sz w:val="24"/>
                <w:szCs w:val="24"/>
                <w:lang w:val="ro-RO"/>
              </w:rPr>
              <w:t>15410</w:t>
            </w:r>
          </w:p>
        </w:tc>
        <w:tc>
          <w:tcPr>
            <w:tcW w:w="992" w:type="dxa"/>
            <w:shd w:val="clear" w:color="auto" w:fill="FFFFFF"/>
          </w:tcPr>
          <w:p w:rsidR="008F32F8" w:rsidRPr="00D13A23" w:rsidRDefault="008F32F8" w:rsidP="00D13A23">
            <w:pPr>
              <w:pStyle w:val="Bodytext20"/>
              <w:shd w:val="clear" w:color="auto" w:fill="auto"/>
              <w:spacing w:line="244" w:lineRule="exact"/>
              <w:jc w:val="center"/>
              <w:rPr>
                <w:sz w:val="24"/>
                <w:szCs w:val="24"/>
                <w:lang w:val="ro-RO"/>
              </w:rPr>
            </w:pPr>
            <w:r w:rsidRPr="00D13A23">
              <w:rPr>
                <w:rStyle w:val="Bodytext211pt"/>
                <w:sz w:val="24"/>
                <w:szCs w:val="24"/>
                <w:lang w:val="ro-RO"/>
              </w:rPr>
              <w:t>31.10.17</w:t>
            </w:r>
          </w:p>
        </w:tc>
        <w:tc>
          <w:tcPr>
            <w:tcW w:w="1776" w:type="dxa"/>
            <w:shd w:val="clear" w:color="auto" w:fill="FFFFFF"/>
          </w:tcPr>
          <w:p w:rsidR="008F32F8" w:rsidRPr="00D13A23" w:rsidRDefault="008F32F8" w:rsidP="00D13A23">
            <w:pPr>
              <w:pStyle w:val="Bodytext20"/>
              <w:shd w:val="clear" w:color="auto" w:fill="auto"/>
              <w:spacing w:line="244" w:lineRule="exact"/>
              <w:ind w:right="499"/>
              <w:jc w:val="center"/>
              <w:rPr>
                <w:sz w:val="24"/>
                <w:szCs w:val="24"/>
                <w:lang w:val="ro-RO"/>
              </w:rPr>
            </w:pPr>
            <w:r w:rsidRPr="00D13A23">
              <w:rPr>
                <w:rStyle w:val="Bodytext211pt"/>
                <w:sz w:val="24"/>
                <w:szCs w:val="24"/>
                <w:lang w:val="ro-RO"/>
              </w:rPr>
              <w:t>3,6</w:t>
            </w:r>
          </w:p>
        </w:tc>
      </w:tr>
      <w:tr w:rsidR="009333E2" w:rsidRPr="00A07ADA" w:rsidTr="00BC5413">
        <w:trPr>
          <w:trHeight w:hRule="exact" w:val="477"/>
        </w:trPr>
        <w:tc>
          <w:tcPr>
            <w:tcW w:w="704" w:type="dxa"/>
            <w:shd w:val="clear" w:color="auto" w:fill="EDEDED" w:themeFill="accent3" w:themeFillTint="33"/>
          </w:tcPr>
          <w:p w:rsidR="009333E2" w:rsidRPr="00D13A23" w:rsidRDefault="009333E2" w:rsidP="00406684">
            <w:pPr>
              <w:rPr>
                <w:rFonts w:ascii="Times New Roman" w:hAnsi="Times New Roman" w:cs="Times New Roman"/>
                <w:b/>
                <w:sz w:val="24"/>
                <w:szCs w:val="24"/>
              </w:rPr>
            </w:pPr>
          </w:p>
        </w:tc>
        <w:tc>
          <w:tcPr>
            <w:tcW w:w="8871" w:type="dxa"/>
            <w:gridSpan w:val="5"/>
            <w:shd w:val="clear" w:color="auto" w:fill="EDEDED" w:themeFill="accent3" w:themeFillTint="33"/>
            <w:vAlign w:val="center"/>
          </w:tcPr>
          <w:p w:rsidR="009333E2" w:rsidRPr="00D13A23" w:rsidRDefault="00666325" w:rsidP="00D13A23">
            <w:pPr>
              <w:spacing w:after="0"/>
              <w:ind w:right="499"/>
              <w:jc w:val="center"/>
              <w:rPr>
                <w:rFonts w:ascii="Times New Roman" w:hAnsi="Times New Roman" w:cs="Times New Roman"/>
                <w:sz w:val="24"/>
                <w:szCs w:val="24"/>
              </w:rPr>
            </w:pPr>
            <w:r w:rsidRPr="00D13A23">
              <w:rPr>
                <w:rFonts w:ascii="Times New Roman" w:hAnsi="Times New Roman" w:cs="Times New Roman"/>
                <w:b/>
                <w:i/>
                <w:sz w:val="28"/>
                <w:szCs w:val="24"/>
              </w:rPr>
              <w:t>Ministerul Educației</w:t>
            </w:r>
          </w:p>
        </w:tc>
      </w:tr>
      <w:tr w:rsidR="008F32F8" w:rsidRPr="00A07ADA" w:rsidTr="00406684">
        <w:trPr>
          <w:trHeight w:hRule="exact" w:val="331"/>
        </w:trPr>
        <w:tc>
          <w:tcPr>
            <w:tcW w:w="704" w:type="dxa"/>
            <w:shd w:val="clear" w:color="auto" w:fill="FFFFFF"/>
          </w:tcPr>
          <w:p w:rsidR="008F32F8" w:rsidRPr="00D13A23" w:rsidRDefault="008F32F8" w:rsidP="00406684">
            <w:pPr>
              <w:pStyle w:val="Bodytext20"/>
              <w:shd w:val="clear" w:color="auto" w:fill="auto"/>
              <w:spacing w:line="244" w:lineRule="exact"/>
              <w:ind w:left="140"/>
              <w:rPr>
                <w:b/>
                <w:sz w:val="24"/>
                <w:szCs w:val="24"/>
                <w:lang w:val="ro-RO"/>
              </w:rPr>
            </w:pPr>
            <w:r w:rsidRPr="00D13A23">
              <w:rPr>
                <w:rStyle w:val="Bodytext211pt"/>
                <w:b/>
                <w:sz w:val="24"/>
                <w:szCs w:val="24"/>
                <w:lang w:val="ro-RO"/>
              </w:rPr>
              <w:t>13.</w:t>
            </w:r>
          </w:p>
        </w:tc>
        <w:tc>
          <w:tcPr>
            <w:tcW w:w="4394" w:type="dxa"/>
            <w:shd w:val="clear" w:color="auto" w:fill="FFFFFF"/>
          </w:tcPr>
          <w:p w:rsidR="008F32F8" w:rsidRPr="00D13A23" w:rsidRDefault="008F32F8" w:rsidP="002900BB">
            <w:pPr>
              <w:pStyle w:val="Bodytext20"/>
              <w:shd w:val="clear" w:color="auto" w:fill="auto"/>
              <w:spacing w:line="244" w:lineRule="exact"/>
              <w:jc w:val="both"/>
              <w:rPr>
                <w:sz w:val="24"/>
                <w:szCs w:val="24"/>
                <w:lang w:val="ro-RO"/>
              </w:rPr>
            </w:pPr>
            <w:r w:rsidRPr="00D13A23">
              <w:rPr>
                <w:rStyle w:val="Bodytext211pt"/>
                <w:sz w:val="24"/>
                <w:szCs w:val="24"/>
                <w:lang w:val="ro-RO"/>
              </w:rPr>
              <w:t xml:space="preserve">Școala profesională </w:t>
            </w:r>
            <w:r w:rsidR="002900BB" w:rsidRPr="00D13A23">
              <w:rPr>
                <w:rStyle w:val="Bodytext211pt"/>
                <w:sz w:val="24"/>
                <w:szCs w:val="24"/>
                <w:lang w:val="ro-RO"/>
              </w:rPr>
              <w:t>n</w:t>
            </w:r>
            <w:r w:rsidRPr="00D13A23">
              <w:rPr>
                <w:rStyle w:val="Bodytext211pt"/>
                <w:sz w:val="24"/>
                <w:szCs w:val="24"/>
                <w:lang w:val="ro-RO"/>
              </w:rPr>
              <w:t>r. 9</w:t>
            </w:r>
          </w:p>
        </w:tc>
        <w:tc>
          <w:tcPr>
            <w:tcW w:w="858" w:type="dxa"/>
            <w:shd w:val="clear" w:color="auto" w:fill="FFFFFF"/>
          </w:tcPr>
          <w:p w:rsidR="008F32F8" w:rsidRPr="00D13A23" w:rsidRDefault="008F32F8" w:rsidP="00D13A23">
            <w:pPr>
              <w:pStyle w:val="Bodytext20"/>
              <w:shd w:val="clear" w:color="auto" w:fill="auto"/>
              <w:spacing w:line="244" w:lineRule="exact"/>
              <w:jc w:val="center"/>
              <w:rPr>
                <w:sz w:val="24"/>
                <w:szCs w:val="24"/>
                <w:lang w:val="ro-RO"/>
              </w:rPr>
            </w:pPr>
            <w:r w:rsidRPr="00D13A23">
              <w:rPr>
                <w:rStyle w:val="Bodytext211pt"/>
                <w:sz w:val="24"/>
                <w:szCs w:val="24"/>
                <w:lang w:val="ro-RO"/>
              </w:rPr>
              <w:t>01310</w:t>
            </w:r>
          </w:p>
        </w:tc>
        <w:tc>
          <w:tcPr>
            <w:tcW w:w="851" w:type="dxa"/>
            <w:shd w:val="clear" w:color="auto" w:fill="FFFFFF"/>
          </w:tcPr>
          <w:p w:rsidR="008F32F8" w:rsidRPr="00D13A23" w:rsidRDefault="008F32F8" w:rsidP="00D13A23">
            <w:pPr>
              <w:pStyle w:val="Bodytext20"/>
              <w:shd w:val="clear" w:color="auto" w:fill="auto"/>
              <w:spacing w:line="244" w:lineRule="exact"/>
              <w:jc w:val="center"/>
              <w:rPr>
                <w:sz w:val="24"/>
                <w:szCs w:val="24"/>
                <w:lang w:val="ro-RO"/>
              </w:rPr>
            </w:pPr>
            <w:r w:rsidRPr="00D13A23">
              <w:rPr>
                <w:rStyle w:val="Bodytext211pt"/>
                <w:sz w:val="24"/>
                <w:szCs w:val="24"/>
                <w:lang w:val="ro-RO"/>
              </w:rPr>
              <w:t>15533</w:t>
            </w:r>
          </w:p>
        </w:tc>
        <w:tc>
          <w:tcPr>
            <w:tcW w:w="992" w:type="dxa"/>
            <w:shd w:val="clear" w:color="auto" w:fill="FFFFFF"/>
          </w:tcPr>
          <w:p w:rsidR="008F32F8" w:rsidRPr="00D13A23" w:rsidRDefault="008F32F8" w:rsidP="00D13A23">
            <w:pPr>
              <w:pStyle w:val="Bodytext20"/>
              <w:shd w:val="clear" w:color="auto" w:fill="auto"/>
              <w:spacing w:line="244" w:lineRule="exact"/>
              <w:jc w:val="center"/>
              <w:rPr>
                <w:sz w:val="24"/>
                <w:szCs w:val="24"/>
                <w:lang w:val="ro-RO"/>
              </w:rPr>
            </w:pPr>
            <w:r w:rsidRPr="00D13A23">
              <w:rPr>
                <w:rStyle w:val="Bodytext211pt"/>
                <w:sz w:val="24"/>
                <w:szCs w:val="24"/>
                <w:lang w:val="ro-RO"/>
              </w:rPr>
              <w:t>29.09.17</w:t>
            </w:r>
          </w:p>
        </w:tc>
        <w:tc>
          <w:tcPr>
            <w:tcW w:w="1776" w:type="dxa"/>
            <w:shd w:val="clear" w:color="auto" w:fill="FFFFFF"/>
          </w:tcPr>
          <w:p w:rsidR="008F32F8" w:rsidRPr="00D13A23" w:rsidRDefault="008F32F8" w:rsidP="00D13A23">
            <w:pPr>
              <w:pStyle w:val="Bodytext20"/>
              <w:shd w:val="clear" w:color="auto" w:fill="auto"/>
              <w:spacing w:line="244" w:lineRule="exact"/>
              <w:ind w:right="499"/>
              <w:jc w:val="center"/>
              <w:rPr>
                <w:sz w:val="24"/>
                <w:szCs w:val="24"/>
                <w:lang w:val="ro-RO"/>
              </w:rPr>
            </w:pPr>
            <w:r w:rsidRPr="00D13A23">
              <w:rPr>
                <w:rStyle w:val="Bodytext211pt"/>
                <w:sz w:val="24"/>
                <w:szCs w:val="24"/>
                <w:lang w:val="ro-RO"/>
              </w:rPr>
              <w:t>298.9</w:t>
            </w:r>
          </w:p>
        </w:tc>
      </w:tr>
      <w:tr w:rsidR="008F32F8" w:rsidRPr="00A07ADA" w:rsidTr="00406684">
        <w:trPr>
          <w:trHeight w:hRule="exact" w:val="421"/>
        </w:trPr>
        <w:tc>
          <w:tcPr>
            <w:tcW w:w="704" w:type="dxa"/>
            <w:shd w:val="clear" w:color="auto" w:fill="FFFFFF"/>
          </w:tcPr>
          <w:p w:rsidR="008F32F8" w:rsidRPr="00D13A23" w:rsidRDefault="008F32F8" w:rsidP="00406684">
            <w:pPr>
              <w:pStyle w:val="Bodytext20"/>
              <w:shd w:val="clear" w:color="auto" w:fill="auto"/>
              <w:spacing w:line="244" w:lineRule="exact"/>
              <w:ind w:left="140"/>
              <w:rPr>
                <w:b/>
                <w:sz w:val="24"/>
                <w:szCs w:val="24"/>
                <w:lang w:val="ro-RO"/>
              </w:rPr>
            </w:pPr>
            <w:r w:rsidRPr="00D13A23">
              <w:rPr>
                <w:rStyle w:val="Bodytext211pt"/>
                <w:b/>
                <w:sz w:val="24"/>
                <w:szCs w:val="24"/>
                <w:lang w:val="ro-RO"/>
              </w:rPr>
              <w:t>14.</w:t>
            </w:r>
          </w:p>
        </w:tc>
        <w:tc>
          <w:tcPr>
            <w:tcW w:w="4394" w:type="dxa"/>
            <w:shd w:val="clear" w:color="auto" w:fill="FFFFFF"/>
          </w:tcPr>
          <w:p w:rsidR="008F32F8" w:rsidRPr="00D13A23" w:rsidRDefault="008F32F8" w:rsidP="002900BB">
            <w:pPr>
              <w:pStyle w:val="Bodytext20"/>
              <w:shd w:val="clear" w:color="auto" w:fill="auto"/>
              <w:spacing w:line="322" w:lineRule="exact"/>
              <w:rPr>
                <w:sz w:val="24"/>
                <w:szCs w:val="24"/>
                <w:lang w:val="ro-RO"/>
              </w:rPr>
            </w:pPr>
            <w:r w:rsidRPr="00D13A23">
              <w:rPr>
                <w:rStyle w:val="Bodytext211pt"/>
                <w:sz w:val="24"/>
                <w:szCs w:val="24"/>
                <w:lang w:val="ro-RO"/>
              </w:rPr>
              <w:t xml:space="preserve">Colegiul </w:t>
            </w:r>
            <w:r w:rsidR="002900BB" w:rsidRPr="00D13A23">
              <w:rPr>
                <w:rStyle w:val="Bodytext211pt"/>
                <w:sz w:val="24"/>
                <w:szCs w:val="24"/>
                <w:lang w:val="ro-RO"/>
              </w:rPr>
              <w:t>„</w:t>
            </w:r>
            <w:r w:rsidRPr="00D13A23">
              <w:rPr>
                <w:rStyle w:val="Bodytext211pt"/>
                <w:sz w:val="24"/>
                <w:szCs w:val="24"/>
                <w:lang w:val="ro-RO"/>
              </w:rPr>
              <w:t>Alexei Mateevici” din Chișinău</w:t>
            </w:r>
          </w:p>
        </w:tc>
        <w:tc>
          <w:tcPr>
            <w:tcW w:w="858" w:type="dxa"/>
            <w:shd w:val="clear" w:color="auto" w:fill="FFFFFF"/>
          </w:tcPr>
          <w:p w:rsidR="008F32F8" w:rsidRPr="00D13A23" w:rsidRDefault="008F32F8" w:rsidP="00D13A23">
            <w:pPr>
              <w:pStyle w:val="Bodytext20"/>
              <w:shd w:val="clear" w:color="auto" w:fill="auto"/>
              <w:spacing w:line="244" w:lineRule="exact"/>
              <w:jc w:val="center"/>
              <w:rPr>
                <w:sz w:val="24"/>
                <w:szCs w:val="24"/>
                <w:lang w:val="ro-RO"/>
              </w:rPr>
            </w:pPr>
            <w:r w:rsidRPr="00D13A23">
              <w:rPr>
                <w:rStyle w:val="Bodytext211pt"/>
                <w:sz w:val="24"/>
                <w:szCs w:val="24"/>
                <w:lang w:val="ro-RO"/>
              </w:rPr>
              <w:t>01297</w:t>
            </w:r>
          </w:p>
        </w:tc>
        <w:tc>
          <w:tcPr>
            <w:tcW w:w="851" w:type="dxa"/>
            <w:shd w:val="clear" w:color="auto" w:fill="FFFFFF"/>
          </w:tcPr>
          <w:p w:rsidR="008F32F8" w:rsidRPr="00D13A23" w:rsidRDefault="008F32F8" w:rsidP="00D13A23">
            <w:pPr>
              <w:pStyle w:val="Bodytext20"/>
              <w:shd w:val="clear" w:color="auto" w:fill="auto"/>
              <w:spacing w:line="244" w:lineRule="exact"/>
              <w:jc w:val="center"/>
              <w:rPr>
                <w:sz w:val="24"/>
                <w:szCs w:val="24"/>
                <w:lang w:val="ro-RO"/>
              </w:rPr>
            </w:pPr>
            <w:r w:rsidRPr="00D13A23">
              <w:rPr>
                <w:rStyle w:val="Bodytext211pt"/>
                <w:sz w:val="24"/>
                <w:szCs w:val="24"/>
                <w:lang w:val="ro-RO"/>
              </w:rPr>
              <w:t>15522</w:t>
            </w:r>
          </w:p>
        </w:tc>
        <w:tc>
          <w:tcPr>
            <w:tcW w:w="992" w:type="dxa"/>
            <w:shd w:val="clear" w:color="auto" w:fill="FFFFFF"/>
          </w:tcPr>
          <w:p w:rsidR="008F32F8" w:rsidRPr="00D13A23" w:rsidRDefault="008F32F8" w:rsidP="00D13A23">
            <w:pPr>
              <w:pStyle w:val="Bodytext20"/>
              <w:shd w:val="clear" w:color="auto" w:fill="auto"/>
              <w:spacing w:line="244" w:lineRule="exact"/>
              <w:jc w:val="center"/>
              <w:rPr>
                <w:sz w:val="24"/>
                <w:szCs w:val="24"/>
                <w:lang w:val="ro-RO"/>
              </w:rPr>
            </w:pPr>
            <w:r w:rsidRPr="00D13A23">
              <w:rPr>
                <w:rStyle w:val="Bodytext211pt"/>
                <w:sz w:val="24"/>
                <w:szCs w:val="24"/>
                <w:lang w:val="ro-RO"/>
              </w:rPr>
              <w:t>14.12.17</w:t>
            </w:r>
          </w:p>
        </w:tc>
        <w:tc>
          <w:tcPr>
            <w:tcW w:w="1776" w:type="dxa"/>
            <w:shd w:val="clear" w:color="auto" w:fill="FFFFFF"/>
          </w:tcPr>
          <w:p w:rsidR="008F32F8" w:rsidRPr="00D13A23" w:rsidRDefault="008F32F8" w:rsidP="00D13A23">
            <w:pPr>
              <w:pStyle w:val="Bodytext20"/>
              <w:shd w:val="clear" w:color="auto" w:fill="auto"/>
              <w:spacing w:line="244" w:lineRule="exact"/>
              <w:ind w:right="499"/>
              <w:jc w:val="center"/>
              <w:rPr>
                <w:sz w:val="24"/>
                <w:szCs w:val="24"/>
                <w:lang w:val="ro-RO"/>
              </w:rPr>
            </w:pPr>
            <w:r w:rsidRPr="00D13A23">
              <w:rPr>
                <w:rStyle w:val="Bodytext211pt"/>
                <w:sz w:val="24"/>
                <w:szCs w:val="24"/>
                <w:lang w:val="ro-RO" w:eastAsia="ru-RU" w:bidi="ru-RU"/>
              </w:rPr>
              <w:t>0,1</w:t>
            </w:r>
          </w:p>
        </w:tc>
      </w:tr>
      <w:tr w:rsidR="008F32F8" w:rsidRPr="00A07ADA" w:rsidTr="00406684">
        <w:trPr>
          <w:trHeight w:hRule="exact" w:val="427"/>
        </w:trPr>
        <w:tc>
          <w:tcPr>
            <w:tcW w:w="704" w:type="dxa"/>
            <w:shd w:val="clear" w:color="auto" w:fill="FFFFFF"/>
          </w:tcPr>
          <w:p w:rsidR="008F32F8" w:rsidRPr="00D13A23" w:rsidRDefault="008F32F8" w:rsidP="00406684">
            <w:pPr>
              <w:pStyle w:val="Bodytext20"/>
              <w:shd w:val="clear" w:color="auto" w:fill="auto"/>
              <w:spacing w:line="244" w:lineRule="exact"/>
              <w:ind w:left="140"/>
              <w:rPr>
                <w:b/>
                <w:color w:val="000000"/>
                <w:sz w:val="24"/>
                <w:szCs w:val="24"/>
                <w:shd w:val="clear" w:color="auto" w:fill="FFFFFF"/>
                <w:lang w:val="ro-RO" w:bidi="en-US"/>
              </w:rPr>
            </w:pPr>
            <w:r w:rsidRPr="00D13A23">
              <w:rPr>
                <w:rStyle w:val="Bodytext211pt"/>
                <w:b/>
                <w:sz w:val="24"/>
                <w:szCs w:val="24"/>
                <w:lang w:val="ro-RO"/>
              </w:rPr>
              <w:t>15.</w:t>
            </w:r>
          </w:p>
        </w:tc>
        <w:tc>
          <w:tcPr>
            <w:tcW w:w="4394" w:type="dxa"/>
            <w:shd w:val="clear" w:color="auto" w:fill="FFFFFF"/>
          </w:tcPr>
          <w:p w:rsidR="008F32F8" w:rsidRPr="00D13A23" w:rsidRDefault="008F32F8" w:rsidP="00406684">
            <w:pPr>
              <w:pStyle w:val="Bodytext20"/>
              <w:shd w:val="clear" w:color="auto" w:fill="auto"/>
              <w:spacing w:line="322" w:lineRule="exact"/>
              <w:rPr>
                <w:color w:val="000000"/>
                <w:sz w:val="24"/>
                <w:szCs w:val="24"/>
                <w:shd w:val="clear" w:color="auto" w:fill="FFFFFF"/>
                <w:lang w:val="ro-RO" w:bidi="en-US"/>
              </w:rPr>
            </w:pPr>
            <w:r w:rsidRPr="00D13A23">
              <w:rPr>
                <w:rStyle w:val="Bodytext211pt"/>
                <w:sz w:val="24"/>
                <w:szCs w:val="24"/>
                <w:lang w:val="ro-RO"/>
              </w:rPr>
              <w:t>Centrul de excelență în industria ușoară</w:t>
            </w:r>
          </w:p>
        </w:tc>
        <w:tc>
          <w:tcPr>
            <w:tcW w:w="858" w:type="dxa"/>
            <w:shd w:val="clear" w:color="auto" w:fill="FFFFFF"/>
          </w:tcPr>
          <w:p w:rsidR="008F32F8" w:rsidRPr="00D13A23" w:rsidRDefault="008F32F8" w:rsidP="00D13A23">
            <w:pPr>
              <w:pStyle w:val="Bodytext20"/>
              <w:shd w:val="clear" w:color="auto" w:fill="auto"/>
              <w:spacing w:line="244" w:lineRule="exact"/>
              <w:jc w:val="center"/>
              <w:rPr>
                <w:color w:val="000000"/>
                <w:sz w:val="24"/>
                <w:szCs w:val="24"/>
                <w:shd w:val="clear" w:color="auto" w:fill="FFFFFF"/>
                <w:lang w:val="ro-RO" w:bidi="en-US"/>
              </w:rPr>
            </w:pPr>
            <w:r w:rsidRPr="00D13A23">
              <w:rPr>
                <w:rStyle w:val="Bodytext211pt"/>
                <w:sz w:val="24"/>
                <w:szCs w:val="24"/>
                <w:lang w:val="ro-RO"/>
              </w:rPr>
              <w:t>01317</w:t>
            </w:r>
          </w:p>
        </w:tc>
        <w:tc>
          <w:tcPr>
            <w:tcW w:w="851" w:type="dxa"/>
            <w:shd w:val="clear" w:color="auto" w:fill="FFFFFF"/>
          </w:tcPr>
          <w:p w:rsidR="008F32F8" w:rsidRPr="00D13A23" w:rsidRDefault="008F32F8" w:rsidP="00D13A23">
            <w:pPr>
              <w:pStyle w:val="Bodytext20"/>
              <w:shd w:val="clear" w:color="auto" w:fill="auto"/>
              <w:spacing w:line="244" w:lineRule="exact"/>
              <w:jc w:val="center"/>
              <w:rPr>
                <w:color w:val="000000"/>
                <w:sz w:val="24"/>
                <w:szCs w:val="24"/>
                <w:shd w:val="clear" w:color="auto" w:fill="FFFFFF"/>
                <w:lang w:val="ro-RO" w:bidi="en-US"/>
              </w:rPr>
            </w:pPr>
            <w:r w:rsidRPr="00D13A23">
              <w:rPr>
                <w:rStyle w:val="Bodytext211pt"/>
                <w:sz w:val="24"/>
                <w:szCs w:val="24"/>
                <w:lang w:val="ro-RO"/>
              </w:rPr>
              <w:t>15538</w:t>
            </w:r>
          </w:p>
        </w:tc>
        <w:tc>
          <w:tcPr>
            <w:tcW w:w="992" w:type="dxa"/>
            <w:shd w:val="clear" w:color="auto" w:fill="FFFFFF"/>
          </w:tcPr>
          <w:p w:rsidR="008F32F8" w:rsidRPr="00D13A23" w:rsidRDefault="008F32F8" w:rsidP="00D13A23">
            <w:pPr>
              <w:pStyle w:val="Bodytext20"/>
              <w:shd w:val="clear" w:color="auto" w:fill="auto"/>
              <w:spacing w:line="244" w:lineRule="exact"/>
              <w:jc w:val="center"/>
              <w:rPr>
                <w:color w:val="000000"/>
                <w:sz w:val="24"/>
                <w:szCs w:val="24"/>
                <w:shd w:val="clear" w:color="auto" w:fill="FFFFFF"/>
                <w:lang w:val="ro-RO" w:bidi="en-US"/>
              </w:rPr>
            </w:pPr>
            <w:r w:rsidRPr="00D13A23">
              <w:rPr>
                <w:rStyle w:val="Bodytext211pt"/>
                <w:sz w:val="24"/>
                <w:szCs w:val="24"/>
                <w:lang w:val="ro-RO"/>
              </w:rPr>
              <w:t>08.12.17</w:t>
            </w:r>
          </w:p>
        </w:tc>
        <w:tc>
          <w:tcPr>
            <w:tcW w:w="1776" w:type="dxa"/>
            <w:shd w:val="clear" w:color="auto" w:fill="FFFFFF"/>
          </w:tcPr>
          <w:p w:rsidR="008F32F8" w:rsidRPr="00D13A23" w:rsidRDefault="008F32F8" w:rsidP="00D13A23">
            <w:pPr>
              <w:pStyle w:val="Bodytext20"/>
              <w:shd w:val="clear" w:color="auto" w:fill="auto"/>
              <w:spacing w:line="244" w:lineRule="exact"/>
              <w:ind w:right="499"/>
              <w:jc w:val="center"/>
              <w:rPr>
                <w:color w:val="000000"/>
                <w:sz w:val="24"/>
                <w:szCs w:val="24"/>
                <w:shd w:val="clear" w:color="auto" w:fill="FFFFFF"/>
                <w:lang w:val="ro-RO" w:eastAsia="ru-RU" w:bidi="ru-RU"/>
              </w:rPr>
            </w:pPr>
            <w:r w:rsidRPr="00D13A23">
              <w:rPr>
                <w:rStyle w:val="Bodytext211pt"/>
                <w:sz w:val="24"/>
                <w:szCs w:val="24"/>
                <w:lang w:val="ro-RO" w:eastAsia="ru-RU" w:bidi="ru-RU"/>
              </w:rPr>
              <w:t>215,2</w:t>
            </w:r>
          </w:p>
        </w:tc>
      </w:tr>
      <w:tr w:rsidR="008F32F8" w:rsidRPr="00A07ADA" w:rsidTr="00406684">
        <w:trPr>
          <w:trHeight w:hRule="exact" w:val="432"/>
        </w:trPr>
        <w:tc>
          <w:tcPr>
            <w:tcW w:w="704" w:type="dxa"/>
            <w:shd w:val="clear" w:color="auto" w:fill="FFFFFF"/>
          </w:tcPr>
          <w:p w:rsidR="008F32F8" w:rsidRPr="00D13A23" w:rsidRDefault="008F32F8" w:rsidP="00406684">
            <w:pPr>
              <w:pStyle w:val="Bodytext20"/>
              <w:shd w:val="clear" w:color="auto" w:fill="auto"/>
              <w:spacing w:line="244" w:lineRule="exact"/>
              <w:ind w:left="140"/>
              <w:rPr>
                <w:b/>
                <w:color w:val="000000"/>
                <w:sz w:val="24"/>
                <w:szCs w:val="24"/>
                <w:shd w:val="clear" w:color="auto" w:fill="FFFFFF"/>
                <w:lang w:val="ro-RO" w:bidi="en-US"/>
              </w:rPr>
            </w:pPr>
            <w:r w:rsidRPr="00D13A23">
              <w:rPr>
                <w:rStyle w:val="Bodytext211pt"/>
                <w:b/>
                <w:sz w:val="24"/>
                <w:szCs w:val="24"/>
                <w:lang w:val="ro-RO"/>
              </w:rPr>
              <w:t>16.</w:t>
            </w:r>
          </w:p>
        </w:tc>
        <w:tc>
          <w:tcPr>
            <w:tcW w:w="4394" w:type="dxa"/>
            <w:shd w:val="clear" w:color="auto" w:fill="FFFFFF"/>
          </w:tcPr>
          <w:p w:rsidR="008F32F8" w:rsidRPr="00D13A23" w:rsidRDefault="008F32F8" w:rsidP="00406684">
            <w:pPr>
              <w:pStyle w:val="Bodytext20"/>
              <w:shd w:val="clear" w:color="auto" w:fill="auto"/>
              <w:spacing w:line="322" w:lineRule="exact"/>
              <w:rPr>
                <w:color w:val="000000"/>
                <w:sz w:val="24"/>
                <w:szCs w:val="24"/>
                <w:shd w:val="clear" w:color="auto" w:fill="FFFFFF"/>
                <w:lang w:val="ro-RO" w:bidi="en-US"/>
              </w:rPr>
            </w:pPr>
            <w:r w:rsidRPr="00D13A23">
              <w:rPr>
                <w:rStyle w:val="Bodytext211pt"/>
                <w:sz w:val="24"/>
                <w:szCs w:val="24"/>
                <w:lang w:val="ro-RO"/>
              </w:rPr>
              <w:t>Colegiul Tehnologic din or. Chișinău</w:t>
            </w:r>
          </w:p>
        </w:tc>
        <w:tc>
          <w:tcPr>
            <w:tcW w:w="858" w:type="dxa"/>
            <w:shd w:val="clear" w:color="auto" w:fill="FFFFFF"/>
          </w:tcPr>
          <w:p w:rsidR="008F32F8" w:rsidRPr="00D13A23" w:rsidRDefault="008F32F8" w:rsidP="00D13A23">
            <w:pPr>
              <w:pStyle w:val="Bodytext20"/>
              <w:shd w:val="clear" w:color="auto" w:fill="auto"/>
              <w:spacing w:line="244" w:lineRule="exact"/>
              <w:jc w:val="center"/>
              <w:rPr>
                <w:color w:val="000000"/>
                <w:sz w:val="24"/>
                <w:szCs w:val="24"/>
                <w:shd w:val="clear" w:color="auto" w:fill="FFFFFF"/>
                <w:lang w:val="ro-RO" w:bidi="en-US"/>
              </w:rPr>
            </w:pPr>
            <w:r w:rsidRPr="00D13A23">
              <w:rPr>
                <w:rStyle w:val="Bodytext211pt"/>
                <w:sz w:val="24"/>
                <w:szCs w:val="24"/>
                <w:lang w:val="ro-RO"/>
              </w:rPr>
              <w:t>01346</w:t>
            </w:r>
          </w:p>
        </w:tc>
        <w:tc>
          <w:tcPr>
            <w:tcW w:w="851" w:type="dxa"/>
            <w:shd w:val="clear" w:color="auto" w:fill="FFFFFF"/>
          </w:tcPr>
          <w:p w:rsidR="008F32F8" w:rsidRPr="00D13A23" w:rsidRDefault="008F32F8" w:rsidP="00D13A23">
            <w:pPr>
              <w:pStyle w:val="Bodytext20"/>
              <w:shd w:val="clear" w:color="auto" w:fill="auto"/>
              <w:spacing w:line="244" w:lineRule="exact"/>
              <w:jc w:val="center"/>
              <w:rPr>
                <w:color w:val="000000"/>
                <w:sz w:val="24"/>
                <w:szCs w:val="24"/>
                <w:shd w:val="clear" w:color="auto" w:fill="FFFFFF"/>
                <w:lang w:val="ro-RO" w:bidi="en-US"/>
              </w:rPr>
            </w:pPr>
            <w:r w:rsidRPr="00D13A23">
              <w:rPr>
                <w:rStyle w:val="Bodytext211pt"/>
                <w:sz w:val="24"/>
                <w:szCs w:val="24"/>
                <w:lang w:val="ro-RO"/>
              </w:rPr>
              <w:t>15556</w:t>
            </w:r>
          </w:p>
        </w:tc>
        <w:tc>
          <w:tcPr>
            <w:tcW w:w="992" w:type="dxa"/>
            <w:shd w:val="clear" w:color="auto" w:fill="FFFFFF"/>
          </w:tcPr>
          <w:p w:rsidR="008F32F8" w:rsidRPr="00D13A23" w:rsidRDefault="008F32F8" w:rsidP="00D13A23">
            <w:pPr>
              <w:pStyle w:val="Bodytext20"/>
              <w:shd w:val="clear" w:color="auto" w:fill="auto"/>
              <w:spacing w:line="244" w:lineRule="exact"/>
              <w:jc w:val="center"/>
              <w:rPr>
                <w:color w:val="000000"/>
                <w:sz w:val="24"/>
                <w:szCs w:val="24"/>
                <w:shd w:val="clear" w:color="auto" w:fill="FFFFFF"/>
                <w:lang w:val="ro-RO" w:bidi="en-US"/>
              </w:rPr>
            </w:pPr>
            <w:r w:rsidRPr="00D13A23">
              <w:rPr>
                <w:rStyle w:val="Bodytext211pt"/>
                <w:sz w:val="24"/>
                <w:szCs w:val="24"/>
                <w:lang w:val="ro-RO"/>
              </w:rPr>
              <w:t>21.12.17</w:t>
            </w:r>
          </w:p>
        </w:tc>
        <w:tc>
          <w:tcPr>
            <w:tcW w:w="1776" w:type="dxa"/>
            <w:shd w:val="clear" w:color="auto" w:fill="FFFFFF"/>
          </w:tcPr>
          <w:p w:rsidR="008F32F8" w:rsidRPr="00D13A23" w:rsidRDefault="008F32F8" w:rsidP="00D13A23">
            <w:pPr>
              <w:pStyle w:val="Bodytext20"/>
              <w:shd w:val="clear" w:color="auto" w:fill="auto"/>
              <w:spacing w:line="244" w:lineRule="exact"/>
              <w:ind w:right="499"/>
              <w:jc w:val="center"/>
              <w:rPr>
                <w:color w:val="000000"/>
                <w:sz w:val="24"/>
                <w:szCs w:val="24"/>
                <w:shd w:val="clear" w:color="auto" w:fill="FFFFFF"/>
                <w:lang w:val="ro-RO" w:eastAsia="ru-RU" w:bidi="ru-RU"/>
              </w:rPr>
            </w:pPr>
            <w:r w:rsidRPr="00D13A23">
              <w:rPr>
                <w:rStyle w:val="Bodytext211pt"/>
                <w:sz w:val="24"/>
                <w:szCs w:val="24"/>
                <w:lang w:val="ro-RO" w:eastAsia="ru-RU" w:bidi="ru-RU"/>
              </w:rPr>
              <w:t>288,1</w:t>
            </w:r>
          </w:p>
        </w:tc>
      </w:tr>
      <w:tr w:rsidR="008F32F8" w:rsidRPr="00A07ADA" w:rsidTr="00406684">
        <w:trPr>
          <w:trHeight w:hRule="exact" w:val="425"/>
        </w:trPr>
        <w:tc>
          <w:tcPr>
            <w:tcW w:w="704" w:type="dxa"/>
            <w:shd w:val="clear" w:color="auto" w:fill="FFFFFF"/>
          </w:tcPr>
          <w:p w:rsidR="008F32F8" w:rsidRPr="00D13A23" w:rsidRDefault="008F32F8" w:rsidP="00406684">
            <w:pPr>
              <w:pStyle w:val="Bodytext20"/>
              <w:shd w:val="clear" w:color="auto" w:fill="auto"/>
              <w:spacing w:line="244" w:lineRule="exact"/>
              <w:ind w:left="140"/>
              <w:rPr>
                <w:b/>
                <w:color w:val="000000"/>
                <w:sz w:val="24"/>
                <w:szCs w:val="24"/>
                <w:shd w:val="clear" w:color="auto" w:fill="FFFFFF"/>
                <w:lang w:val="ro-RO" w:bidi="en-US"/>
              </w:rPr>
            </w:pPr>
            <w:r w:rsidRPr="00D13A23">
              <w:rPr>
                <w:rStyle w:val="Bodytext211pt"/>
                <w:b/>
                <w:sz w:val="24"/>
                <w:szCs w:val="24"/>
                <w:lang w:val="ro-RO"/>
              </w:rPr>
              <w:t>17.</w:t>
            </w:r>
          </w:p>
        </w:tc>
        <w:tc>
          <w:tcPr>
            <w:tcW w:w="4394" w:type="dxa"/>
            <w:shd w:val="clear" w:color="auto" w:fill="FFFFFF"/>
          </w:tcPr>
          <w:p w:rsidR="008F32F8" w:rsidRPr="00D13A23" w:rsidRDefault="008F32F8" w:rsidP="00406684">
            <w:pPr>
              <w:pStyle w:val="Bodytext20"/>
              <w:shd w:val="clear" w:color="auto" w:fill="auto"/>
              <w:spacing w:line="322" w:lineRule="exact"/>
              <w:rPr>
                <w:color w:val="000000"/>
                <w:sz w:val="24"/>
                <w:szCs w:val="24"/>
                <w:shd w:val="clear" w:color="auto" w:fill="FFFFFF"/>
                <w:lang w:val="ro-RO" w:bidi="en-US"/>
              </w:rPr>
            </w:pPr>
            <w:r w:rsidRPr="00D13A23">
              <w:rPr>
                <w:rStyle w:val="Bodytext211pt"/>
                <w:sz w:val="24"/>
                <w:szCs w:val="24"/>
                <w:lang w:val="ro-RO"/>
              </w:rPr>
              <w:t xml:space="preserve">Institutul </w:t>
            </w:r>
            <w:r w:rsidR="002900BB" w:rsidRPr="00D13A23">
              <w:rPr>
                <w:rStyle w:val="Bodytext211pt"/>
                <w:sz w:val="24"/>
                <w:szCs w:val="24"/>
                <w:lang w:val="ro-RO"/>
              </w:rPr>
              <w:t xml:space="preserve">de </w:t>
            </w:r>
            <w:r w:rsidRPr="00D13A23">
              <w:rPr>
                <w:rStyle w:val="Bodytext211pt"/>
                <w:sz w:val="24"/>
                <w:szCs w:val="24"/>
                <w:lang w:val="ro-RO"/>
              </w:rPr>
              <w:t xml:space="preserve">Științe </w:t>
            </w:r>
            <w:r w:rsidR="002900BB" w:rsidRPr="00D13A23">
              <w:rPr>
                <w:rStyle w:val="Bodytext211pt"/>
                <w:sz w:val="24"/>
                <w:szCs w:val="24"/>
                <w:lang w:val="ro-RO"/>
              </w:rPr>
              <w:t xml:space="preserve">ale </w:t>
            </w:r>
            <w:r w:rsidRPr="00D13A23">
              <w:rPr>
                <w:rStyle w:val="Bodytext211pt"/>
                <w:sz w:val="24"/>
                <w:szCs w:val="24"/>
                <w:lang w:val="ro-RO"/>
              </w:rPr>
              <w:t>Educației</w:t>
            </w:r>
          </w:p>
        </w:tc>
        <w:tc>
          <w:tcPr>
            <w:tcW w:w="858" w:type="dxa"/>
            <w:shd w:val="clear" w:color="auto" w:fill="FFFFFF"/>
          </w:tcPr>
          <w:p w:rsidR="008F32F8" w:rsidRPr="00D13A23" w:rsidRDefault="008F32F8" w:rsidP="00D13A23">
            <w:pPr>
              <w:pStyle w:val="Bodytext20"/>
              <w:shd w:val="clear" w:color="auto" w:fill="auto"/>
              <w:spacing w:line="244" w:lineRule="exact"/>
              <w:jc w:val="center"/>
              <w:rPr>
                <w:color w:val="000000"/>
                <w:sz w:val="24"/>
                <w:szCs w:val="24"/>
                <w:shd w:val="clear" w:color="auto" w:fill="FFFFFF"/>
                <w:lang w:val="ro-RO" w:bidi="en-US"/>
              </w:rPr>
            </w:pPr>
            <w:r w:rsidRPr="00D13A23">
              <w:rPr>
                <w:rStyle w:val="Bodytext211pt"/>
                <w:sz w:val="24"/>
                <w:szCs w:val="24"/>
                <w:lang w:val="ro-RO"/>
              </w:rPr>
              <w:t>01172</w:t>
            </w:r>
          </w:p>
        </w:tc>
        <w:tc>
          <w:tcPr>
            <w:tcW w:w="851" w:type="dxa"/>
            <w:shd w:val="clear" w:color="auto" w:fill="FFFFFF"/>
          </w:tcPr>
          <w:p w:rsidR="008F32F8" w:rsidRPr="00D13A23" w:rsidRDefault="008F32F8" w:rsidP="00D13A23">
            <w:pPr>
              <w:pStyle w:val="Bodytext20"/>
              <w:shd w:val="clear" w:color="auto" w:fill="auto"/>
              <w:spacing w:line="244" w:lineRule="exact"/>
              <w:jc w:val="center"/>
              <w:rPr>
                <w:color w:val="000000"/>
                <w:sz w:val="24"/>
                <w:szCs w:val="24"/>
                <w:shd w:val="clear" w:color="auto" w:fill="FFFFFF"/>
                <w:lang w:val="ro-RO" w:bidi="en-US"/>
              </w:rPr>
            </w:pPr>
            <w:r w:rsidRPr="00D13A23">
              <w:rPr>
                <w:rStyle w:val="Bodytext211pt"/>
                <w:sz w:val="24"/>
                <w:szCs w:val="24"/>
                <w:lang w:val="ro-RO"/>
              </w:rPr>
              <w:t>15440</w:t>
            </w:r>
          </w:p>
        </w:tc>
        <w:tc>
          <w:tcPr>
            <w:tcW w:w="992" w:type="dxa"/>
            <w:shd w:val="clear" w:color="auto" w:fill="FFFFFF"/>
          </w:tcPr>
          <w:p w:rsidR="008F32F8" w:rsidRPr="00D13A23" w:rsidRDefault="008F32F8" w:rsidP="00D13A23">
            <w:pPr>
              <w:pStyle w:val="Bodytext20"/>
              <w:shd w:val="clear" w:color="auto" w:fill="auto"/>
              <w:spacing w:line="244" w:lineRule="exact"/>
              <w:jc w:val="center"/>
              <w:rPr>
                <w:color w:val="000000"/>
                <w:sz w:val="24"/>
                <w:szCs w:val="24"/>
                <w:shd w:val="clear" w:color="auto" w:fill="FFFFFF"/>
                <w:lang w:val="ro-RO" w:bidi="en-US"/>
              </w:rPr>
            </w:pPr>
            <w:r w:rsidRPr="00D13A23">
              <w:rPr>
                <w:rStyle w:val="Bodytext211pt"/>
                <w:sz w:val="24"/>
                <w:szCs w:val="24"/>
                <w:lang w:val="ro-RO"/>
              </w:rPr>
              <w:t>07.11.17</w:t>
            </w:r>
          </w:p>
        </w:tc>
        <w:tc>
          <w:tcPr>
            <w:tcW w:w="1776" w:type="dxa"/>
            <w:shd w:val="clear" w:color="auto" w:fill="FFFFFF"/>
          </w:tcPr>
          <w:p w:rsidR="008F32F8" w:rsidRPr="00D13A23" w:rsidRDefault="008F32F8" w:rsidP="00D13A23">
            <w:pPr>
              <w:pStyle w:val="Bodytext20"/>
              <w:shd w:val="clear" w:color="auto" w:fill="auto"/>
              <w:spacing w:line="244" w:lineRule="exact"/>
              <w:ind w:right="499"/>
              <w:jc w:val="center"/>
              <w:rPr>
                <w:color w:val="000000"/>
                <w:sz w:val="24"/>
                <w:szCs w:val="24"/>
                <w:shd w:val="clear" w:color="auto" w:fill="FFFFFF"/>
                <w:lang w:val="ro-RO" w:eastAsia="ru-RU" w:bidi="ru-RU"/>
              </w:rPr>
            </w:pPr>
            <w:r w:rsidRPr="00D13A23">
              <w:rPr>
                <w:rStyle w:val="Bodytext211pt"/>
                <w:sz w:val="24"/>
                <w:szCs w:val="24"/>
                <w:lang w:val="ro-RO" w:eastAsia="ru-RU" w:bidi="ru-RU"/>
              </w:rPr>
              <w:t>97,6</w:t>
            </w:r>
          </w:p>
        </w:tc>
      </w:tr>
      <w:tr w:rsidR="008F32F8" w:rsidRPr="00A07ADA" w:rsidTr="00406684">
        <w:trPr>
          <w:trHeight w:hRule="exact" w:val="700"/>
        </w:trPr>
        <w:tc>
          <w:tcPr>
            <w:tcW w:w="704" w:type="dxa"/>
            <w:shd w:val="clear" w:color="auto" w:fill="FFFFFF"/>
          </w:tcPr>
          <w:p w:rsidR="008F32F8" w:rsidRPr="00D13A23" w:rsidRDefault="008F32F8" w:rsidP="00406684">
            <w:pPr>
              <w:pStyle w:val="Bodytext20"/>
              <w:shd w:val="clear" w:color="auto" w:fill="auto"/>
              <w:spacing w:line="244" w:lineRule="exact"/>
              <w:ind w:left="140"/>
              <w:rPr>
                <w:b/>
                <w:color w:val="000000"/>
                <w:sz w:val="24"/>
                <w:szCs w:val="24"/>
                <w:shd w:val="clear" w:color="auto" w:fill="FFFFFF"/>
                <w:lang w:val="ro-RO" w:bidi="en-US"/>
              </w:rPr>
            </w:pPr>
            <w:r w:rsidRPr="00D13A23">
              <w:rPr>
                <w:rStyle w:val="Bodytext211pt"/>
                <w:b/>
                <w:sz w:val="24"/>
                <w:szCs w:val="24"/>
                <w:lang w:val="ro-RO"/>
              </w:rPr>
              <w:t>18.</w:t>
            </w:r>
          </w:p>
        </w:tc>
        <w:tc>
          <w:tcPr>
            <w:tcW w:w="4394" w:type="dxa"/>
            <w:shd w:val="clear" w:color="auto" w:fill="FFFFFF"/>
          </w:tcPr>
          <w:p w:rsidR="008F32F8" w:rsidRPr="00D13A23" w:rsidRDefault="008F32F8" w:rsidP="00406684">
            <w:pPr>
              <w:pStyle w:val="Bodytext20"/>
              <w:shd w:val="clear" w:color="auto" w:fill="auto"/>
              <w:spacing w:line="322" w:lineRule="exact"/>
              <w:rPr>
                <w:color w:val="000000"/>
                <w:sz w:val="24"/>
                <w:szCs w:val="24"/>
                <w:shd w:val="clear" w:color="auto" w:fill="FFFFFF"/>
                <w:lang w:val="ro-RO" w:bidi="en-US"/>
              </w:rPr>
            </w:pPr>
            <w:r w:rsidRPr="00D13A23">
              <w:rPr>
                <w:rStyle w:val="Bodytext211pt"/>
                <w:sz w:val="24"/>
                <w:szCs w:val="24"/>
                <w:lang w:val="ro-RO"/>
              </w:rPr>
              <w:t>Centrul de Excelență în Energetică și Electronică</w:t>
            </w:r>
          </w:p>
        </w:tc>
        <w:tc>
          <w:tcPr>
            <w:tcW w:w="858" w:type="dxa"/>
            <w:shd w:val="clear" w:color="auto" w:fill="FFFFFF"/>
          </w:tcPr>
          <w:p w:rsidR="008F32F8" w:rsidRPr="00D13A23" w:rsidRDefault="008F32F8" w:rsidP="00D13A23">
            <w:pPr>
              <w:pStyle w:val="Bodytext20"/>
              <w:shd w:val="clear" w:color="auto" w:fill="auto"/>
              <w:spacing w:line="244" w:lineRule="exact"/>
              <w:jc w:val="center"/>
              <w:rPr>
                <w:color w:val="000000"/>
                <w:sz w:val="24"/>
                <w:szCs w:val="24"/>
                <w:shd w:val="clear" w:color="auto" w:fill="FFFFFF"/>
                <w:lang w:val="ro-RO" w:bidi="en-US"/>
              </w:rPr>
            </w:pPr>
            <w:r w:rsidRPr="00D13A23">
              <w:rPr>
                <w:rStyle w:val="Bodytext211pt"/>
                <w:sz w:val="24"/>
                <w:szCs w:val="24"/>
                <w:lang w:val="ro-RO"/>
              </w:rPr>
              <w:t>15160</w:t>
            </w:r>
          </w:p>
        </w:tc>
        <w:tc>
          <w:tcPr>
            <w:tcW w:w="851" w:type="dxa"/>
            <w:shd w:val="clear" w:color="auto" w:fill="FFFFFF"/>
          </w:tcPr>
          <w:p w:rsidR="008F32F8" w:rsidRPr="00D13A23" w:rsidRDefault="008F32F8" w:rsidP="00D13A23">
            <w:pPr>
              <w:pStyle w:val="Bodytext20"/>
              <w:shd w:val="clear" w:color="auto" w:fill="auto"/>
              <w:spacing w:line="244" w:lineRule="exact"/>
              <w:jc w:val="center"/>
              <w:rPr>
                <w:color w:val="000000"/>
                <w:sz w:val="24"/>
                <w:szCs w:val="24"/>
                <w:shd w:val="clear" w:color="auto" w:fill="FFFFFF"/>
                <w:lang w:val="ro-RO" w:bidi="en-US"/>
              </w:rPr>
            </w:pPr>
            <w:r w:rsidRPr="00D13A23">
              <w:rPr>
                <w:rStyle w:val="Bodytext211pt"/>
                <w:sz w:val="24"/>
                <w:szCs w:val="24"/>
                <w:lang w:val="ro-RO"/>
              </w:rPr>
              <w:t>15574</w:t>
            </w:r>
          </w:p>
        </w:tc>
        <w:tc>
          <w:tcPr>
            <w:tcW w:w="992" w:type="dxa"/>
            <w:shd w:val="clear" w:color="auto" w:fill="FFFFFF"/>
          </w:tcPr>
          <w:p w:rsidR="008F32F8" w:rsidRPr="00D13A23" w:rsidRDefault="008F32F8" w:rsidP="00D13A23">
            <w:pPr>
              <w:pStyle w:val="Bodytext20"/>
              <w:shd w:val="clear" w:color="auto" w:fill="auto"/>
              <w:spacing w:line="244" w:lineRule="exact"/>
              <w:jc w:val="center"/>
              <w:rPr>
                <w:color w:val="000000"/>
                <w:sz w:val="24"/>
                <w:szCs w:val="24"/>
                <w:shd w:val="clear" w:color="auto" w:fill="FFFFFF"/>
                <w:lang w:val="ro-RO" w:bidi="en-US"/>
              </w:rPr>
            </w:pPr>
            <w:r w:rsidRPr="00D13A23">
              <w:rPr>
                <w:rStyle w:val="Bodytext211pt"/>
                <w:sz w:val="24"/>
                <w:szCs w:val="24"/>
                <w:lang w:val="ro-RO"/>
              </w:rPr>
              <w:t>12.12.17</w:t>
            </w:r>
          </w:p>
        </w:tc>
        <w:tc>
          <w:tcPr>
            <w:tcW w:w="1776" w:type="dxa"/>
            <w:shd w:val="clear" w:color="auto" w:fill="FFFFFF"/>
          </w:tcPr>
          <w:p w:rsidR="008F32F8" w:rsidRPr="00D13A23" w:rsidRDefault="008F32F8" w:rsidP="00D13A23">
            <w:pPr>
              <w:pStyle w:val="Bodytext20"/>
              <w:shd w:val="clear" w:color="auto" w:fill="auto"/>
              <w:spacing w:line="244" w:lineRule="exact"/>
              <w:ind w:right="499"/>
              <w:jc w:val="center"/>
              <w:rPr>
                <w:color w:val="000000"/>
                <w:sz w:val="24"/>
                <w:szCs w:val="24"/>
                <w:shd w:val="clear" w:color="auto" w:fill="FFFFFF"/>
                <w:lang w:val="ro-RO" w:eastAsia="ru-RU" w:bidi="ru-RU"/>
              </w:rPr>
            </w:pPr>
            <w:r w:rsidRPr="00D13A23">
              <w:rPr>
                <w:rStyle w:val="Bodytext211pt"/>
                <w:sz w:val="24"/>
                <w:szCs w:val="24"/>
                <w:lang w:val="ro-RO" w:eastAsia="ru-RU" w:bidi="ru-RU"/>
              </w:rPr>
              <w:t>33,1</w:t>
            </w:r>
          </w:p>
        </w:tc>
      </w:tr>
      <w:tr w:rsidR="008F32F8" w:rsidRPr="00A07ADA" w:rsidTr="00406684">
        <w:trPr>
          <w:trHeight w:hRule="exact" w:val="724"/>
        </w:trPr>
        <w:tc>
          <w:tcPr>
            <w:tcW w:w="704" w:type="dxa"/>
            <w:shd w:val="clear" w:color="auto" w:fill="FFFFFF"/>
          </w:tcPr>
          <w:p w:rsidR="008F32F8" w:rsidRPr="00D13A23" w:rsidRDefault="008F32F8" w:rsidP="00406684">
            <w:pPr>
              <w:pStyle w:val="Bodytext20"/>
              <w:shd w:val="clear" w:color="auto" w:fill="auto"/>
              <w:spacing w:line="244" w:lineRule="exact"/>
              <w:ind w:left="140"/>
              <w:rPr>
                <w:b/>
                <w:color w:val="000000"/>
                <w:sz w:val="24"/>
                <w:szCs w:val="24"/>
                <w:shd w:val="clear" w:color="auto" w:fill="FFFFFF"/>
                <w:lang w:val="ro-RO" w:bidi="en-US"/>
              </w:rPr>
            </w:pPr>
            <w:r w:rsidRPr="00D13A23">
              <w:rPr>
                <w:rStyle w:val="Bodytext211pt"/>
                <w:b/>
                <w:sz w:val="24"/>
                <w:szCs w:val="24"/>
                <w:lang w:val="ro-RO"/>
              </w:rPr>
              <w:t>19.</w:t>
            </w:r>
          </w:p>
        </w:tc>
        <w:tc>
          <w:tcPr>
            <w:tcW w:w="4394" w:type="dxa"/>
            <w:shd w:val="clear" w:color="auto" w:fill="FFFFFF"/>
          </w:tcPr>
          <w:p w:rsidR="008F32F8" w:rsidRPr="00D13A23" w:rsidRDefault="008F32F8" w:rsidP="00406684">
            <w:pPr>
              <w:pStyle w:val="Bodytext20"/>
              <w:shd w:val="clear" w:color="auto" w:fill="auto"/>
              <w:spacing w:line="322" w:lineRule="exact"/>
              <w:rPr>
                <w:color w:val="000000"/>
                <w:sz w:val="24"/>
                <w:szCs w:val="24"/>
                <w:shd w:val="clear" w:color="auto" w:fill="FFFFFF"/>
                <w:lang w:val="ro-RO" w:bidi="en-US"/>
              </w:rPr>
            </w:pPr>
            <w:r w:rsidRPr="00D13A23">
              <w:rPr>
                <w:rStyle w:val="Bodytext211pt"/>
                <w:sz w:val="24"/>
                <w:szCs w:val="24"/>
                <w:lang w:val="ro-RO"/>
              </w:rPr>
              <w:t>Centrul Tehnologiilor Informaționale și Comunicaționale în Educație</w:t>
            </w:r>
          </w:p>
        </w:tc>
        <w:tc>
          <w:tcPr>
            <w:tcW w:w="858" w:type="dxa"/>
            <w:shd w:val="clear" w:color="auto" w:fill="FFFFFF"/>
          </w:tcPr>
          <w:p w:rsidR="008F32F8" w:rsidRPr="00D13A23" w:rsidRDefault="008F32F8" w:rsidP="00D13A23">
            <w:pPr>
              <w:pStyle w:val="Bodytext20"/>
              <w:shd w:val="clear" w:color="auto" w:fill="auto"/>
              <w:spacing w:line="244" w:lineRule="exact"/>
              <w:jc w:val="center"/>
              <w:rPr>
                <w:color w:val="000000"/>
                <w:sz w:val="24"/>
                <w:szCs w:val="24"/>
                <w:shd w:val="clear" w:color="auto" w:fill="FFFFFF"/>
                <w:lang w:val="ro-RO" w:bidi="en-US"/>
              </w:rPr>
            </w:pPr>
            <w:r w:rsidRPr="00D13A23">
              <w:rPr>
                <w:rStyle w:val="Bodytext211pt"/>
                <w:sz w:val="24"/>
                <w:szCs w:val="24"/>
                <w:lang w:val="ro-RO"/>
              </w:rPr>
              <w:t>01350</w:t>
            </w:r>
          </w:p>
        </w:tc>
        <w:tc>
          <w:tcPr>
            <w:tcW w:w="851" w:type="dxa"/>
            <w:shd w:val="clear" w:color="auto" w:fill="FFFFFF"/>
          </w:tcPr>
          <w:p w:rsidR="008F32F8" w:rsidRPr="00D13A23" w:rsidRDefault="008F32F8" w:rsidP="00D13A23">
            <w:pPr>
              <w:pStyle w:val="Bodytext20"/>
              <w:shd w:val="clear" w:color="auto" w:fill="auto"/>
              <w:spacing w:line="244" w:lineRule="exact"/>
              <w:jc w:val="center"/>
              <w:rPr>
                <w:color w:val="000000"/>
                <w:sz w:val="24"/>
                <w:szCs w:val="24"/>
                <w:shd w:val="clear" w:color="auto" w:fill="FFFFFF"/>
                <w:lang w:val="ro-RO" w:bidi="en-US"/>
              </w:rPr>
            </w:pPr>
            <w:r w:rsidRPr="00D13A23">
              <w:rPr>
                <w:rStyle w:val="Bodytext211pt"/>
                <w:sz w:val="24"/>
                <w:szCs w:val="24"/>
                <w:lang w:val="ro-RO"/>
              </w:rPr>
              <w:t>15558</w:t>
            </w:r>
          </w:p>
        </w:tc>
        <w:tc>
          <w:tcPr>
            <w:tcW w:w="992" w:type="dxa"/>
            <w:shd w:val="clear" w:color="auto" w:fill="FFFFFF"/>
          </w:tcPr>
          <w:p w:rsidR="008F32F8" w:rsidRPr="00D13A23" w:rsidRDefault="008F32F8" w:rsidP="00D13A23">
            <w:pPr>
              <w:pStyle w:val="Bodytext20"/>
              <w:shd w:val="clear" w:color="auto" w:fill="auto"/>
              <w:spacing w:line="244" w:lineRule="exact"/>
              <w:jc w:val="center"/>
              <w:rPr>
                <w:color w:val="000000"/>
                <w:sz w:val="24"/>
                <w:szCs w:val="24"/>
                <w:shd w:val="clear" w:color="auto" w:fill="FFFFFF"/>
                <w:lang w:val="ro-RO" w:bidi="en-US"/>
              </w:rPr>
            </w:pPr>
            <w:r w:rsidRPr="00D13A23">
              <w:rPr>
                <w:rStyle w:val="Bodytext211pt"/>
                <w:sz w:val="24"/>
                <w:szCs w:val="24"/>
                <w:lang w:val="ro-RO"/>
              </w:rPr>
              <w:t>07.11.17</w:t>
            </w:r>
          </w:p>
        </w:tc>
        <w:tc>
          <w:tcPr>
            <w:tcW w:w="1776" w:type="dxa"/>
            <w:shd w:val="clear" w:color="auto" w:fill="FFFFFF"/>
          </w:tcPr>
          <w:p w:rsidR="008F32F8" w:rsidRPr="00D13A23" w:rsidRDefault="008F32F8" w:rsidP="00D13A23">
            <w:pPr>
              <w:pStyle w:val="Bodytext20"/>
              <w:shd w:val="clear" w:color="auto" w:fill="auto"/>
              <w:spacing w:line="244" w:lineRule="exact"/>
              <w:ind w:right="499"/>
              <w:jc w:val="center"/>
              <w:rPr>
                <w:color w:val="000000"/>
                <w:sz w:val="24"/>
                <w:szCs w:val="24"/>
                <w:shd w:val="clear" w:color="auto" w:fill="FFFFFF"/>
                <w:lang w:val="ro-RO" w:eastAsia="ru-RU" w:bidi="ru-RU"/>
              </w:rPr>
            </w:pPr>
            <w:r w:rsidRPr="00D13A23">
              <w:rPr>
                <w:rStyle w:val="Bodytext211pt"/>
                <w:sz w:val="24"/>
                <w:szCs w:val="24"/>
                <w:lang w:val="ro-RO" w:eastAsia="ru-RU" w:bidi="ru-RU"/>
              </w:rPr>
              <w:t>1527,2</w:t>
            </w:r>
          </w:p>
        </w:tc>
      </w:tr>
      <w:tr w:rsidR="008F32F8" w:rsidRPr="00A07ADA" w:rsidTr="00406684">
        <w:trPr>
          <w:trHeight w:hRule="exact" w:val="423"/>
        </w:trPr>
        <w:tc>
          <w:tcPr>
            <w:tcW w:w="704" w:type="dxa"/>
            <w:shd w:val="clear" w:color="auto" w:fill="FFFFFF"/>
          </w:tcPr>
          <w:p w:rsidR="008F32F8" w:rsidRPr="00D13A23" w:rsidRDefault="008F32F8" w:rsidP="00406684">
            <w:pPr>
              <w:pStyle w:val="Bodytext20"/>
              <w:shd w:val="clear" w:color="auto" w:fill="auto"/>
              <w:spacing w:line="244" w:lineRule="exact"/>
              <w:ind w:left="140"/>
              <w:rPr>
                <w:b/>
                <w:color w:val="000000"/>
                <w:sz w:val="24"/>
                <w:szCs w:val="24"/>
                <w:shd w:val="clear" w:color="auto" w:fill="FFFFFF"/>
                <w:lang w:val="ro-RO" w:bidi="en-US"/>
              </w:rPr>
            </w:pPr>
            <w:r w:rsidRPr="00D13A23">
              <w:rPr>
                <w:rStyle w:val="Bodytext211pt"/>
                <w:b/>
                <w:sz w:val="24"/>
                <w:szCs w:val="24"/>
                <w:lang w:val="ro-RO"/>
              </w:rPr>
              <w:t>20.</w:t>
            </w:r>
          </w:p>
        </w:tc>
        <w:tc>
          <w:tcPr>
            <w:tcW w:w="4394" w:type="dxa"/>
            <w:shd w:val="clear" w:color="auto" w:fill="FFFFFF"/>
          </w:tcPr>
          <w:p w:rsidR="008F32F8" w:rsidRPr="00D13A23" w:rsidRDefault="008F32F8" w:rsidP="002900BB">
            <w:pPr>
              <w:pStyle w:val="Bodytext20"/>
              <w:shd w:val="clear" w:color="auto" w:fill="auto"/>
              <w:spacing w:line="322" w:lineRule="exact"/>
              <w:rPr>
                <w:color w:val="000000"/>
                <w:sz w:val="24"/>
                <w:szCs w:val="24"/>
                <w:shd w:val="clear" w:color="auto" w:fill="FFFFFF"/>
                <w:lang w:val="ro-RO" w:bidi="en-US"/>
              </w:rPr>
            </w:pPr>
            <w:r w:rsidRPr="00D13A23">
              <w:rPr>
                <w:rStyle w:val="Bodytext211pt"/>
                <w:sz w:val="24"/>
                <w:szCs w:val="24"/>
                <w:lang w:val="ro-RO"/>
              </w:rPr>
              <w:t xml:space="preserve">Școala profesională </w:t>
            </w:r>
            <w:r w:rsidR="002900BB" w:rsidRPr="00D13A23">
              <w:rPr>
                <w:rStyle w:val="Bodytext211pt"/>
                <w:sz w:val="24"/>
                <w:szCs w:val="24"/>
                <w:lang w:val="ro-RO"/>
              </w:rPr>
              <w:t>n</w:t>
            </w:r>
            <w:r w:rsidRPr="00D13A23">
              <w:rPr>
                <w:rStyle w:val="Bodytext211pt"/>
                <w:sz w:val="24"/>
                <w:szCs w:val="24"/>
                <w:lang w:val="ro-RO"/>
              </w:rPr>
              <w:t>r.10</w:t>
            </w:r>
            <w:r w:rsidR="002900BB" w:rsidRPr="00D13A23">
              <w:rPr>
                <w:rStyle w:val="Bodytext211pt"/>
                <w:sz w:val="24"/>
                <w:szCs w:val="24"/>
                <w:lang w:val="ro-RO"/>
              </w:rPr>
              <w:t>,</w:t>
            </w:r>
            <w:r w:rsidRPr="00D13A23">
              <w:rPr>
                <w:rStyle w:val="Bodytext211pt"/>
                <w:sz w:val="24"/>
                <w:szCs w:val="24"/>
                <w:lang w:val="ro-RO"/>
              </w:rPr>
              <w:t xml:space="preserve"> mun. Chișinău</w:t>
            </w:r>
          </w:p>
        </w:tc>
        <w:tc>
          <w:tcPr>
            <w:tcW w:w="858" w:type="dxa"/>
            <w:shd w:val="clear" w:color="auto" w:fill="FFFFFF"/>
          </w:tcPr>
          <w:p w:rsidR="008F32F8" w:rsidRPr="00D13A23" w:rsidRDefault="008F32F8" w:rsidP="00D13A23">
            <w:pPr>
              <w:pStyle w:val="Bodytext20"/>
              <w:shd w:val="clear" w:color="auto" w:fill="auto"/>
              <w:spacing w:line="244" w:lineRule="exact"/>
              <w:jc w:val="center"/>
              <w:rPr>
                <w:color w:val="000000"/>
                <w:sz w:val="24"/>
                <w:szCs w:val="24"/>
                <w:shd w:val="clear" w:color="auto" w:fill="FFFFFF"/>
                <w:lang w:val="ro-RO" w:bidi="en-US"/>
              </w:rPr>
            </w:pPr>
            <w:r w:rsidRPr="00D13A23">
              <w:rPr>
                <w:rStyle w:val="Bodytext211pt"/>
                <w:sz w:val="24"/>
                <w:szCs w:val="24"/>
                <w:lang w:val="ro-RO"/>
              </w:rPr>
              <w:t>01281</w:t>
            </w:r>
          </w:p>
        </w:tc>
        <w:tc>
          <w:tcPr>
            <w:tcW w:w="851" w:type="dxa"/>
            <w:shd w:val="clear" w:color="auto" w:fill="FFFFFF"/>
          </w:tcPr>
          <w:p w:rsidR="008F32F8" w:rsidRPr="00D13A23" w:rsidRDefault="008F32F8" w:rsidP="00D13A23">
            <w:pPr>
              <w:pStyle w:val="Bodytext20"/>
              <w:shd w:val="clear" w:color="auto" w:fill="auto"/>
              <w:spacing w:line="244" w:lineRule="exact"/>
              <w:jc w:val="center"/>
              <w:rPr>
                <w:color w:val="000000"/>
                <w:sz w:val="24"/>
                <w:szCs w:val="24"/>
                <w:shd w:val="clear" w:color="auto" w:fill="FFFFFF"/>
                <w:lang w:val="ro-RO" w:bidi="en-US"/>
              </w:rPr>
            </w:pPr>
            <w:r w:rsidRPr="00D13A23">
              <w:rPr>
                <w:rStyle w:val="Bodytext211pt"/>
                <w:sz w:val="24"/>
                <w:szCs w:val="24"/>
                <w:lang w:val="ro-RO"/>
              </w:rPr>
              <w:t>15509</w:t>
            </w:r>
          </w:p>
        </w:tc>
        <w:tc>
          <w:tcPr>
            <w:tcW w:w="992" w:type="dxa"/>
            <w:shd w:val="clear" w:color="auto" w:fill="FFFFFF"/>
          </w:tcPr>
          <w:p w:rsidR="008F32F8" w:rsidRPr="00D13A23" w:rsidRDefault="008F32F8" w:rsidP="00D13A23">
            <w:pPr>
              <w:pStyle w:val="Bodytext20"/>
              <w:shd w:val="clear" w:color="auto" w:fill="auto"/>
              <w:spacing w:line="244" w:lineRule="exact"/>
              <w:jc w:val="center"/>
              <w:rPr>
                <w:color w:val="000000"/>
                <w:sz w:val="24"/>
                <w:szCs w:val="24"/>
                <w:shd w:val="clear" w:color="auto" w:fill="FFFFFF"/>
                <w:lang w:val="ro-RO" w:bidi="en-US"/>
              </w:rPr>
            </w:pPr>
            <w:r w:rsidRPr="00D13A23">
              <w:rPr>
                <w:rStyle w:val="Bodytext211pt"/>
                <w:sz w:val="24"/>
                <w:szCs w:val="24"/>
                <w:lang w:val="ro-RO"/>
              </w:rPr>
              <w:t>08.12.17</w:t>
            </w:r>
          </w:p>
        </w:tc>
        <w:tc>
          <w:tcPr>
            <w:tcW w:w="1776" w:type="dxa"/>
            <w:shd w:val="clear" w:color="auto" w:fill="FFFFFF"/>
          </w:tcPr>
          <w:p w:rsidR="008F32F8" w:rsidRPr="00D13A23" w:rsidRDefault="008F32F8" w:rsidP="00D13A23">
            <w:pPr>
              <w:pStyle w:val="Bodytext20"/>
              <w:shd w:val="clear" w:color="auto" w:fill="auto"/>
              <w:spacing w:line="244" w:lineRule="exact"/>
              <w:ind w:right="499"/>
              <w:jc w:val="center"/>
              <w:rPr>
                <w:color w:val="000000"/>
                <w:sz w:val="24"/>
                <w:szCs w:val="24"/>
                <w:shd w:val="clear" w:color="auto" w:fill="FFFFFF"/>
                <w:lang w:val="ro-RO" w:eastAsia="ru-RU" w:bidi="ru-RU"/>
              </w:rPr>
            </w:pPr>
            <w:r w:rsidRPr="00D13A23">
              <w:rPr>
                <w:rStyle w:val="Bodytext211pt"/>
                <w:sz w:val="24"/>
                <w:szCs w:val="24"/>
                <w:lang w:val="ro-RO" w:eastAsia="ru-RU" w:bidi="ru-RU"/>
              </w:rPr>
              <w:t>0,03</w:t>
            </w:r>
          </w:p>
        </w:tc>
      </w:tr>
      <w:tr w:rsidR="008F32F8" w:rsidRPr="00A07ADA" w:rsidTr="00406684">
        <w:trPr>
          <w:trHeight w:hRule="exact" w:val="414"/>
        </w:trPr>
        <w:tc>
          <w:tcPr>
            <w:tcW w:w="704" w:type="dxa"/>
            <w:shd w:val="clear" w:color="auto" w:fill="FFFFFF"/>
          </w:tcPr>
          <w:p w:rsidR="008F32F8" w:rsidRPr="00D13A23" w:rsidRDefault="008F32F8" w:rsidP="00406684">
            <w:pPr>
              <w:pStyle w:val="Bodytext20"/>
              <w:shd w:val="clear" w:color="auto" w:fill="auto"/>
              <w:spacing w:line="244" w:lineRule="exact"/>
              <w:ind w:left="140"/>
              <w:rPr>
                <w:b/>
                <w:color w:val="000000"/>
                <w:sz w:val="24"/>
                <w:szCs w:val="24"/>
                <w:shd w:val="clear" w:color="auto" w:fill="FFFFFF"/>
                <w:lang w:val="ro-RO" w:bidi="en-US"/>
              </w:rPr>
            </w:pPr>
            <w:r w:rsidRPr="00D13A23">
              <w:rPr>
                <w:rStyle w:val="Bodytext211pt"/>
                <w:b/>
                <w:sz w:val="24"/>
                <w:szCs w:val="24"/>
                <w:lang w:val="ro-RO"/>
              </w:rPr>
              <w:t>21.</w:t>
            </w:r>
          </w:p>
        </w:tc>
        <w:tc>
          <w:tcPr>
            <w:tcW w:w="4394" w:type="dxa"/>
            <w:shd w:val="clear" w:color="auto" w:fill="FFFFFF"/>
          </w:tcPr>
          <w:p w:rsidR="008F32F8" w:rsidRPr="00D13A23" w:rsidRDefault="008F32F8" w:rsidP="002900BB">
            <w:pPr>
              <w:pStyle w:val="Bodytext20"/>
              <w:shd w:val="clear" w:color="auto" w:fill="auto"/>
              <w:spacing w:line="322" w:lineRule="exact"/>
              <w:rPr>
                <w:color w:val="000000"/>
                <w:sz w:val="24"/>
                <w:szCs w:val="24"/>
                <w:shd w:val="clear" w:color="auto" w:fill="FFFFFF"/>
                <w:lang w:val="ro-RO" w:bidi="en-US"/>
              </w:rPr>
            </w:pPr>
            <w:r w:rsidRPr="00D13A23">
              <w:rPr>
                <w:rStyle w:val="Bodytext211pt"/>
                <w:sz w:val="24"/>
                <w:szCs w:val="24"/>
                <w:lang w:val="ro-RO"/>
              </w:rPr>
              <w:t xml:space="preserve">Școala profesională </w:t>
            </w:r>
            <w:r w:rsidR="002900BB" w:rsidRPr="00D13A23">
              <w:rPr>
                <w:rStyle w:val="Bodytext211pt"/>
                <w:sz w:val="24"/>
                <w:szCs w:val="24"/>
                <w:lang w:val="ro-RO"/>
              </w:rPr>
              <w:t>n</w:t>
            </w:r>
            <w:r w:rsidRPr="00D13A23">
              <w:rPr>
                <w:rStyle w:val="Bodytext211pt"/>
                <w:sz w:val="24"/>
                <w:szCs w:val="24"/>
                <w:lang w:val="ro-RO"/>
              </w:rPr>
              <w:t>r.5</w:t>
            </w:r>
            <w:r w:rsidR="002900BB" w:rsidRPr="00D13A23">
              <w:rPr>
                <w:rStyle w:val="Bodytext211pt"/>
                <w:sz w:val="24"/>
                <w:szCs w:val="24"/>
                <w:lang w:val="ro-RO"/>
              </w:rPr>
              <w:t>,</w:t>
            </w:r>
            <w:r w:rsidRPr="00D13A23">
              <w:rPr>
                <w:rStyle w:val="Bodytext211pt"/>
                <w:sz w:val="24"/>
                <w:szCs w:val="24"/>
                <w:lang w:val="ro-RO"/>
              </w:rPr>
              <w:t xml:space="preserve"> mun. Chișinău</w:t>
            </w:r>
          </w:p>
        </w:tc>
        <w:tc>
          <w:tcPr>
            <w:tcW w:w="858" w:type="dxa"/>
            <w:shd w:val="clear" w:color="auto" w:fill="FFFFFF"/>
          </w:tcPr>
          <w:p w:rsidR="008F32F8" w:rsidRPr="00D13A23" w:rsidRDefault="008F32F8" w:rsidP="00D13A23">
            <w:pPr>
              <w:pStyle w:val="Bodytext20"/>
              <w:shd w:val="clear" w:color="auto" w:fill="auto"/>
              <w:spacing w:line="244" w:lineRule="exact"/>
              <w:jc w:val="center"/>
              <w:rPr>
                <w:color w:val="000000"/>
                <w:sz w:val="24"/>
                <w:szCs w:val="24"/>
                <w:shd w:val="clear" w:color="auto" w:fill="FFFFFF"/>
                <w:lang w:val="ro-RO" w:bidi="en-US"/>
              </w:rPr>
            </w:pPr>
            <w:r w:rsidRPr="00D13A23">
              <w:rPr>
                <w:rStyle w:val="Bodytext211pt"/>
                <w:sz w:val="24"/>
                <w:szCs w:val="24"/>
                <w:lang w:val="ro-RO"/>
              </w:rPr>
              <w:t>01320</w:t>
            </w:r>
          </w:p>
        </w:tc>
        <w:tc>
          <w:tcPr>
            <w:tcW w:w="851" w:type="dxa"/>
            <w:shd w:val="clear" w:color="auto" w:fill="FFFFFF"/>
          </w:tcPr>
          <w:p w:rsidR="008F32F8" w:rsidRPr="00D13A23" w:rsidRDefault="008F32F8" w:rsidP="00D13A23">
            <w:pPr>
              <w:pStyle w:val="Bodytext20"/>
              <w:shd w:val="clear" w:color="auto" w:fill="auto"/>
              <w:spacing w:line="244" w:lineRule="exact"/>
              <w:jc w:val="center"/>
              <w:rPr>
                <w:color w:val="000000"/>
                <w:sz w:val="24"/>
                <w:szCs w:val="24"/>
                <w:shd w:val="clear" w:color="auto" w:fill="FFFFFF"/>
                <w:lang w:val="ro-RO" w:bidi="en-US"/>
              </w:rPr>
            </w:pPr>
            <w:r w:rsidRPr="00D13A23">
              <w:rPr>
                <w:rStyle w:val="Bodytext211pt"/>
                <w:sz w:val="24"/>
                <w:szCs w:val="24"/>
                <w:lang w:val="ro-RO"/>
              </w:rPr>
              <w:t>15540</w:t>
            </w:r>
          </w:p>
        </w:tc>
        <w:tc>
          <w:tcPr>
            <w:tcW w:w="992" w:type="dxa"/>
            <w:shd w:val="clear" w:color="auto" w:fill="FFFFFF"/>
          </w:tcPr>
          <w:p w:rsidR="008F32F8" w:rsidRPr="00D13A23" w:rsidRDefault="008F32F8" w:rsidP="00D13A23">
            <w:pPr>
              <w:pStyle w:val="Bodytext20"/>
              <w:shd w:val="clear" w:color="auto" w:fill="auto"/>
              <w:spacing w:line="244" w:lineRule="exact"/>
              <w:jc w:val="center"/>
              <w:rPr>
                <w:color w:val="000000"/>
                <w:sz w:val="24"/>
                <w:szCs w:val="24"/>
                <w:shd w:val="clear" w:color="auto" w:fill="FFFFFF"/>
                <w:lang w:val="ro-RO" w:bidi="en-US"/>
              </w:rPr>
            </w:pPr>
            <w:r w:rsidRPr="00D13A23">
              <w:rPr>
                <w:rStyle w:val="Bodytext211pt"/>
                <w:sz w:val="24"/>
                <w:szCs w:val="24"/>
                <w:lang w:val="ro-RO"/>
              </w:rPr>
              <w:t>08.12.17</w:t>
            </w:r>
          </w:p>
        </w:tc>
        <w:tc>
          <w:tcPr>
            <w:tcW w:w="1776" w:type="dxa"/>
            <w:shd w:val="clear" w:color="auto" w:fill="FFFFFF"/>
          </w:tcPr>
          <w:p w:rsidR="008F32F8" w:rsidRPr="00D13A23" w:rsidRDefault="008F32F8" w:rsidP="00D13A23">
            <w:pPr>
              <w:pStyle w:val="Bodytext20"/>
              <w:shd w:val="clear" w:color="auto" w:fill="auto"/>
              <w:spacing w:line="244" w:lineRule="exact"/>
              <w:ind w:right="499"/>
              <w:jc w:val="center"/>
              <w:rPr>
                <w:color w:val="000000"/>
                <w:sz w:val="24"/>
                <w:szCs w:val="24"/>
                <w:shd w:val="clear" w:color="auto" w:fill="FFFFFF"/>
                <w:lang w:val="ro-RO" w:eastAsia="ru-RU" w:bidi="ru-RU"/>
              </w:rPr>
            </w:pPr>
            <w:r w:rsidRPr="00D13A23">
              <w:rPr>
                <w:rStyle w:val="Bodytext211pt"/>
                <w:sz w:val="24"/>
                <w:szCs w:val="24"/>
                <w:lang w:val="ro-RO" w:eastAsia="ru-RU" w:bidi="ru-RU"/>
              </w:rPr>
              <w:t>0,07</w:t>
            </w:r>
          </w:p>
        </w:tc>
      </w:tr>
      <w:tr w:rsidR="008F32F8" w:rsidRPr="00A07ADA" w:rsidTr="00406684">
        <w:trPr>
          <w:trHeight w:hRule="exact" w:val="435"/>
        </w:trPr>
        <w:tc>
          <w:tcPr>
            <w:tcW w:w="704" w:type="dxa"/>
            <w:shd w:val="clear" w:color="auto" w:fill="FFFFFF"/>
          </w:tcPr>
          <w:p w:rsidR="008F32F8" w:rsidRPr="00D13A23" w:rsidRDefault="008F32F8" w:rsidP="00406684">
            <w:pPr>
              <w:pStyle w:val="Bodytext20"/>
              <w:shd w:val="clear" w:color="auto" w:fill="auto"/>
              <w:spacing w:line="244" w:lineRule="exact"/>
              <w:ind w:left="140"/>
              <w:rPr>
                <w:b/>
                <w:color w:val="000000"/>
                <w:sz w:val="24"/>
                <w:szCs w:val="24"/>
                <w:shd w:val="clear" w:color="auto" w:fill="FFFFFF"/>
                <w:lang w:val="ro-RO" w:bidi="en-US"/>
              </w:rPr>
            </w:pPr>
            <w:r w:rsidRPr="00D13A23">
              <w:rPr>
                <w:rStyle w:val="Bodytext2Candara"/>
                <w:rFonts w:ascii="Times New Roman" w:eastAsia="Times New Roman" w:hAnsi="Times New Roman" w:cs="Times New Roman"/>
                <w:b/>
                <w:sz w:val="24"/>
                <w:szCs w:val="24"/>
                <w:lang w:val="ro-RO" w:eastAsia="en-US" w:bidi="en-US"/>
              </w:rPr>
              <w:t>22.</w:t>
            </w:r>
          </w:p>
        </w:tc>
        <w:tc>
          <w:tcPr>
            <w:tcW w:w="4394" w:type="dxa"/>
            <w:shd w:val="clear" w:color="auto" w:fill="FFFFFF"/>
          </w:tcPr>
          <w:p w:rsidR="008F32F8" w:rsidRPr="00D13A23" w:rsidRDefault="008F32F8" w:rsidP="00406684">
            <w:pPr>
              <w:pStyle w:val="Bodytext20"/>
              <w:shd w:val="clear" w:color="auto" w:fill="auto"/>
              <w:spacing w:line="322" w:lineRule="exact"/>
              <w:rPr>
                <w:color w:val="000000"/>
                <w:sz w:val="24"/>
                <w:szCs w:val="24"/>
                <w:shd w:val="clear" w:color="auto" w:fill="FFFFFF"/>
                <w:lang w:val="ro-RO" w:bidi="en-US"/>
              </w:rPr>
            </w:pPr>
            <w:r w:rsidRPr="00D13A23">
              <w:rPr>
                <w:rStyle w:val="Bodytext211pt"/>
                <w:sz w:val="24"/>
                <w:szCs w:val="24"/>
                <w:lang w:val="ro-RO"/>
              </w:rPr>
              <w:t>Centrul de Excelență în Transporturi</w:t>
            </w:r>
          </w:p>
        </w:tc>
        <w:tc>
          <w:tcPr>
            <w:tcW w:w="858" w:type="dxa"/>
            <w:shd w:val="clear" w:color="auto" w:fill="FFFFFF"/>
          </w:tcPr>
          <w:p w:rsidR="008F32F8" w:rsidRPr="00D13A23" w:rsidRDefault="008F32F8" w:rsidP="00D13A23">
            <w:pPr>
              <w:pStyle w:val="Bodytext20"/>
              <w:shd w:val="clear" w:color="auto" w:fill="auto"/>
              <w:spacing w:line="244" w:lineRule="exact"/>
              <w:jc w:val="center"/>
              <w:rPr>
                <w:color w:val="000000"/>
                <w:sz w:val="24"/>
                <w:szCs w:val="24"/>
                <w:shd w:val="clear" w:color="auto" w:fill="FFFFFF"/>
                <w:lang w:val="ro-RO" w:bidi="en-US"/>
              </w:rPr>
            </w:pPr>
            <w:r w:rsidRPr="00D13A23">
              <w:rPr>
                <w:rStyle w:val="Bodytext211pt"/>
                <w:sz w:val="24"/>
                <w:szCs w:val="24"/>
                <w:lang w:val="ro-RO"/>
              </w:rPr>
              <w:t>14922</w:t>
            </w:r>
          </w:p>
        </w:tc>
        <w:tc>
          <w:tcPr>
            <w:tcW w:w="851" w:type="dxa"/>
            <w:shd w:val="clear" w:color="auto" w:fill="FFFFFF"/>
          </w:tcPr>
          <w:p w:rsidR="008F32F8" w:rsidRPr="00D13A23" w:rsidRDefault="008F32F8" w:rsidP="00D13A23">
            <w:pPr>
              <w:pStyle w:val="Bodytext20"/>
              <w:shd w:val="clear" w:color="auto" w:fill="auto"/>
              <w:spacing w:line="244" w:lineRule="exact"/>
              <w:jc w:val="center"/>
              <w:rPr>
                <w:color w:val="000000"/>
                <w:sz w:val="24"/>
                <w:szCs w:val="24"/>
                <w:shd w:val="clear" w:color="auto" w:fill="FFFFFF"/>
                <w:lang w:val="ro-RO" w:bidi="en-US"/>
              </w:rPr>
            </w:pPr>
            <w:r w:rsidRPr="00D13A23">
              <w:rPr>
                <w:rStyle w:val="Bodytext211pt"/>
                <w:sz w:val="24"/>
                <w:szCs w:val="24"/>
                <w:lang w:val="ro-RO"/>
              </w:rPr>
              <w:t>15569</w:t>
            </w:r>
          </w:p>
        </w:tc>
        <w:tc>
          <w:tcPr>
            <w:tcW w:w="992" w:type="dxa"/>
            <w:shd w:val="clear" w:color="auto" w:fill="FFFFFF"/>
          </w:tcPr>
          <w:p w:rsidR="008F32F8" w:rsidRPr="00D13A23" w:rsidRDefault="008F32F8" w:rsidP="00D13A23">
            <w:pPr>
              <w:pStyle w:val="Bodytext20"/>
              <w:shd w:val="clear" w:color="auto" w:fill="auto"/>
              <w:spacing w:line="244" w:lineRule="exact"/>
              <w:jc w:val="center"/>
              <w:rPr>
                <w:color w:val="000000"/>
                <w:sz w:val="24"/>
                <w:szCs w:val="24"/>
                <w:shd w:val="clear" w:color="auto" w:fill="FFFFFF"/>
                <w:lang w:val="ro-RO" w:bidi="en-US"/>
              </w:rPr>
            </w:pPr>
            <w:r w:rsidRPr="00D13A23">
              <w:rPr>
                <w:rStyle w:val="Bodytext211pt"/>
                <w:sz w:val="24"/>
                <w:szCs w:val="24"/>
                <w:lang w:val="ro-RO"/>
              </w:rPr>
              <w:t>15.12.17</w:t>
            </w:r>
          </w:p>
        </w:tc>
        <w:tc>
          <w:tcPr>
            <w:tcW w:w="1776" w:type="dxa"/>
            <w:shd w:val="clear" w:color="auto" w:fill="FFFFFF"/>
          </w:tcPr>
          <w:p w:rsidR="008F32F8" w:rsidRPr="00D13A23" w:rsidRDefault="008F32F8" w:rsidP="00D13A23">
            <w:pPr>
              <w:pStyle w:val="Bodytext20"/>
              <w:shd w:val="clear" w:color="auto" w:fill="auto"/>
              <w:spacing w:line="244" w:lineRule="exact"/>
              <w:ind w:right="499"/>
              <w:jc w:val="center"/>
              <w:rPr>
                <w:color w:val="000000"/>
                <w:sz w:val="24"/>
                <w:szCs w:val="24"/>
                <w:shd w:val="clear" w:color="auto" w:fill="FFFFFF"/>
                <w:lang w:val="ro-RO" w:eastAsia="ru-RU" w:bidi="ru-RU"/>
              </w:rPr>
            </w:pPr>
            <w:r w:rsidRPr="00D13A23">
              <w:rPr>
                <w:rStyle w:val="Bodytext211pt"/>
                <w:sz w:val="24"/>
                <w:szCs w:val="24"/>
                <w:lang w:val="ro-RO" w:eastAsia="ru-RU" w:bidi="ru-RU"/>
              </w:rPr>
              <w:t>171,5</w:t>
            </w:r>
          </w:p>
        </w:tc>
      </w:tr>
      <w:tr w:rsidR="008F32F8" w:rsidRPr="00A07ADA" w:rsidTr="009333E2">
        <w:trPr>
          <w:trHeight w:hRule="exact" w:val="423"/>
        </w:trPr>
        <w:tc>
          <w:tcPr>
            <w:tcW w:w="704" w:type="dxa"/>
            <w:shd w:val="clear" w:color="auto" w:fill="FFFFFF"/>
          </w:tcPr>
          <w:p w:rsidR="008F32F8" w:rsidRPr="00D13A23" w:rsidRDefault="008F32F8" w:rsidP="00406684">
            <w:pPr>
              <w:pStyle w:val="Bodytext20"/>
              <w:shd w:val="clear" w:color="auto" w:fill="auto"/>
              <w:spacing w:line="244" w:lineRule="exact"/>
              <w:ind w:left="140"/>
              <w:rPr>
                <w:b/>
                <w:color w:val="000000"/>
                <w:sz w:val="24"/>
                <w:szCs w:val="24"/>
                <w:shd w:val="clear" w:color="auto" w:fill="FFFFFF"/>
                <w:lang w:val="ro-RO" w:bidi="en-US"/>
              </w:rPr>
            </w:pPr>
            <w:r w:rsidRPr="00D13A23">
              <w:rPr>
                <w:rStyle w:val="Bodytext211pt"/>
                <w:b/>
                <w:sz w:val="24"/>
                <w:szCs w:val="24"/>
                <w:lang w:val="ro-RO"/>
              </w:rPr>
              <w:t>23.</w:t>
            </w:r>
          </w:p>
        </w:tc>
        <w:tc>
          <w:tcPr>
            <w:tcW w:w="4394" w:type="dxa"/>
            <w:shd w:val="clear" w:color="auto" w:fill="FFFFFF"/>
          </w:tcPr>
          <w:p w:rsidR="008F32F8" w:rsidRPr="00D13A23" w:rsidRDefault="008F32F8" w:rsidP="009333E2">
            <w:pPr>
              <w:pStyle w:val="Bodytext20"/>
              <w:shd w:val="clear" w:color="auto" w:fill="auto"/>
              <w:spacing w:line="322" w:lineRule="exact"/>
              <w:rPr>
                <w:color w:val="000000"/>
                <w:sz w:val="24"/>
                <w:szCs w:val="24"/>
                <w:shd w:val="clear" w:color="auto" w:fill="FFFFFF"/>
                <w:lang w:val="ro-RO" w:bidi="en-US"/>
              </w:rPr>
            </w:pPr>
            <w:r w:rsidRPr="00D13A23">
              <w:rPr>
                <w:rStyle w:val="Bodytext211pt"/>
                <w:sz w:val="24"/>
                <w:szCs w:val="24"/>
                <w:lang w:val="ro-RO"/>
              </w:rPr>
              <w:t xml:space="preserve">Centrul de Excelență în Economie și Finanțe </w:t>
            </w:r>
          </w:p>
        </w:tc>
        <w:tc>
          <w:tcPr>
            <w:tcW w:w="858" w:type="dxa"/>
            <w:shd w:val="clear" w:color="auto" w:fill="FFFFFF"/>
          </w:tcPr>
          <w:p w:rsidR="008F32F8" w:rsidRPr="00D13A23" w:rsidRDefault="008F32F8" w:rsidP="00D13A23">
            <w:pPr>
              <w:pStyle w:val="Bodytext20"/>
              <w:shd w:val="clear" w:color="auto" w:fill="auto"/>
              <w:spacing w:line="244" w:lineRule="exact"/>
              <w:jc w:val="center"/>
              <w:rPr>
                <w:color w:val="000000"/>
                <w:sz w:val="24"/>
                <w:szCs w:val="24"/>
                <w:shd w:val="clear" w:color="auto" w:fill="FFFFFF"/>
                <w:lang w:val="ro-RO" w:bidi="en-US"/>
              </w:rPr>
            </w:pPr>
            <w:r w:rsidRPr="00D13A23">
              <w:rPr>
                <w:rStyle w:val="Bodytext211pt"/>
                <w:sz w:val="24"/>
                <w:szCs w:val="24"/>
                <w:lang w:val="ro-RO"/>
              </w:rPr>
              <w:t>01247</w:t>
            </w:r>
          </w:p>
        </w:tc>
        <w:tc>
          <w:tcPr>
            <w:tcW w:w="851" w:type="dxa"/>
            <w:shd w:val="clear" w:color="auto" w:fill="FFFFFF"/>
          </w:tcPr>
          <w:p w:rsidR="008F32F8" w:rsidRPr="00D13A23" w:rsidRDefault="008F32F8" w:rsidP="00D13A23">
            <w:pPr>
              <w:pStyle w:val="Bodytext20"/>
              <w:shd w:val="clear" w:color="auto" w:fill="auto"/>
              <w:spacing w:line="244" w:lineRule="exact"/>
              <w:jc w:val="center"/>
              <w:rPr>
                <w:color w:val="000000"/>
                <w:sz w:val="24"/>
                <w:szCs w:val="24"/>
                <w:shd w:val="clear" w:color="auto" w:fill="FFFFFF"/>
                <w:lang w:val="ro-RO" w:bidi="en-US"/>
              </w:rPr>
            </w:pPr>
            <w:r w:rsidRPr="00D13A23">
              <w:rPr>
                <w:rStyle w:val="Bodytext211pt"/>
                <w:sz w:val="24"/>
                <w:szCs w:val="24"/>
                <w:lang w:val="ro-RO"/>
              </w:rPr>
              <w:t>15460</w:t>
            </w:r>
          </w:p>
        </w:tc>
        <w:tc>
          <w:tcPr>
            <w:tcW w:w="992" w:type="dxa"/>
            <w:shd w:val="clear" w:color="auto" w:fill="FFFFFF"/>
          </w:tcPr>
          <w:p w:rsidR="008F32F8" w:rsidRPr="00D13A23" w:rsidRDefault="008F32F8" w:rsidP="00D13A23">
            <w:pPr>
              <w:pStyle w:val="Bodytext20"/>
              <w:shd w:val="clear" w:color="auto" w:fill="auto"/>
              <w:spacing w:line="244" w:lineRule="exact"/>
              <w:jc w:val="center"/>
              <w:rPr>
                <w:color w:val="000000"/>
                <w:sz w:val="24"/>
                <w:szCs w:val="24"/>
                <w:shd w:val="clear" w:color="auto" w:fill="FFFFFF"/>
                <w:lang w:val="ro-RO" w:bidi="en-US"/>
              </w:rPr>
            </w:pPr>
            <w:r w:rsidRPr="00D13A23">
              <w:rPr>
                <w:rStyle w:val="Bodytext211pt"/>
                <w:sz w:val="24"/>
                <w:szCs w:val="24"/>
                <w:lang w:val="ro-RO"/>
              </w:rPr>
              <w:t>12.12.17</w:t>
            </w:r>
          </w:p>
        </w:tc>
        <w:tc>
          <w:tcPr>
            <w:tcW w:w="1776" w:type="dxa"/>
            <w:shd w:val="clear" w:color="auto" w:fill="FFFFFF"/>
          </w:tcPr>
          <w:p w:rsidR="008F32F8" w:rsidRPr="00D13A23" w:rsidRDefault="008F32F8" w:rsidP="00D13A23">
            <w:pPr>
              <w:pStyle w:val="Bodytext20"/>
              <w:shd w:val="clear" w:color="auto" w:fill="auto"/>
              <w:spacing w:line="244" w:lineRule="exact"/>
              <w:ind w:right="499"/>
              <w:jc w:val="center"/>
              <w:rPr>
                <w:color w:val="000000"/>
                <w:sz w:val="24"/>
                <w:szCs w:val="24"/>
                <w:shd w:val="clear" w:color="auto" w:fill="FFFFFF"/>
                <w:lang w:val="ro-RO" w:eastAsia="ru-RU" w:bidi="ru-RU"/>
              </w:rPr>
            </w:pPr>
            <w:r w:rsidRPr="00D13A23">
              <w:rPr>
                <w:rStyle w:val="Bodytext211pt"/>
                <w:sz w:val="24"/>
                <w:szCs w:val="24"/>
                <w:lang w:val="ro-RO" w:eastAsia="ru-RU" w:bidi="ru-RU"/>
              </w:rPr>
              <w:t>76,8</w:t>
            </w:r>
          </w:p>
        </w:tc>
      </w:tr>
      <w:tr w:rsidR="008F32F8" w:rsidRPr="00A07ADA" w:rsidTr="00406684">
        <w:trPr>
          <w:trHeight w:hRule="exact" w:val="409"/>
        </w:trPr>
        <w:tc>
          <w:tcPr>
            <w:tcW w:w="704" w:type="dxa"/>
            <w:shd w:val="clear" w:color="auto" w:fill="FFFFFF"/>
          </w:tcPr>
          <w:p w:rsidR="008F32F8" w:rsidRPr="00D13A23" w:rsidRDefault="008F32F8" w:rsidP="00406684">
            <w:pPr>
              <w:pStyle w:val="Bodytext20"/>
              <w:shd w:val="clear" w:color="auto" w:fill="auto"/>
              <w:spacing w:line="244" w:lineRule="exact"/>
              <w:ind w:left="140"/>
              <w:rPr>
                <w:b/>
                <w:color w:val="000000"/>
                <w:sz w:val="24"/>
                <w:szCs w:val="24"/>
                <w:shd w:val="clear" w:color="auto" w:fill="FFFFFF"/>
                <w:lang w:val="ro-RO" w:bidi="en-US"/>
              </w:rPr>
            </w:pPr>
            <w:r w:rsidRPr="00D13A23">
              <w:rPr>
                <w:rStyle w:val="Bodytext211pt"/>
                <w:b/>
                <w:sz w:val="24"/>
                <w:szCs w:val="24"/>
                <w:lang w:val="ro-RO"/>
              </w:rPr>
              <w:t>24.</w:t>
            </w:r>
          </w:p>
        </w:tc>
        <w:tc>
          <w:tcPr>
            <w:tcW w:w="4394" w:type="dxa"/>
            <w:shd w:val="clear" w:color="auto" w:fill="FFFFFF"/>
          </w:tcPr>
          <w:p w:rsidR="008F32F8" w:rsidRPr="00D13A23" w:rsidRDefault="008F32F8" w:rsidP="002900BB">
            <w:pPr>
              <w:pStyle w:val="Bodytext20"/>
              <w:shd w:val="clear" w:color="auto" w:fill="auto"/>
              <w:spacing w:line="322" w:lineRule="exact"/>
              <w:rPr>
                <w:color w:val="000000"/>
                <w:sz w:val="24"/>
                <w:szCs w:val="24"/>
                <w:shd w:val="clear" w:color="auto" w:fill="FFFFFF"/>
                <w:lang w:val="ro-RO" w:bidi="en-US"/>
              </w:rPr>
            </w:pPr>
            <w:r w:rsidRPr="00D13A23">
              <w:rPr>
                <w:rStyle w:val="Bodytext211pt"/>
                <w:sz w:val="24"/>
                <w:szCs w:val="24"/>
                <w:lang w:val="ro-RO"/>
              </w:rPr>
              <w:t xml:space="preserve">Școala profesională </w:t>
            </w:r>
            <w:r w:rsidR="002900BB" w:rsidRPr="00D13A23">
              <w:rPr>
                <w:rStyle w:val="Bodytext211pt"/>
                <w:sz w:val="24"/>
                <w:szCs w:val="24"/>
                <w:lang w:val="ro-RO"/>
              </w:rPr>
              <w:t>n</w:t>
            </w:r>
            <w:r w:rsidRPr="00D13A23">
              <w:rPr>
                <w:rStyle w:val="Bodytext211pt"/>
                <w:sz w:val="24"/>
                <w:szCs w:val="24"/>
                <w:lang w:val="ro-RO"/>
              </w:rPr>
              <w:t>r.2</w:t>
            </w:r>
            <w:r w:rsidR="002900BB" w:rsidRPr="00D13A23">
              <w:rPr>
                <w:rStyle w:val="Bodytext211pt"/>
                <w:sz w:val="24"/>
                <w:szCs w:val="24"/>
                <w:lang w:val="ro-RO"/>
              </w:rPr>
              <w:t>,</w:t>
            </w:r>
            <w:r w:rsidRPr="00D13A23">
              <w:rPr>
                <w:rStyle w:val="Bodytext211pt"/>
                <w:sz w:val="24"/>
                <w:szCs w:val="24"/>
                <w:lang w:val="ro-RO"/>
              </w:rPr>
              <w:t xml:space="preserve"> mun. Chișinău</w:t>
            </w:r>
          </w:p>
        </w:tc>
        <w:tc>
          <w:tcPr>
            <w:tcW w:w="858" w:type="dxa"/>
            <w:shd w:val="clear" w:color="auto" w:fill="FFFFFF"/>
          </w:tcPr>
          <w:p w:rsidR="008F32F8" w:rsidRPr="00D13A23" w:rsidRDefault="008F32F8" w:rsidP="00D13A23">
            <w:pPr>
              <w:pStyle w:val="Bodytext20"/>
              <w:shd w:val="clear" w:color="auto" w:fill="auto"/>
              <w:spacing w:line="244" w:lineRule="exact"/>
              <w:jc w:val="center"/>
              <w:rPr>
                <w:color w:val="000000"/>
                <w:sz w:val="24"/>
                <w:szCs w:val="24"/>
                <w:shd w:val="clear" w:color="auto" w:fill="FFFFFF"/>
                <w:lang w:val="ro-RO" w:bidi="en-US"/>
              </w:rPr>
            </w:pPr>
            <w:r w:rsidRPr="00D13A23">
              <w:rPr>
                <w:rStyle w:val="Bodytext211pt"/>
                <w:sz w:val="24"/>
                <w:szCs w:val="24"/>
                <w:lang w:val="ro-RO"/>
              </w:rPr>
              <w:t>01333</w:t>
            </w:r>
          </w:p>
        </w:tc>
        <w:tc>
          <w:tcPr>
            <w:tcW w:w="851" w:type="dxa"/>
            <w:shd w:val="clear" w:color="auto" w:fill="FFFFFF"/>
          </w:tcPr>
          <w:p w:rsidR="008F32F8" w:rsidRPr="00D13A23" w:rsidRDefault="008F32F8" w:rsidP="00D13A23">
            <w:pPr>
              <w:pStyle w:val="Bodytext20"/>
              <w:shd w:val="clear" w:color="auto" w:fill="auto"/>
              <w:spacing w:line="244" w:lineRule="exact"/>
              <w:jc w:val="center"/>
              <w:rPr>
                <w:color w:val="000000"/>
                <w:sz w:val="24"/>
                <w:szCs w:val="24"/>
                <w:shd w:val="clear" w:color="auto" w:fill="FFFFFF"/>
                <w:lang w:val="ro-RO" w:bidi="en-US"/>
              </w:rPr>
            </w:pPr>
            <w:r w:rsidRPr="00D13A23">
              <w:rPr>
                <w:rStyle w:val="Bodytext211pt"/>
                <w:sz w:val="24"/>
                <w:szCs w:val="24"/>
                <w:lang w:val="ro-RO"/>
              </w:rPr>
              <w:t>15547</w:t>
            </w:r>
          </w:p>
        </w:tc>
        <w:tc>
          <w:tcPr>
            <w:tcW w:w="992" w:type="dxa"/>
            <w:shd w:val="clear" w:color="auto" w:fill="FFFFFF"/>
          </w:tcPr>
          <w:p w:rsidR="008F32F8" w:rsidRPr="00D13A23" w:rsidRDefault="008F32F8" w:rsidP="00D13A23">
            <w:pPr>
              <w:pStyle w:val="Bodytext20"/>
              <w:shd w:val="clear" w:color="auto" w:fill="auto"/>
              <w:spacing w:line="244" w:lineRule="exact"/>
              <w:jc w:val="center"/>
              <w:rPr>
                <w:color w:val="000000"/>
                <w:sz w:val="24"/>
                <w:szCs w:val="24"/>
                <w:shd w:val="clear" w:color="auto" w:fill="FFFFFF"/>
                <w:lang w:val="ro-RO" w:bidi="en-US"/>
              </w:rPr>
            </w:pPr>
            <w:r w:rsidRPr="00D13A23">
              <w:rPr>
                <w:rStyle w:val="Bodytext211pt"/>
                <w:sz w:val="24"/>
                <w:szCs w:val="24"/>
                <w:lang w:val="ro-RO"/>
              </w:rPr>
              <w:t>12.12.17</w:t>
            </w:r>
          </w:p>
        </w:tc>
        <w:tc>
          <w:tcPr>
            <w:tcW w:w="1776" w:type="dxa"/>
            <w:shd w:val="clear" w:color="auto" w:fill="FFFFFF"/>
          </w:tcPr>
          <w:p w:rsidR="008F32F8" w:rsidRPr="00D13A23" w:rsidRDefault="008F32F8" w:rsidP="00D13A23">
            <w:pPr>
              <w:pStyle w:val="Bodytext20"/>
              <w:shd w:val="clear" w:color="auto" w:fill="auto"/>
              <w:spacing w:line="244" w:lineRule="exact"/>
              <w:ind w:right="499"/>
              <w:jc w:val="center"/>
              <w:rPr>
                <w:color w:val="000000"/>
                <w:sz w:val="24"/>
                <w:szCs w:val="24"/>
                <w:shd w:val="clear" w:color="auto" w:fill="FFFFFF"/>
                <w:lang w:val="ro-RO" w:eastAsia="ru-RU" w:bidi="ru-RU"/>
              </w:rPr>
            </w:pPr>
            <w:r w:rsidRPr="00D13A23">
              <w:rPr>
                <w:rStyle w:val="Bodytext211pt"/>
                <w:sz w:val="24"/>
                <w:szCs w:val="24"/>
                <w:lang w:val="ro-RO" w:eastAsia="ru-RU" w:bidi="ru-RU"/>
              </w:rPr>
              <w:t>182,8</w:t>
            </w:r>
          </w:p>
        </w:tc>
      </w:tr>
      <w:tr w:rsidR="008F32F8" w:rsidRPr="00A07ADA" w:rsidTr="00406684">
        <w:trPr>
          <w:trHeight w:hRule="exact" w:val="438"/>
        </w:trPr>
        <w:tc>
          <w:tcPr>
            <w:tcW w:w="704" w:type="dxa"/>
            <w:shd w:val="clear" w:color="auto" w:fill="FFFFFF"/>
          </w:tcPr>
          <w:p w:rsidR="008F32F8" w:rsidRPr="00D13A23" w:rsidRDefault="008F32F8" w:rsidP="00406684">
            <w:pPr>
              <w:pStyle w:val="Bodytext20"/>
              <w:shd w:val="clear" w:color="auto" w:fill="auto"/>
              <w:spacing w:line="244" w:lineRule="exact"/>
              <w:ind w:left="140"/>
              <w:rPr>
                <w:b/>
                <w:color w:val="000000"/>
                <w:sz w:val="24"/>
                <w:szCs w:val="24"/>
                <w:shd w:val="clear" w:color="auto" w:fill="FFFFFF"/>
                <w:lang w:val="ro-RO" w:bidi="en-US"/>
              </w:rPr>
            </w:pPr>
            <w:r w:rsidRPr="00D13A23">
              <w:rPr>
                <w:rStyle w:val="Bodytext211pt"/>
                <w:b/>
                <w:sz w:val="24"/>
                <w:szCs w:val="24"/>
                <w:lang w:val="ro-RO"/>
              </w:rPr>
              <w:t>25.</w:t>
            </w:r>
          </w:p>
        </w:tc>
        <w:tc>
          <w:tcPr>
            <w:tcW w:w="4394" w:type="dxa"/>
            <w:shd w:val="clear" w:color="auto" w:fill="FFFFFF"/>
          </w:tcPr>
          <w:p w:rsidR="008F32F8" w:rsidRPr="00D13A23" w:rsidRDefault="008F32F8" w:rsidP="002900BB">
            <w:pPr>
              <w:pStyle w:val="Bodytext20"/>
              <w:shd w:val="clear" w:color="auto" w:fill="auto"/>
              <w:spacing w:line="322" w:lineRule="exact"/>
              <w:rPr>
                <w:color w:val="000000"/>
                <w:sz w:val="24"/>
                <w:szCs w:val="24"/>
                <w:shd w:val="clear" w:color="auto" w:fill="FFFFFF"/>
                <w:lang w:val="ro-RO" w:bidi="en-US"/>
              </w:rPr>
            </w:pPr>
            <w:r w:rsidRPr="00D13A23">
              <w:rPr>
                <w:rStyle w:val="Bodytext211pt"/>
                <w:sz w:val="24"/>
                <w:szCs w:val="24"/>
                <w:lang w:val="ro-RO"/>
              </w:rPr>
              <w:t xml:space="preserve">Școala profesională </w:t>
            </w:r>
            <w:r w:rsidR="002900BB" w:rsidRPr="00D13A23">
              <w:rPr>
                <w:rStyle w:val="Bodytext211pt"/>
                <w:sz w:val="24"/>
                <w:szCs w:val="24"/>
                <w:lang w:val="ro-RO"/>
              </w:rPr>
              <w:t>n</w:t>
            </w:r>
            <w:r w:rsidRPr="00D13A23">
              <w:rPr>
                <w:rStyle w:val="Bodytext211pt"/>
                <w:sz w:val="24"/>
                <w:szCs w:val="24"/>
                <w:lang w:val="ro-RO"/>
              </w:rPr>
              <w:t>r.3</w:t>
            </w:r>
            <w:r w:rsidR="002900BB" w:rsidRPr="00D13A23">
              <w:rPr>
                <w:rStyle w:val="Bodytext211pt"/>
                <w:sz w:val="24"/>
                <w:szCs w:val="24"/>
                <w:lang w:val="ro-RO"/>
              </w:rPr>
              <w:t>,</w:t>
            </w:r>
            <w:r w:rsidRPr="00D13A23">
              <w:rPr>
                <w:rStyle w:val="Bodytext211pt"/>
                <w:sz w:val="24"/>
                <w:szCs w:val="24"/>
                <w:lang w:val="ro-RO"/>
              </w:rPr>
              <w:t xml:space="preserve"> mun. Chișinău</w:t>
            </w:r>
          </w:p>
        </w:tc>
        <w:tc>
          <w:tcPr>
            <w:tcW w:w="858" w:type="dxa"/>
            <w:shd w:val="clear" w:color="auto" w:fill="FFFFFF"/>
          </w:tcPr>
          <w:p w:rsidR="008F32F8" w:rsidRPr="00D13A23" w:rsidRDefault="008F32F8" w:rsidP="00D13A23">
            <w:pPr>
              <w:pStyle w:val="Bodytext20"/>
              <w:shd w:val="clear" w:color="auto" w:fill="auto"/>
              <w:spacing w:line="244" w:lineRule="exact"/>
              <w:jc w:val="center"/>
              <w:rPr>
                <w:color w:val="000000"/>
                <w:sz w:val="24"/>
                <w:szCs w:val="24"/>
                <w:shd w:val="clear" w:color="auto" w:fill="FFFFFF"/>
                <w:lang w:val="ro-RO" w:bidi="en-US"/>
              </w:rPr>
            </w:pPr>
            <w:r w:rsidRPr="00D13A23">
              <w:rPr>
                <w:rStyle w:val="Bodytext211pt"/>
                <w:sz w:val="24"/>
                <w:szCs w:val="24"/>
                <w:lang w:val="ro-RO"/>
              </w:rPr>
              <w:t>01319</w:t>
            </w:r>
          </w:p>
        </w:tc>
        <w:tc>
          <w:tcPr>
            <w:tcW w:w="851" w:type="dxa"/>
            <w:shd w:val="clear" w:color="auto" w:fill="FFFFFF"/>
          </w:tcPr>
          <w:p w:rsidR="008F32F8" w:rsidRPr="00D13A23" w:rsidRDefault="008F32F8" w:rsidP="00D13A23">
            <w:pPr>
              <w:pStyle w:val="Bodytext20"/>
              <w:shd w:val="clear" w:color="auto" w:fill="auto"/>
              <w:spacing w:line="244" w:lineRule="exact"/>
              <w:jc w:val="center"/>
              <w:rPr>
                <w:color w:val="000000"/>
                <w:sz w:val="24"/>
                <w:szCs w:val="24"/>
                <w:shd w:val="clear" w:color="auto" w:fill="FFFFFF"/>
                <w:lang w:val="ro-RO" w:bidi="en-US"/>
              </w:rPr>
            </w:pPr>
            <w:r w:rsidRPr="00D13A23">
              <w:rPr>
                <w:rStyle w:val="Bodytext211pt"/>
                <w:sz w:val="24"/>
                <w:szCs w:val="24"/>
                <w:lang w:val="ro-RO"/>
              </w:rPr>
              <w:t>15539</w:t>
            </w:r>
          </w:p>
        </w:tc>
        <w:tc>
          <w:tcPr>
            <w:tcW w:w="992" w:type="dxa"/>
            <w:shd w:val="clear" w:color="auto" w:fill="FFFFFF"/>
          </w:tcPr>
          <w:p w:rsidR="008F32F8" w:rsidRPr="00D13A23" w:rsidRDefault="008F32F8" w:rsidP="00D13A23">
            <w:pPr>
              <w:pStyle w:val="Bodytext20"/>
              <w:shd w:val="clear" w:color="auto" w:fill="auto"/>
              <w:spacing w:line="244" w:lineRule="exact"/>
              <w:jc w:val="center"/>
              <w:rPr>
                <w:color w:val="000000"/>
                <w:sz w:val="24"/>
                <w:szCs w:val="24"/>
                <w:shd w:val="clear" w:color="auto" w:fill="FFFFFF"/>
                <w:lang w:val="ro-RO" w:bidi="en-US"/>
              </w:rPr>
            </w:pPr>
            <w:r w:rsidRPr="00D13A23">
              <w:rPr>
                <w:rStyle w:val="Bodytext211pt"/>
                <w:sz w:val="24"/>
                <w:szCs w:val="24"/>
                <w:lang w:val="ro-RO"/>
              </w:rPr>
              <w:t>08.12.17</w:t>
            </w:r>
          </w:p>
        </w:tc>
        <w:tc>
          <w:tcPr>
            <w:tcW w:w="1776" w:type="dxa"/>
            <w:shd w:val="clear" w:color="auto" w:fill="FFFFFF"/>
          </w:tcPr>
          <w:p w:rsidR="008F32F8" w:rsidRPr="00D13A23" w:rsidRDefault="008F32F8" w:rsidP="00D13A23">
            <w:pPr>
              <w:pStyle w:val="Bodytext20"/>
              <w:shd w:val="clear" w:color="auto" w:fill="auto"/>
              <w:spacing w:line="244" w:lineRule="exact"/>
              <w:ind w:right="499"/>
              <w:jc w:val="center"/>
              <w:rPr>
                <w:color w:val="000000"/>
                <w:sz w:val="24"/>
                <w:szCs w:val="24"/>
                <w:shd w:val="clear" w:color="auto" w:fill="FFFFFF"/>
                <w:lang w:val="ro-RO" w:eastAsia="ru-RU" w:bidi="ru-RU"/>
              </w:rPr>
            </w:pPr>
            <w:r w:rsidRPr="00D13A23">
              <w:rPr>
                <w:rStyle w:val="Bodytext211pt"/>
                <w:sz w:val="24"/>
                <w:szCs w:val="24"/>
                <w:lang w:val="ro-RO" w:eastAsia="ru-RU" w:bidi="ru-RU"/>
              </w:rPr>
              <w:t>12,4</w:t>
            </w:r>
          </w:p>
        </w:tc>
      </w:tr>
      <w:tr w:rsidR="008F32F8" w:rsidRPr="00A07ADA" w:rsidTr="00406684">
        <w:trPr>
          <w:trHeight w:hRule="exact" w:val="438"/>
        </w:trPr>
        <w:tc>
          <w:tcPr>
            <w:tcW w:w="704" w:type="dxa"/>
            <w:shd w:val="clear" w:color="auto" w:fill="FFFFFF"/>
          </w:tcPr>
          <w:p w:rsidR="008F32F8" w:rsidRPr="00D13A23" w:rsidRDefault="008F32F8" w:rsidP="00406684">
            <w:pPr>
              <w:pStyle w:val="Bodytext20"/>
              <w:shd w:val="clear" w:color="auto" w:fill="auto"/>
              <w:spacing w:line="244" w:lineRule="exact"/>
              <w:ind w:left="140"/>
              <w:rPr>
                <w:b/>
                <w:color w:val="000000"/>
                <w:sz w:val="24"/>
                <w:szCs w:val="24"/>
                <w:shd w:val="clear" w:color="auto" w:fill="FFFFFF"/>
                <w:lang w:val="ro-RO" w:bidi="en-US"/>
              </w:rPr>
            </w:pPr>
            <w:r w:rsidRPr="00D13A23">
              <w:rPr>
                <w:rStyle w:val="Bodytext211pt"/>
                <w:b/>
                <w:sz w:val="24"/>
                <w:szCs w:val="24"/>
                <w:lang w:val="ro-RO"/>
              </w:rPr>
              <w:t>26.</w:t>
            </w:r>
          </w:p>
        </w:tc>
        <w:tc>
          <w:tcPr>
            <w:tcW w:w="4394" w:type="dxa"/>
            <w:shd w:val="clear" w:color="auto" w:fill="FFFFFF"/>
          </w:tcPr>
          <w:p w:rsidR="008F32F8" w:rsidRPr="00D13A23" w:rsidRDefault="008F32F8" w:rsidP="00406684">
            <w:pPr>
              <w:pStyle w:val="Bodytext20"/>
              <w:shd w:val="clear" w:color="auto" w:fill="auto"/>
              <w:spacing w:line="322" w:lineRule="exact"/>
              <w:rPr>
                <w:color w:val="000000"/>
                <w:sz w:val="24"/>
                <w:szCs w:val="24"/>
                <w:shd w:val="clear" w:color="auto" w:fill="FFFFFF"/>
                <w:lang w:val="ro-RO" w:bidi="en-US"/>
              </w:rPr>
            </w:pPr>
            <w:r w:rsidRPr="00D13A23">
              <w:rPr>
                <w:rStyle w:val="Bodytext211pt"/>
                <w:sz w:val="24"/>
                <w:szCs w:val="24"/>
                <w:lang w:val="ro-RO"/>
              </w:rPr>
              <w:t>Centrul de Excelență în Construcții</w:t>
            </w:r>
          </w:p>
        </w:tc>
        <w:tc>
          <w:tcPr>
            <w:tcW w:w="858" w:type="dxa"/>
            <w:shd w:val="clear" w:color="auto" w:fill="FFFFFF"/>
          </w:tcPr>
          <w:p w:rsidR="008F32F8" w:rsidRPr="00D13A23" w:rsidRDefault="008F32F8" w:rsidP="00D13A23">
            <w:pPr>
              <w:pStyle w:val="Bodytext20"/>
              <w:shd w:val="clear" w:color="auto" w:fill="auto"/>
              <w:spacing w:line="244" w:lineRule="exact"/>
              <w:jc w:val="center"/>
              <w:rPr>
                <w:color w:val="000000"/>
                <w:sz w:val="24"/>
                <w:szCs w:val="24"/>
                <w:shd w:val="clear" w:color="auto" w:fill="FFFFFF"/>
                <w:lang w:val="ro-RO" w:bidi="en-US"/>
              </w:rPr>
            </w:pPr>
            <w:r w:rsidRPr="00D13A23">
              <w:rPr>
                <w:rStyle w:val="Bodytext211pt"/>
                <w:sz w:val="24"/>
                <w:szCs w:val="24"/>
                <w:lang w:val="ro-RO"/>
              </w:rPr>
              <w:t>01345</w:t>
            </w:r>
          </w:p>
        </w:tc>
        <w:tc>
          <w:tcPr>
            <w:tcW w:w="851" w:type="dxa"/>
            <w:shd w:val="clear" w:color="auto" w:fill="FFFFFF"/>
          </w:tcPr>
          <w:p w:rsidR="008F32F8" w:rsidRPr="00D13A23" w:rsidRDefault="008F32F8" w:rsidP="00D13A23">
            <w:pPr>
              <w:pStyle w:val="Bodytext20"/>
              <w:shd w:val="clear" w:color="auto" w:fill="auto"/>
              <w:spacing w:line="244" w:lineRule="exact"/>
              <w:jc w:val="center"/>
              <w:rPr>
                <w:color w:val="000000"/>
                <w:sz w:val="24"/>
                <w:szCs w:val="24"/>
                <w:shd w:val="clear" w:color="auto" w:fill="FFFFFF"/>
                <w:lang w:val="ro-RO" w:bidi="en-US"/>
              </w:rPr>
            </w:pPr>
            <w:r w:rsidRPr="00D13A23">
              <w:rPr>
                <w:rStyle w:val="Bodytext211pt"/>
                <w:sz w:val="24"/>
                <w:szCs w:val="24"/>
                <w:lang w:val="ro-RO"/>
              </w:rPr>
              <w:t>15555</w:t>
            </w:r>
          </w:p>
        </w:tc>
        <w:tc>
          <w:tcPr>
            <w:tcW w:w="992" w:type="dxa"/>
            <w:shd w:val="clear" w:color="auto" w:fill="FFFFFF"/>
          </w:tcPr>
          <w:p w:rsidR="008F32F8" w:rsidRPr="00D13A23" w:rsidRDefault="008F32F8" w:rsidP="00D13A23">
            <w:pPr>
              <w:pStyle w:val="Bodytext20"/>
              <w:shd w:val="clear" w:color="auto" w:fill="auto"/>
              <w:spacing w:line="244" w:lineRule="exact"/>
              <w:jc w:val="center"/>
              <w:rPr>
                <w:color w:val="000000"/>
                <w:sz w:val="24"/>
                <w:szCs w:val="24"/>
                <w:shd w:val="clear" w:color="auto" w:fill="FFFFFF"/>
                <w:lang w:val="ro-RO" w:bidi="en-US"/>
              </w:rPr>
            </w:pPr>
            <w:r w:rsidRPr="00D13A23">
              <w:rPr>
                <w:rStyle w:val="Bodytext211pt"/>
                <w:sz w:val="24"/>
                <w:szCs w:val="24"/>
                <w:lang w:val="ro-RO"/>
              </w:rPr>
              <w:t>20.10.17</w:t>
            </w:r>
          </w:p>
        </w:tc>
        <w:tc>
          <w:tcPr>
            <w:tcW w:w="1776" w:type="dxa"/>
            <w:shd w:val="clear" w:color="auto" w:fill="FFFFFF"/>
          </w:tcPr>
          <w:p w:rsidR="008F32F8" w:rsidRPr="00D13A23" w:rsidRDefault="008F32F8" w:rsidP="00D13A23">
            <w:pPr>
              <w:pStyle w:val="Bodytext20"/>
              <w:shd w:val="clear" w:color="auto" w:fill="auto"/>
              <w:spacing w:line="244" w:lineRule="exact"/>
              <w:ind w:right="499"/>
              <w:jc w:val="center"/>
              <w:rPr>
                <w:color w:val="000000"/>
                <w:sz w:val="24"/>
                <w:szCs w:val="24"/>
                <w:shd w:val="clear" w:color="auto" w:fill="FFFFFF"/>
                <w:lang w:val="ro-RO" w:eastAsia="ru-RU" w:bidi="ru-RU"/>
              </w:rPr>
            </w:pPr>
            <w:r w:rsidRPr="00D13A23">
              <w:rPr>
                <w:rStyle w:val="Bodytext211pt"/>
                <w:sz w:val="24"/>
                <w:szCs w:val="24"/>
                <w:lang w:val="ro-RO" w:eastAsia="ru-RU" w:bidi="ru-RU"/>
              </w:rPr>
              <w:t>12,6</w:t>
            </w:r>
          </w:p>
        </w:tc>
      </w:tr>
      <w:tr w:rsidR="008F32F8" w:rsidRPr="00A07ADA" w:rsidTr="00406684">
        <w:trPr>
          <w:trHeight w:hRule="exact" w:val="438"/>
        </w:trPr>
        <w:tc>
          <w:tcPr>
            <w:tcW w:w="704" w:type="dxa"/>
            <w:shd w:val="clear" w:color="auto" w:fill="FFFFFF"/>
          </w:tcPr>
          <w:p w:rsidR="008F32F8" w:rsidRPr="00D13A23" w:rsidRDefault="008F32F8" w:rsidP="00406684">
            <w:pPr>
              <w:pStyle w:val="Bodytext20"/>
              <w:shd w:val="clear" w:color="auto" w:fill="auto"/>
              <w:spacing w:line="244" w:lineRule="exact"/>
              <w:ind w:left="140"/>
              <w:rPr>
                <w:b/>
                <w:color w:val="000000"/>
                <w:sz w:val="24"/>
                <w:szCs w:val="24"/>
                <w:shd w:val="clear" w:color="auto" w:fill="FFFFFF"/>
                <w:lang w:val="ro-RO" w:bidi="en-US"/>
              </w:rPr>
            </w:pPr>
            <w:r w:rsidRPr="00D13A23">
              <w:rPr>
                <w:rStyle w:val="Bodytext211pt"/>
                <w:b/>
                <w:sz w:val="24"/>
                <w:szCs w:val="24"/>
                <w:lang w:val="ro-RO"/>
              </w:rPr>
              <w:t>27.</w:t>
            </w:r>
          </w:p>
        </w:tc>
        <w:tc>
          <w:tcPr>
            <w:tcW w:w="4394" w:type="dxa"/>
            <w:shd w:val="clear" w:color="auto" w:fill="FFFFFF"/>
          </w:tcPr>
          <w:p w:rsidR="008F32F8" w:rsidRPr="00D13A23" w:rsidRDefault="008F32F8" w:rsidP="002900BB">
            <w:pPr>
              <w:pStyle w:val="Bodytext20"/>
              <w:shd w:val="clear" w:color="auto" w:fill="auto"/>
              <w:spacing w:line="322" w:lineRule="exact"/>
              <w:rPr>
                <w:color w:val="000000"/>
                <w:sz w:val="24"/>
                <w:szCs w:val="24"/>
                <w:shd w:val="clear" w:color="auto" w:fill="FFFFFF"/>
                <w:lang w:val="ro-RO" w:bidi="en-US"/>
              </w:rPr>
            </w:pPr>
            <w:r w:rsidRPr="00D13A23">
              <w:rPr>
                <w:rStyle w:val="Bodytext211pt"/>
                <w:sz w:val="24"/>
                <w:szCs w:val="24"/>
                <w:lang w:val="ro-RO"/>
              </w:rPr>
              <w:t xml:space="preserve">Școala profesională </w:t>
            </w:r>
            <w:r w:rsidR="002900BB" w:rsidRPr="00D13A23">
              <w:rPr>
                <w:rStyle w:val="Bodytext211pt"/>
                <w:sz w:val="24"/>
                <w:szCs w:val="24"/>
                <w:lang w:val="ro-RO"/>
              </w:rPr>
              <w:t>n</w:t>
            </w:r>
            <w:r w:rsidRPr="00D13A23">
              <w:rPr>
                <w:rStyle w:val="Bodytext211pt"/>
                <w:sz w:val="24"/>
                <w:szCs w:val="24"/>
                <w:lang w:val="ro-RO"/>
              </w:rPr>
              <w:t>r.6</w:t>
            </w:r>
            <w:r w:rsidR="002900BB" w:rsidRPr="00D13A23">
              <w:rPr>
                <w:rStyle w:val="Bodytext211pt"/>
                <w:sz w:val="24"/>
                <w:szCs w:val="24"/>
                <w:lang w:val="ro-RO"/>
              </w:rPr>
              <w:t>,</w:t>
            </w:r>
            <w:r w:rsidRPr="00D13A23">
              <w:rPr>
                <w:rStyle w:val="Bodytext211pt"/>
                <w:sz w:val="24"/>
                <w:szCs w:val="24"/>
                <w:lang w:val="ro-RO"/>
              </w:rPr>
              <w:t xml:space="preserve"> mun. Chișinău</w:t>
            </w:r>
          </w:p>
        </w:tc>
        <w:tc>
          <w:tcPr>
            <w:tcW w:w="858" w:type="dxa"/>
            <w:shd w:val="clear" w:color="auto" w:fill="FFFFFF"/>
          </w:tcPr>
          <w:p w:rsidR="008F32F8" w:rsidRPr="00D13A23" w:rsidRDefault="008F32F8" w:rsidP="00D13A23">
            <w:pPr>
              <w:pStyle w:val="Bodytext20"/>
              <w:shd w:val="clear" w:color="auto" w:fill="auto"/>
              <w:spacing w:line="244" w:lineRule="exact"/>
              <w:jc w:val="center"/>
              <w:rPr>
                <w:color w:val="000000"/>
                <w:sz w:val="24"/>
                <w:szCs w:val="24"/>
                <w:shd w:val="clear" w:color="auto" w:fill="FFFFFF"/>
                <w:lang w:val="ro-RO" w:bidi="en-US"/>
              </w:rPr>
            </w:pPr>
            <w:r w:rsidRPr="00D13A23">
              <w:rPr>
                <w:rStyle w:val="Bodytext211pt"/>
                <w:sz w:val="24"/>
                <w:szCs w:val="24"/>
                <w:lang w:val="ro-RO"/>
              </w:rPr>
              <w:t>01288</w:t>
            </w:r>
          </w:p>
        </w:tc>
        <w:tc>
          <w:tcPr>
            <w:tcW w:w="851" w:type="dxa"/>
            <w:shd w:val="clear" w:color="auto" w:fill="FFFFFF"/>
          </w:tcPr>
          <w:p w:rsidR="008F32F8" w:rsidRPr="00D13A23" w:rsidRDefault="008F32F8" w:rsidP="00D13A23">
            <w:pPr>
              <w:pStyle w:val="Bodytext20"/>
              <w:shd w:val="clear" w:color="auto" w:fill="auto"/>
              <w:spacing w:line="244" w:lineRule="exact"/>
              <w:jc w:val="center"/>
              <w:rPr>
                <w:color w:val="000000"/>
                <w:sz w:val="24"/>
                <w:szCs w:val="24"/>
                <w:shd w:val="clear" w:color="auto" w:fill="FFFFFF"/>
                <w:lang w:val="ro-RO" w:bidi="en-US"/>
              </w:rPr>
            </w:pPr>
            <w:r w:rsidRPr="00D13A23">
              <w:rPr>
                <w:rStyle w:val="Bodytext211pt"/>
                <w:sz w:val="24"/>
                <w:szCs w:val="24"/>
                <w:lang w:val="ro-RO"/>
              </w:rPr>
              <w:t>15515</w:t>
            </w:r>
          </w:p>
        </w:tc>
        <w:tc>
          <w:tcPr>
            <w:tcW w:w="992" w:type="dxa"/>
            <w:shd w:val="clear" w:color="auto" w:fill="FFFFFF"/>
          </w:tcPr>
          <w:p w:rsidR="008F32F8" w:rsidRPr="00D13A23" w:rsidRDefault="008F32F8" w:rsidP="00D13A23">
            <w:pPr>
              <w:pStyle w:val="Bodytext20"/>
              <w:shd w:val="clear" w:color="auto" w:fill="auto"/>
              <w:spacing w:line="244" w:lineRule="exact"/>
              <w:jc w:val="center"/>
              <w:rPr>
                <w:color w:val="000000"/>
                <w:sz w:val="24"/>
                <w:szCs w:val="24"/>
                <w:shd w:val="clear" w:color="auto" w:fill="FFFFFF"/>
                <w:lang w:val="ro-RO" w:bidi="en-US"/>
              </w:rPr>
            </w:pPr>
            <w:r w:rsidRPr="00D13A23">
              <w:rPr>
                <w:rStyle w:val="Bodytext211pt"/>
                <w:sz w:val="24"/>
                <w:szCs w:val="24"/>
                <w:lang w:val="ro-RO"/>
              </w:rPr>
              <w:t>15.12,17</w:t>
            </w:r>
          </w:p>
        </w:tc>
        <w:tc>
          <w:tcPr>
            <w:tcW w:w="1776" w:type="dxa"/>
            <w:shd w:val="clear" w:color="auto" w:fill="FFFFFF"/>
          </w:tcPr>
          <w:p w:rsidR="008F32F8" w:rsidRPr="00D13A23" w:rsidRDefault="008F32F8" w:rsidP="00D13A23">
            <w:pPr>
              <w:pStyle w:val="Bodytext20"/>
              <w:shd w:val="clear" w:color="auto" w:fill="auto"/>
              <w:spacing w:line="244" w:lineRule="exact"/>
              <w:ind w:right="499"/>
              <w:jc w:val="center"/>
              <w:rPr>
                <w:color w:val="000000"/>
                <w:sz w:val="24"/>
                <w:szCs w:val="24"/>
                <w:shd w:val="clear" w:color="auto" w:fill="FFFFFF"/>
                <w:lang w:val="ro-RO" w:eastAsia="ru-RU" w:bidi="ru-RU"/>
              </w:rPr>
            </w:pPr>
            <w:r w:rsidRPr="00D13A23">
              <w:rPr>
                <w:rStyle w:val="Bodytext211pt"/>
                <w:sz w:val="24"/>
                <w:szCs w:val="24"/>
                <w:lang w:val="ro-RO" w:eastAsia="ru-RU" w:bidi="ru-RU"/>
              </w:rPr>
              <w:t>12,2</w:t>
            </w:r>
          </w:p>
        </w:tc>
      </w:tr>
      <w:tr w:rsidR="008F32F8" w:rsidRPr="00A07ADA" w:rsidTr="00406684">
        <w:trPr>
          <w:trHeight w:hRule="exact" w:val="721"/>
        </w:trPr>
        <w:tc>
          <w:tcPr>
            <w:tcW w:w="704" w:type="dxa"/>
            <w:shd w:val="clear" w:color="auto" w:fill="FFFFFF"/>
          </w:tcPr>
          <w:p w:rsidR="008F32F8" w:rsidRPr="00D13A23" w:rsidRDefault="008F32F8" w:rsidP="00406684">
            <w:pPr>
              <w:pStyle w:val="Bodytext20"/>
              <w:shd w:val="clear" w:color="auto" w:fill="auto"/>
              <w:spacing w:line="244" w:lineRule="exact"/>
              <w:ind w:left="140"/>
              <w:rPr>
                <w:b/>
                <w:color w:val="000000"/>
                <w:sz w:val="24"/>
                <w:szCs w:val="24"/>
                <w:shd w:val="clear" w:color="auto" w:fill="FFFFFF"/>
                <w:lang w:val="ro-RO" w:bidi="en-US"/>
              </w:rPr>
            </w:pPr>
            <w:r w:rsidRPr="00D13A23">
              <w:rPr>
                <w:rStyle w:val="Bodytext211pt"/>
                <w:b/>
                <w:sz w:val="24"/>
                <w:szCs w:val="24"/>
                <w:lang w:val="ro-RO"/>
              </w:rPr>
              <w:t>28.</w:t>
            </w:r>
          </w:p>
        </w:tc>
        <w:tc>
          <w:tcPr>
            <w:tcW w:w="4394" w:type="dxa"/>
            <w:shd w:val="clear" w:color="auto" w:fill="FFFFFF"/>
          </w:tcPr>
          <w:p w:rsidR="008F32F8" w:rsidRPr="00D13A23" w:rsidRDefault="008F32F8" w:rsidP="00406684">
            <w:pPr>
              <w:pStyle w:val="Bodytext20"/>
              <w:shd w:val="clear" w:color="auto" w:fill="auto"/>
              <w:spacing w:line="322" w:lineRule="exact"/>
              <w:rPr>
                <w:color w:val="000000"/>
                <w:sz w:val="24"/>
                <w:szCs w:val="24"/>
                <w:shd w:val="clear" w:color="auto" w:fill="FFFFFF"/>
                <w:lang w:val="ro-RO" w:bidi="en-US"/>
              </w:rPr>
            </w:pPr>
            <w:r w:rsidRPr="00D13A23">
              <w:rPr>
                <w:rStyle w:val="Bodytext211pt"/>
                <w:sz w:val="24"/>
                <w:szCs w:val="24"/>
                <w:lang w:val="ro-RO"/>
              </w:rPr>
              <w:t>Centrul Republican pentru Copii și Tineret „Artico”</w:t>
            </w:r>
          </w:p>
        </w:tc>
        <w:tc>
          <w:tcPr>
            <w:tcW w:w="858" w:type="dxa"/>
            <w:shd w:val="clear" w:color="auto" w:fill="FFFFFF"/>
          </w:tcPr>
          <w:p w:rsidR="008F32F8" w:rsidRPr="00D13A23" w:rsidRDefault="008F32F8" w:rsidP="00D13A23">
            <w:pPr>
              <w:pStyle w:val="Bodytext20"/>
              <w:shd w:val="clear" w:color="auto" w:fill="auto"/>
              <w:spacing w:line="244" w:lineRule="exact"/>
              <w:jc w:val="center"/>
              <w:rPr>
                <w:color w:val="000000"/>
                <w:sz w:val="24"/>
                <w:szCs w:val="24"/>
                <w:shd w:val="clear" w:color="auto" w:fill="FFFFFF"/>
                <w:lang w:val="ro-RO" w:bidi="en-US"/>
              </w:rPr>
            </w:pPr>
            <w:r w:rsidRPr="00D13A23">
              <w:rPr>
                <w:rStyle w:val="Bodytext211pt"/>
                <w:sz w:val="24"/>
                <w:szCs w:val="24"/>
                <w:lang w:val="ro-RO"/>
              </w:rPr>
              <w:t>01353</w:t>
            </w:r>
          </w:p>
        </w:tc>
        <w:tc>
          <w:tcPr>
            <w:tcW w:w="851" w:type="dxa"/>
            <w:shd w:val="clear" w:color="auto" w:fill="FFFFFF"/>
          </w:tcPr>
          <w:p w:rsidR="008F32F8" w:rsidRPr="00D13A23" w:rsidRDefault="008F32F8" w:rsidP="00D13A23">
            <w:pPr>
              <w:pStyle w:val="Bodytext20"/>
              <w:shd w:val="clear" w:color="auto" w:fill="auto"/>
              <w:spacing w:line="244" w:lineRule="exact"/>
              <w:jc w:val="center"/>
              <w:rPr>
                <w:color w:val="000000"/>
                <w:sz w:val="24"/>
                <w:szCs w:val="24"/>
                <w:shd w:val="clear" w:color="auto" w:fill="FFFFFF"/>
                <w:lang w:val="ro-RO" w:bidi="en-US"/>
              </w:rPr>
            </w:pPr>
            <w:r w:rsidRPr="00D13A23">
              <w:rPr>
                <w:rStyle w:val="Bodytext211pt"/>
                <w:sz w:val="24"/>
                <w:szCs w:val="24"/>
                <w:lang w:val="ro-RO"/>
              </w:rPr>
              <w:t>15562</w:t>
            </w:r>
          </w:p>
        </w:tc>
        <w:tc>
          <w:tcPr>
            <w:tcW w:w="992" w:type="dxa"/>
            <w:shd w:val="clear" w:color="auto" w:fill="FFFFFF"/>
          </w:tcPr>
          <w:p w:rsidR="008F32F8" w:rsidRPr="00D13A23" w:rsidRDefault="008F32F8" w:rsidP="00D13A23">
            <w:pPr>
              <w:pStyle w:val="Bodytext20"/>
              <w:shd w:val="clear" w:color="auto" w:fill="auto"/>
              <w:spacing w:line="244" w:lineRule="exact"/>
              <w:jc w:val="center"/>
              <w:rPr>
                <w:color w:val="000000"/>
                <w:sz w:val="24"/>
                <w:szCs w:val="24"/>
                <w:shd w:val="clear" w:color="auto" w:fill="FFFFFF"/>
                <w:lang w:val="ro-RO" w:bidi="en-US"/>
              </w:rPr>
            </w:pPr>
            <w:r w:rsidRPr="00D13A23">
              <w:rPr>
                <w:rStyle w:val="Bodytext211pt"/>
                <w:sz w:val="24"/>
                <w:szCs w:val="24"/>
                <w:lang w:val="ro-RO"/>
              </w:rPr>
              <w:t>28.12.17</w:t>
            </w:r>
          </w:p>
        </w:tc>
        <w:tc>
          <w:tcPr>
            <w:tcW w:w="1776" w:type="dxa"/>
            <w:shd w:val="clear" w:color="auto" w:fill="FFFFFF"/>
          </w:tcPr>
          <w:p w:rsidR="008F32F8" w:rsidRPr="00D13A23" w:rsidRDefault="008F32F8" w:rsidP="00D13A23">
            <w:pPr>
              <w:pStyle w:val="Bodytext20"/>
              <w:shd w:val="clear" w:color="auto" w:fill="auto"/>
              <w:spacing w:line="244" w:lineRule="exact"/>
              <w:ind w:right="499"/>
              <w:jc w:val="center"/>
              <w:rPr>
                <w:color w:val="000000"/>
                <w:sz w:val="24"/>
                <w:szCs w:val="24"/>
                <w:shd w:val="clear" w:color="auto" w:fill="FFFFFF"/>
                <w:lang w:val="ro-RO" w:eastAsia="ru-RU" w:bidi="ru-RU"/>
              </w:rPr>
            </w:pPr>
            <w:r w:rsidRPr="00D13A23">
              <w:rPr>
                <w:rStyle w:val="Bodytext211pt"/>
                <w:sz w:val="24"/>
                <w:szCs w:val="24"/>
                <w:lang w:val="ro-RO" w:eastAsia="ru-RU" w:bidi="ru-RU"/>
              </w:rPr>
              <w:t>7,0</w:t>
            </w:r>
          </w:p>
        </w:tc>
      </w:tr>
      <w:tr w:rsidR="00666325" w:rsidRPr="00A07ADA" w:rsidTr="00BC5413">
        <w:trPr>
          <w:trHeight w:hRule="exact" w:val="393"/>
        </w:trPr>
        <w:tc>
          <w:tcPr>
            <w:tcW w:w="704" w:type="dxa"/>
            <w:shd w:val="clear" w:color="auto" w:fill="EDEDED" w:themeFill="accent3" w:themeFillTint="33"/>
          </w:tcPr>
          <w:p w:rsidR="00666325" w:rsidRPr="00D13A23" w:rsidRDefault="00666325" w:rsidP="00666325">
            <w:pPr>
              <w:rPr>
                <w:rFonts w:ascii="Times New Roman" w:hAnsi="Times New Roman" w:cs="Times New Roman"/>
                <w:b/>
                <w:sz w:val="24"/>
                <w:szCs w:val="24"/>
              </w:rPr>
            </w:pPr>
          </w:p>
        </w:tc>
        <w:tc>
          <w:tcPr>
            <w:tcW w:w="8871" w:type="dxa"/>
            <w:gridSpan w:val="5"/>
            <w:shd w:val="clear" w:color="auto" w:fill="EDEDED" w:themeFill="accent3" w:themeFillTint="33"/>
            <w:vAlign w:val="center"/>
          </w:tcPr>
          <w:p w:rsidR="00666325" w:rsidRPr="00D13A23" w:rsidRDefault="00666325" w:rsidP="00D13A23">
            <w:pPr>
              <w:ind w:right="499"/>
              <w:jc w:val="center"/>
              <w:rPr>
                <w:rFonts w:ascii="Times New Roman" w:hAnsi="Times New Roman" w:cs="Times New Roman"/>
                <w:sz w:val="24"/>
                <w:szCs w:val="24"/>
              </w:rPr>
            </w:pPr>
            <w:r w:rsidRPr="00D13A23">
              <w:rPr>
                <w:rFonts w:ascii="Times New Roman" w:hAnsi="Times New Roman" w:cs="Times New Roman"/>
                <w:b/>
                <w:i/>
                <w:sz w:val="28"/>
                <w:szCs w:val="24"/>
              </w:rPr>
              <w:t xml:space="preserve">Ministerul </w:t>
            </w:r>
            <w:r w:rsidR="00BA640A" w:rsidRPr="00D13A23">
              <w:rPr>
                <w:rFonts w:ascii="Times New Roman" w:hAnsi="Times New Roman" w:cs="Times New Roman"/>
                <w:b/>
                <w:i/>
                <w:sz w:val="28"/>
                <w:szCs w:val="24"/>
              </w:rPr>
              <w:t>Culturii</w:t>
            </w:r>
          </w:p>
        </w:tc>
      </w:tr>
      <w:tr w:rsidR="00666325" w:rsidRPr="00A07ADA" w:rsidTr="00406684">
        <w:trPr>
          <w:trHeight w:hRule="exact" w:val="427"/>
        </w:trPr>
        <w:tc>
          <w:tcPr>
            <w:tcW w:w="704" w:type="dxa"/>
            <w:shd w:val="clear" w:color="auto" w:fill="FFFFFF"/>
          </w:tcPr>
          <w:p w:rsidR="00666325" w:rsidRPr="00D13A23" w:rsidRDefault="00666325" w:rsidP="00666325">
            <w:pPr>
              <w:pStyle w:val="Bodytext20"/>
              <w:shd w:val="clear" w:color="auto" w:fill="auto"/>
              <w:spacing w:line="244" w:lineRule="exact"/>
              <w:ind w:left="140"/>
              <w:rPr>
                <w:b/>
                <w:color w:val="000000"/>
                <w:sz w:val="24"/>
                <w:szCs w:val="24"/>
                <w:shd w:val="clear" w:color="auto" w:fill="FFFFFF"/>
                <w:lang w:val="ro-RO" w:bidi="en-US"/>
              </w:rPr>
            </w:pPr>
            <w:r w:rsidRPr="00D13A23">
              <w:rPr>
                <w:rStyle w:val="Bodytext211pt"/>
                <w:b/>
                <w:sz w:val="24"/>
                <w:szCs w:val="24"/>
                <w:lang w:val="ro-RO"/>
              </w:rPr>
              <w:t>29.</w:t>
            </w:r>
          </w:p>
        </w:tc>
        <w:tc>
          <w:tcPr>
            <w:tcW w:w="4394" w:type="dxa"/>
            <w:shd w:val="clear" w:color="auto" w:fill="FFFFFF"/>
          </w:tcPr>
          <w:p w:rsidR="00666325" w:rsidRPr="00D13A23" w:rsidRDefault="00666325" w:rsidP="00666325">
            <w:pPr>
              <w:pStyle w:val="Bodytext20"/>
              <w:shd w:val="clear" w:color="auto" w:fill="auto"/>
              <w:spacing w:line="322" w:lineRule="exact"/>
              <w:rPr>
                <w:color w:val="000000"/>
                <w:sz w:val="24"/>
                <w:szCs w:val="24"/>
                <w:shd w:val="clear" w:color="auto" w:fill="FFFFFF"/>
                <w:lang w:val="ro-RO" w:bidi="en-US"/>
              </w:rPr>
            </w:pPr>
            <w:r w:rsidRPr="00D13A23">
              <w:rPr>
                <w:rStyle w:val="Bodytext211pt"/>
                <w:sz w:val="24"/>
                <w:szCs w:val="24"/>
                <w:lang w:val="ro-RO"/>
              </w:rPr>
              <w:t>Ministerul Culturii</w:t>
            </w:r>
          </w:p>
        </w:tc>
        <w:tc>
          <w:tcPr>
            <w:tcW w:w="858" w:type="dxa"/>
            <w:shd w:val="clear" w:color="auto" w:fill="FFFFFF"/>
          </w:tcPr>
          <w:p w:rsidR="00666325" w:rsidRPr="00D13A23" w:rsidRDefault="00666325" w:rsidP="00D13A23">
            <w:pPr>
              <w:pStyle w:val="Bodytext20"/>
              <w:shd w:val="clear" w:color="auto" w:fill="auto"/>
              <w:spacing w:line="244" w:lineRule="exact"/>
              <w:jc w:val="center"/>
              <w:rPr>
                <w:color w:val="000000"/>
                <w:sz w:val="24"/>
                <w:szCs w:val="24"/>
                <w:shd w:val="clear" w:color="auto" w:fill="FFFFFF"/>
                <w:lang w:val="ro-RO" w:bidi="en-US"/>
              </w:rPr>
            </w:pPr>
            <w:r w:rsidRPr="00D13A23">
              <w:rPr>
                <w:rStyle w:val="Bodytext211pt"/>
                <w:sz w:val="24"/>
                <w:szCs w:val="24"/>
                <w:lang w:val="ro-RO"/>
              </w:rPr>
              <w:t>00199</w:t>
            </w:r>
          </w:p>
        </w:tc>
        <w:tc>
          <w:tcPr>
            <w:tcW w:w="851" w:type="dxa"/>
            <w:shd w:val="clear" w:color="auto" w:fill="FFFFFF"/>
          </w:tcPr>
          <w:p w:rsidR="00666325" w:rsidRPr="00D13A23" w:rsidRDefault="00666325" w:rsidP="00D13A23">
            <w:pPr>
              <w:pStyle w:val="Bodytext20"/>
              <w:shd w:val="clear" w:color="auto" w:fill="auto"/>
              <w:spacing w:line="244" w:lineRule="exact"/>
              <w:jc w:val="center"/>
              <w:rPr>
                <w:color w:val="000000"/>
                <w:sz w:val="24"/>
                <w:szCs w:val="24"/>
                <w:shd w:val="clear" w:color="auto" w:fill="FFFFFF"/>
                <w:lang w:val="ro-RO" w:bidi="en-US"/>
              </w:rPr>
            </w:pPr>
            <w:r w:rsidRPr="00D13A23">
              <w:rPr>
                <w:rStyle w:val="Bodytext211pt"/>
                <w:sz w:val="24"/>
                <w:szCs w:val="24"/>
                <w:lang w:val="ro-RO"/>
              </w:rPr>
              <w:t>15326</w:t>
            </w:r>
          </w:p>
        </w:tc>
        <w:tc>
          <w:tcPr>
            <w:tcW w:w="992" w:type="dxa"/>
            <w:shd w:val="clear" w:color="auto" w:fill="FFFFFF"/>
          </w:tcPr>
          <w:p w:rsidR="00666325" w:rsidRPr="00D13A23" w:rsidRDefault="00666325" w:rsidP="00D13A23">
            <w:pPr>
              <w:pStyle w:val="Bodytext20"/>
              <w:shd w:val="clear" w:color="auto" w:fill="auto"/>
              <w:spacing w:line="244" w:lineRule="exact"/>
              <w:jc w:val="center"/>
              <w:rPr>
                <w:color w:val="000000"/>
                <w:sz w:val="24"/>
                <w:szCs w:val="24"/>
                <w:shd w:val="clear" w:color="auto" w:fill="FFFFFF"/>
                <w:lang w:val="ro-RO" w:bidi="en-US"/>
              </w:rPr>
            </w:pPr>
            <w:r w:rsidRPr="00D13A23">
              <w:rPr>
                <w:rStyle w:val="Bodytext211pt"/>
                <w:sz w:val="24"/>
                <w:szCs w:val="24"/>
                <w:lang w:val="ro-RO"/>
              </w:rPr>
              <w:t>20.11.17</w:t>
            </w:r>
          </w:p>
        </w:tc>
        <w:tc>
          <w:tcPr>
            <w:tcW w:w="1776" w:type="dxa"/>
            <w:shd w:val="clear" w:color="auto" w:fill="FFFFFF"/>
          </w:tcPr>
          <w:p w:rsidR="00666325" w:rsidRPr="00D13A23" w:rsidRDefault="00666325" w:rsidP="00D13A23">
            <w:pPr>
              <w:pStyle w:val="Bodytext20"/>
              <w:shd w:val="clear" w:color="auto" w:fill="auto"/>
              <w:spacing w:line="244" w:lineRule="exact"/>
              <w:ind w:right="499"/>
              <w:jc w:val="center"/>
              <w:rPr>
                <w:color w:val="000000"/>
                <w:sz w:val="24"/>
                <w:szCs w:val="24"/>
                <w:shd w:val="clear" w:color="auto" w:fill="FFFFFF"/>
                <w:lang w:val="ro-RO" w:eastAsia="ru-RU" w:bidi="ru-RU"/>
              </w:rPr>
            </w:pPr>
            <w:r w:rsidRPr="00D13A23">
              <w:rPr>
                <w:rStyle w:val="Bodytext211pt"/>
                <w:sz w:val="24"/>
                <w:szCs w:val="24"/>
                <w:lang w:val="ro-RO" w:eastAsia="ru-RU" w:bidi="ru-RU"/>
              </w:rPr>
              <w:t>0,07</w:t>
            </w:r>
          </w:p>
        </w:tc>
      </w:tr>
      <w:tr w:rsidR="00666325" w:rsidRPr="00A07ADA" w:rsidTr="00406684">
        <w:trPr>
          <w:trHeight w:hRule="exact" w:val="702"/>
        </w:trPr>
        <w:tc>
          <w:tcPr>
            <w:tcW w:w="704" w:type="dxa"/>
            <w:shd w:val="clear" w:color="auto" w:fill="FFFFFF"/>
          </w:tcPr>
          <w:p w:rsidR="00666325" w:rsidRPr="00D13A23" w:rsidRDefault="00666325" w:rsidP="00666325">
            <w:pPr>
              <w:pStyle w:val="Bodytext20"/>
              <w:shd w:val="clear" w:color="auto" w:fill="auto"/>
              <w:spacing w:line="244" w:lineRule="exact"/>
              <w:ind w:left="140"/>
              <w:rPr>
                <w:b/>
                <w:color w:val="000000"/>
                <w:sz w:val="24"/>
                <w:szCs w:val="24"/>
                <w:shd w:val="clear" w:color="auto" w:fill="FFFFFF"/>
                <w:lang w:val="ro-RO" w:bidi="en-US"/>
              </w:rPr>
            </w:pPr>
            <w:r w:rsidRPr="00D13A23">
              <w:rPr>
                <w:rStyle w:val="Bodytext211pt"/>
                <w:b/>
                <w:sz w:val="24"/>
                <w:szCs w:val="24"/>
                <w:lang w:val="ro-RO"/>
              </w:rPr>
              <w:t>30.</w:t>
            </w:r>
          </w:p>
        </w:tc>
        <w:tc>
          <w:tcPr>
            <w:tcW w:w="4394" w:type="dxa"/>
            <w:shd w:val="clear" w:color="auto" w:fill="FFFFFF"/>
          </w:tcPr>
          <w:p w:rsidR="00666325" w:rsidRPr="00D13A23" w:rsidRDefault="00666325" w:rsidP="002900BB">
            <w:pPr>
              <w:pStyle w:val="Bodytext20"/>
              <w:shd w:val="clear" w:color="auto" w:fill="auto"/>
              <w:spacing w:line="322" w:lineRule="exact"/>
              <w:rPr>
                <w:color w:val="000000"/>
                <w:sz w:val="24"/>
                <w:szCs w:val="24"/>
                <w:shd w:val="clear" w:color="auto" w:fill="FFFFFF"/>
                <w:lang w:val="ro-RO" w:bidi="en-US"/>
              </w:rPr>
            </w:pPr>
            <w:r w:rsidRPr="00D13A23">
              <w:rPr>
                <w:rStyle w:val="Bodytext211pt"/>
                <w:sz w:val="24"/>
                <w:szCs w:val="24"/>
                <w:lang w:val="ro-RO"/>
              </w:rPr>
              <w:t xml:space="preserve">Centrul de Excelență în Educație Artistică </w:t>
            </w:r>
            <w:r w:rsidR="002900BB" w:rsidRPr="00D13A23">
              <w:rPr>
                <w:rStyle w:val="Bodytext211pt"/>
                <w:sz w:val="24"/>
                <w:szCs w:val="24"/>
                <w:lang w:val="ro-RO"/>
              </w:rPr>
              <w:t>„</w:t>
            </w:r>
            <w:r w:rsidRPr="00D13A23">
              <w:rPr>
                <w:rStyle w:val="Bodytext211pt"/>
                <w:sz w:val="24"/>
                <w:szCs w:val="24"/>
                <w:lang w:val="ro-RO"/>
              </w:rPr>
              <w:t>Ștefan Neaga”</w:t>
            </w:r>
          </w:p>
        </w:tc>
        <w:tc>
          <w:tcPr>
            <w:tcW w:w="858" w:type="dxa"/>
            <w:shd w:val="clear" w:color="auto" w:fill="FFFFFF"/>
          </w:tcPr>
          <w:p w:rsidR="00666325" w:rsidRPr="00D13A23" w:rsidRDefault="00666325" w:rsidP="00D13A23">
            <w:pPr>
              <w:pStyle w:val="Bodytext20"/>
              <w:shd w:val="clear" w:color="auto" w:fill="auto"/>
              <w:spacing w:line="244" w:lineRule="exact"/>
              <w:jc w:val="center"/>
              <w:rPr>
                <w:color w:val="000000"/>
                <w:sz w:val="24"/>
                <w:szCs w:val="24"/>
                <w:shd w:val="clear" w:color="auto" w:fill="FFFFFF"/>
                <w:lang w:val="ro-RO" w:bidi="en-US"/>
              </w:rPr>
            </w:pPr>
            <w:r w:rsidRPr="00D13A23">
              <w:rPr>
                <w:rStyle w:val="Bodytext211pt"/>
                <w:sz w:val="24"/>
                <w:szCs w:val="24"/>
                <w:lang w:val="ro-RO"/>
              </w:rPr>
              <w:t>00531</w:t>
            </w:r>
          </w:p>
        </w:tc>
        <w:tc>
          <w:tcPr>
            <w:tcW w:w="851" w:type="dxa"/>
            <w:shd w:val="clear" w:color="auto" w:fill="FFFFFF"/>
          </w:tcPr>
          <w:p w:rsidR="00666325" w:rsidRPr="00D13A23" w:rsidRDefault="00666325" w:rsidP="00D13A23">
            <w:pPr>
              <w:pStyle w:val="Bodytext20"/>
              <w:shd w:val="clear" w:color="auto" w:fill="auto"/>
              <w:spacing w:line="244" w:lineRule="exact"/>
              <w:jc w:val="center"/>
              <w:rPr>
                <w:color w:val="000000"/>
                <w:sz w:val="24"/>
                <w:szCs w:val="24"/>
                <w:shd w:val="clear" w:color="auto" w:fill="FFFFFF"/>
                <w:lang w:val="ro-RO" w:bidi="en-US"/>
              </w:rPr>
            </w:pPr>
            <w:r w:rsidRPr="00D13A23">
              <w:rPr>
                <w:rStyle w:val="Bodytext211pt"/>
                <w:sz w:val="24"/>
                <w:szCs w:val="24"/>
                <w:lang w:val="ro-RO"/>
              </w:rPr>
              <w:t>15333</w:t>
            </w:r>
          </w:p>
        </w:tc>
        <w:tc>
          <w:tcPr>
            <w:tcW w:w="992" w:type="dxa"/>
            <w:shd w:val="clear" w:color="auto" w:fill="FFFFFF"/>
          </w:tcPr>
          <w:p w:rsidR="00666325" w:rsidRPr="00D13A23" w:rsidRDefault="00666325" w:rsidP="00D13A23">
            <w:pPr>
              <w:pStyle w:val="Bodytext20"/>
              <w:shd w:val="clear" w:color="auto" w:fill="auto"/>
              <w:spacing w:line="244" w:lineRule="exact"/>
              <w:jc w:val="center"/>
              <w:rPr>
                <w:color w:val="000000"/>
                <w:sz w:val="24"/>
                <w:szCs w:val="24"/>
                <w:shd w:val="clear" w:color="auto" w:fill="FFFFFF"/>
                <w:lang w:val="ro-RO" w:bidi="en-US"/>
              </w:rPr>
            </w:pPr>
            <w:r w:rsidRPr="00D13A23">
              <w:rPr>
                <w:rStyle w:val="Bodytext211pt"/>
                <w:sz w:val="24"/>
                <w:szCs w:val="24"/>
                <w:lang w:val="ro-RO"/>
              </w:rPr>
              <w:t>05.10.17</w:t>
            </w:r>
          </w:p>
        </w:tc>
        <w:tc>
          <w:tcPr>
            <w:tcW w:w="1776" w:type="dxa"/>
            <w:shd w:val="clear" w:color="auto" w:fill="FFFFFF"/>
          </w:tcPr>
          <w:p w:rsidR="00666325" w:rsidRPr="00D13A23" w:rsidRDefault="00666325" w:rsidP="00D13A23">
            <w:pPr>
              <w:pStyle w:val="Bodytext20"/>
              <w:shd w:val="clear" w:color="auto" w:fill="auto"/>
              <w:spacing w:line="244" w:lineRule="exact"/>
              <w:ind w:right="499"/>
              <w:jc w:val="center"/>
              <w:rPr>
                <w:color w:val="000000"/>
                <w:sz w:val="24"/>
                <w:szCs w:val="24"/>
                <w:shd w:val="clear" w:color="auto" w:fill="FFFFFF"/>
                <w:lang w:val="ro-RO" w:eastAsia="ru-RU" w:bidi="ru-RU"/>
              </w:rPr>
            </w:pPr>
            <w:r w:rsidRPr="00D13A23">
              <w:rPr>
                <w:rStyle w:val="Bodytext211pt"/>
                <w:sz w:val="24"/>
                <w:szCs w:val="24"/>
                <w:lang w:val="ro-RO" w:eastAsia="ru-RU" w:bidi="ru-RU"/>
              </w:rPr>
              <w:t>190,0</w:t>
            </w:r>
          </w:p>
        </w:tc>
      </w:tr>
      <w:tr w:rsidR="00666325" w:rsidRPr="00A07ADA" w:rsidTr="00406684">
        <w:trPr>
          <w:trHeight w:hRule="exact" w:val="429"/>
        </w:trPr>
        <w:tc>
          <w:tcPr>
            <w:tcW w:w="704" w:type="dxa"/>
            <w:shd w:val="clear" w:color="auto" w:fill="FFFFFF"/>
          </w:tcPr>
          <w:p w:rsidR="00666325" w:rsidRPr="00D13A23" w:rsidRDefault="00666325" w:rsidP="00666325">
            <w:pPr>
              <w:pStyle w:val="Bodytext20"/>
              <w:shd w:val="clear" w:color="auto" w:fill="auto"/>
              <w:spacing w:line="244" w:lineRule="exact"/>
              <w:ind w:left="140"/>
              <w:rPr>
                <w:b/>
                <w:color w:val="000000"/>
                <w:sz w:val="24"/>
                <w:szCs w:val="24"/>
                <w:shd w:val="clear" w:color="auto" w:fill="FFFFFF"/>
                <w:lang w:val="ro-RO" w:bidi="en-US"/>
              </w:rPr>
            </w:pPr>
            <w:r w:rsidRPr="00D13A23">
              <w:rPr>
                <w:rStyle w:val="Bodytext211pt"/>
                <w:b/>
                <w:sz w:val="24"/>
                <w:szCs w:val="24"/>
                <w:lang w:val="ro-RO"/>
              </w:rPr>
              <w:t>31.</w:t>
            </w:r>
          </w:p>
        </w:tc>
        <w:tc>
          <w:tcPr>
            <w:tcW w:w="4394" w:type="dxa"/>
            <w:shd w:val="clear" w:color="auto" w:fill="FFFFFF"/>
          </w:tcPr>
          <w:p w:rsidR="00666325" w:rsidRPr="00D13A23" w:rsidRDefault="00666325" w:rsidP="002900BB">
            <w:pPr>
              <w:pStyle w:val="Bodytext20"/>
              <w:shd w:val="clear" w:color="auto" w:fill="auto"/>
              <w:spacing w:line="322" w:lineRule="exact"/>
              <w:rPr>
                <w:color w:val="000000"/>
                <w:sz w:val="24"/>
                <w:szCs w:val="24"/>
                <w:shd w:val="clear" w:color="auto" w:fill="FFFFFF"/>
                <w:lang w:val="ro-RO" w:bidi="en-US"/>
              </w:rPr>
            </w:pPr>
            <w:r w:rsidRPr="00D13A23">
              <w:rPr>
                <w:rStyle w:val="Bodytext211pt"/>
                <w:sz w:val="24"/>
                <w:szCs w:val="24"/>
                <w:lang w:val="ro-RO"/>
              </w:rPr>
              <w:t xml:space="preserve">Muzeul </w:t>
            </w:r>
            <w:r w:rsidR="002900BB" w:rsidRPr="00D13A23">
              <w:rPr>
                <w:rStyle w:val="Bodytext211pt"/>
                <w:sz w:val="24"/>
                <w:szCs w:val="24"/>
                <w:lang w:val="ro-RO"/>
              </w:rPr>
              <w:t>N</w:t>
            </w:r>
            <w:r w:rsidRPr="00D13A23">
              <w:rPr>
                <w:rStyle w:val="Bodytext211pt"/>
                <w:sz w:val="24"/>
                <w:szCs w:val="24"/>
                <w:lang w:val="ro-RO"/>
              </w:rPr>
              <w:t>ațional de Artă al Moldovei</w:t>
            </w:r>
          </w:p>
        </w:tc>
        <w:tc>
          <w:tcPr>
            <w:tcW w:w="858" w:type="dxa"/>
            <w:shd w:val="clear" w:color="auto" w:fill="FFFFFF"/>
          </w:tcPr>
          <w:p w:rsidR="00666325" w:rsidRPr="00D13A23" w:rsidRDefault="00666325" w:rsidP="00D13A23">
            <w:pPr>
              <w:pStyle w:val="Bodytext20"/>
              <w:shd w:val="clear" w:color="auto" w:fill="auto"/>
              <w:spacing w:line="244" w:lineRule="exact"/>
              <w:jc w:val="center"/>
              <w:rPr>
                <w:color w:val="000000"/>
                <w:sz w:val="24"/>
                <w:szCs w:val="24"/>
                <w:shd w:val="clear" w:color="auto" w:fill="FFFFFF"/>
                <w:lang w:val="ro-RO" w:bidi="en-US"/>
              </w:rPr>
            </w:pPr>
            <w:r w:rsidRPr="00D13A23">
              <w:rPr>
                <w:rStyle w:val="Bodytext211pt"/>
                <w:sz w:val="24"/>
                <w:szCs w:val="24"/>
                <w:lang w:val="ro-RO"/>
              </w:rPr>
              <w:t>00930</w:t>
            </w:r>
          </w:p>
        </w:tc>
        <w:tc>
          <w:tcPr>
            <w:tcW w:w="851" w:type="dxa"/>
            <w:shd w:val="clear" w:color="auto" w:fill="FFFFFF"/>
          </w:tcPr>
          <w:p w:rsidR="00666325" w:rsidRPr="00D13A23" w:rsidRDefault="00666325" w:rsidP="00D13A23">
            <w:pPr>
              <w:pStyle w:val="Bodytext20"/>
              <w:shd w:val="clear" w:color="auto" w:fill="auto"/>
              <w:spacing w:line="244" w:lineRule="exact"/>
              <w:jc w:val="center"/>
              <w:rPr>
                <w:color w:val="000000"/>
                <w:sz w:val="24"/>
                <w:szCs w:val="24"/>
                <w:shd w:val="clear" w:color="auto" w:fill="FFFFFF"/>
                <w:lang w:val="ro-RO" w:bidi="en-US"/>
              </w:rPr>
            </w:pPr>
            <w:r w:rsidRPr="00D13A23">
              <w:rPr>
                <w:rStyle w:val="Bodytext211pt"/>
                <w:sz w:val="24"/>
                <w:szCs w:val="24"/>
                <w:lang w:val="ro-RO"/>
              </w:rPr>
              <w:t>15352</w:t>
            </w:r>
          </w:p>
        </w:tc>
        <w:tc>
          <w:tcPr>
            <w:tcW w:w="992" w:type="dxa"/>
            <w:shd w:val="clear" w:color="auto" w:fill="FFFFFF"/>
          </w:tcPr>
          <w:p w:rsidR="00666325" w:rsidRPr="00D13A23" w:rsidRDefault="00666325" w:rsidP="00D13A23">
            <w:pPr>
              <w:pStyle w:val="Bodytext20"/>
              <w:shd w:val="clear" w:color="auto" w:fill="auto"/>
              <w:spacing w:line="244" w:lineRule="exact"/>
              <w:jc w:val="center"/>
              <w:rPr>
                <w:color w:val="000000"/>
                <w:sz w:val="24"/>
                <w:szCs w:val="24"/>
                <w:shd w:val="clear" w:color="auto" w:fill="FFFFFF"/>
                <w:lang w:val="ro-RO" w:bidi="en-US"/>
              </w:rPr>
            </w:pPr>
            <w:r w:rsidRPr="00D13A23">
              <w:rPr>
                <w:rStyle w:val="Bodytext211pt"/>
                <w:sz w:val="24"/>
                <w:szCs w:val="24"/>
                <w:lang w:val="ro-RO"/>
              </w:rPr>
              <w:t>02.11.17</w:t>
            </w:r>
          </w:p>
        </w:tc>
        <w:tc>
          <w:tcPr>
            <w:tcW w:w="1776" w:type="dxa"/>
            <w:shd w:val="clear" w:color="auto" w:fill="FFFFFF"/>
          </w:tcPr>
          <w:p w:rsidR="00666325" w:rsidRPr="00D13A23" w:rsidRDefault="00666325" w:rsidP="00D13A23">
            <w:pPr>
              <w:pStyle w:val="Bodytext20"/>
              <w:shd w:val="clear" w:color="auto" w:fill="auto"/>
              <w:spacing w:line="244" w:lineRule="exact"/>
              <w:ind w:right="499"/>
              <w:jc w:val="center"/>
              <w:rPr>
                <w:color w:val="000000"/>
                <w:sz w:val="24"/>
                <w:szCs w:val="24"/>
                <w:shd w:val="clear" w:color="auto" w:fill="FFFFFF"/>
                <w:lang w:val="ro-RO" w:eastAsia="ru-RU" w:bidi="ru-RU"/>
              </w:rPr>
            </w:pPr>
            <w:r w:rsidRPr="00D13A23">
              <w:rPr>
                <w:rStyle w:val="Bodytext211pt"/>
                <w:sz w:val="24"/>
                <w:szCs w:val="24"/>
                <w:lang w:val="ro-RO" w:eastAsia="ru-RU" w:bidi="ru-RU"/>
              </w:rPr>
              <w:t>116,6</w:t>
            </w:r>
          </w:p>
        </w:tc>
      </w:tr>
      <w:tr w:rsidR="00666325" w:rsidRPr="00A07ADA" w:rsidTr="00406684">
        <w:trPr>
          <w:trHeight w:hRule="exact" w:val="435"/>
        </w:trPr>
        <w:tc>
          <w:tcPr>
            <w:tcW w:w="704" w:type="dxa"/>
            <w:shd w:val="clear" w:color="auto" w:fill="FFFFFF"/>
          </w:tcPr>
          <w:p w:rsidR="00666325" w:rsidRPr="00D13A23" w:rsidRDefault="00666325" w:rsidP="00666325">
            <w:pPr>
              <w:pStyle w:val="Bodytext20"/>
              <w:shd w:val="clear" w:color="auto" w:fill="auto"/>
              <w:spacing w:line="244" w:lineRule="exact"/>
              <w:ind w:left="140"/>
              <w:rPr>
                <w:b/>
                <w:color w:val="000000"/>
                <w:sz w:val="24"/>
                <w:szCs w:val="24"/>
                <w:shd w:val="clear" w:color="auto" w:fill="FFFFFF"/>
                <w:lang w:val="ro-RO" w:bidi="en-US"/>
              </w:rPr>
            </w:pPr>
            <w:r w:rsidRPr="00D13A23">
              <w:rPr>
                <w:rStyle w:val="Bodytext211pt"/>
                <w:b/>
                <w:sz w:val="24"/>
                <w:szCs w:val="24"/>
                <w:lang w:val="ro-RO"/>
              </w:rPr>
              <w:t>32.</w:t>
            </w:r>
          </w:p>
        </w:tc>
        <w:tc>
          <w:tcPr>
            <w:tcW w:w="4394" w:type="dxa"/>
            <w:shd w:val="clear" w:color="auto" w:fill="FFFFFF"/>
          </w:tcPr>
          <w:p w:rsidR="00666325" w:rsidRPr="00D13A23" w:rsidRDefault="00666325" w:rsidP="00666325">
            <w:pPr>
              <w:pStyle w:val="Bodytext20"/>
              <w:shd w:val="clear" w:color="auto" w:fill="auto"/>
              <w:spacing w:line="322" w:lineRule="exact"/>
              <w:rPr>
                <w:color w:val="000000"/>
                <w:sz w:val="24"/>
                <w:szCs w:val="24"/>
                <w:shd w:val="clear" w:color="auto" w:fill="FFFFFF"/>
                <w:lang w:val="ro-RO" w:bidi="en-US"/>
              </w:rPr>
            </w:pPr>
            <w:r w:rsidRPr="00D13A23">
              <w:rPr>
                <w:rStyle w:val="Bodytext211pt"/>
                <w:sz w:val="24"/>
                <w:szCs w:val="24"/>
                <w:lang w:val="ro-RO"/>
              </w:rPr>
              <w:t xml:space="preserve">Muzeul Național de Istorie al Moldovei </w:t>
            </w:r>
          </w:p>
        </w:tc>
        <w:tc>
          <w:tcPr>
            <w:tcW w:w="858" w:type="dxa"/>
            <w:shd w:val="clear" w:color="auto" w:fill="FFFFFF"/>
          </w:tcPr>
          <w:p w:rsidR="00666325" w:rsidRPr="00D13A23" w:rsidRDefault="00666325" w:rsidP="00D13A23">
            <w:pPr>
              <w:pStyle w:val="Bodytext20"/>
              <w:shd w:val="clear" w:color="auto" w:fill="auto"/>
              <w:spacing w:line="244" w:lineRule="exact"/>
              <w:jc w:val="center"/>
              <w:rPr>
                <w:color w:val="000000"/>
                <w:sz w:val="24"/>
                <w:szCs w:val="24"/>
                <w:shd w:val="clear" w:color="auto" w:fill="FFFFFF"/>
                <w:lang w:val="ro-RO" w:bidi="en-US"/>
              </w:rPr>
            </w:pPr>
            <w:r w:rsidRPr="00D13A23">
              <w:rPr>
                <w:rStyle w:val="Bodytext211pt"/>
                <w:sz w:val="24"/>
                <w:szCs w:val="24"/>
                <w:lang w:val="ro-RO"/>
              </w:rPr>
              <w:t>00931</w:t>
            </w:r>
          </w:p>
        </w:tc>
        <w:tc>
          <w:tcPr>
            <w:tcW w:w="851" w:type="dxa"/>
            <w:shd w:val="clear" w:color="auto" w:fill="FFFFFF"/>
          </w:tcPr>
          <w:p w:rsidR="00666325" w:rsidRPr="00D13A23" w:rsidRDefault="00666325" w:rsidP="00D13A23">
            <w:pPr>
              <w:pStyle w:val="Bodytext20"/>
              <w:shd w:val="clear" w:color="auto" w:fill="auto"/>
              <w:spacing w:line="244" w:lineRule="exact"/>
              <w:jc w:val="center"/>
              <w:rPr>
                <w:color w:val="000000"/>
                <w:sz w:val="24"/>
                <w:szCs w:val="24"/>
                <w:shd w:val="clear" w:color="auto" w:fill="FFFFFF"/>
                <w:lang w:val="ro-RO" w:bidi="en-US"/>
              </w:rPr>
            </w:pPr>
            <w:r w:rsidRPr="00D13A23">
              <w:rPr>
                <w:rStyle w:val="Bodytext211pt"/>
                <w:sz w:val="24"/>
                <w:szCs w:val="24"/>
                <w:lang w:val="ro-RO"/>
              </w:rPr>
              <w:t>15353</w:t>
            </w:r>
          </w:p>
        </w:tc>
        <w:tc>
          <w:tcPr>
            <w:tcW w:w="992" w:type="dxa"/>
            <w:shd w:val="clear" w:color="auto" w:fill="FFFFFF"/>
          </w:tcPr>
          <w:p w:rsidR="00666325" w:rsidRPr="00D13A23" w:rsidRDefault="00666325" w:rsidP="00D13A23">
            <w:pPr>
              <w:pStyle w:val="Bodytext20"/>
              <w:shd w:val="clear" w:color="auto" w:fill="auto"/>
              <w:spacing w:line="244" w:lineRule="exact"/>
              <w:jc w:val="center"/>
              <w:rPr>
                <w:color w:val="000000"/>
                <w:sz w:val="24"/>
                <w:szCs w:val="24"/>
                <w:shd w:val="clear" w:color="auto" w:fill="FFFFFF"/>
                <w:lang w:val="ro-RO" w:bidi="en-US"/>
              </w:rPr>
            </w:pPr>
            <w:r w:rsidRPr="00D13A23">
              <w:rPr>
                <w:rStyle w:val="Bodytext211pt"/>
                <w:sz w:val="24"/>
                <w:szCs w:val="24"/>
                <w:lang w:val="ro-RO"/>
              </w:rPr>
              <w:t>31.10.17</w:t>
            </w:r>
          </w:p>
        </w:tc>
        <w:tc>
          <w:tcPr>
            <w:tcW w:w="1776" w:type="dxa"/>
            <w:shd w:val="clear" w:color="auto" w:fill="FFFFFF"/>
          </w:tcPr>
          <w:p w:rsidR="00666325" w:rsidRPr="00D13A23" w:rsidRDefault="00666325" w:rsidP="00D13A23">
            <w:pPr>
              <w:pStyle w:val="Bodytext20"/>
              <w:shd w:val="clear" w:color="auto" w:fill="auto"/>
              <w:spacing w:line="244" w:lineRule="exact"/>
              <w:ind w:right="499"/>
              <w:jc w:val="center"/>
              <w:rPr>
                <w:color w:val="000000"/>
                <w:sz w:val="24"/>
                <w:szCs w:val="24"/>
                <w:shd w:val="clear" w:color="auto" w:fill="FFFFFF"/>
                <w:lang w:val="ro-RO" w:eastAsia="ru-RU" w:bidi="ru-RU"/>
              </w:rPr>
            </w:pPr>
            <w:r w:rsidRPr="00D13A23">
              <w:rPr>
                <w:rStyle w:val="Bodytext211pt"/>
                <w:sz w:val="24"/>
                <w:szCs w:val="24"/>
                <w:lang w:val="ro-RO" w:eastAsia="ru-RU" w:bidi="ru-RU"/>
              </w:rPr>
              <w:t>81,9</w:t>
            </w:r>
          </w:p>
        </w:tc>
      </w:tr>
      <w:tr w:rsidR="00666325" w:rsidRPr="00A07ADA" w:rsidTr="00406684">
        <w:trPr>
          <w:trHeight w:hRule="exact" w:val="719"/>
        </w:trPr>
        <w:tc>
          <w:tcPr>
            <w:tcW w:w="704" w:type="dxa"/>
            <w:shd w:val="clear" w:color="auto" w:fill="FFFFFF"/>
          </w:tcPr>
          <w:p w:rsidR="00666325" w:rsidRPr="00D13A23" w:rsidRDefault="00666325" w:rsidP="00666325">
            <w:pPr>
              <w:pStyle w:val="Bodytext20"/>
              <w:shd w:val="clear" w:color="auto" w:fill="auto"/>
              <w:spacing w:line="244" w:lineRule="exact"/>
              <w:ind w:left="140"/>
              <w:rPr>
                <w:b/>
                <w:color w:val="000000"/>
                <w:sz w:val="24"/>
                <w:szCs w:val="24"/>
                <w:shd w:val="clear" w:color="auto" w:fill="FFFFFF"/>
                <w:lang w:val="ro-RO" w:bidi="en-US"/>
              </w:rPr>
            </w:pPr>
            <w:r w:rsidRPr="00D13A23">
              <w:rPr>
                <w:rStyle w:val="Bodytext211pt"/>
                <w:b/>
                <w:sz w:val="24"/>
                <w:szCs w:val="24"/>
                <w:lang w:val="ro-RO"/>
              </w:rPr>
              <w:t>33.</w:t>
            </w:r>
          </w:p>
        </w:tc>
        <w:tc>
          <w:tcPr>
            <w:tcW w:w="4394" w:type="dxa"/>
            <w:shd w:val="clear" w:color="auto" w:fill="FFFFFF"/>
          </w:tcPr>
          <w:p w:rsidR="00666325" w:rsidRPr="00D13A23" w:rsidRDefault="00666325" w:rsidP="002900BB">
            <w:pPr>
              <w:pStyle w:val="Bodytext20"/>
              <w:shd w:val="clear" w:color="auto" w:fill="auto"/>
              <w:spacing w:line="322" w:lineRule="exact"/>
              <w:rPr>
                <w:color w:val="000000"/>
                <w:sz w:val="24"/>
                <w:szCs w:val="24"/>
                <w:shd w:val="clear" w:color="auto" w:fill="FFFFFF"/>
                <w:lang w:val="ro-RO" w:bidi="en-US"/>
              </w:rPr>
            </w:pPr>
            <w:r w:rsidRPr="00D13A23">
              <w:rPr>
                <w:rStyle w:val="Bodytext211pt"/>
                <w:sz w:val="24"/>
                <w:szCs w:val="24"/>
                <w:lang w:val="ro-RO"/>
              </w:rPr>
              <w:t xml:space="preserve">Colegiul de </w:t>
            </w:r>
            <w:r w:rsidR="002900BB" w:rsidRPr="00D13A23">
              <w:rPr>
                <w:rStyle w:val="Bodytext211pt"/>
                <w:sz w:val="24"/>
                <w:szCs w:val="24"/>
                <w:lang w:val="ro-RO"/>
              </w:rPr>
              <w:t>A</w:t>
            </w:r>
            <w:r w:rsidRPr="00D13A23">
              <w:rPr>
                <w:rStyle w:val="Bodytext211pt"/>
                <w:sz w:val="24"/>
                <w:szCs w:val="24"/>
                <w:lang w:val="ro-RO"/>
              </w:rPr>
              <w:t xml:space="preserve">rte </w:t>
            </w:r>
            <w:r w:rsidR="002900BB" w:rsidRPr="00D13A23">
              <w:rPr>
                <w:rStyle w:val="Bodytext211pt"/>
                <w:sz w:val="24"/>
                <w:szCs w:val="24"/>
                <w:lang w:val="ro-RO"/>
              </w:rPr>
              <w:t>P</w:t>
            </w:r>
            <w:r w:rsidRPr="00D13A23">
              <w:rPr>
                <w:rStyle w:val="Bodytext211pt"/>
                <w:sz w:val="24"/>
                <w:szCs w:val="24"/>
                <w:lang w:val="ro-RO"/>
              </w:rPr>
              <w:t xml:space="preserve">lastice </w:t>
            </w:r>
            <w:r w:rsidR="002900BB" w:rsidRPr="00D13A23">
              <w:rPr>
                <w:rStyle w:val="Bodytext211pt"/>
                <w:sz w:val="24"/>
                <w:szCs w:val="24"/>
                <w:lang w:val="ro-RO"/>
              </w:rPr>
              <w:t>„</w:t>
            </w:r>
            <w:r w:rsidRPr="00D13A23">
              <w:rPr>
                <w:rStyle w:val="Bodytext211pt"/>
                <w:sz w:val="24"/>
                <w:szCs w:val="24"/>
                <w:lang w:val="ro-RO"/>
              </w:rPr>
              <w:t>Alexandru Plămădeală</w:t>
            </w:r>
            <w:r w:rsidR="002900BB" w:rsidRPr="00D13A23">
              <w:rPr>
                <w:rStyle w:val="Bodytext211pt"/>
                <w:sz w:val="24"/>
                <w:szCs w:val="24"/>
                <w:lang w:val="ro-RO"/>
              </w:rPr>
              <w:t>”</w:t>
            </w:r>
          </w:p>
        </w:tc>
        <w:tc>
          <w:tcPr>
            <w:tcW w:w="858" w:type="dxa"/>
            <w:shd w:val="clear" w:color="auto" w:fill="FFFFFF"/>
          </w:tcPr>
          <w:p w:rsidR="00666325" w:rsidRPr="00D13A23" w:rsidRDefault="00666325" w:rsidP="00D13A23">
            <w:pPr>
              <w:pStyle w:val="Bodytext20"/>
              <w:shd w:val="clear" w:color="auto" w:fill="auto"/>
              <w:spacing w:line="244" w:lineRule="exact"/>
              <w:jc w:val="center"/>
              <w:rPr>
                <w:color w:val="000000"/>
                <w:sz w:val="24"/>
                <w:szCs w:val="24"/>
                <w:shd w:val="clear" w:color="auto" w:fill="FFFFFF"/>
                <w:lang w:val="ro-RO" w:bidi="en-US"/>
              </w:rPr>
            </w:pPr>
            <w:r w:rsidRPr="00D13A23">
              <w:rPr>
                <w:rStyle w:val="Bodytext211pt"/>
                <w:sz w:val="24"/>
                <w:szCs w:val="24"/>
                <w:lang w:val="ro-RO"/>
              </w:rPr>
              <w:t>00534</w:t>
            </w:r>
          </w:p>
        </w:tc>
        <w:tc>
          <w:tcPr>
            <w:tcW w:w="851" w:type="dxa"/>
            <w:shd w:val="clear" w:color="auto" w:fill="FFFFFF"/>
          </w:tcPr>
          <w:p w:rsidR="00666325" w:rsidRPr="00D13A23" w:rsidRDefault="00666325" w:rsidP="00D13A23">
            <w:pPr>
              <w:pStyle w:val="Bodytext20"/>
              <w:shd w:val="clear" w:color="auto" w:fill="auto"/>
              <w:spacing w:line="244" w:lineRule="exact"/>
              <w:jc w:val="center"/>
              <w:rPr>
                <w:color w:val="000000"/>
                <w:sz w:val="24"/>
                <w:szCs w:val="24"/>
                <w:shd w:val="clear" w:color="auto" w:fill="FFFFFF"/>
                <w:lang w:val="ro-RO" w:bidi="en-US"/>
              </w:rPr>
            </w:pPr>
            <w:r w:rsidRPr="00D13A23">
              <w:rPr>
                <w:rStyle w:val="Bodytext211pt"/>
                <w:sz w:val="24"/>
                <w:szCs w:val="24"/>
                <w:lang w:val="ro-RO"/>
              </w:rPr>
              <w:t>15334</w:t>
            </w:r>
          </w:p>
        </w:tc>
        <w:tc>
          <w:tcPr>
            <w:tcW w:w="992" w:type="dxa"/>
            <w:shd w:val="clear" w:color="auto" w:fill="FFFFFF"/>
          </w:tcPr>
          <w:p w:rsidR="00666325" w:rsidRPr="00D13A23" w:rsidRDefault="00666325" w:rsidP="00D13A23">
            <w:pPr>
              <w:pStyle w:val="Bodytext20"/>
              <w:shd w:val="clear" w:color="auto" w:fill="auto"/>
              <w:spacing w:line="244" w:lineRule="exact"/>
              <w:jc w:val="center"/>
              <w:rPr>
                <w:color w:val="000000"/>
                <w:sz w:val="24"/>
                <w:szCs w:val="24"/>
                <w:shd w:val="clear" w:color="auto" w:fill="FFFFFF"/>
                <w:lang w:val="ro-RO" w:bidi="en-US"/>
              </w:rPr>
            </w:pPr>
            <w:r w:rsidRPr="00D13A23">
              <w:rPr>
                <w:rStyle w:val="Bodytext211pt"/>
                <w:sz w:val="24"/>
                <w:szCs w:val="24"/>
                <w:lang w:val="ro-RO"/>
              </w:rPr>
              <w:t>12.10.17</w:t>
            </w:r>
          </w:p>
        </w:tc>
        <w:tc>
          <w:tcPr>
            <w:tcW w:w="1776" w:type="dxa"/>
            <w:shd w:val="clear" w:color="auto" w:fill="FFFFFF"/>
          </w:tcPr>
          <w:p w:rsidR="00666325" w:rsidRPr="00D13A23" w:rsidRDefault="00666325" w:rsidP="00D13A23">
            <w:pPr>
              <w:pStyle w:val="Bodytext20"/>
              <w:shd w:val="clear" w:color="auto" w:fill="auto"/>
              <w:spacing w:line="244" w:lineRule="exact"/>
              <w:ind w:right="499"/>
              <w:jc w:val="center"/>
              <w:rPr>
                <w:color w:val="000000"/>
                <w:sz w:val="24"/>
                <w:szCs w:val="24"/>
                <w:shd w:val="clear" w:color="auto" w:fill="FFFFFF"/>
                <w:lang w:val="ro-RO" w:eastAsia="ru-RU" w:bidi="ru-RU"/>
              </w:rPr>
            </w:pPr>
            <w:r w:rsidRPr="00D13A23">
              <w:rPr>
                <w:rStyle w:val="Bodytext211pt"/>
                <w:sz w:val="24"/>
                <w:szCs w:val="24"/>
                <w:lang w:val="ro-RO" w:eastAsia="ru-RU" w:bidi="ru-RU"/>
              </w:rPr>
              <w:t>11,7</w:t>
            </w:r>
          </w:p>
        </w:tc>
      </w:tr>
      <w:tr w:rsidR="00666325" w:rsidRPr="00A07ADA" w:rsidTr="00406684">
        <w:trPr>
          <w:trHeight w:hRule="exact" w:val="417"/>
        </w:trPr>
        <w:tc>
          <w:tcPr>
            <w:tcW w:w="704" w:type="dxa"/>
            <w:shd w:val="clear" w:color="auto" w:fill="FFFFFF"/>
          </w:tcPr>
          <w:p w:rsidR="00666325" w:rsidRPr="00D13A23" w:rsidRDefault="00666325" w:rsidP="00666325">
            <w:pPr>
              <w:pStyle w:val="Bodytext20"/>
              <w:shd w:val="clear" w:color="auto" w:fill="auto"/>
              <w:spacing w:line="244" w:lineRule="exact"/>
              <w:ind w:left="140"/>
              <w:rPr>
                <w:b/>
                <w:color w:val="000000"/>
                <w:sz w:val="24"/>
                <w:szCs w:val="24"/>
                <w:shd w:val="clear" w:color="auto" w:fill="FFFFFF"/>
                <w:lang w:val="ro-RO" w:bidi="en-US"/>
              </w:rPr>
            </w:pPr>
            <w:r w:rsidRPr="00D13A23">
              <w:rPr>
                <w:rStyle w:val="Bodytext211pt"/>
                <w:b/>
                <w:sz w:val="24"/>
                <w:szCs w:val="24"/>
                <w:lang w:val="ro-RO"/>
              </w:rPr>
              <w:t>34.</w:t>
            </w:r>
          </w:p>
        </w:tc>
        <w:tc>
          <w:tcPr>
            <w:tcW w:w="4394" w:type="dxa"/>
            <w:shd w:val="clear" w:color="auto" w:fill="FFFFFF"/>
          </w:tcPr>
          <w:p w:rsidR="00666325" w:rsidRPr="00D13A23" w:rsidRDefault="00666325" w:rsidP="00666325">
            <w:pPr>
              <w:pStyle w:val="Bodytext20"/>
              <w:shd w:val="clear" w:color="auto" w:fill="auto"/>
              <w:spacing w:line="322" w:lineRule="exact"/>
              <w:rPr>
                <w:color w:val="000000"/>
                <w:sz w:val="24"/>
                <w:szCs w:val="24"/>
                <w:shd w:val="clear" w:color="auto" w:fill="FFFFFF"/>
                <w:lang w:val="ro-RO" w:bidi="en-US"/>
              </w:rPr>
            </w:pPr>
            <w:r w:rsidRPr="00D13A23">
              <w:rPr>
                <w:rStyle w:val="Bodytext211pt"/>
                <w:sz w:val="24"/>
                <w:szCs w:val="24"/>
                <w:lang w:val="ro-RO"/>
              </w:rPr>
              <w:t>Agenția Națională Arheologică</w:t>
            </w:r>
          </w:p>
        </w:tc>
        <w:tc>
          <w:tcPr>
            <w:tcW w:w="858" w:type="dxa"/>
            <w:shd w:val="clear" w:color="auto" w:fill="FFFFFF"/>
          </w:tcPr>
          <w:p w:rsidR="00666325" w:rsidRPr="00D13A23" w:rsidRDefault="00666325" w:rsidP="00D13A23">
            <w:pPr>
              <w:pStyle w:val="Bodytext20"/>
              <w:shd w:val="clear" w:color="auto" w:fill="auto"/>
              <w:spacing w:line="244" w:lineRule="exact"/>
              <w:jc w:val="center"/>
              <w:rPr>
                <w:color w:val="000000"/>
                <w:sz w:val="24"/>
                <w:szCs w:val="24"/>
                <w:shd w:val="clear" w:color="auto" w:fill="FFFFFF"/>
                <w:lang w:val="ro-RO" w:bidi="en-US"/>
              </w:rPr>
            </w:pPr>
            <w:r w:rsidRPr="00D13A23">
              <w:rPr>
                <w:rStyle w:val="Bodytext211pt"/>
                <w:sz w:val="24"/>
                <w:szCs w:val="24"/>
                <w:lang w:val="ro-RO"/>
              </w:rPr>
              <w:t>00940</w:t>
            </w:r>
          </w:p>
        </w:tc>
        <w:tc>
          <w:tcPr>
            <w:tcW w:w="851" w:type="dxa"/>
            <w:shd w:val="clear" w:color="auto" w:fill="FFFFFF"/>
          </w:tcPr>
          <w:p w:rsidR="00666325" w:rsidRPr="00D13A23" w:rsidRDefault="00666325" w:rsidP="00D13A23">
            <w:pPr>
              <w:pStyle w:val="Bodytext20"/>
              <w:shd w:val="clear" w:color="auto" w:fill="auto"/>
              <w:spacing w:line="244" w:lineRule="exact"/>
              <w:jc w:val="center"/>
              <w:rPr>
                <w:color w:val="000000"/>
                <w:sz w:val="24"/>
                <w:szCs w:val="24"/>
                <w:shd w:val="clear" w:color="auto" w:fill="FFFFFF"/>
                <w:lang w:val="ro-RO" w:bidi="en-US"/>
              </w:rPr>
            </w:pPr>
            <w:r w:rsidRPr="00D13A23">
              <w:rPr>
                <w:rStyle w:val="Bodytext211pt"/>
                <w:sz w:val="24"/>
                <w:szCs w:val="24"/>
                <w:lang w:val="ro-RO"/>
              </w:rPr>
              <w:t>15379</w:t>
            </w:r>
          </w:p>
        </w:tc>
        <w:tc>
          <w:tcPr>
            <w:tcW w:w="992" w:type="dxa"/>
            <w:shd w:val="clear" w:color="auto" w:fill="FFFFFF"/>
          </w:tcPr>
          <w:p w:rsidR="00666325" w:rsidRPr="00D13A23" w:rsidRDefault="00666325" w:rsidP="00D13A23">
            <w:pPr>
              <w:pStyle w:val="Bodytext20"/>
              <w:shd w:val="clear" w:color="auto" w:fill="auto"/>
              <w:spacing w:line="244" w:lineRule="exact"/>
              <w:jc w:val="center"/>
              <w:rPr>
                <w:color w:val="000000"/>
                <w:sz w:val="24"/>
                <w:szCs w:val="24"/>
                <w:shd w:val="clear" w:color="auto" w:fill="FFFFFF"/>
                <w:lang w:val="ro-RO" w:bidi="en-US"/>
              </w:rPr>
            </w:pPr>
            <w:r w:rsidRPr="00D13A23">
              <w:rPr>
                <w:rStyle w:val="Bodytext211pt"/>
                <w:sz w:val="24"/>
                <w:szCs w:val="24"/>
                <w:lang w:val="ro-RO"/>
              </w:rPr>
              <w:t>03.11.17</w:t>
            </w:r>
          </w:p>
        </w:tc>
        <w:tc>
          <w:tcPr>
            <w:tcW w:w="1776" w:type="dxa"/>
            <w:shd w:val="clear" w:color="auto" w:fill="FFFFFF"/>
          </w:tcPr>
          <w:p w:rsidR="00666325" w:rsidRPr="00D13A23" w:rsidRDefault="00666325" w:rsidP="00D13A23">
            <w:pPr>
              <w:pStyle w:val="Bodytext20"/>
              <w:shd w:val="clear" w:color="auto" w:fill="auto"/>
              <w:spacing w:line="244" w:lineRule="exact"/>
              <w:ind w:right="499"/>
              <w:jc w:val="center"/>
              <w:rPr>
                <w:color w:val="000000"/>
                <w:sz w:val="24"/>
                <w:szCs w:val="24"/>
                <w:shd w:val="clear" w:color="auto" w:fill="FFFFFF"/>
                <w:lang w:val="ro-RO" w:eastAsia="ru-RU" w:bidi="ru-RU"/>
              </w:rPr>
            </w:pPr>
            <w:r w:rsidRPr="00D13A23">
              <w:rPr>
                <w:rStyle w:val="Bodytext211pt"/>
                <w:sz w:val="24"/>
                <w:szCs w:val="24"/>
                <w:lang w:val="ro-RO" w:eastAsia="ru-RU" w:bidi="ru-RU"/>
              </w:rPr>
              <w:t>23,2</w:t>
            </w:r>
          </w:p>
        </w:tc>
      </w:tr>
      <w:tr w:rsidR="00666325" w:rsidRPr="00A07ADA" w:rsidTr="00406684">
        <w:trPr>
          <w:trHeight w:hRule="exact" w:val="706"/>
        </w:trPr>
        <w:tc>
          <w:tcPr>
            <w:tcW w:w="704" w:type="dxa"/>
            <w:shd w:val="clear" w:color="auto" w:fill="FFFFFF"/>
          </w:tcPr>
          <w:p w:rsidR="00666325" w:rsidRPr="00D13A23" w:rsidRDefault="00666325" w:rsidP="00666325">
            <w:pPr>
              <w:pStyle w:val="Bodytext20"/>
              <w:shd w:val="clear" w:color="auto" w:fill="auto"/>
              <w:spacing w:line="244" w:lineRule="exact"/>
              <w:ind w:left="140"/>
              <w:rPr>
                <w:b/>
                <w:color w:val="000000"/>
                <w:sz w:val="24"/>
                <w:szCs w:val="24"/>
                <w:shd w:val="clear" w:color="auto" w:fill="FFFFFF"/>
                <w:lang w:val="ro-RO" w:bidi="en-US"/>
              </w:rPr>
            </w:pPr>
            <w:r w:rsidRPr="00D13A23">
              <w:rPr>
                <w:rStyle w:val="Bodytext211pt"/>
                <w:b/>
                <w:sz w:val="24"/>
                <w:szCs w:val="24"/>
                <w:lang w:val="ro-RO"/>
              </w:rPr>
              <w:t>35.</w:t>
            </w:r>
          </w:p>
        </w:tc>
        <w:tc>
          <w:tcPr>
            <w:tcW w:w="4394" w:type="dxa"/>
            <w:shd w:val="clear" w:color="auto" w:fill="FFFFFF"/>
          </w:tcPr>
          <w:p w:rsidR="00666325" w:rsidRPr="00D13A23" w:rsidRDefault="00666325" w:rsidP="00666325">
            <w:pPr>
              <w:pStyle w:val="Bodytext20"/>
              <w:shd w:val="clear" w:color="auto" w:fill="auto"/>
              <w:spacing w:line="322" w:lineRule="exact"/>
              <w:rPr>
                <w:color w:val="000000"/>
                <w:sz w:val="24"/>
                <w:szCs w:val="24"/>
                <w:shd w:val="clear" w:color="auto" w:fill="FFFFFF"/>
                <w:lang w:val="ro-RO" w:bidi="en-US"/>
              </w:rPr>
            </w:pPr>
            <w:r w:rsidRPr="00D13A23">
              <w:rPr>
                <w:rStyle w:val="Bodytext211pt"/>
                <w:sz w:val="24"/>
                <w:szCs w:val="24"/>
                <w:lang w:val="ro-RO"/>
              </w:rPr>
              <w:t>Liceul-internat Republican de Muzică „Ciprian Porumbescu”</w:t>
            </w:r>
          </w:p>
        </w:tc>
        <w:tc>
          <w:tcPr>
            <w:tcW w:w="858" w:type="dxa"/>
            <w:shd w:val="clear" w:color="auto" w:fill="FFFFFF"/>
          </w:tcPr>
          <w:p w:rsidR="00666325" w:rsidRPr="00D13A23" w:rsidRDefault="00666325" w:rsidP="00D13A23">
            <w:pPr>
              <w:pStyle w:val="Bodytext20"/>
              <w:shd w:val="clear" w:color="auto" w:fill="auto"/>
              <w:spacing w:line="244" w:lineRule="exact"/>
              <w:jc w:val="center"/>
              <w:rPr>
                <w:color w:val="000000"/>
                <w:sz w:val="24"/>
                <w:szCs w:val="24"/>
                <w:shd w:val="clear" w:color="auto" w:fill="FFFFFF"/>
                <w:lang w:val="ro-RO" w:bidi="en-US"/>
              </w:rPr>
            </w:pPr>
            <w:r w:rsidRPr="00D13A23">
              <w:rPr>
                <w:rStyle w:val="Bodytext211pt"/>
                <w:sz w:val="24"/>
                <w:szCs w:val="24"/>
                <w:lang w:val="ro-RO"/>
              </w:rPr>
              <w:t>00924</w:t>
            </w:r>
          </w:p>
        </w:tc>
        <w:tc>
          <w:tcPr>
            <w:tcW w:w="851" w:type="dxa"/>
            <w:shd w:val="clear" w:color="auto" w:fill="FFFFFF"/>
          </w:tcPr>
          <w:p w:rsidR="00666325" w:rsidRPr="00D13A23" w:rsidRDefault="00666325" w:rsidP="00D13A23">
            <w:pPr>
              <w:pStyle w:val="Bodytext20"/>
              <w:shd w:val="clear" w:color="auto" w:fill="auto"/>
              <w:spacing w:line="244" w:lineRule="exact"/>
              <w:jc w:val="center"/>
              <w:rPr>
                <w:color w:val="000000"/>
                <w:sz w:val="24"/>
                <w:szCs w:val="24"/>
                <w:shd w:val="clear" w:color="auto" w:fill="FFFFFF"/>
                <w:lang w:val="ro-RO" w:bidi="en-US"/>
              </w:rPr>
            </w:pPr>
            <w:r w:rsidRPr="00D13A23">
              <w:rPr>
                <w:rStyle w:val="Bodytext211pt"/>
                <w:sz w:val="24"/>
                <w:szCs w:val="24"/>
                <w:lang w:val="ro-RO"/>
              </w:rPr>
              <w:t>15344</w:t>
            </w:r>
          </w:p>
        </w:tc>
        <w:tc>
          <w:tcPr>
            <w:tcW w:w="992" w:type="dxa"/>
            <w:shd w:val="clear" w:color="auto" w:fill="FFFFFF"/>
          </w:tcPr>
          <w:p w:rsidR="00666325" w:rsidRPr="00D13A23" w:rsidRDefault="00666325" w:rsidP="00D13A23">
            <w:pPr>
              <w:pStyle w:val="Bodytext20"/>
              <w:shd w:val="clear" w:color="auto" w:fill="auto"/>
              <w:spacing w:line="244" w:lineRule="exact"/>
              <w:jc w:val="center"/>
              <w:rPr>
                <w:color w:val="000000"/>
                <w:sz w:val="24"/>
                <w:szCs w:val="24"/>
                <w:shd w:val="clear" w:color="auto" w:fill="FFFFFF"/>
                <w:lang w:val="ro-RO" w:bidi="en-US"/>
              </w:rPr>
            </w:pPr>
            <w:r w:rsidRPr="00D13A23">
              <w:rPr>
                <w:rStyle w:val="Bodytext211pt"/>
                <w:sz w:val="24"/>
                <w:szCs w:val="24"/>
                <w:lang w:val="ro-RO"/>
              </w:rPr>
              <w:t>13.11.17</w:t>
            </w:r>
          </w:p>
        </w:tc>
        <w:tc>
          <w:tcPr>
            <w:tcW w:w="1776" w:type="dxa"/>
            <w:shd w:val="clear" w:color="auto" w:fill="FFFFFF"/>
          </w:tcPr>
          <w:p w:rsidR="00666325" w:rsidRPr="00D13A23" w:rsidRDefault="00666325" w:rsidP="00D13A23">
            <w:pPr>
              <w:pStyle w:val="Bodytext20"/>
              <w:shd w:val="clear" w:color="auto" w:fill="auto"/>
              <w:spacing w:line="244" w:lineRule="exact"/>
              <w:ind w:right="499"/>
              <w:jc w:val="center"/>
              <w:rPr>
                <w:color w:val="000000"/>
                <w:sz w:val="24"/>
                <w:szCs w:val="24"/>
                <w:shd w:val="clear" w:color="auto" w:fill="FFFFFF"/>
                <w:lang w:val="ro-RO" w:eastAsia="ru-RU" w:bidi="ru-RU"/>
              </w:rPr>
            </w:pPr>
            <w:r w:rsidRPr="00D13A23">
              <w:rPr>
                <w:rStyle w:val="Bodytext211pt"/>
                <w:sz w:val="24"/>
                <w:szCs w:val="24"/>
                <w:lang w:val="ro-RO" w:eastAsia="ru-RU" w:bidi="ru-RU"/>
              </w:rPr>
              <w:t>42,7</w:t>
            </w:r>
          </w:p>
        </w:tc>
      </w:tr>
      <w:tr w:rsidR="00666325" w:rsidRPr="00A07ADA" w:rsidTr="00406684">
        <w:trPr>
          <w:trHeight w:hRule="exact" w:val="433"/>
        </w:trPr>
        <w:tc>
          <w:tcPr>
            <w:tcW w:w="704" w:type="dxa"/>
            <w:shd w:val="clear" w:color="auto" w:fill="FFFFFF"/>
          </w:tcPr>
          <w:p w:rsidR="00666325" w:rsidRPr="00D13A23" w:rsidRDefault="00666325" w:rsidP="00666325">
            <w:pPr>
              <w:pStyle w:val="Bodytext20"/>
              <w:shd w:val="clear" w:color="auto" w:fill="auto"/>
              <w:spacing w:line="244" w:lineRule="exact"/>
              <w:ind w:left="140"/>
              <w:rPr>
                <w:b/>
                <w:color w:val="000000"/>
                <w:sz w:val="24"/>
                <w:szCs w:val="24"/>
                <w:shd w:val="clear" w:color="auto" w:fill="FFFFFF"/>
                <w:lang w:val="ro-RO" w:bidi="en-US"/>
              </w:rPr>
            </w:pPr>
            <w:r w:rsidRPr="00D13A23">
              <w:rPr>
                <w:rStyle w:val="Bodytext211pt"/>
                <w:b/>
                <w:sz w:val="24"/>
                <w:szCs w:val="24"/>
                <w:lang w:val="ro-RO"/>
              </w:rPr>
              <w:t>36.</w:t>
            </w:r>
          </w:p>
        </w:tc>
        <w:tc>
          <w:tcPr>
            <w:tcW w:w="4394" w:type="dxa"/>
            <w:shd w:val="clear" w:color="auto" w:fill="FFFFFF"/>
          </w:tcPr>
          <w:p w:rsidR="00666325" w:rsidRPr="00D13A23" w:rsidRDefault="00666325" w:rsidP="00666325">
            <w:pPr>
              <w:pStyle w:val="Bodytext20"/>
              <w:shd w:val="clear" w:color="auto" w:fill="auto"/>
              <w:spacing w:line="322" w:lineRule="exact"/>
              <w:rPr>
                <w:color w:val="000000"/>
                <w:sz w:val="24"/>
                <w:szCs w:val="24"/>
                <w:shd w:val="clear" w:color="auto" w:fill="FFFFFF"/>
                <w:lang w:val="ro-RO" w:bidi="en-US"/>
              </w:rPr>
            </w:pPr>
            <w:r w:rsidRPr="00D13A23">
              <w:rPr>
                <w:rStyle w:val="Bodytext211pt"/>
                <w:sz w:val="24"/>
                <w:szCs w:val="24"/>
                <w:lang w:val="ro-RO"/>
              </w:rPr>
              <w:t>Biblioteca Națională a Republicii Moldova</w:t>
            </w:r>
          </w:p>
        </w:tc>
        <w:tc>
          <w:tcPr>
            <w:tcW w:w="858" w:type="dxa"/>
            <w:shd w:val="clear" w:color="auto" w:fill="FFFFFF"/>
          </w:tcPr>
          <w:p w:rsidR="00666325" w:rsidRPr="00D13A23" w:rsidRDefault="00666325" w:rsidP="00D13A23">
            <w:pPr>
              <w:pStyle w:val="Bodytext20"/>
              <w:shd w:val="clear" w:color="auto" w:fill="auto"/>
              <w:spacing w:line="244" w:lineRule="exact"/>
              <w:jc w:val="center"/>
              <w:rPr>
                <w:color w:val="000000"/>
                <w:sz w:val="24"/>
                <w:szCs w:val="24"/>
                <w:shd w:val="clear" w:color="auto" w:fill="FFFFFF"/>
                <w:lang w:val="ro-RO" w:bidi="en-US"/>
              </w:rPr>
            </w:pPr>
            <w:r w:rsidRPr="00D13A23">
              <w:rPr>
                <w:rStyle w:val="Bodytext211pt"/>
                <w:sz w:val="24"/>
                <w:szCs w:val="24"/>
                <w:lang w:val="ro-RO"/>
              </w:rPr>
              <w:t>00927</w:t>
            </w:r>
          </w:p>
        </w:tc>
        <w:tc>
          <w:tcPr>
            <w:tcW w:w="851" w:type="dxa"/>
            <w:shd w:val="clear" w:color="auto" w:fill="FFFFFF"/>
          </w:tcPr>
          <w:p w:rsidR="00666325" w:rsidRPr="00D13A23" w:rsidRDefault="00666325" w:rsidP="00D13A23">
            <w:pPr>
              <w:pStyle w:val="Bodytext20"/>
              <w:shd w:val="clear" w:color="auto" w:fill="auto"/>
              <w:spacing w:line="244" w:lineRule="exact"/>
              <w:jc w:val="center"/>
              <w:rPr>
                <w:color w:val="000000"/>
                <w:sz w:val="24"/>
                <w:szCs w:val="24"/>
                <w:shd w:val="clear" w:color="auto" w:fill="FFFFFF"/>
                <w:lang w:val="ro-RO" w:bidi="en-US"/>
              </w:rPr>
            </w:pPr>
            <w:r w:rsidRPr="00D13A23">
              <w:rPr>
                <w:rStyle w:val="Bodytext211pt"/>
                <w:sz w:val="24"/>
                <w:szCs w:val="24"/>
                <w:lang w:val="ro-RO"/>
              </w:rPr>
              <w:t>15349</w:t>
            </w:r>
          </w:p>
        </w:tc>
        <w:tc>
          <w:tcPr>
            <w:tcW w:w="992" w:type="dxa"/>
            <w:shd w:val="clear" w:color="auto" w:fill="FFFFFF"/>
          </w:tcPr>
          <w:p w:rsidR="00666325" w:rsidRPr="00D13A23" w:rsidRDefault="00666325" w:rsidP="00D13A23">
            <w:pPr>
              <w:pStyle w:val="Bodytext20"/>
              <w:shd w:val="clear" w:color="auto" w:fill="auto"/>
              <w:spacing w:line="244" w:lineRule="exact"/>
              <w:jc w:val="center"/>
              <w:rPr>
                <w:color w:val="000000"/>
                <w:sz w:val="24"/>
                <w:szCs w:val="24"/>
                <w:shd w:val="clear" w:color="auto" w:fill="FFFFFF"/>
                <w:lang w:val="ro-RO" w:bidi="en-US"/>
              </w:rPr>
            </w:pPr>
            <w:r w:rsidRPr="00D13A23">
              <w:rPr>
                <w:rStyle w:val="Bodytext211pt"/>
                <w:sz w:val="24"/>
                <w:szCs w:val="24"/>
                <w:lang w:val="ro-RO"/>
              </w:rPr>
              <w:t>21.12.17</w:t>
            </w:r>
          </w:p>
        </w:tc>
        <w:tc>
          <w:tcPr>
            <w:tcW w:w="1776" w:type="dxa"/>
            <w:shd w:val="clear" w:color="auto" w:fill="FFFFFF"/>
          </w:tcPr>
          <w:p w:rsidR="00666325" w:rsidRPr="00D13A23" w:rsidRDefault="00666325" w:rsidP="00D13A23">
            <w:pPr>
              <w:pStyle w:val="Bodytext20"/>
              <w:shd w:val="clear" w:color="auto" w:fill="auto"/>
              <w:spacing w:line="244" w:lineRule="exact"/>
              <w:ind w:right="499"/>
              <w:jc w:val="center"/>
              <w:rPr>
                <w:color w:val="000000"/>
                <w:sz w:val="24"/>
                <w:szCs w:val="24"/>
                <w:shd w:val="clear" w:color="auto" w:fill="FFFFFF"/>
                <w:lang w:val="ro-RO" w:eastAsia="ru-RU" w:bidi="ru-RU"/>
              </w:rPr>
            </w:pPr>
            <w:r w:rsidRPr="00D13A23">
              <w:rPr>
                <w:rStyle w:val="Bodytext211pt"/>
                <w:sz w:val="24"/>
                <w:szCs w:val="24"/>
                <w:lang w:val="ro-RO" w:eastAsia="ru-RU" w:bidi="ru-RU"/>
              </w:rPr>
              <w:t>24,1</w:t>
            </w:r>
          </w:p>
        </w:tc>
      </w:tr>
      <w:tr w:rsidR="00BA640A" w:rsidRPr="00A07ADA" w:rsidTr="00BC5413">
        <w:trPr>
          <w:trHeight w:hRule="exact" w:val="377"/>
        </w:trPr>
        <w:tc>
          <w:tcPr>
            <w:tcW w:w="704" w:type="dxa"/>
            <w:shd w:val="clear" w:color="auto" w:fill="EDEDED" w:themeFill="accent3" w:themeFillTint="33"/>
          </w:tcPr>
          <w:p w:rsidR="00BA640A" w:rsidRPr="00D13A23" w:rsidRDefault="00BA640A" w:rsidP="00BA640A">
            <w:pPr>
              <w:rPr>
                <w:rFonts w:ascii="Times New Roman" w:hAnsi="Times New Roman" w:cs="Times New Roman"/>
                <w:b/>
                <w:sz w:val="24"/>
                <w:szCs w:val="24"/>
              </w:rPr>
            </w:pPr>
          </w:p>
        </w:tc>
        <w:tc>
          <w:tcPr>
            <w:tcW w:w="8871" w:type="dxa"/>
            <w:gridSpan w:val="5"/>
            <w:shd w:val="clear" w:color="auto" w:fill="EDEDED" w:themeFill="accent3" w:themeFillTint="33"/>
            <w:vAlign w:val="center"/>
          </w:tcPr>
          <w:p w:rsidR="00BA640A" w:rsidRPr="00D13A23" w:rsidRDefault="00BA640A" w:rsidP="00D13A23">
            <w:pPr>
              <w:ind w:right="499" w:firstLine="130"/>
              <w:jc w:val="center"/>
              <w:rPr>
                <w:rFonts w:ascii="Times New Roman" w:hAnsi="Times New Roman" w:cs="Times New Roman"/>
                <w:sz w:val="24"/>
                <w:szCs w:val="24"/>
              </w:rPr>
            </w:pPr>
            <w:r w:rsidRPr="00D13A23">
              <w:rPr>
                <w:rFonts w:ascii="Times New Roman" w:hAnsi="Times New Roman" w:cs="Times New Roman"/>
                <w:b/>
                <w:i/>
                <w:sz w:val="28"/>
                <w:szCs w:val="24"/>
              </w:rPr>
              <w:t>Ministerul Sănătății</w:t>
            </w:r>
          </w:p>
        </w:tc>
      </w:tr>
      <w:tr w:rsidR="00666325" w:rsidRPr="00A07ADA" w:rsidTr="00406684">
        <w:trPr>
          <w:trHeight w:hRule="exact" w:val="411"/>
        </w:trPr>
        <w:tc>
          <w:tcPr>
            <w:tcW w:w="704" w:type="dxa"/>
            <w:shd w:val="clear" w:color="auto" w:fill="FFFFFF"/>
          </w:tcPr>
          <w:p w:rsidR="00666325" w:rsidRPr="00D13A23" w:rsidRDefault="00666325" w:rsidP="00666325">
            <w:pPr>
              <w:pStyle w:val="Bodytext20"/>
              <w:shd w:val="clear" w:color="auto" w:fill="auto"/>
              <w:spacing w:line="244" w:lineRule="exact"/>
              <w:ind w:left="140"/>
              <w:rPr>
                <w:b/>
                <w:color w:val="000000"/>
                <w:sz w:val="24"/>
                <w:szCs w:val="24"/>
                <w:shd w:val="clear" w:color="auto" w:fill="FFFFFF"/>
                <w:lang w:val="ro-RO" w:bidi="en-US"/>
              </w:rPr>
            </w:pPr>
            <w:r w:rsidRPr="00D13A23">
              <w:rPr>
                <w:rStyle w:val="Bodytext211pt"/>
                <w:b/>
                <w:sz w:val="24"/>
                <w:szCs w:val="24"/>
                <w:lang w:val="ro-RO"/>
              </w:rPr>
              <w:lastRenderedPageBreak/>
              <w:t>37.</w:t>
            </w:r>
          </w:p>
        </w:tc>
        <w:tc>
          <w:tcPr>
            <w:tcW w:w="4394" w:type="dxa"/>
            <w:shd w:val="clear" w:color="auto" w:fill="FFFFFF"/>
          </w:tcPr>
          <w:p w:rsidR="00666325" w:rsidRPr="00D13A23" w:rsidRDefault="00666325" w:rsidP="00666325">
            <w:pPr>
              <w:pStyle w:val="Bodytext20"/>
              <w:shd w:val="clear" w:color="auto" w:fill="auto"/>
              <w:spacing w:line="322" w:lineRule="exact"/>
              <w:rPr>
                <w:color w:val="000000"/>
                <w:sz w:val="24"/>
                <w:szCs w:val="24"/>
                <w:shd w:val="clear" w:color="auto" w:fill="FFFFFF"/>
                <w:lang w:val="ro-RO" w:bidi="en-US"/>
              </w:rPr>
            </w:pPr>
            <w:r w:rsidRPr="00D13A23">
              <w:rPr>
                <w:rStyle w:val="Bodytext211pt"/>
                <w:sz w:val="24"/>
                <w:szCs w:val="24"/>
                <w:lang w:val="ro-RO"/>
              </w:rPr>
              <w:t>Centrul de Sănătate Publică</w:t>
            </w:r>
            <w:r w:rsidR="002900BB" w:rsidRPr="00D13A23">
              <w:rPr>
                <w:rStyle w:val="Bodytext211pt"/>
                <w:sz w:val="24"/>
                <w:szCs w:val="24"/>
                <w:lang w:val="ro-RO"/>
              </w:rPr>
              <w:t>,</w:t>
            </w:r>
            <w:r w:rsidRPr="00D13A23">
              <w:rPr>
                <w:rStyle w:val="Bodytext211pt"/>
                <w:sz w:val="24"/>
                <w:szCs w:val="24"/>
                <w:lang w:val="ro-RO"/>
              </w:rPr>
              <w:t xml:space="preserve"> mun. Chișinău</w:t>
            </w:r>
          </w:p>
        </w:tc>
        <w:tc>
          <w:tcPr>
            <w:tcW w:w="858" w:type="dxa"/>
            <w:shd w:val="clear" w:color="auto" w:fill="FFFFFF"/>
          </w:tcPr>
          <w:p w:rsidR="00666325" w:rsidRPr="00D13A23" w:rsidRDefault="00666325" w:rsidP="00D13A23">
            <w:pPr>
              <w:pStyle w:val="Bodytext20"/>
              <w:shd w:val="clear" w:color="auto" w:fill="auto"/>
              <w:spacing w:line="244" w:lineRule="exact"/>
              <w:jc w:val="center"/>
              <w:rPr>
                <w:color w:val="000000"/>
                <w:sz w:val="24"/>
                <w:szCs w:val="24"/>
                <w:shd w:val="clear" w:color="auto" w:fill="FFFFFF"/>
                <w:lang w:val="ro-RO" w:bidi="en-US"/>
              </w:rPr>
            </w:pPr>
            <w:r w:rsidRPr="00D13A23">
              <w:rPr>
                <w:rStyle w:val="Bodytext211pt"/>
                <w:sz w:val="24"/>
                <w:szCs w:val="24"/>
                <w:lang w:val="ro-RO"/>
              </w:rPr>
              <w:t>01018</w:t>
            </w:r>
          </w:p>
        </w:tc>
        <w:tc>
          <w:tcPr>
            <w:tcW w:w="851" w:type="dxa"/>
            <w:shd w:val="clear" w:color="auto" w:fill="FFFFFF"/>
          </w:tcPr>
          <w:p w:rsidR="00666325" w:rsidRPr="00D13A23" w:rsidRDefault="00666325" w:rsidP="00D13A23">
            <w:pPr>
              <w:pStyle w:val="Bodytext20"/>
              <w:shd w:val="clear" w:color="auto" w:fill="auto"/>
              <w:spacing w:line="244" w:lineRule="exact"/>
              <w:jc w:val="center"/>
              <w:rPr>
                <w:color w:val="000000"/>
                <w:sz w:val="24"/>
                <w:szCs w:val="24"/>
                <w:shd w:val="clear" w:color="auto" w:fill="FFFFFF"/>
                <w:lang w:val="ro-RO" w:bidi="en-US"/>
              </w:rPr>
            </w:pPr>
            <w:r w:rsidRPr="00D13A23">
              <w:rPr>
                <w:rStyle w:val="Bodytext211pt"/>
                <w:sz w:val="24"/>
                <w:szCs w:val="24"/>
                <w:lang w:val="ro-RO"/>
              </w:rPr>
              <w:t>15366</w:t>
            </w:r>
          </w:p>
        </w:tc>
        <w:tc>
          <w:tcPr>
            <w:tcW w:w="992" w:type="dxa"/>
            <w:shd w:val="clear" w:color="auto" w:fill="FFFFFF"/>
          </w:tcPr>
          <w:p w:rsidR="00666325" w:rsidRPr="00D13A23" w:rsidRDefault="00666325" w:rsidP="00D13A23">
            <w:pPr>
              <w:pStyle w:val="Bodytext20"/>
              <w:shd w:val="clear" w:color="auto" w:fill="auto"/>
              <w:spacing w:line="244" w:lineRule="exact"/>
              <w:jc w:val="center"/>
              <w:rPr>
                <w:color w:val="000000"/>
                <w:sz w:val="24"/>
                <w:szCs w:val="24"/>
                <w:shd w:val="clear" w:color="auto" w:fill="FFFFFF"/>
                <w:lang w:val="ro-RO" w:bidi="en-US"/>
              </w:rPr>
            </w:pPr>
            <w:r w:rsidRPr="00D13A23">
              <w:rPr>
                <w:rStyle w:val="Bodytext211pt"/>
                <w:sz w:val="24"/>
                <w:szCs w:val="24"/>
                <w:lang w:val="ro-RO"/>
              </w:rPr>
              <w:t>07.11.17</w:t>
            </w:r>
          </w:p>
        </w:tc>
        <w:tc>
          <w:tcPr>
            <w:tcW w:w="1776" w:type="dxa"/>
            <w:shd w:val="clear" w:color="auto" w:fill="FFFFFF"/>
          </w:tcPr>
          <w:p w:rsidR="00666325" w:rsidRPr="00D13A23" w:rsidRDefault="00666325" w:rsidP="00D13A23">
            <w:pPr>
              <w:pStyle w:val="Bodytext20"/>
              <w:shd w:val="clear" w:color="auto" w:fill="auto"/>
              <w:spacing w:line="244" w:lineRule="exact"/>
              <w:ind w:right="499"/>
              <w:jc w:val="center"/>
              <w:rPr>
                <w:color w:val="000000"/>
                <w:sz w:val="24"/>
                <w:szCs w:val="24"/>
                <w:shd w:val="clear" w:color="auto" w:fill="FFFFFF"/>
                <w:lang w:val="ro-RO" w:eastAsia="ru-RU" w:bidi="ru-RU"/>
              </w:rPr>
            </w:pPr>
            <w:r w:rsidRPr="00D13A23">
              <w:rPr>
                <w:rStyle w:val="Bodytext211pt"/>
                <w:sz w:val="24"/>
                <w:szCs w:val="24"/>
                <w:lang w:val="ro-RO" w:eastAsia="ru-RU" w:bidi="ru-RU"/>
              </w:rPr>
              <w:t>728,9</w:t>
            </w:r>
          </w:p>
        </w:tc>
      </w:tr>
      <w:tr w:rsidR="00666325" w:rsidRPr="00A07ADA" w:rsidTr="00406684">
        <w:trPr>
          <w:trHeight w:hRule="exact" w:val="715"/>
        </w:trPr>
        <w:tc>
          <w:tcPr>
            <w:tcW w:w="704" w:type="dxa"/>
            <w:shd w:val="clear" w:color="auto" w:fill="FFFFFF"/>
          </w:tcPr>
          <w:p w:rsidR="00666325" w:rsidRPr="00D13A23" w:rsidRDefault="00666325" w:rsidP="00666325">
            <w:pPr>
              <w:pStyle w:val="Bodytext20"/>
              <w:shd w:val="clear" w:color="auto" w:fill="auto"/>
              <w:spacing w:line="244" w:lineRule="exact"/>
              <w:ind w:left="140"/>
              <w:rPr>
                <w:b/>
                <w:color w:val="000000"/>
                <w:sz w:val="24"/>
                <w:szCs w:val="24"/>
                <w:shd w:val="clear" w:color="auto" w:fill="FFFFFF"/>
                <w:lang w:val="ro-RO" w:bidi="en-US"/>
              </w:rPr>
            </w:pPr>
            <w:r w:rsidRPr="00D13A23">
              <w:rPr>
                <w:rStyle w:val="Bodytext211pt"/>
                <w:b/>
                <w:sz w:val="24"/>
                <w:szCs w:val="24"/>
                <w:lang w:val="ro-RO"/>
              </w:rPr>
              <w:t>38.</w:t>
            </w:r>
          </w:p>
        </w:tc>
        <w:tc>
          <w:tcPr>
            <w:tcW w:w="4394" w:type="dxa"/>
            <w:shd w:val="clear" w:color="auto" w:fill="FFFFFF"/>
          </w:tcPr>
          <w:p w:rsidR="00666325" w:rsidRPr="00D13A23" w:rsidRDefault="00666325" w:rsidP="00BA640A">
            <w:pPr>
              <w:pStyle w:val="Bodytext20"/>
              <w:shd w:val="clear" w:color="auto" w:fill="auto"/>
              <w:spacing w:line="322" w:lineRule="exact"/>
              <w:rPr>
                <w:color w:val="000000"/>
                <w:sz w:val="24"/>
                <w:szCs w:val="24"/>
                <w:shd w:val="clear" w:color="auto" w:fill="FFFFFF"/>
                <w:lang w:val="ro-RO" w:bidi="en-US"/>
              </w:rPr>
            </w:pPr>
            <w:r w:rsidRPr="00D13A23">
              <w:rPr>
                <w:rStyle w:val="Bodytext211pt"/>
                <w:sz w:val="24"/>
                <w:szCs w:val="24"/>
                <w:lang w:val="ro-RO"/>
              </w:rPr>
              <w:t>Centrul de excelență în medicină și farmacie „Raisa Pacalo”</w:t>
            </w:r>
            <w:r w:rsidR="00BA640A" w:rsidRPr="00D13A23">
              <w:rPr>
                <w:rStyle w:val="Bodytext211pt"/>
                <w:sz w:val="24"/>
                <w:szCs w:val="24"/>
                <w:lang w:val="ro-RO"/>
              </w:rPr>
              <w:t xml:space="preserve"> </w:t>
            </w:r>
          </w:p>
        </w:tc>
        <w:tc>
          <w:tcPr>
            <w:tcW w:w="858" w:type="dxa"/>
            <w:shd w:val="clear" w:color="auto" w:fill="FFFFFF"/>
          </w:tcPr>
          <w:p w:rsidR="00666325" w:rsidRPr="00D13A23" w:rsidRDefault="00666325" w:rsidP="00D13A23">
            <w:pPr>
              <w:pStyle w:val="Bodytext20"/>
              <w:shd w:val="clear" w:color="auto" w:fill="auto"/>
              <w:spacing w:line="244" w:lineRule="exact"/>
              <w:jc w:val="center"/>
              <w:rPr>
                <w:color w:val="000000"/>
                <w:sz w:val="24"/>
                <w:szCs w:val="24"/>
                <w:shd w:val="clear" w:color="auto" w:fill="FFFFFF"/>
                <w:lang w:val="ro-RO" w:bidi="en-US"/>
              </w:rPr>
            </w:pPr>
            <w:r w:rsidRPr="00D13A23">
              <w:rPr>
                <w:rStyle w:val="Bodytext211pt"/>
                <w:sz w:val="24"/>
                <w:szCs w:val="24"/>
                <w:lang w:val="ro-RO"/>
              </w:rPr>
              <w:t>01015</w:t>
            </w:r>
          </w:p>
        </w:tc>
        <w:tc>
          <w:tcPr>
            <w:tcW w:w="851" w:type="dxa"/>
            <w:shd w:val="clear" w:color="auto" w:fill="FFFFFF"/>
          </w:tcPr>
          <w:p w:rsidR="00666325" w:rsidRPr="00D13A23" w:rsidRDefault="00666325" w:rsidP="00D13A23">
            <w:pPr>
              <w:pStyle w:val="Bodytext20"/>
              <w:shd w:val="clear" w:color="auto" w:fill="auto"/>
              <w:spacing w:line="244" w:lineRule="exact"/>
              <w:jc w:val="center"/>
              <w:rPr>
                <w:color w:val="000000"/>
                <w:sz w:val="24"/>
                <w:szCs w:val="24"/>
                <w:shd w:val="clear" w:color="auto" w:fill="FFFFFF"/>
                <w:lang w:val="ro-RO" w:bidi="en-US"/>
              </w:rPr>
            </w:pPr>
            <w:r w:rsidRPr="00D13A23">
              <w:rPr>
                <w:rStyle w:val="Bodytext211pt"/>
                <w:sz w:val="24"/>
                <w:szCs w:val="24"/>
                <w:lang w:val="ro-RO"/>
              </w:rPr>
              <w:t>15363</w:t>
            </w:r>
          </w:p>
        </w:tc>
        <w:tc>
          <w:tcPr>
            <w:tcW w:w="992" w:type="dxa"/>
            <w:shd w:val="clear" w:color="auto" w:fill="FFFFFF"/>
          </w:tcPr>
          <w:p w:rsidR="00666325" w:rsidRPr="00D13A23" w:rsidRDefault="00666325" w:rsidP="00D13A23">
            <w:pPr>
              <w:pStyle w:val="Bodytext20"/>
              <w:shd w:val="clear" w:color="auto" w:fill="auto"/>
              <w:spacing w:line="244" w:lineRule="exact"/>
              <w:jc w:val="center"/>
              <w:rPr>
                <w:color w:val="000000"/>
                <w:sz w:val="24"/>
                <w:szCs w:val="24"/>
                <w:shd w:val="clear" w:color="auto" w:fill="FFFFFF"/>
                <w:lang w:val="ro-RO" w:bidi="en-US"/>
              </w:rPr>
            </w:pPr>
            <w:r w:rsidRPr="00D13A23">
              <w:rPr>
                <w:rStyle w:val="Bodytext211pt"/>
                <w:sz w:val="24"/>
                <w:szCs w:val="24"/>
                <w:lang w:val="ro-RO"/>
              </w:rPr>
              <w:t>07.11.17</w:t>
            </w:r>
          </w:p>
        </w:tc>
        <w:tc>
          <w:tcPr>
            <w:tcW w:w="1776" w:type="dxa"/>
            <w:shd w:val="clear" w:color="auto" w:fill="FFFFFF"/>
          </w:tcPr>
          <w:p w:rsidR="00666325" w:rsidRPr="00D13A23" w:rsidRDefault="00666325" w:rsidP="00D13A23">
            <w:pPr>
              <w:pStyle w:val="Bodytext20"/>
              <w:shd w:val="clear" w:color="auto" w:fill="auto"/>
              <w:spacing w:line="244" w:lineRule="exact"/>
              <w:ind w:right="499"/>
              <w:jc w:val="center"/>
              <w:rPr>
                <w:color w:val="000000"/>
                <w:sz w:val="24"/>
                <w:szCs w:val="24"/>
                <w:shd w:val="clear" w:color="auto" w:fill="FFFFFF"/>
                <w:lang w:val="ro-RO" w:eastAsia="ru-RU" w:bidi="ru-RU"/>
              </w:rPr>
            </w:pPr>
            <w:r w:rsidRPr="00D13A23">
              <w:rPr>
                <w:rStyle w:val="Bodytext211pt"/>
                <w:sz w:val="24"/>
                <w:szCs w:val="24"/>
                <w:lang w:val="ro-RO" w:eastAsia="ru-RU" w:bidi="ru-RU"/>
              </w:rPr>
              <w:t>901,9</w:t>
            </w:r>
          </w:p>
        </w:tc>
      </w:tr>
      <w:tr w:rsidR="00666325" w:rsidRPr="00A07ADA" w:rsidTr="00406684">
        <w:trPr>
          <w:trHeight w:hRule="exact" w:val="421"/>
        </w:trPr>
        <w:tc>
          <w:tcPr>
            <w:tcW w:w="704" w:type="dxa"/>
            <w:shd w:val="clear" w:color="auto" w:fill="FFFFFF"/>
          </w:tcPr>
          <w:p w:rsidR="00666325" w:rsidRPr="00D13A23" w:rsidRDefault="00666325" w:rsidP="00666325">
            <w:pPr>
              <w:pStyle w:val="Bodytext20"/>
              <w:shd w:val="clear" w:color="auto" w:fill="auto"/>
              <w:spacing w:line="244" w:lineRule="exact"/>
              <w:ind w:left="140"/>
              <w:rPr>
                <w:b/>
                <w:color w:val="000000"/>
                <w:sz w:val="24"/>
                <w:szCs w:val="24"/>
                <w:shd w:val="clear" w:color="auto" w:fill="FFFFFF"/>
                <w:lang w:val="ro-RO" w:bidi="en-US"/>
              </w:rPr>
            </w:pPr>
            <w:r w:rsidRPr="00D13A23">
              <w:rPr>
                <w:rStyle w:val="Bodytext211pt"/>
                <w:b/>
                <w:sz w:val="24"/>
                <w:szCs w:val="24"/>
                <w:lang w:val="ro-RO"/>
              </w:rPr>
              <w:t>39.</w:t>
            </w:r>
          </w:p>
        </w:tc>
        <w:tc>
          <w:tcPr>
            <w:tcW w:w="4394" w:type="dxa"/>
            <w:shd w:val="clear" w:color="auto" w:fill="FFFFFF"/>
          </w:tcPr>
          <w:p w:rsidR="00666325" w:rsidRPr="00D13A23" w:rsidRDefault="00666325" w:rsidP="002900BB">
            <w:pPr>
              <w:pStyle w:val="Bodytext20"/>
              <w:shd w:val="clear" w:color="auto" w:fill="auto"/>
              <w:spacing w:line="322" w:lineRule="exact"/>
              <w:rPr>
                <w:color w:val="000000"/>
                <w:sz w:val="24"/>
                <w:szCs w:val="24"/>
                <w:shd w:val="clear" w:color="auto" w:fill="FFFFFF"/>
                <w:lang w:val="ro-RO" w:bidi="en-US"/>
              </w:rPr>
            </w:pPr>
            <w:r w:rsidRPr="00D13A23">
              <w:rPr>
                <w:rStyle w:val="Bodytext211pt"/>
                <w:sz w:val="24"/>
                <w:szCs w:val="24"/>
                <w:lang w:val="ro-RO"/>
              </w:rPr>
              <w:t>Centrul Național de Transfuzie a S</w:t>
            </w:r>
            <w:r w:rsidR="002900BB" w:rsidRPr="00D13A23">
              <w:rPr>
                <w:rStyle w:val="Bodytext211pt"/>
                <w:sz w:val="24"/>
                <w:szCs w:val="24"/>
                <w:lang w:val="ro-RO"/>
              </w:rPr>
              <w:t>â</w:t>
            </w:r>
            <w:r w:rsidRPr="00D13A23">
              <w:rPr>
                <w:rStyle w:val="Bodytext211pt"/>
                <w:sz w:val="24"/>
                <w:szCs w:val="24"/>
                <w:lang w:val="ro-RO"/>
              </w:rPr>
              <w:t>ngelui</w:t>
            </w:r>
          </w:p>
        </w:tc>
        <w:tc>
          <w:tcPr>
            <w:tcW w:w="858" w:type="dxa"/>
            <w:shd w:val="clear" w:color="auto" w:fill="FFFFFF"/>
          </w:tcPr>
          <w:p w:rsidR="00666325" w:rsidRPr="00D13A23" w:rsidRDefault="00666325" w:rsidP="00D13A23">
            <w:pPr>
              <w:pStyle w:val="Bodytext20"/>
              <w:shd w:val="clear" w:color="auto" w:fill="auto"/>
              <w:spacing w:line="244" w:lineRule="exact"/>
              <w:jc w:val="center"/>
              <w:rPr>
                <w:color w:val="000000"/>
                <w:sz w:val="24"/>
                <w:szCs w:val="24"/>
                <w:shd w:val="clear" w:color="auto" w:fill="FFFFFF"/>
                <w:lang w:val="ro-RO" w:bidi="en-US"/>
              </w:rPr>
            </w:pPr>
            <w:r w:rsidRPr="00D13A23">
              <w:rPr>
                <w:rStyle w:val="Bodytext211pt"/>
                <w:sz w:val="24"/>
                <w:szCs w:val="24"/>
                <w:lang w:val="ro-RO"/>
              </w:rPr>
              <w:t>01006</w:t>
            </w:r>
          </w:p>
        </w:tc>
        <w:tc>
          <w:tcPr>
            <w:tcW w:w="851" w:type="dxa"/>
            <w:shd w:val="clear" w:color="auto" w:fill="FFFFFF"/>
          </w:tcPr>
          <w:p w:rsidR="00666325" w:rsidRPr="00D13A23" w:rsidRDefault="00666325" w:rsidP="00D13A23">
            <w:pPr>
              <w:pStyle w:val="Bodytext20"/>
              <w:shd w:val="clear" w:color="auto" w:fill="auto"/>
              <w:spacing w:line="244" w:lineRule="exact"/>
              <w:jc w:val="center"/>
              <w:rPr>
                <w:color w:val="000000"/>
                <w:sz w:val="24"/>
                <w:szCs w:val="24"/>
                <w:shd w:val="clear" w:color="auto" w:fill="FFFFFF"/>
                <w:lang w:val="ro-RO" w:bidi="en-US"/>
              </w:rPr>
            </w:pPr>
            <w:r w:rsidRPr="00D13A23">
              <w:rPr>
                <w:rStyle w:val="Bodytext211pt"/>
                <w:sz w:val="24"/>
                <w:szCs w:val="24"/>
                <w:lang w:val="ro-RO"/>
              </w:rPr>
              <w:t>15345</w:t>
            </w:r>
          </w:p>
        </w:tc>
        <w:tc>
          <w:tcPr>
            <w:tcW w:w="992" w:type="dxa"/>
            <w:shd w:val="clear" w:color="auto" w:fill="FFFFFF"/>
          </w:tcPr>
          <w:p w:rsidR="00666325" w:rsidRPr="00D13A23" w:rsidRDefault="00666325" w:rsidP="00D13A23">
            <w:pPr>
              <w:pStyle w:val="Bodytext20"/>
              <w:shd w:val="clear" w:color="auto" w:fill="auto"/>
              <w:spacing w:line="244" w:lineRule="exact"/>
              <w:jc w:val="center"/>
              <w:rPr>
                <w:color w:val="000000"/>
                <w:sz w:val="24"/>
                <w:szCs w:val="24"/>
                <w:shd w:val="clear" w:color="auto" w:fill="FFFFFF"/>
                <w:lang w:val="ro-RO" w:bidi="en-US"/>
              </w:rPr>
            </w:pPr>
            <w:r w:rsidRPr="00D13A23">
              <w:rPr>
                <w:rStyle w:val="Bodytext211pt"/>
                <w:sz w:val="24"/>
                <w:szCs w:val="24"/>
                <w:lang w:val="ro-RO"/>
              </w:rPr>
              <w:t>27.10.17</w:t>
            </w:r>
          </w:p>
        </w:tc>
        <w:tc>
          <w:tcPr>
            <w:tcW w:w="1776" w:type="dxa"/>
            <w:shd w:val="clear" w:color="auto" w:fill="FFFFFF"/>
          </w:tcPr>
          <w:p w:rsidR="00666325" w:rsidRPr="00D13A23" w:rsidRDefault="00666325" w:rsidP="00D13A23">
            <w:pPr>
              <w:pStyle w:val="Bodytext20"/>
              <w:shd w:val="clear" w:color="auto" w:fill="auto"/>
              <w:spacing w:line="244" w:lineRule="exact"/>
              <w:ind w:right="499"/>
              <w:jc w:val="center"/>
              <w:rPr>
                <w:color w:val="000000"/>
                <w:sz w:val="24"/>
                <w:szCs w:val="24"/>
                <w:shd w:val="clear" w:color="auto" w:fill="FFFFFF"/>
                <w:lang w:val="ro-RO" w:eastAsia="ru-RU" w:bidi="ru-RU"/>
              </w:rPr>
            </w:pPr>
            <w:r w:rsidRPr="00D13A23">
              <w:rPr>
                <w:rStyle w:val="Bodytext211pt"/>
                <w:sz w:val="24"/>
                <w:szCs w:val="24"/>
                <w:lang w:val="ro-RO" w:eastAsia="ru-RU" w:bidi="ru-RU"/>
              </w:rPr>
              <w:t>70,1</w:t>
            </w:r>
          </w:p>
        </w:tc>
      </w:tr>
      <w:tr w:rsidR="00666325" w:rsidRPr="00A07ADA" w:rsidTr="009333E2">
        <w:trPr>
          <w:trHeight w:hRule="exact" w:val="666"/>
        </w:trPr>
        <w:tc>
          <w:tcPr>
            <w:tcW w:w="704" w:type="dxa"/>
            <w:shd w:val="clear" w:color="auto" w:fill="FFFFFF"/>
          </w:tcPr>
          <w:p w:rsidR="00666325" w:rsidRPr="00D13A23" w:rsidRDefault="00666325" w:rsidP="00666325">
            <w:pPr>
              <w:pStyle w:val="Bodytext20"/>
              <w:shd w:val="clear" w:color="auto" w:fill="auto"/>
              <w:spacing w:line="244" w:lineRule="exact"/>
              <w:ind w:left="140"/>
              <w:rPr>
                <w:b/>
                <w:color w:val="000000"/>
                <w:sz w:val="24"/>
                <w:szCs w:val="24"/>
                <w:shd w:val="clear" w:color="auto" w:fill="FFFFFF"/>
                <w:lang w:val="ro-RO" w:bidi="en-US"/>
              </w:rPr>
            </w:pPr>
            <w:r w:rsidRPr="00D13A23">
              <w:rPr>
                <w:rStyle w:val="Bodytext211pt"/>
                <w:b/>
                <w:sz w:val="24"/>
                <w:szCs w:val="24"/>
                <w:lang w:val="ro-RO"/>
              </w:rPr>
              <w:t>40.</w:t>
            </w:r>
          </w:p>
        </w:tc>
        <w:tc>
          <w:tcPr>
            <w:tcW w:w="4394" w:type="dxa"/>
            <w:shd w:val="clear" w:color="auto" w:fill="FFFFFF"/>
          </w:tcPr>
          <w:p w:rsidR="00666325" w:rsidRPr="00D13A23" w:rsidRDefault="00666325" w:rsidP="00BA640A">
            <w:pPr>
              <w:pStyle w:val="Bodytext20"/>
              <w:shd w:val="clear" w:color="auto" w:fill="auto"/>
              <w:spacing w:line="322" w:lineRule="exact"/>
              <w:rPr>
                <w:color w:val="000000"/>
                <w:sz w:val="24"/>
                <w:szCs w:val="24"/>
                <w:shd w:val="clear" w:color="auto" w:fill="FFFFFF"/>
                <w:lang w:val="ro-RO" w:bidi="en-US"/>
              </w:rPr>
            </w:pPr>
            <w:r w:rsidRPr="00D13A23">
              <w:rPr>
                <w:rStyle w:val="Bodytext211pt"/>
                <w:sz w:val="24"/>
                <w:szCs w:val="24"/>
                <w:lang w:val="ro-RO"/>
              </w:rPr>
              <w:t>Centrul Republican de Reabilitare pentru Copii</w:t>
            </w:r>
            <w:r w:rsidR="00BA640A" w:rsidRPr="00D13A23">
              <w:rPr>
                <w:rStyle w:val="Bodytext211pt"/>
                <w:sz w:val="24"/>
                <w:szCs w:val="24"/>
                <w:lang w:val="ro-RO"/>
              </w:rPr>
              <w:t xml:space="preserve"> </w:t>
            </w:r>
          </w:p>
        </w:tc>
        <w:tc>
          <w:tcPr>
            <w:tcW w:w="858" w:type="dxa"/>
            <w:shd w:val="clear" w:color="auto" w:fill="FFFFFF"/>
          </w:tcPr>
          <w:p w:rsidR="00666325" w:rsidRPr="00D13A23" w:rsidRDefault="00666325" w:rsidP="00D13A23">
            <w:pPr>
              <w:pStyle w:val="Bodytext20"/>
              <w:shd w:val="clear" w:color="auto" w:fill="auto"/>
              <w:spacing w:line="244" w:lineRule="exact"/>
              <w:jc w:val="center"/>
              <w:rPr>
                <w:color w:val="000000"/>
                <w:sz w:val="24"/>
                <w:szCs w:val="24"/>
                <w:shd w:val="clear" w:color="auto" w:fill="FFFFFF"/>
                <w:lang w:val="ro-RO" w:bidi="en-US"/>
              </w:rPr>
            </w:pPr>
            <w:r w:rsidRPr="00D13A23">
              <w:rPr>
                <w:rStyle w:val="Bodytext211pt"/>
                <w:sz w:val="24"/>
                <w:szCs w:val="24"/>
                <w:lang w:val="ro-RO"/>
              </w:rPr>
              <w:t>01055</w:t>
            </w:r>
          </w:p>
        </w:tc>
        <w:tc>
          <w:tcPr>
            <w:tcW w:w="851" w:type="dxa"/>
            <w:shd w:val="clear" w:color="auto" w:fill="FFFFFF"/>
          </w:tcPr>
          <w:p w:rsidR="00666325" w:rsidRPr="00D13A23" w:rsidRDefault="00666325" w:rsidP="00D13A23">
            <w:pPr>
              <w:pStyle w:val="Bodytext20"/>
              <w:shd w:val="clear" w:color="auto" w:fill="auto"/>
              <w:spacing w:line="244" w:lineRule="exact"/>
              <w:jc w:val="center"/>
              <w:rPr>
                <w:color w:val="000000"/>
                <w:sz w:val="24"/>
                <w:szCs w:val="24"/>
                <w:shd w:val="clear" w:color="auto" w:fill="FFFFFF"/>
                <w:lang w:val="ro-RO" w:bidi="en-US"/>
              </w:rPr>
            </w:pPr>
            <w:r w:rsidRPr="00D13A23">
              <w:rPr>
                <w:rStyle w:val="Bodytext211pt"/>
                <w:sz w:val="24"/>
                <w:szCs w:val="24"/>
                <w:lang w:val="ro-RO"/>
              </w:rPr>
              <w:t>15434</w:t>
            </w:r>
          </w:p>
        </w:tc>
        <w:tc>
          <w:tcPr>
            <w:tcW w:w="992" w:type="dxa"/>
            <w:shd w:val="clear" w:color="auto" w:fill="FFFFFF"/>
          </w:tcPr>
          <w:p w:rsidR="00666325" w:rsidRPr="00D13A23" w:rsidRDefault="00666325" w:rsidP="00D13A23">
            <w:pPr>
              <w:pStyle w:val="Bodytext20"/>
              <w:shd w:val="clear" w:color="auto" w:fill="auto"/>
              <w:spacing w:line="244" w:lineRule="exact"/>
              <w:jc w:val="center"/>
              <w:rPr>
                <w:color w:val="000000"/>
                <w:sz w:val="24"/>
                <w:szCs w:val="24"/>
                <w:shd w:val="clear" w:color="auto" w:fill="FFFFFF"/>
                <w:lang w:val="ro-RO" w:bidi="en-US"/>
              </w:rPr>
            </w:pPr>
            <w:r w:rsidRPr="00D13A23">
              <w:rPr>
                <w:rStyle w:val="Bodytext211pt"/>
                <w:sz w:val="24"/>
                <w:szCs w:val="24"/>
                <w:lang w:val="ro-RO"/>
              </w:rPr>
              <w:t>03.11.17</w:t>
            </w:r>
          </w:p>
        </w:tc>
        <w:tc>
          <w:tcPr>
            <w:tcW w:w="1776" w:type="dxa"/>
            <w:shd w:val="clear" w:color="auto" w:fill="FFFFFF"/>
          </w:tcPr>
          <w:p w:rsidR="00666325" w:rsidRPr="00D13A23" w:rsidRDefault="00666325" w:rsidP="00D13A23">
            <w:pPr>
              <w:pStyle w:val="Bodytext20"/>
              <w:shd w:val="clear" w:color="auto" w:fill="auto"/>
              <w:spacing w:line="244" w:lineRule="exact"/>
              <w:ind w:right="499"/>
              <w:jc w:val="center"/>
              <w:rPr>
                <w:color w:val="000000"/>
                <w:sz w:val="24"/>
                <w:szCs w:val="24"/>
                <w:shd w:val="clear" w:color="auto" w:fill="FFFFFF"/>
                <w:lang w:val="ro-RO" w:eastAsia="ru-RU" w:bidi="ru-RU"/>
              </w:rPr>
            </w:pPr>
            <w:r w:rsidRPr="00D13A23">
              <w:rPr>
                <w:rStyle w:val="Bodytext211pt"/>
                <w:sz w:val="24"/>
                <w:szCs w:val="24"/>
                <w:lang w:val="ro-RO" w:eastAsia="ru-RU" w:bidi="ru-RU"/>
              </w:rPr>
              <w:t>76,3</w:t>
            </w:r>
          </w:p>
        </w:tc>
      </w:tr>
      <w:tr w:rsidR="00BA640A" w:rsidRPr="00A07ADA" w:rsidTr="00BC5413">
        <w:trPr>
          <w:trHeight w:hRule="exact" w:val="343"/>
        </w:trPr>
        <w:tc>
          <w:tcPr>
            <w:tcW w:w="704" w:type="dxa"/>
            <w:shd w:val="clear" w:color="auto" w:fill="EDEDED" w:themeFill="accent3" w:themeFillTint="33"/>
          </w:tcPr>
          <w:p w:rsidR="00BA640A" w:rsidRPr="00D13A23" w:rsidRDefault="00BA640A" w:rsidP="00BA640A">
            <w:pPr>
              <w:rPr>
                <w:rFonts w:ascii="Times New Roman" w:hAnsi="Times New Roman" w:cs="Times New Roman"/>
                <w:b/>
                <w:sz w:val="24"/>
                <w:szCs w:val="24"/>
              </w:rPr>
            </w:pPr>
          </w:p>
        </w:tc>
        <w:tc>
          <w:tcPr>
            <w:tcW w:w="8871" w:type="dxa"/>
            <w:gridSpan w:val="5"/>
            <w:shd w:val="clear" w:color="auto" w:fill="EDEDED" w:themeFill="accent3" w:themeFillTint="33"/>
            <w:vAlign w:val="center"/>
          </w:tcPr>
          <w:p w:rsidR="00BA640A" w:rsidRPr="00D13A23" w:rsidRDefault="00BA640A" w:rsidP="00D13A23">
            <w:pPr>
              <w:ind w:right="499" w:firstLine="130"/>
              <w:jc w:val="center"/>
              <w:rPr>
                <w:rFonts w:ascii="Times New Roman" w:hAnsi="Times New Roman" w:cs="Times New Roman"/>
                <w:sz w:val="24"/>
                <w:szCs w:val="24"/>
              </w:rPr>
            </w:pPr>
            <w:r w:rsidRPr="00D13A23">
              <w:rPr>
                <w:rFonts w:ascii="Times New Roman" w:hAnsi="Times New Roman" w:cs="Times New Roman"/>
                <w:b/>
                <w:i/>
                <w:sz w:val="28"/>
                <w:szCs w:val="24"/>
              </w:rPr>
              <w:t>Ministerul Transporturilor și Infrastructurii Drumurilor</w:t>
            </w:r>
          </w:p>
        </w:tc>
      </w:tr>
      <w:tr w:rsidR="00BA640A" w:rsidRPr="00A07ADA" w:rsidTr="00406684">
        <w:trPr>
          <w:trHeight w:hRule="exact" w:val="419"/>
        </w:trPr>
        <w:tc>
          <w:tcPr>
            <w:tcW w:w="704" w:type="dxa"/>
            <w:shd w:val="clear" w:color="auto" w:fill="FFFFFF"/>
          </w:tcPr>
          <w:p w:rsidR="00BA640A" w:rsidRPr="00D13A23" w:rsidRDefault="00BA640A" w:rsidP="00BA640A">
            <w:pPr>
              <w:pStyle w:val="Bodytext20"/>
              <w:shd w:val="clear" w:color="auto" w:fill="auto"/>
              <w:spacing w:line="244" w:lineRule="exact"/>
              <w:ind w:left="140"/>
              <w:rPr>
                <w:b/>
                <w:color w:val="000000"/>
                <w:sz w:val="24"/>
                <w:szCs w:val="24"/>
                <w:shd w:val="clear" w:color="auto" w:fill="FFFFFF"/>
                <w:lang w:val="ro-RO" w:bidi="en-US"/>
              </w:rPr>
            </w:pPr>
            <w:r w:rsidRPr="00D13A23">
              <w:rPr>
                <w:rStyle w:val="Bodytext211pt"/>
                <w:b/>
                <w:sz w:val="24"/>
                <w:szCs w:val="24"/>
                <w:lang w:val="ro-RO"/>
              </w:rPr>
              <w:t>41.</w:t>
            </w:r>
          </w:p>
        </w:tc>
        <w:tc>
          <w:tcPr>
            <w:tcW w:w="4394" w:type="dxa"/>
            <w:shd w:val="clear" w:color="auto" w:fill="FFFFFF"/>
          </w:tcPr>
          <w:p w:rsidR="00BA640A" w:rsidRPr="00D13A23" w:rsidRDefault="00BA640A" w:rsidP="002900BB">
            <w:pPr>
              <w:pStyle w:val="Bodytext20"/>
              <w:shd w:val="clear" w:color="auto" w:fill="auto"/>
              <w:spacing w:line="322" w:lineRule="exact"/>
              <w:rPr>
                <w:color w:val="000000"/>
                <w:sz w:val="24"/>
                <w:szCs w:val="24"/>
                <w:shd w:val="clear" w:color="auto" w:fill="FFFFFF"/>
                <w:lang w:val="ro-RO" w:bidi="en-US"/>
              </w:rPr>
            </w:pPr>
            <w:r w:rsidRPr="00D13A23">
              <w:rPr>
                <w:rStyle w:val="Bodytext211pt"/>
                <w:sz w:val="24"/>
                <w:szCs w:val="24"/>
                <w:lang w:val="ro-RO"/>
              </w:rPr>
              <w:t xml:space="preserve">Căpitănia </w:t>
            </w:r>
            <w:r w:rsidR="002900BB" w:rsidRPr="00D13A23">
              <w:rPr>
                <w:rStyle w:val="Bodytext211pt"/>
                <w:sz w:val="24"/>
                <w:szCs w:val="24"/>
                <w:lang w:val="ro-RO"/>
              </w:rPr>
              <w:t>P</w:t>
            </w:r>
            <w:r w:rsidRPr="00D13A23">
              <w:rPr>
                <w:rStyle w:val="Bodytext211pt"/>
                <w:sz w:val="24"/>
                <w:szCs w:val="24"/>
                <w:lang w:val="ro-RO"/>
              </w:rPr>
              <w:t>ortului Giurgiulești</w:t>
            </w:r>
          </w:p>
        </w:tc>
        <w:tc>
          <w:tcPr>
            <w:tcW w:w="858" w:type="dxa"/>
            <w:shd w:val="clear" w:color="auto" w:fill="FFFFFF"/>
          </w:tcPr>
          <w:p w:rsidR="00BA640A" w:rsidRPr="00D13A23" w:rsidRDefault="00BA640A" w:rsidP="00D13A23">
            <w:pPr>
              <w:pStyle w:val="Bodytext20"/>
              <w:shd w:val="clear" w:color="auto" w:fill="auto"/>
              <w:spacing w:line="244" w:lineRule="exact"/>
              <w:jc w:val="center"/>
              <w:rPr>
                <w:color w:val="000000"/>
                <w:sz w:val="24"/>
                <w:szCs w:val="24"/>
                <w:shd w:val="clear" w:color="auto" w:fill="FFFFFF"/>
                <w:lang w:val="ro-RO" w:bidi="en-US"/>
              </w:rPr>
            </w:pPr>
            <w:r w:rsidRPr="00D13A23">
              <w:rPr>
                <w:rStyle w:val="Bodytext211pt"/>
                <w:sz w:val="24"/>
                <w:szCs w:val="24"/>
                <w:lang w:val="ro-RO"/>
              </w:rPr>
              <w:t>01245</w:t>
            </w:r>
          </w:p>
        </w:tc>
        <w:tc>
          <w:tcPr>
            <w:tcW w:w="851" w:type="dxa"/>
            <w:shd w:val="clear" w:color="auto" w:fill="FFFFFF"/>
          </w:tcPr>
          <w:p w:rsidR="00BA640A" w:rsidRPr="00D13A23" w:rsidRDefault="00BA640A" w:rsidP="00D13A23">
            <w:pPr>
              <w:pStyle w:val="Bodytext20"/>
              <w:shd w:val="clear" w:color="auto" w:fill="auto"/>
              <w:spacing w:line="244" w:lineRule="exact"/>
              <w:jc w:val="center"/>
              <w:rPr>
                <w:color w:val="000000"/>
                <w:sz w:val="24"/>
                <w:szCs w:val="24"/>
                <w:shd w:val="clear" w:color="auto" w:fill="FFFFFF"/>
                <w:lang w:val="ro-RO" w:bidi="en-US"/>
              </w:rPr>
            </w:pPr>
            <w:r w:rsidRPr="00D13A23">
              <w:rPr>
                <w:rStyle w:val="Bodytext211pt"/>
                <w:sz w:val="24"/>
                <w:szCs w:val="24"/>
                <w:lang w:val="ro-RO"/>
              </w:rPr>
              <w:t>15307</w:t>
            </w:r>
          </w:p>
        </w:tc>
        <w:tc>
          <w:tcPr>
            <w:tcW w:w="992" w:type="dxa"/>
            <w:shd w:val="clear" w:color="auto" w:fill="FFFFFF"/>
          </w:tcPr>
          <w:p w:rsidR="00BA640A" w:rsidRPr="00D13A23" w:rsidRDefault="00BA640A" w:rsidP="00D13A23">
            <w:pPr>
              <w:pStyle w:val="Bodytext20"/>
              <w:shd w:val="clear" w:color="auto" w:fill="auto"/>
              <w:spacing w:line="244" w:lineRule="exact"/>
              <w:jc w:val="center"/>
              <w:rPr>
                <w:color w:val="000000"/>
                <w:sz w:val="24"/>
                <w:szCs w:val="24"/>
                <w:shd w:val="clear" w:color="auto" w:fill="FFFFFF"/>
                <w:lang w:val="ro-RO" w:bidi="en-US"/>
              </w:rPr>
            </w:pPr>
            <w:r w:rsidRPr="00D13A23">
              <w:rPr>
                <w:rStyle w:val="Bodytext211pt"/>
                <w:sz w:val="24"/>
                <w:szCs w:val="24"/>
                <w:lang w:val="ro-RO"/>
              </w:rPr>
              <w:t>25.09.17</w:t>
            </w:r>
          </w:p>
        </w:tc>
        <w:tc>
          <w:tcPr>
            <w:tcW w:w="1776" w:type="dxa"/>
            <w:shd w:val="clear" w:color="auto" w:fill="FFFFFF"/>
          </w:tcPr>
          <w:p w:rsidR="00BA640A" w:rsidRPr="00D13A23" w:rsidRDefault="00BA640A" w:rsidP="00E24D74">
            <w:pPr>
              <w:pStyle w:val="Bodytext20"/>
              <w:shd w:val="clear" w:color="auto" w:fill="auto"/>
              <w:spacing w:line="244" w:lineRule="exact"/>
              <w:jc w:val="center"/>
              <w:rPr>
                <w:color w:val="000000"/>
                <w:sz w:val="24"/>
                <w:szCs w:val="24"/>
                <w:shd w:val="clear" w:color="auto" w:fill="FFFFFF"/>
                <w:lang w:val="ro-RO" w:eastAsia="ru-RU" w:bidi="ru-RU"/>
              </w:rPr>
            </w:pPr>
            <w:r w:rsidRPr="00D13A23">
              <w:rPr>
                <w:rStyle w:val="Bodytext211pt"/>
                <w:sz w:val="24"/>
                <w:szCs w:val="24"/>
                <w:lang w:val="ro-RO" w:eastAsia="ru-RU" w:bidi="ru-RU"/>
              </w:rPr>
              <w:t>2501,0</w:t>
            </w:r>
          </w:p>
        </w:tc>
      </w:tr>
    </w:tbl>
    <w:p w:rsidR="008F32F8" w:rsidRPr="00D13A23" w:rsidRDefault="008F32F8" w:rsidP="008F32F8">
      <w:pPr>
        <w:spacing w:after="0" w:line="276" w:lineRule="auto"/>
        <w:ind w:right="49"/>
        <w:jc w:val="both"/>
        <w:rPr>
          <w:rFonts w:ascii="Times New Roman" w:hAnsi="Times New Roman" w:cs="Times New Roman"/>
          <w:b/>
          <w:i/>
          <w:color w:val="000000"/>
          <w:sz w:val="24"/>
          <w:szCs w:val="24"/>
          <w:lang w:bidi="en-US"/>
        </w:rPr>
      </w:pPr>
      <w:r w:rsidRPr="00D13A23">
        <w:rPr>
          <w:rFonts w:ascii="Times New Roman" w:eastAsia="Times New Roman" w:hAnsi="Times New Roman" w:cs="Times New Roman"/>
          <w:b/>
          <w:i/>
          <w:sz w:val="20"/>
          <w:szCs w:val="24"/>
          <w:lang w:eastAsia="ru-RU"/>
        </w:rPr>
        <w:t>Surs</w:t>
      </w:r>
      <w:r w:rsidR="002900BB" w:rsidRPr="00D13A23">
        <w:rPr>
          <w:rFonts w:ascii="Times New Roman" w:eastAsia="Times New Roman" w:hAnsi="Times New Roman" w:cs="Times New Roman"/>
          <w:b/>
          <w:i/>
          <w:sz w:val="20"/>
          <w:szCs w:val="24"/>
          <w:lang w:eastAsia="ru-RU"/>
        </w:rPr>
        <w:t>ă</w:t>
      </w:r>
      <w:r w:rsidRPr="00D13A23">
        <w:rPr>
          <w:rFonts w:ascii="Times New Roman" w:eastAsia="Times New Roman" w:hAnsi="Times New Roman" w:cs="Times New Roman"/>
          <w:b/>
          <w:i/>
          <w:sz w:val="20"/>
          <w:szCs w:val="24"/>
          <w:lang w:eastAsia="ru-RU"/>
        </w:rPr>
        <w:t xml:space="preserve">: </w:t>
      </w:r>
      <w:r w:rsidRPr="00D13A23">
        <w:rPr>
          <w:rFonts w:ascii="Times New Roman" w:eastAsia="Times New Roman" w:hAnsi="Times New Roman" w:cs="Times New Roman"/>
          <w:i/>
          <w:sz w:val="20"/>
          <w:szCs w:val="24"/>
          <w:lang w:eastAsia="ru-RU"/>
        </w:rPr>
        <w:t>Informații prezentate de persoanele responsabile din cadrul Ministerului Finanțelor</w:t>
      </w:r>
      <w:r w:rsidR="002900BB" w:rsidRPr="00D13A23">
        <w:rPr>
          <w:rFonts w:ascii="Times New Roman" w:eastAsia="Times New Roman" w:hAnsi="Times New Roman" w:cs="Times New Roman"/>
          <w:i/>
          <w:sz w:val="20"/>
          <w:szCs w:val="24"/>
          <w:lang w:eastAsia="ru-RU"/>
        </w:rPr>
        <w:t>.</w:t>
      </w:r>
    </w:p>
    <w:p w:rsidR="008F32F8" w:rsidRPr="00D13A23" w:rsidRDefault="008F32F8" w:rsidP="008F32F8">
      <w:pPr>
        <w:spacing w:after="0" w:line="276" w:lineRule="auto"/>
        <w:ind w:right="49" w:firstLine="709"/>
        <w:jc w:val="center"/>
        <w:rPr>
          <w:rFonts w:ascii="Times New Roman" w:hAnsi="Times New Roman" w:cs="Times New Roman"/>
          <w:b/>
          <w:i/>
          <w:color w:val="000000"/>
          <w:sz w:val="24"/>
          <w:szCs w:val="24"/>
          <w:lang w:bidi="en-US"/>
        </w:rPr>
      </w:pPr>
    </w:p>
    <w:p w:rsidR="00B056FC" w:rsidRPr="00B056FC" w:rsidRDefault="00B056FC" w:rsidP="00B056FC">
      <w:pPr>
        <w:spacing w:after="0" w:line="276" w:lineRule="auto"/>
        <w:ind w:right="49"/>
        <w:jc w:val="right"/>
        <w:rPr>
          <w:rFonts w:ascii="Times New Roman" w:eastAsia="Times New Roman" w:hAnsi="Times New Roman" w:cs="Times New Roman"/>
          <w:i/>
          <w:sz w:val="28"/>
          <w:szCs w:val="24"/>
          <w:lang w:eastAsia="ru-RU"/>
        </w:rPr>
      </w:pPr>
      <w:r w:rsidRPr="00B056FC">
        <w:rPr>
          <w:rFonts w:ascii="Times New Roman" w:eastAsia="Times New Roman" w:hAnsi="Times New Roman" w:cs="Times New Roman"/>
          <w:i/>
          <w:sz w:val="28"/>
          <w:szCs w:val="24"/>
          <w:lang w:eastAsia="ru-RU"/>
        </w:rPr>
        <w:t>Tabelul nr.</w:t>
      </w:r>
      <w:r w:rsidR="00024D8E">
        <w:rPr>
          <w:rFonts w:ascii="Times New Roman" w:eastAsia="Times New Roman" w:hAnsi="Times New Roman" w:cs="Times New Roman"/>
          <w:i/>
          <w:sz w:val="28"/>
          <w:szCs w:val="24"/>
          <w:lang w:eastAsia="ru-RU"/>
        </w:rPr>
        <w:t>3</w:t>
      </w:r>
    </w:p>
    <w:p w:rsidR="00B056FC" w:rsidRPr="00A90E5D" w:rsidRDefault="00B056FC" w:rsidP="00B056FC">
      <w:pPr>
        <w:spacing w:after="0" w:line="276" w:lineRule="auto"/>
        <w:ind w:right="49"/>
        <w:jc w:val="center"/>
        <w:rPr>
          <w:rFonts w:ascii="Times New Roman" w:eastAsia="Times New Roman" w:hAnsi="Times New Roman" w:cs="Times New Roman"/>
          <w:b/>
          <w:i/>
          <w:sz w:val="24"/>
          <w:szCs w:val="24"/>
          <w:lang w:eastAsia="ru-RU"/>
        </w:rPr>
      </w:pPr>
      <w:r w:rsidRPr="00A90E5D">
        <w:rPr>
          <w:rFonts w:ascii="Times New Roman" w:eastAsia="Times New Roman" w:hAnsi="Times New Roman" w:cs="Times New Roman"/>
          <w:b/>
          <w:i/>
          <w:sz w:val="24"/>
          <w:szCs w:val="24"/>
          <w:lang w:eastAsia="ru-RU"/>
        </w:rPr>
        <w:t>Soldurile mijloacelor intrate temporar în posesie ale</w:t>
      </w:r>
    </w:p>
    <w:p w:rsidR="00B056FC" w:rsidRDefault="00B056FC" w:rsidP="00B056FC">
      <w:pPr>
        <w:spacing w:after="0" w:line="276" w:lineRule="auto"/>
        <w:ind w:right="49"/>
        <w:jc w:val="center"/>
        <w:rPr>
          <w:rFonts w:ascii="Times New Roman" w:eastAsia="Times New Roman" w:hAnsi="Times New Roman" w:cs="Times New Roman"/>
          <w:b/>
          <w:i/>
          <w:sz w:val="24"/>
          <w:szCs w:val="24"/>
          <w:lang w:eastAsia="ru-RU"/>
        </w:rPr>
      </w:pPr>
      <w:r w:rsidRPr="00A90E5D">
        <w:rPr>
          <w:rFonts w:ascii="Times New Roman" w:eastAsia="Times New Roman" w:hAnsi="Times New Roman" w:cs="Times New Roman"/>
          <w:b/>
          <w:i/>
          <w:sz w:val="24"/>
          <w:szCs w:val="24"/>
          <w:lang w:eastAsia="ru-RU"/>
        </w:rPr>
        <w:t>autorităților/instituțiilor bugetare reorganizate</w:t>
      </w:r>
      <w:r w:rsidR="008C2674">
        <w:rPr>
          <w:rFonts w:ascii="Times New Roman" w:eastAsia="Times New Roman" w:hAnsi="Times New Roman" w:cs="Times New Roman"/>
          <w:b/>
          <w:i/>
          <w:sz w:val="24"/>
          <w:szCs w:val="24"/>
          <w:lang w:eastAsia="ru-RU"/>
        </w:rPr>
        <w:t>,</w:t>
      </w:r>
      <w:r w:rsidRPr="00A90E5D">
        <w:rPr>
          <w:rFonts w:ascii="Times New Roman" w:eastAsia="Times New Roman" w:hAnsi="Times New Roman" w:cs="Times New Roman"/>
          <w:b/>
          <w:i/>
          <w:sz w:val="24"/>
          <w:szCs w:val="24"/>
          <w:lang w:eastAsia="ru-RU"/>
        </w:rPr>
        <w:t xml:space="preserve"> netransferate la situația din 31.12.2017</w:t>
      </w:r>
    </w:p>
    <w:tbl>
      <w:tblPr>
        <w:tblW w:w="9634" w:type="dxa"/>
        <w:tblLayout w:type="fixed"/>
        <w:tblCellMar>
          <w:left w:w="10" w:type="dxa"/>
          <w:right w:w="10" w:type="dxa"/>
        </w:tblCellMar>
        <w:tblLook w:val="04A0" w:firstRow="1" w:lastRow="0" w:firstColumn="1" w:lastColumn="0" w:noHBand="0" w:noVBand="1"/>
      </w:tblPr>
      <w:tblGrid>
        <w:gridCol w:w="562"/>
        <w:gridCol w:w="3518"/>
        <w:gridCol w:w="877"/>
        <w:gridCol w:w="850"/>
        <w:gridCol w:w="1190"/>
        <w:gridCol w:w="1090"/>
        <w:gridCol w:w="1547"/>
      </w:tblGrid>
      <w:tr w:rsidR="00B056FC" w:rsidRPr="00A90E5D" w:rsidTr="005B0E88">
        <w:trPr>
          <w:trHeight w:hRule="exact" w:val="798"/>
        </w:trPr>
        <w:tc>
          <w:tcPr>
            <w:tcW w:w="562" w:type="dxa"/>
            <w:tcBorders>
              <w:top w:val="single" w:sz="4" w:space="0" w:color="auto"/>
              <w:left w:val="single" w:sz="4" w:space="0" w:color="auto"/>
            </w:tcBorders>
            <w:shd w:val="clear" w:color="auto" w:fill="FFFFFF"/>
            <w:vAlign w:val="center"/>
          </w:tcPr>
          <w:p w:rsidR="00B056FC" w:rsidRPr="00A90E5D" w:rsidRDefault="008C2674" w:rsidP="008C2674">
            <w:pPr>
              <w:pStyle w:val="Bodytext20"/>
              <w:shd w:val="clear" w:color="auto" w:fill="auto"/>
              <w:spacing w:line="274" w:lineRule="exact"/>
              <w:rPr>
                <w:b/>
                <w:sz w:val="24"/>
                <w:szCs w:val="24"/>
              </w:rPr>
            </w:pPr>
            <w:r>
              <w:rPr>
                <w:rStyle w:val="Bodytext2BookAntiqua"/>
                <w:rFonts w:ascii="Times New Roman" w:hAnsi="Times New Roman" w:cs="Times New Roman"/>
                <w:b/>
                <w:sz w:val="24"/>
                <w:szCs w:val="24"/>
              </w:rPr>
              <w:t>Nr.</w:t>
            </w:r>
            <w:r w:rsidR="00D13A23">
              <w:rPr>
                <w:rStyle w:val="Bodytext2BookAntiqua"/>
                <w:rFonts w:ascii="Times New Roman" w:hAnsi="Times New Roman" w:cs="Times New Roman"/>
                <w:b/>
                <w:sz w:val="24"/>
                <w:szCs w:val="24"/>
              </w:rPr>
              <w:t xml:space="preserve"> </w:t>
            </w:r>
            <w:r>
              <w:rPr>
                <w:rStyle w:val="Bodytext2BookAntiqua"/>
                <w:rFonts w:ascii="Times New Roman" w:hAnsi="Times New Roman" w:cs="Times New Roman"/>
                <w:b/>
                <w:sz w:val="24"/>
                <w:szCs w:val="24"/>
              </w:rPr>
              <w:t>crt.</w:t>
            </w:r>
          </w:p>
        </w:tc>
        <w:tc>
          <w:tcPr>
            <w:tcW w:w="3518" w:type="dxa"/>
            <w:tcBorders>
              <w:top w:val="single" w:sz="4" w:space="0" w:color="auto"/>
              <w:left w:val="single" w:sz="4" w:space="0" w:color="auto"/>
            </w:tcBorders>
            <w:shd w:val="clear" w:color="auto" w:fill="FFFFFF"/>
            <w:vAlign w:val="center"/>
          </w:tcPr>
          <w:p w:rsidR="00B056FC" w:rsidRPr="00A90E5D" w:rsidRDefault="00B056FC" w:rsidP="005B0E88">
            <w:pPr>
              <w:pStyle w:val="Bodytext20"/>
              <w:shd w:val="clear" w:color="auto" w:fill="auto"/>
              <w:spacing w:line="274" w:lineRule="exact"/>
              <w:ind w:left="260"/>
              <w:rPr>
                <w:b/>
                <w:sz w:val="24"/>
                <w:szCs w:val="24"/>
              </w:rPr>
            </w:pPr>
            <w:r w:rsidRPr="00A90E5D">
              <w:rPr>
                <w:rStyle w:val="Bodytext2BookAntiqua"/>
                <w:rFonts w:ascii="Times New Roman" w:hAnsi="Times New Roman" w:cs="Times New Roman"/>
                <w:b/>
                <w:sz w:val="24"/>
                <w:szCs w:val="24"/>
              </w:rPr>
              <w:t>Denumirea instituției</w:t>
            </w:r>
          </w:p>
        </w:tc>
        <w:tc>
          <w:tcPr>
            <w:tcW w:w="877" w:type="dxa"/>
            <w:tcBorders>
              <w:top w:val="single" w:sz="4" w:space="0" w:color="auto"/>
              <w:left w:val="single" w:sz="4" w:space="0" w:color="auto"/>
            </w:tcBorders>
            <w:shd w:val="clear" w:color="auto" w:fill="FFFFFF"/>
            <w:vAlign w:val="center"/>
          </w:tcPr>
          <w:p w:rsidR="00B056FC" w:rsidRPr="00D13A23" w:rsidRDefault="00B056FC" w:rsidP="00D13A23">
            <w:pPr>
              <w:pStyle w:val="Bodytext20"/>
              <w:shd w:val="clear" w:color="auto" w:fill="auto"/>
              <w:spacing w:line="274" w:lineRule="exact"/>
              <w:jc w:val="center"/>
              <w:rPr>
                <w:b/>
                <w:sz w:val="24"/>
                <w:szCs w:val="24"/>
                <w:lang w:val="ro-RO"/>
              </w:rPr>
            </w:pPr>
            <w:r w:rsidRPr="00D13A23">
              <w:rPr>
                <w:rStyle w:val="Bodytext2BookAntiqua"/>
                <w:rFonts w:ascii="Times New Roman" w:hAnsi="Times New Roman" w:cs="Times New Roman"/>
                <w:b/>
                <w:sz w:val="24"/>
                <w:szCs w:val="24"/>
                <w:lang w:val="ro-RO"/>
              </w:rPr>
              <w:t xml:space="preserve">ORG 2 </w:t>
            </w:r>
            <w:r w:rsidRPr="00D13A23">
              <w:rPr>
                <w:rStyle w:val="Bodytext2Italic"/>
                <w:b/>
                <w:sz w:val="24"/>
                <w:szCs w:val="24"/>
                <w:lang w:val="ro-RO"/>
              </w:rPr>
              <w:t>vechi</w:t>
            </w:r>
          </w:p>
        </w:tc>
        <w:tc>
          <w:tcPr>
            <w:tcW w:w="850" w:type="dxa"/>
            <w:tcBorders>
              <w:top w:val="single" w:sz="4" w:space="0" w:color="auto"/>
              <w:left w:val="single" w:sz="4" w:space="0" w:color="auto"/>
            </w:tcBorders>
            <w:shd w:val="clear" w:color="auto" w:fill="FFFFFF"/>
            <w:vAlign w:val="center"/>
          </w:tcPr>
          <w:p w:rsidR="00B056FC" w:rsidRPr="00D13A23" w:rsidRDefault="00B056FC" w:rsidP="00D13A23">
            <w:pPr>
              <w:pStyle w:val="Bodytext20"/>
              <w:shd w:val="clear" w:color="auto" w:fill="auto"/>
              <w:spacing w:line="236" w:lineRule="exact"/>
              <w:jc w:val="center"/>
              <w:rPr>
                <w:b/>
                <w:sz w:val="24"/>
                <w:szCs w:val="24"/>
                <w:lang w:val="ro-RO"/>
              </w:rPr>
            </w:pPr>
            <w:r w:rsidRPr="00D13A23">
              <w:rPr>
                <w:rStyle w:val="Bodytext2BookAntiqua"/>
                <w:rFonts w:ascii="Times New Roman" w:hAnsi="Times New Roman" w:cs="Times New Roman"/>
                <w:b/>
                <w:sz w:val="24"/>
                <w:szCs w:val="24"/>
                <w:lang w:val="ro-RO"/>
              </w:rPr>
              <w:t>ORG 2</w:t>
            </w:r>
          </w:p>
          <w:p w:rsidR="00B056FC" w:rsidRPr="00D13A23" w:rsidRDefault="00B056FC" w:rsidP="00D13A23">
            <w:pPr>
              <w:pStyle w:val="Bodytext20"/>
              <w:shd w:val="clear" w:color="auto" w:fill="auto"/>
              <w:spacing w:line="222" w:lineRule="exact"/>
              <w:jc w:val="center"/>
              <w:rPr>
                <w:b/>
                <w:sz w:val="24"/>
                <w:szCs w:val="24"/>
                <w:lang w:val="ro-RO"/>
              </w:rPr>
            </w:pPr>
            <w:r w:rsidRPr="00D13A23">
              <w:rPr>
                <w:rStyle w:val="Bodytext2Italic"/>
                <w:b/>
                <w:sz w:val="24"/>
                <w:szCs w:val="24"/>
                <w:lang w:val="ro-RO"/>
              </w:rPr>
              <w:t>nou</w:t>
            </w:r>
          </w:p>
        </w:tc>
        <w:tc>
          <w:tcPr>
            <w:tcW w:w="1190" w:type="dxa"/>
            <w:tcBorders>
              <w:top w:val="single" w:sz="4" w:space="0" w:color="auto"/>
              <w:left w:val="single" w:sz="4" w:space="0" w:color="auto"/>
            </w:tcBorders>
            <w:shd w:val="clear" w:color="auto" w:fill="FFFFFF"/>
            <w:vAlign w:val="center"/>
          </w:tcPr>
          <w:p w:rsidR="00B056FC" w:rsidRPr="00D13A23" w:rsidRDefault="00B056FC" w:rsidP="008C2674">
            <w:pPr>
              <w:pStyle w:val="Bodytext20"/>
              <w:shd w:val="clear" w:color="auto" w:fill="auto"/>
              <w:spacing w:line="236" w:lineRule="exact"/>
              <w:jc w:val="center"/>
              <w:rPr>
                <w:b/>
                <w:sz w:val="24"/>
                <w:szCs w:val="24"/>
                <w:lang w:val="ro-RO"/>
              </w:rPr>
            </w:pPr>
            <w:r w:rsidRPr="00D13A23">
              <w:rPr>
                <w:rStyle w:val="Bodytext2BookAntiqua"/>
                <w:rFonts w:ascii="Times New Roman" w:hAnsi="Times New Roman" w:cs="Times New Roman"/>
                <w:b/>
                <w:sz w:val="24"/>
                <w:szCs w:val="24"/>
                <w:lang w:val="ro-RO"/>
              </w:rPr>
              <w:t>Data</w:t>
            </w:r>
          </w:p>
        </w:tc>
        <w:tc>
          <w:tcPr>
            <w:tcW w:w="1090" w:type="dxa"/>
            <w:tcBorders>
              <w:top w:val="single" w:sz="4" w:space="0" w:color="auto"/>
              <w:left w:val="single" w:sz="4" w:space="0" w:color="auto"/>
            </w:tcBorders>
            <w:shd w:val="clear" w:color="auto" w:fill="FFFFFF"/>
            <w:vAlign w:val="center"/>
          </w:tcPr>
          <w:p w:rsidR="00B056FC" w:rsidRPr="00D13A23" w:rsidRDefault="00B056FC" w:rsidP="00CC4A87">
            <w:pPr>
              <w:pStyle w:val="Bodytext20"/>
              <w:shd w:val="clear" w:color="auto" w:fill="auto"/>
              <w:spacing w:line="278" w:lineRule="exact"/>
              <w:jc w:val="center"/>
              <w:rPr>
                <w:rStyle w:val="Bodytext2BookAntiqua"/>
                <w:rFonts w:ascii="Times New Roman" w:hAnsi="Times New Roman" w:cs="Times New Roman"/>
                <w:b/>
                <w:sz w:val="24"/>
                <w:szCs w:val="24"/>
                <w:lang w:val="ro-RO"/>
              </w:rPr>
            </w:pPr>
            <w:r w:rsidRPr="00D13A23">
              <w:rPr>
                <w:rStyle w:val="Bodytext2BookAntiqua"/>
                <w:rFonts w:ascii="Times New Roman" w:hAnsi="Times New Roman" w:cs="Times New Roman"/>
                <w:b/>
                <w:sz w:val="24"/>
                <w:szCs w:val="24"/>
                <w:lang w:val="ro-RO"/>
              </w:rPr>
              <w:t>Suma</w:t>
            </w:r>
          </w:p>
          <w:p w:rsidR="00B056FC" w:rsidRPr="00D13A23" w:rsidRDefault="00B056FC">
            <w:pPr>
              <w:pStyle w:val="Bodytext20"/>
              <w:shd w:val="clear" w:color="auto" w:fill="auto"/>
              <w:spacing w:line="278" w:lineRule="exact"/>
              <w:jc w:val="center"/>
              <w:rPr>
                <w:b/>
                <w:sz w:val="24"/>
                <w:szCs w:val="24"/>
                <w:lang w:val="ro-RO"/>
              </w:rPr>
            </w:pPr>
            <w:r w:rsidRPr="00D13A23">
              <w:rPr>
                <w:rStyle w:val="Bodytext2BookAntiqua"/>
                <w:rFonts w:ascii="Times New Roman" w:hAnsi="Times New Roman" w:cs="Times New Roman"/>
                <w:b/>
                <w:sz w:val="24"/>
                <w:szCs w:val="24"/>
                <w:lang w:val="ro-RO"/>
              </w:rPr>
              <w:t>(mii lei)</w:t>
            </w:r>
          </w:p>
        </w:tc>
        <w:tc>
          <w:tcPr>
            <w:tcW w:w="1547" w:type="dxa"/>
            <w:tcBorders>
              <w:top w:val="single" w:sz="4" w:space="0" w:color="auto"/>
              <w:left w:val="single" w:sz="4" w:space="0" w:color="auto"/>
              <w:right w:val="single" w:sz="4" w:space="0" w:color="auto"/>
            </w:tcBorders>
            <w:shd w:val="clear" w:color="auto" w:fill="FFFFFF"/>
            <w:vAlign w:val="center"/>
          </w:tcPr>
          <w:p w:rsidR="00B056FC" w:rsidRPr="00D13A23" w:rsidRDefault="008C2674">
            <w:pPr>
              <w:pStyle w:val="Bodytext20"/>
              <w:shd w:val="clear" w:color="auto" w:fill="auto"/>
              <w:spacing w:line="236" w:lineRule="exact"/>
              <w:jc w:val="center"/>
              <w:rPr>
                <w:b/>
                <w:sz w:val="24"/>
                <w:szCs w:val="24"/>
                <w:lang w:val="ro-RO"/>
              </w:rPr>
            </w:pPr>
            <w:r>
              <w:rPr>
                <w:rStyle w:val="Bodytext2BookAntiqua"/>
                <w:rFonts w:ascii="Times New Roman" w:hAnsi="Times New Roman" w:cs="Times New Roman"/>
                <w:b/>
                <w:sz w:val="24"/>
                <w:szCs w:val="24"/>
                <w:lang w:val="ro-RO"/>
              </w:rPr>
              <w:t>Mențiuni</w:t>
            </w:r>
          </w:p>
        </w:tc>
      </w:tr>
      <w:tr w:rsidR="00B056FC" w:rsidRPr="008C2674" w:rsidTr="005B0E88">
        <w:trPr>
          <w:trHeight w:hRule="exact" w:val="830"/>
        </w:trPr>
        <w:tc>
          <w:tcPr>
            <w:tcW w:w="562" w:type="dxa"/>
            <w:tcBorders>
              <w:top w:val="single" w:sz="4" w:space="0" w:color="auto"/>
              <w:left w:val="single" w:sz="4" w:space="0" w:color="auto"/>
            </w:tcBorders>
            <w:shd w:val="clear" w:color="auto" w:fill="FFFFFF"/>
            <w:vAlign w:val="center"/>
          </w:tcPr>
          <w:p w:rsidR="00B056FC" w:rsidRPr="00D13A23" w:rsidRDefault="00B056FC" w:rsidP="005B0E88">
            <w:pPr>
              <w:pStyle w:val="Bodytext20"/>
              <w:shd w:val="clear" w:color="auto" w:fill="auto"/>
              <w:spacing w:line="210" w:lineRule="exact"/>
              <w:jc w:val="center"/>
              <w:rPr>
                <w:sz w:val="24"/>
                <w:szCs w:val="24"/>
                <w:lang w:val="ro-RO"/>
              </w:rPr>
            </w:pPr>
            <w:r w:rsidRPr="00D13A23">
              <w:rPr>
                <w:rStyle w:val="Bodytext24pt"/>
                <w:sz w:val="24"/>
                <w:szCs w:val="24"/>
                <w:lang w:val="ro-RO"/>
              </w:rPr>
              <w:t>1</w:t>
            </w:r>
            <w:r w:rsidRPr="00D13A23">
              <w:rPr>
                <w:rStyle w:val="Bodytext2BookAntiqua"/>
                <w:rFonts w:ascii="Times New Roman" w:hAnsi="Times New Roman" w:cs="Times New Roman"/>
                <w:bCs/>
                <w:sz w:val="24"/>
                <w:szCs w:val="24"/>
                <w:lang w:val="ro-RO"/>
              </w:rPr>
              <w:t>.</w:t>
            </w:r>
          </w:p>
        </w:tc>
        <w:tc>
          <w:tcPr>
            <w:tcW w:w="3518" w:type="dxa"/>
            <w:tcBorders>
              <w:top w:val="single" w:sz="4" w:space="0" w:color="auto"/>
              <w:left w:val="single" w:sz="4" w:space="0" w:color="auto"/>
            </w:tcBorders>
            <w:shd w:val="clear" w:color="auto" w:fill="FFFFFF"/>
            <w:vAlign w:val="center"/>
          </w:tcPr>
          <w:p w:rsidR="00B056FC" w:rsidRPr="00D13A23" w:rsidRDefault="00B056FC" w:rsidP="005B0E88">
            <w:pPr>
              <w:pStyle w:val="Bodytext20"/>
              <w:shd w:val="clear" w:color="auto" w:fill="auto"/>
              <w:spacing w:line="274" w:lineRule="exact"/>
              <w:rPr>
                <w:sz w:val="24"/>
                <w:szCs w:val="24"/>
                <w:lang w:val="ro-RO"/>
              </w:rPr>
            </w:pPr>
            <w:r w:rsidRPr="00D13A23">
              <w:rPr>
                <w:rStyle w:val="Bodytext2BookAntiqua"/>
                <w:rFonts w:ascii="Times New Roman" w:hAnsi="Times New Roman" w:cs="Times New Roman"/>
                <w:sz w:val="24"/>
                <w:szCs w:val="24"/>
                <w:lang w:val="ro-RO"/>
              </w:rPr>
              <w:t>Ministerul Sănătății</w:t>
            </w:r>
          </w:p>
        </w:tc>
        <w:tc>
          <w:tcPr>
            <w:tcW w:w="877" w:type="dxa"/>
            <w:tcBorders>
              <w:top w:val="single" w:sz="4" w:space="0" w:color="auto"/>
              <w:left w:val="single" w:sz="4" w:space="0" w:color="auto"/>
            </w:tcBorders>
            <w:shd w:val="clear" w:color="auto" w:fill="FFFFFF"/>
            <w:vAlign w:val="center"/>
          </w:tcPr>
          <w:p w:rsidR="00B056FC" w:rsidRPr="00D13A23" w:rsidRDefault="00B056FC" w:rsidP="00D13A23">
            <w:pPr>
              <w:pStyle w:val="Bodytext20"/>
              <w:shd w:val="clear" w:color="auto" w:fill="auto"/>
              <w:spacing w:line="298" w:lineRule="exact"/>
              <w:jc w:val="center"/>
              <w:rPr>
                <w:sz w:val="24"/>
                <w:szCs w:val="24"/>
                <w:lang w:val="ro-RO"/>
              </w:rPr>
            </w:pPr>
            <w:r w:rsidRPr="00D13A23">
              <w:rPr>
                <w:rStyle w:val="Bodytext2BookAntiqua"/>
                <w:rFonts w:ascii="Times New Roman" w:hAnsi="Times New Roman" w:cs="Times New Roman"/>
                <w:sz w:val="24"/>
                <w:szCs w:val="24"/>
                <w:lang w:val="ro-RO"/>
              </w:rPr>
              <w:t>00611</w:t>
            </w:r>
          </w:p>
        </w:tc>
        <w:tc>
          <w:tcPr>
            <w:tcW w:w="850" w:type="dxa"/>
            <w:tcBorders>
              <w:top w:val="single" w:sz="4" w:space="0" w:color="auto"/>
              <w:left w:val="single" w:sz="4" w:space="0" w:color="auto"/>
            </w:tcBorders>
            <w:shd w:val="clear" w:color="auto" w:fill="FFFFFF"/>
            <w:vAlign w:val="center"/>
          </w:tcPr>
          <w:p w:rsidR="00B056FC" w:rsidRPr="00D13A23" w:rsidRDefault="00B056FC" w:rsidP="00D13A23">
            <w:pPr>
              <w:spacing w:after="0"/>
              <w:jc w:val="center"/>
              <w:rPr>
                <w:rFonts w:ascii="Times New Roman" w:hAnsi="Times New Roman" w:cs="Times New Roman"/>
                <w:sz w:val="24"/>
                <w:szCs w:val="24"/>
              </w:rPr>
            </w:pPr>
          </w:p>
        </w:tc>
        <w:tc>
          <w:tcPr>
            <w:tcW w:w="1190" w:type="dxa"/>
            <w:tcBorders>
              <w:top w:val="single" w:sz="4" w:space="0" w:color="auto"/>
              <w:left w:val="single" w:sz="4" w:space="0" w:color="auto"/>
            </w:tcBorders>
            <w:shd w:val="clear" w:color="auto" w:fill="FFFFFF"/>
            <w:vAlign w:val="center"/>
          </w:tcPr>
          <w:p w:rsidR="00B056FC" w:rsidRPr="00D13A23" w:rsidRDefault="00B056FC" w:rsidP="00D13A23">
            <w:pPr>
              <w:pStyle w:val="Bodytext20"/>
              <w:shd w:val="clear" w:color="auto" w:fill="auto"/>
              <w:spacing w:line="298" w:lineRule="exact"/>
              <w:jc w:val="center"/>
              <w:rPr>
                <w:sz w:val="24"/>
                <w:szCs w:val="24"/>
                <w:lang w:val="ro-RO"/>
              </w:rPr>
            </w:pPr>
            <w:r w:rsidRPr="00D13A23">
              <w:rPr>
                <w:rStyle w:val="Bodytext2BookAntiqua"/>
                <w:rFonts w:ascii="Times New Roman" w:hAnsi="Times New Roman" w:cs="Times New Roman"/>
                <w:sz w:val="24"/>
                <w:szCs w:val="24"/>
                <w:lang w:val="ro-RO"/>
              </w:rPr>
              <w:t>29.03.2018</w:t>
            </w:r>
          </w:p>
        </w:tc>
        <w:tc>
          <w:tcPr>
            <w:tcW w:w="1090" w:type="dxa"/>
            <w:tcBorders>
              <w:top w:val="single" w:sz="4" w:space="0" w:color="auto"/>
              <w:left w:val="single" w:sz="4" w:space="0" w:color="auto"/>
            </w:tcBorders>
            <w:shd w:val="clear" w:color="auto" w:fill="FFFFFF"/>
            <w:vAlign w:val="center"/>
          </w:tcPr>
          <w:p w:rsidR="00B056FC" w:rsidRPr="00D13A23" w:rsidRDefault="00B056FC" w:rsidP="00F9057A">
            <w:pPr>
              <w:pStyle w:val="Bodytext20"/>
              <w:shd w:val="clear" w:color="auto" w:fill="auto"/>
              <w:spacing w:line="300" w:lineRule="exact"/>
              <w:jc w:val="center"/>
              <w:rPr>
                <w:sz w:val="24"/>
                <w:szCs w:val="24"/>
                <w:lang w:val="ro-RO"/>
              </w:rPr>
            </w:pPr>
            <w:r w:rsidRPr="00D13A23">
              <w:rPr>
                <w:rStyle w:val="Bodytext2BookAntiqua"/>
                <w:rFonts w:ascii="Times New Roman" w:hAnsi="Times New Roman" w:cs="Times New Roman"/>
                <w:sz w:val="24"/>
                <w:szCs w:val="24"/>
                <w:lang w:val="ro-RO"/>
              </w:rPr>
              <w:t>70</w:t>
            </w:r>
            <w:r w:rsidR="008F32F8" w:rsidRPr="00D13A23">
              <w:rPr>
                <w:rStyle w:val="Bodytext2BookAntiqua"/>
                <w:rFonts w:ascii="Times New Roman" w:hAnsi="Times New Roman" w:cs="Times New Roman"/>
                <w:sz w:val="24"/>
                <w:szCs w:val="24"/>
                <w:lang w:val="ro-RO"/>
              </w:rPr>
              <w:t>1</w:t>
            </w:r>
            <w:r w:rsidRPr="00D13A23">
              <w:rPr>
                <w:rStyle w:val="Bodytext2BookAntiqua"/>
                <w:rFonts w:ascii="Times New Roman" w:hAnsi="Times New Roman" w:cs="Times New Roman"/>
                <w:sz w:val="24"/>
                <w:szCs w:val="24"/>
                <w:lang w:val="ro-RO"/>
              </w:rPr>
              <w:t>,</w:t>
            </w:r>
            <w:r w:rsidR="00F9057A">
              <w:rPr>
                <w:rStyle w:val="Bodytext2BookAntiqua"/>
                <w:rFonts w:ascii="Times New Roman" w:hAnsi="Times New Roman" w:cs="Times New Roman"/>
                <w:sz w:val="24"/>
                <w:szCs w:val="24"/>
                <w:lang w:val="ro-RO"/>
              </w:rPr>
              <w:t>2</w:t>
            </w:r>
            <w:r w:rsidRPr="00D13A23">
              <w:rPr>
                <w:rStyle w:val="Bodytext2BookAntiqua"/>
                <w:rFonts w:ascii="Times New Roman" w:hAnsi="Times New Roman" w:cs="Times New Roman"/>
                <w:sz w:val="24"/>
                <w:szCs w:val="24"/>
                <w:lang w:val="ro-RO"/>
              </w:rPr>
              <w:t>0</w:t>
            </w:r>
          </w:p>
        </w:tc>
        <w:tc>
          <w:tcPr>
            <w:tcW w:w="1547" w:type="dxa"/>
            <w:tcBorders>
              <w:top w:val="single" w:sz="4" w:space="0" w:color="auto"/>
              <w:left w:val="single" w:sz="4" w:space="0" w:color="auto"/>
              <w:right w:val="single" w:sz="4" w:space="0" w:color="auto"/>
            </w:tcBorders>
            <w:shd w:val="clear" w:color="auto" w:fill="FFFFFF"/>
            <w:vAlign w:val="center"/>
          </w:tcPr>
          <w:p w:rsidR="00B056FC" w:rsidRPr="00D13A23" w:rsidRDefault="00B056FC" w:rsidP="00D13A23">
            <w:pPr>
              <w:pStyle w:val="Bodytext20"/>
              <w:shd w:val="clear" w:color="auto" w:fill="auto"/>
              <w:spacing w:line="274" w:lineRule="exact"/>
              <w:jc w:val="center"/>
              <w:rPr>
                <w:sz w:val="24"/>
                <w:szCs w:val="24"/>
                <w:lang w:val="ro-RO"/>
              </w:rPr>
            </w:pPr>
            <w:r w:rsidRPr="00D13A23">
              <w:rPr>
                <w:rStyle w:val="Bodytext2BookAntiqua"/>
                <w:rFonts w:ascii="Times New Roman" w:hAnsi="Times New Roman" w:cs="Times New Roman"/>
                <w:sz w:val="24"/>
                <w:szCs w:val="24"/>
                <w:lang w:val="ro-RO"/>
              </w:rPr>
              <w:t>Soldurile au fost transferate la ORG2 nou</w:t>
            </w:r>
          </w:p>
        </w:tc>
      </w:tr>
      <w:tr w:rsidR="00B056FC" w:rsidRPr="008C2674" w:rsidTr="005B0E88">
        <w:trPr>
          <w:trHeight w:hRule="exact" w:val="845"/>
        </w:trPr>
        <w:tc>
          <w:tcPr>
            <w:tcW w:w="562" w:type="dxa"/>
            <w:tcBorders>
              <w:top w:val="single" w:sz="4" w:space="0" w:color="auto"/>
              <w:left w:val="single" w:sz="4" w:space="0" w:color="auto"/>
            </w:tcBorders>
            <w:shd w:val="clear" w:color="auto" w:fill="FFFFFF"/>
            <w:vAlign w:val="center"/>
          </w:tcPr>
          <w:p w:rsidR="00B056FC" w:rsidRPr="00D13A23" w:rsidRDefault="00B056FC" w:rsidP="005B0E88">
            <w:pPr>
              <w:pStyle w:val="Bodytext20"/>
              <w:shd w:val="clear" w:color="auto" w:fill="auto"/>
              <w:spacing w:line="274" w:lineRule="exact"/>
              <w:jc w:val="center"/>
              <w:rPr>
                <w:b/>
                <w:sz w:val="24"/>
                <w:szCs w:val="24"/>
                <w:lang w:val="ro-RO"/>
              </w:rPr>
            </w:pPr>
            <w:r w:rsidRPr="00D13A23">
              <w:rPr>
                <w:rStyle w:val="Bodytext2BookAntiqua"/>
                <w:rFonts w:ascii="Times New Roman" w:hAnsi="Times New Roman" w:cs="Times New Roman"/>
                <w:b/>
                <w:sz w:val="24"/>
                <w:szCs w:val="24"/>
                <w:lang w:val="ro-RO"/>
              </w:rPr>
              <w:t>2.</w:t>
            </w:r>
          </w:p>
        </w:tc>
        <w:tc>
          <w:tcPr>
            <w:tcW w:w="3518" w:type="dxa"/>
            <w:tcBorders>
              <w:top w:val="single" w:sz="4" w:space="0" w:color="auto"/>
              <w:left w:val="single" w:sz="4" w:space="0" w:color="auto"/>
            </w:tcBorders>
            <w:shd w:val="clear" w:color="auto" w:fill="FFFFFF"/>
            <w:vAlign w:val="center"/>
          </w:tcPr>
          <w:p w:rsidR="00B056FC" w:rsidRPr="00D13A23" w:rsidRDefault="00B056FC" w:rsidP="005B0E88">
            <w:pPr>
              <w:pStyle w:val="Bodytext20"/>
              <w:shd w:val="clear" w:color="auto" w:fill="auto"/>
              <w:spacing w:line="274" w:lineRule="exact"/>
              <w:rPr>
                <w:sz w:val="24"/>
                <w:szCs w:val="24"/>
                <w:lang w:val="ro-RO"/>
              </w:rPr>
            </w:pPr>
            <w:r w:rsidRPr="00D13A23">
              <w:rPr>
                <w:rStyle w:val="Bodytext2BookAntiqua"/>
                <w:rFonts w:ascii="Times New Roman" w:hAnsi="Times New Roman" w:cs="Times New Roman"/>
                <w:sz w:val="24"/>
                <w:szCs w:val="24"/>
                <w:lang w:val="ro-RO"/>
              </w:rPr>
              <w:t>Ministerul Mediului</w:t>
            </w:r>
          </w:p>
        </w:tc>
        <w:tc>
          <w:tcPr>
            <w:tcW w:w="877" w:type="dxa"/>
            <w:tcBorders>
              <w:top w:val="single" w:sz="4" w:space="0" w:color="auto"/>
              <w:left w:val="single" w:sz="4" w:space="0" w:color="auto"/>
            </w:tcBorders>
            <w:shd w:val="clear" w:color="auto" w:fill="FFFFFF"/>
            <w:vAlign w:val="center"/>
          </w:tcPr>
          <w:p w:rsidR="00B056FC" w:rsidRPr="00D13A23" w:rsidRDefault="00B056FC" w:rsidP="00D13A23">
            <w:pPr>
              <w:pStyle w:val="Bodytext20"/>
              <w:shd w:val="clear" w:color="auto" w:fill="auto"/>
              <w:spacing w:line="298" w:lineRule="exact"/>
              <w:jc w:val="center"/>
              <w:rPr>
                <w:sz w:val="24"/>
                <w:szCs w:val="24"/>
                <w:lang w:val="ro-RO"/>
              </w:rPr>
            </w:pPr>
            <w:r w:rsidRPr="00D13A23">
              <w:rPr>
                <w:rStyle w:val="Bodytext2BookAntiqua"/>
                <w:rFonts w:ascii="Times New Roman" w:hAnsi="Times New Roman" w:cs="Times New Roman"/>
                <w:sz w:val="24"/>
                <w:szCs w:val="24"/>
                <w:lang w:val="ro-RO"/>
              </w:rPr>
              <w:t>00460</w:t>
            </w:r>
          </w:p>
        </w:tc>
        <w:tc>
          <w:tcPr>
            <w:tcW w:w="850" w:type="dxa"/>
            <w:tcBorders>
              <w:top w:val="single" w:sz="4" w:space="0" w:color="auto"/>
              <w:left w:val="single" w:sz="4" w:space="0" w:color="auto"/>
            </w:tcBorders>
            <w:shd w:val="clear" w:color="auto" w:fill="FFFFFF"/>
            <w:vAlign w:val="center"/>
          </w:tcPr>
          <w:p w:rsidR="00B056FC" w:rsidRPr="00D13A23" w:rsidRDefault="00B056FC" w:rsidP="00D13A23">
            <w:pPr>
              <w:spacing w:after="0"/>
              <w:jc w:val="center"/>
              <w:rPr>
                <w:rFonts w:ascii="Times New Roman" w:hAnsi="Times New Roman" w:cs="Times New Roman"/>
                <w:sz w:val="24"/>
                <w:szCs w:val="24"/>
              </w:rPr>
            </w:pPr>
          </w:p>
        </w:tc>
        <w:tc>
          <w:tcPr>
            <w:tcW w:w="1190" w:type="dxa"/>
            <w:tcBorders>
              <w:top w:val="single" w:sz="4" w:space="0" w:color="auto"/>
              <w:left w:val="single" w:sz="4" w:space="0" w:color="auto"/>
            </w:tcBorders>
            <w:shd w:val="clear" w:color="auto" w:fill="FFFFFF"/>
            <w:vAlign w:val="center"/>
          </w:tcPr>
          <w:p w:rsidR="00B056FC" w:rsidRPr="00D13A23" w:rsidRDefault="00B056FC" w:rsidP="00D13A23">
            <w:pPr>
              <w:pStyle w:val="Bodytext20"/>
              <w:shd w:val="clear" w:color="auto" w:fill="auto"/>
              <w:spacing w:line="298" w:lineRule="exact"/>
              <w:jc w:val="center"/>
              <w:rPr>
                <w:sz w:val="24"/>
                <w:szCs w:val="24"/>
                <w:lang w:val="ro-RO"/>
              </w:rPr>
            </w:pPr>
            <w:r w:rsidRPr="00D13A23">
              <w:rPr>
                <w:rStyle w:val="Bodytext2BookAntiqua"/>
                <w:rFonts w:ascii="Times New Roman" w:hAnsi="Times New Roman" w:cs="Times New Roman"/>
                <w:sz w:val="24"/>
                <w:szCs w:val="24"/>
                <w:lang w:val="ro-RO"/>
              </w:rPr>
              <w:t>29.03.2018</w:t>
            </w:r>
          </w:p>
        </w:tc>
        <w:tc>
          <w:tcPr>
            <w:tcW w:w="1090" w:type="dxa"/>
            <w:tcBorders>
              <w:top w:val="single" w:sz="4" w:space="0" w:color="auto"/>
              <w:left w:val="single" w:sz="4" w:space="0" w:color="auto"/>
            </w:tcBorders>
            <w:shd w:val="clear" w:color="auto" w:fill="FFFFFF"/>
            <w:vAlign w:val="center"/>
          </w:tcPr>
          <w:p w:rsidR="00B056FC" w:rsidRPr="00D13A23" w:rsidRDefault="00B056FC" w:rsidP="00D13A23">
            <w:pPr>
              <w:pStyle w:val="Bodytext20"/>
              <w:shd w:val="clear" w:color="auto" w:fill="auto"/>
              <w:spacing w:line="298" w:lineRule="exact"/>
              <w:jc w:val="center"/>
              <w:rPr>
                <w:sz w:val="24"/>
                <w:szCs w:val="24"/>
                <w:lang w:val="ro-RO"/>
              </w:rPr>
            </w:pPr>
            <w:r w:rsidRPr="00D13A23">
              <w:rPr>
                <w:rStyle w:val="Bodytext2BookAntiqua"/>
                <w:rFonts w:ascii="Times New Roman" w:hAnsi="Times New Roman" w:cs="Times New Roman"/>
                <w:sz w:val="24"/>
                <w:szCs w:val="24"/>
                <w:lang w:val="ro-RO"/>
              </w:rPr>
              <w:t>11,77</w:t>
            </w:r>
          </w:p>
        </w:tc>
        <w:tc>
          <w:tcPr>
            <w:tcW w:w="1547" w:type="dxa"/>
            <w:tcBorders>
              <w:top w:val="single" w:sz="4" w:space="0" w:color="auto"/>
              <w:left w:val="single" w:sz="4" w:space="0" w:color="auto"/>
              <w:right w:val="single" w:sz="4" w:space="0" w:color="auto"/>
            </w:tcBorders>
            <w:shd w:val="clear" w:color="auto" w:fill="FFFFFF"/>
            <w:vAlign w:val="center"/>
          </w:tcPr>
          <w:p w:rsidR="00B056FC" w:rsidRPr="00D13A23" w:rsidRDefault="00B056FC" w:rsidP="00D13A23">
            <w:pPr>
              <w:pStyle w:val="Bodytext20"/>
              <w:shd w:val="clear" w:color="auto" w:fill="auto"/>
              <w:spacing w:line="278" w:lineRule="exact"/>
              <w:jc w:val="center"/>
              <w:rPr>
                <w:sz w:val="24"/>
                <w:szCs w:val="24"/>
                <w:lang w:val="ro-RO"/>
              </w:rPr>
            </w:pPr>
            <w:r w:rsidRPr="00D13A23">
              <w:rPr>
                <w:rStyle w:val="Bodytext2BookAntiqua"/>
                <w:rFonts w:ascii="Times New Roman" w:hAnsi="Times New Roman" w:cs="Times New Roman"/>
                <w:sz w:val="24"/>
                <w:szCs w:val="24"/>
                <w:lang w:val="ro-RO"/>
              </w:rPr>
              <w:t>Soldurile au fost transferate la ORG2 nou</w:t>
            </w:r>
          </w:p>
        </w:tc>
      </w:tr>
      <w:tr w:rsidR="00B056FC" w:rsidRPr="008C2674" w:rsidTr="005B0E88">
        <w:trPr>
          <w:trHeight w:hRule="exact" w:val="835"/>
        </w:trPr>
        <w:tc>
          <w:tcPr>
            <w:tcW w:w="562" w:type="dxa"/>
            <w:tcBorders>
              <w:top w:val="single" w:sz="4" w:space="0" w:color="auto"/>
              <w:left w:val="single" w:sz="4" w:space="0" w:color="auto"/>
            </w:tcBorders>
            <w:shd w:val="clear" w:color="auto" w:fill="FFFFFF"/>
            <w:vAlign w:val="center"/>
          </w:tcPr>
          <w:p w:rsidR="00B056FC" w:rsidRPr="00D13A23" w:rsidRDefault="00B056FC" w:rsidP="005B0E88">
            <w:pPr>
              <w:pStyle w:val="Bodytext20"/>
              <w:shd w:val="clear" w:color="auto" w:fill="auto"/>
              <w:spacing w:line="274" w:lineRule="exact"/>
              <w:jc w:val="center"/>
              <w:rPr>
                <w:b/>
                <w:sz w:val="24"/>
                <w:szCs w:val="24"/>
                <w:lang w:val="ro-RO"/>
              </w:rPr>
            </w:pPr>
            <w:r w:rsidRPr="00D13A23">
              <w:rPr>
                <w:rStyle w:val="Bodytext2BookAntiqua"/>
                <w:rFonts w:ascii="Times New Roman" w:hAnsi="Times New Roman" w:cs="Times New Roman"/>
                <w:b/>
                <w:sz w:val="24"/>
                <w:szCs w:val="24"/>
                <w:lang w:val="ro-RO"/>
              </w:rPr>
              <w:t>3.</w:t>
            </w:r>
          </w:p>
        </w:tc>
        <w:tc>
          <w:tcPr>
            <w:tcW w:w="3518" w:type="dxa"/>
            <w:tcBorders>
              <w:top w:val="single" w:sz="4" w:space="0" w:color="auto"/>
              <w:left w:val="single" w:sz="4" w:space="0" w:color="auto"/>
            </w:tcBorders>
            <w:shd w:val="clear" w:color="auto" w:fill="FFFFFF"/>
            <w:vAlign w:val="center"/>
          </w:tcPr>
          <w:p w:rsidR="00B056FC" w:rsidRPr="00D13A23" w:rsidRDefault="00B056FC" w:rsidP="008C2674">
            <w:pPr>
              <w:pStyle w:val="Bodytext20"/>
              <w:shd w:val="clear" w:color="auto" w:fill="auto"/>
              <w:spacing w:line="331" w:lineRule="exact"/>
              <w:rPr>
                <w:sz w:val="24"/>
                <w:szCs w:val="24"/>
                <w:lang w:val="ro-RO"/>
              </w:rPr>
            </w:pPr>
            <w:r w:rsidRPr="00D13A23">
              <w:rPr>
                <w:rStyle w:val="Bodytext2BookAntiqua"/>
                <w:rFonts w:ascii="Times New Roman" w:hAnsi="Times New Roman" w:cs="Times New Roman"/>
                <w:sz w:val="24"/>
                <w:szCs w:val="24"/>
                <w:lang w:val="ro-RO"/>
              </w:rPr>
              <w:t xml:space="preserve">Ministerul Transporturilor </w:t>
            </w:r>
            <w:r w:rsidR="008C2674">
              <w:rPr>
                <w:rStyle w:val="Bodytext2BookAntiqua"/>
                <w:rFonts w:ascii="Times New Roman" w:hAnsi="Times New Roman" w:cs="Times New Roman"/>
                <w:sz w:val="24"/>
                <w:szCs w:val="24"/>
                <w:lang w:val="ro-RO"/>
              </w:rPr>
              <w:t>ș</w:t>
            </w:r>
            <w:r w:rsidRPr="00D13A23">
              <w:rPr>
                <w:rStyle w:val="Bodytext2BookAntiqua"/>
                <w:rFonts w:ascii="Times New Roman" w:hAnsi="Times New Roman" w:cs="Times New Roman"/>
                <w:sz w:val="24"/>
                <w:szCs w:val="24"/>
                <w:lang w:val="ro-RO"/>
              </w:rPr>
              <w:t>i Infrastructurii Drumurilor</w:t>
            </w:r>
          </w:p>
        </w:tc>
        <w:tc>
          <w:tcPr>
            <w:tcW w:w="877" w:type="dxa"/>
            <w:tcBorders>
              <w:top w:val="single" w:sz="4" w:space="0" w:color="auto"/>
              <w:left w:val="single" w:sz="4" w:space="0" w:color="auto"/>
            </w:tcBorders>
            <w:shd w:val="clear" w:color="auto" w:fill="FFFFFF"/>
            <w:vAlign w:val="center"/>
          </w:tcPr>
          <w:p w:rsidR="00B056FC" w:rsidRPr="00D13A23" w:rsidRDefault="00B056FC" w:rsidP="00D13A23">
            <w:pPr>
              <w:pStyle w:val="Bodytext20"/>
              <w:shd w:val="clear" w:color="auto" w:fill="auto"/>
              <w:spacing w:line="298" w:lineRule="exact"/>
              <w:jc w:val="center"/>
              <w:rPr>
                <w:sz w:val="24"/>
                <w:szCs w:val="24"/>
                <w:lang w:val="ro-RO"/>
              </w:rPr>
            </w:pPr>
            <w:r w:rsidRPr="00D13A23">
              <w:rPr>
                <w:rStyle w:val="Bodytext2BookAntiqua"/>
                <w:rFonts w:ascii="Times New Roman" w:hAnsi="Times New Roman" w:cs="Times New Roman"/>
                <w:sz w:val="24"/>
                <w:szCs w:val="24"/>
                <w:lang w:val="ro-RO"/>
              </w:rPr>
              <w:t>00455</w:t>
            </w:r>
          </w:p>
        </w:tc>
        <w:tc>
          <w:tcPr>
            <w:tcW w:w="850" w:type="dxa"/>
            <w:tcBorders>
              <w:top w:val="single" w:sz="4" w:space="0" w:color="auto"/>
              <w:left w:val="single" w:sz="4" w:space="0" w:color="auto"/>
            </w:tcBorders>
            <w:shd w:val="clear" w:color="auto" w:fill="FFFFFF"/>
            <w:vAlign w:val="center"/>
          </w:tcPr>
          <w:p w:rsidR="00B056FC" w:rsidRPr="00D13A23" w:rsidRDefault="00B056FC" w:rsidP="00D13A23">
            <w:pPr>
              <w:spacing w:after="0"/>
              <w:jc w:val="center"/>
              <w:rPr>
                <w:rFonts w:ascii="Times New Roman" w:hAnsi="Times New Roman" w:cs="Times New Roman"/>
                <w:sz w:val="24"/>
                <w:szCs w:val="24"/>
              </w:rPr>
            </w:pPr>
          </w:p>
        </w:tc>
        <w:tc>
          <w:tcPr>
            <w:tcW w:w="1190" w:type="dxa"/>
            <w:tcBorders>
              <w:top w:val="single" w:sz="4" w:space="0" w:color="auto"/>
              <w:left w:val="single" w:sz="4" w:space="0" w:color="auto"/>
            </w:tcBorders>
            <w:shd w:val="clear" w:color="auto" w:fill="FFFFFF"/>
            <w:vAlign w:val="center"/>
          </w:tcPr>
          <w:p w:rsidR="00B056FC" w:rsidRPr="00D13A23" w:rsidRDefault="00B056FC" w:rsidP="00D13A23">
            <w:pPr>
              <w:pStyle w:val="Bodytext20"/>
              <w:shd w:val="clear" w:color="auto" w:fill="auto"/>
              <w:spacing w:line="298" w:lineRule="exact"/>
              <w:jc w:val="center"/>
              <w:rPr>
                <w:sz w:val="24"/>
                <w:szCs w:val="24"/>
                <w:lang w:val="ro-RO"/>
              </w:rPr>
            </w:pPr>
            <w:r w:rsidRPr="00D13A23">
              <w:rPr>
                <w:rStyle w:val="Bodytext2BookAntiqua"/>
                <w:rFonts w:ascii="Times New Roman" w:hAnsi="Times New Roman" w:cs="Times New Roman"/>
                <w:sz w:val="24"/>
                <w:szCs w:val="24"/>
                <w:lang w:val="ro-RO"/>
              </w:rPr>
              <w:t>02.04.2018</w:t>
            </w:r>
          </w:p>
        </w:tc>
        <w:tc>
          <w:tcPr>
            <w:tcW w:w="1090" w:type="dxa"/>
            <w:tcBorders>
              <w:top w:val="single" w:sz="4" w:space="0" w:color="auto"/>
              <w:left w:val="single" w:sz="4" w:space="0" w:color="auto"/>
            </w:tcBorders>
            <w:shd w:val="clear" w:color="auto" w:fill="FFFFFF"/>
            <w:vAlign w:val="center"/>
          </w:tcPr>
          <w:p w:rsidR="00B056FC" w:rsidRPr="00D13A23" w:rsidRDefault="00B056FC" w:rsidP="00D13A23">
            <w:pPr>
              <w:pStyle w:val="Bodytext20"/>
              <w:shd w:val="clear" w:color="auto" w:fill="auto"/>
              <w:spacing w:line="298" w:lineRule="exact"/>
              <w:jc w:val="center"/>
              <w:rPr>
                <w:sz w:val="24"/>
                <w:szCs w:val="24"/>
                <w:lang w:val="ro-RO"/>
              </w:rPr>
            </w:pPr>
            <w:r w:rsidRPr="00D13A23">
              <w:rPr>
                <w:rStyle w:val="Bodytext2BookAntiqua"/>
                <w:rFonts w:ascii="Times New Roman" w:hAnsi="Times New Roman" w:cs="Times New Roman"/>
                <w:sz w:val="24"/>
                <w:szCs w:val="24"/>
                <w:lang w:val="ro-RO"/>
              </w:rPr>
              <w:t>0,007</w:t>
            </w:r>
          </w:p>
        </w:tc>
        <w:tc>
          <w:tcPr>
            <w:tcW w:w="1547" w:type="dxa"/>
            <w:tcBorders>
              <w:top w:val="single" w:sz="4" w:space="0" w:color="auto"/>
              <w:left w:val="single" w:sz="4" w:space="0" w:color="auto"/>
              <w:right w:val="single" w:sz="4" w:space="0" w:color="auto"/>
            </w:tcBorders>
            <w:shd w:val="clear" w:color="auto" w:fill="FFFFFF"/>
            <w:vAlign w:val="center"/>
          </w:tcPr>
          <w:p w:rsidR="00B056FC" w:rsidRPr="00D13A23" w:rsidRDefault="00B056FC" w:rsidP="00D13A23">
            <w:pPr>
              <w:pStyle w:val="Bodytext20"/>
              <w:shd w:val="clear" w:color="auto" w:fill="auto"/>
              <w:spacing w:line="274" w:lineRule="exact"/>
              <w:jc w:val="center"/>
              <w:rPr>
                <w:sz w:val="24"/>
                <w:szCs w:val="24"/>
                <w:lang w:val="ro-RO"/>
              </w:rPr>
            </w:pPr>
            <w:r w:rsidRPr="00D13A23">
              <w:rPr>
                <w:rStyle w:val="Bodytext2BookAntiqua"/>
                <w:rFonts w:ascii="Times New Roman" w:hAnsi="Times New Roman" w:cs="Times New Roman"/>
                <w:sz w:val="24"/>
                <w:szCs w:val="24"/>
                <w:lang w:val="ro-RO"/>
              </w:rPr>
              <w:t>Soldurile au fost transferate la ORG2 nou</w:t>
            </w:r>
          </w:p>
        </w:tc>
      </w:tr>
      <w:tr w:rsidR="00B056FC" w:rsidRPr="008C2674" w:rsidTr="005B0E88">
        <w:trPr>
          <w:trHeight w:hRule="exact" w:val="830"/>
        </w:trPr>
        <w:tc>
          <w:tcPr>
            <w:tcW w:w="562" w:type="dxa"/>
            <w:tcBorders>
              <w:top w:val="single" w:sz="4" w:space="0" w:color="auto"/>
              <w:left w:val="single" w:sz="4" w:space="0" w:color="auto"/>
            </w:tcBorders>
            <w:shd w:val="clear" w:color="auto" w:fill="FFFFFF"/>
            <w:vAlign w:val="center"/>
          </w:tcPr>
          <w:p w:rsidR="00B056FC" w:rsidRPr="00D13A23" w:rsidRDefault="00B056FC" w:rsidP="005B0E88">
            <w:pPr>
              <w:pStyle w:val="Bodytext20"/>
              <w:shd w:val="clear" w:color="auto" w:fill="auto"/>
              <w:spacing w:line="274" w:lineRule="exact"/>
              <w:jc w:val="center"/>
              <w:rPr>
                <w:b/>
                <w:sz w:val="24"/>
                <w:szCs w:val="24"/>
                <w:lang w:val="ro-RO"/>
              </w:rPr>
            </w:pPr>
            <w:r w:rsidRPr="00D13A23">
              <w:rPr>
                <w:rStyle w:val="Bodytext2BookAntiqua"/>
                <w:rFonts w:ascii="Times New Roman" w:hAnsi="Times New Roman" w:cs="Times New Roman"/>
                <w:b/>
                <w:sz w:val="24"/>
                <w:szCs w:val="24"/>
                <w:lang w:val="ro-RO"/>
              </w:rPr>
              <w:t>4.</w:t>
            </w:r>
          </w:p>
        </w:tc>
        <w:tc>
          <w:tcPr>
            <w:tcW w:w="3518" w:type="dxa"/>
            <w:tcBorders>
              <w:top w:val="single" w:sz="4" w:space="0" w:color="auto"/>
              <w:left w:val="single" w:sz="4" w:space="0" w:color="auto"/>
            </w:tcBorders>
            <w:shd w:val="clear" w:color="auto" w:fill="FFFFFF"/>
            <w:vAlign w:val="center"/>
          </w:tcPr>
          <w:p w:rsidR="00B056FC" w:rsidRPr="00D13A23" w:rsidRDefault="00B056FC" w:rsidP="005B0E88">
            <w:pPr>
              <w:pStyle w:val="Bodytext20"/>
              <w:shd w:val="clear" w:color="auto" w:fill="auto"/>
              <w:spacing w:line="274" w:lineRule="exact"/>
              <w:rPr>
                <w:sz w:val="24"/>
                <w:szCs w:val="24"/>
                <w:lang w:val="ro-RO"/>
              </w:rPr>
            </w:pPr>
            <w:r w:rsidRPr="00D13A23">
              <w:rPr>
                <w:rStyle w:val="Bodytext2BookAntiqua"/>
                <w:rFonts w:ascii="Times New Roman" w:hAnsi="Times New Roman" w:cs="Times New Roman"/>
                <w:sz w:val="24"/>
                <w:szCs w:val="24"/>
                <w:lang w:val="ro-RO"/>
              </w:rPr>
              <w:t>Ministerul Educației</w:t>
            </w:r>
          </w:p>
        </w:tc>
        <w:tc>
          <w:tcPr>
            <w:tcW w:w="877" w:type="dxa"/>
            <w:tcBorders>
              <w:top w:val="single" w:sz="4" w:space="0" w:color="auto"/>
              <w:left w:val="single" w:sz="4" w:space="0" w:color="auto"/>
            </w:tcBorders>
            <w:shd w:val="clear" w:color="auto" w:fill="FFFFFF"/>
            <w:vAlign w:val="center"/>
          </w:tcPr>
          <w:p w:rsidR="00B056FC" w:rsidRPr="00D13A23" w:rsidRDefault="00B056FC" w:rsidP="00D13A23">
            <w:pPr>
              <w:pStyle w:val="Bodytext20"/>
              <w:shd w:val="clear" w:color="auto" w:fill="auto"/>
              <w:spacing w:line="298" w:lineRule="exact"/>
              <w:jc w:val="center"/>
              <w:rPr>
                <w:sz w:val="24"/>
                <w:szCs w:val="24"/>
                <w:lang w:val="ro-RO"/>
              </w:rPr>
            </w:pPr>
            <w:r w:rsidRPr="00D13A23">
              <w:rPr>
                <w:rStyle w:val="Bodytext2BookAntiqua"/>
                <w:rFonts w:ascii="Times New Roman" w:hAnsi="Times New Roman" w:cs="Times New Roman"/>
                <w:sz w:val="24"/>
                <w:szCs w:val="24"/>
                <w:lang w:val="ro-RO"/>
              </w:rPr>
              <w:t>00428</w:t>
            </w:r>
          </w:p>
        </w:tc>
        <w:tc>
          <w:tcPr>
            <w:tcW w:w="850" w:type="dxa"/>
            <w:tcBorders>
              <w:top w:val="single" w:sz="4" w:space="0" w:color="auto"/>
              <w:left w:val="single" w:sz="4" w:space="0" w:color="auto"/>
            </w:tcBorders>
            <w:shd w:val="clear" w:color="auto" w:fill="FFFFFF"/>
            <w:vAlign w:val="center"/>
          </w:tcPr>
          <w:p w:rsidR="00B056FC" w:rsidRPr="00D13A23" w:rsidRDefault="00B056FC" w:rsidP="00D13A23">
            <w:pPr>
              <w:spacing w:after="0"/>
              <w:jc w:val="center"/>
              <w:rPr>
                <w:rFonts w:ascii="Times New Roman" w:hAnsi="Times New Roman" w:cs="Times New Roman"/>
                <w:sz w:val="24"/>
                <w:szCs w:val="24"/>
              </w:rPr>
            </w:pPr>
          </w:p>
        </w:tc>
        <w:tc>
          <w:tcPr>
            <w:tcW w:w="1190" w:type="dxa"/>
            <w:tcBorders>
              <w:top w:val="single" w:sz="4" w:space="0" w:color="auto"/>
              <w:left w:val="single" w:sz="4" w:space="0" w:color="auto"/>
            </w:tcBorders>
            <w:shd w:val="clear" w:color="auto" w:fill="FFFFFF"/>
            <w:vAlign w:val="center"/>
          </w:tcPr>
          <w:p w:rsidR="00B056FC" w:rsidRPr="00D13A23" w:rsidRDefault="00B056FC" w:rsidP="00D13A23">
            <w:pPr>
              <w:pStyle w:val="Bodytext20"/>
              <w:shd w:val="clear" w:color="auto" w:fill="auto"/>
              <w:spacing w:line="298" w:lineRule="exact"/>
              <w:jc w:val="center"/>
              <w:rPr>
                <w:sz w:val="24"/>
                <w:szCs w:val="24"/>
                <w:lang w:val="ro-RO"/>
              </w:rPr>
            </w:pPr>
            <w:r w:rsidRPr="00D13A23">
              <w:rPr>
                <w:rStyle w:val="Bodytext2BookAntiqua"/>
                <w:rFonts w:ascii="Times New Roman" w:hAnsi="Times New Roman" w:cs="Times New Roman"/>
                <w:sz w:val="24"/>
                <w:szCs w:val="24"/>
                <w:lang w:val="ro-RO"/>
              </w:rPr>
              <w:t>30.03.2018</w:t>
            </w:r>
          </w:p>
        </w:tc>
        <w:tc>
          <w:tcPr>
            <w:tcW w:w="1090" w:type="dxa"/>
            <w:tcBorders>
              <w:top w:val="single" w:sz="4" w:space="0" w:color="auto"/>
              <w:left w:val="single" w:sz="4" w:space="0" w:color="auto"/>
            </w:tcBorders>
            <w:shd w:val="clear" w:color="auto" w:fill="FFFFFF"/>
            <w:vAlign w:val="center"/>
          </w:tcPr>
          <w:p w:rsidR="00B056FC" w:rsidRPr="00D13A23" w:rsidRDefault="00B056FC" w:rsidP="00D13A23">
            <w:pPr>
              <w:pStyle w:val="Bodytext20"/>
              <w:shd w:val="clear" w:color="auto" w:fill="auto"/>
              <w:spacing w:line="298" w:lineRule="exact"/>
              <w:jc w:val="center"/>
              <w:rPr>
                <w:sz w:val="24"/>
                <w:szCs w:val="24"/>
                <w:lang w:val="ro-RO"/>
              </w:rPr>
            </w:pPr>
            <w:r w:rsidRPr="00D13A23">
              <w:rPr>
                <w:rStyle w:val="Bodytext2BookAntiqua"/>
                <w:rFonts w:ascii="Times New Roman" w:hAnsi="Times New Roman" w:cs="Times New Roman"/>
                <w:sz w:val="24"/>
                <w:szCs w:val="24"/>
                <w:lang w:val="ro-RO"/>
              </w:rPr>
              <w:t>105,19</w:t>
            </w:r>
          </w:p>
        </w:tc>
        <w:tc>
          <w:tcPr>
            <w:tcW w:w="1547" w:type="dxa"/>
            <w:tcBorders>
              <w:top w:val="single" w:sz="4" w:space="0" w:color="auto"/>
              <w:left w:val="single" w:sz="4" w:space="0" w:color="auto"/>
              <w:right w:val="single" w:sz="4" w:space="0" w:color="auto"/>
            </w:tcBorders>
            <w:shd w:val="clear" w:color="auto" w:fill="FFFFFF"/>
            <w:vAlign w:val="center"/>
          </w:tcPr>
          <w:p w:rsidR="00B056FC" w:rsidRPr="00D13A23" w:rsidRDefault="00B056FC" w:rsidP="00D13A23">
            <w:pPr>
              <w:pStyle w:val="Bodytext20"/>
              <w:shd w:val="clear" w:color="auto" w:fill="auto"/>
              <w:spacing w:line="269" w:lineRule="exact"/>
              <w:jc w:val="center"/>
              <w:rPr>
                <w:sz w:val="24"/>
                <w:szCs w:val="24"/>
                <w:lang w:val="ro-RO"/>
              </w:rPr>
            </w:pPr>
            <w:r w:rsidRPr="00D13A23">
              <w:rPr>
                <w:rStyle w:val="Bodytext2BookAntiqua"/>
                <w:rFonts w:ascii="Times New Roman" w:hAnsi="Times New Roman" w:cs="Times New Roman"/>
                <w:sz w:val="24"/>
                <w:szCs w:val="24"/>
                <w:lang w:val="ro-RO"/>
              </w:rPr>
              <w:t>Soldurile au fost transferate la ORG2 nou</w:t>
            </w:r>
          </w:p>
        </w:tc>
      </w:tr>
      <w:tr w:rsidR="00B056FC" w:rsidRPr="008C2674" w:rsidTr="00F9057A">
        <w:trPr>
          <w:trHeight w:hRule="exact" w:val="898"/>
        </w:trPr>
        <w:tc>
          <w:tcPr>
            <w:tcW w:w="562" w:type="dxa"/>
            <w:tcBorders>
              <w:top w:val="single" w:sz="4" w:space="0" w:color="auto"/>
              <w:left w:val="single" w:sz="4" w:space="0" w:color="auto"/>
            </w:tcBorders>
            <w:shd w:val="clear" w:color="auto" w:fill="FFFFFF"/>
            <w:vAlign w:val="center"/>
          </w:tcPr>
          <w:p w:rsidR="00B056FC" w:rsidRPr="00D13A23" w:rsidRDefault="00B056FC" w:rsidP="005B0E88">
            <w:pPr>
              <w:pStyle w:val="Bodytext20"/>
              <w:shd w:val="clear" w:color="auto" w:fill="auto"/>
              <w:spacing w:line="274" w:lineRule="exact"/>
              <w:jc w:val="center"/>
              <w:rPr>
                <w:b/>
                <w:sz w:val="24"/>
                <w:szCs w:val="24"/>
                <w:lang w:val="ro-RO"/>
              </w:rPr>
            </w:pPr>
            <w:r w:rsidRPr="00D13A23">
              <w:rPr>
                <w:rStyle w:val="Bodytext2BookAntiqua"/>
                <w:rFonts w:ascii="Times New Roman" w:hAnsi="Times New Roman" w:cs="Times New Roman"/>
                <w:b/>
                <w:sz w:val="24"/>
                <w:szCs w:val="24"/>
                <w:lang w:val="ro-RO"/>
              </w:rPr>
              <w:t>5.</w:t>
            </w:r>
          </w:p>
        </w:tc>
        <w:tc>
          <w:tcPr>
            <w:tcW w:w="3518" w:type="dxa"/>
            <w:tcBorders>
              <w:top w:val="single" w:sz="4" w:space="0" w:color="auto"/>
              <w:left w:val="single" w:sz="4" w:space="0" w:color="auto"/>
            </w:tcBorders>
            <w:shd w:val="clear" w:color="auto" w:fill="FFFFFF"/>
            <w:vAlign w:val="center"/>
          </w:tcPr>
          <w:p w:rsidR="00B056FC" w:rsidRPr="00D13A23" w:rsidRDefault="00B056FC" w:rsidP="008C2674">
            <w:pPr>
              <w:pStyle w:val="Bodytext20"/>
              <w:shd w:val="clear" w:color="auto" w:fill="auto"/>
              <w:spacing w:line="326" w:lineRule="exact"/>
              <w:rPr>
                <w:sz w:val="24"/>
                <w:szCs w:val="24"/>
                <w:lang w:val="ro-RO"/>
              </w:rPr>
            </w:pPr>
            <w:r w:rsidRPr="00D13A23">
              <w:rPr>
                <w:rStyle w:val="Bodytext2BookAntiqua"/>
                <w:rFonts w:ascii="Times New Roman" w:hAnsi="Times New Roman" w:cs="Times New Roman"/>
                <w:sz w:val="24"/>
                <w:szCs w:val="24"/>
                <w:lang w:val="ro-RO"/>
              </w:rPr>
              <w:t xml:space="preserve">Ministerul Muncii, Protecției Sociale </w:t>
            </w:r>
            <w:r w:rsidR="008C2674">
              <w:rPr>
                <w:rStyle w:val="Bodytext2BookAntiqua"/>
                <w:rFonts w:ascii="Times New Roman" w:hAnsi="Times New Roman" w:cs="Times New Roman"/>
                <w:sz w:val="24"/>
                <w:szCs w:val="24"/>
                <w:lang w:val="ro-RO"/>
              </w:rPr>
              <w:t>ș</w:t>
            </w:r>
            <w:r w:rsidRPr="00D13A23">
              <w:rPr>
                <w:rStyle w:val="Bodytext2BookAntiqua"/>
                <w:rFonts w:ascii="Times New Roman" w:hAnsi="Times New Roman" w:cs="Times New Roman"/>
                <w:sz w:val="24"/>
                <w:szCs w:val="24"/>
                <w:lang w:val="ro-RO"/>
              </w:rPr>
              <w:t>i Familiei</w:t>
            </w:r>
          </w:p>
        </w:tc>
        <w:tc>
          <w:tcPr>
            <w:tcW w:w="877" w:type="dxa"/>
            <w:tcBorders>
              <w:top w:val="single" w:sz="4" w:space="0" w:color="auto"/>
              <w:left w:val="single" w:sz="4" w:space="0" w:color="auto"/>
            </w:tcBorders>
            <w:shd w:val="clear" w:color="auto" w:fill="FFFFFF"/>
            <w:vAlign w:val="center"/>
          </w:tcPr>
          <w:p w:rsidR="00B056FC" w:rsidRPr="00D13A23" w:rsidRDefault="00B056FC" w:rsidP="00D13A23">
            <w:pPr>
              <w:pStyle w:val="Bodytext20"/>
              <w:shd w:val="clear" w:color="auto" w:fill="auto"/>
              <w:spacing w:line="298" w:lineRule="exact"/>
              <w:jc w:val="center"/>
              <w:rPr>
                <w:sz w:val="24"/>
                <w:szCs w:val="24"/>
                <w:lang w:val="ro-RO"/>
              </w:rPr>
            </w:pPr>
            <w:r w:rsidRPr="00D13A23">
              <w:rPr>
                <w:rStyle w:val="Bodytext2BookAntiqua"/>
                <w:rFonts w:ascii="Times New Roman" w:hAnsi="Times New Roman" w:cs="Times New Roman"/>
                <w:sz w:val="24"/>
                <w:szCs w:val="24"/>
                <w:lang w:val="ro-RO"/>
              </w:rPr>
              <w:t>00415</w:t>
            </w:r>
          </w:p>
        </w:tc>
        <w:tc>
          <w:tcPr>
            <w:tcW w:w="850" w:type="dxa"/>
            <w:tcBorders>
              <w:top w:val="single" w:sz="4" w:space="0" w:color="auto"/>
              <w:left w:val="single" w:sz="4" w:space="0" w:color="auto"/>
            </w:tcBorders>
            <w:shd w:val="clear" w:color="auto" w:fill="FFFFFF"/>
            <w:vAlign w:val="center"/>
          </w:tcPr>
          <w:p w:rsidR="00B056FC" w:rsidRPr="00D13A23" w:rsidRDefault="00B056FC" w:rsidP="00D13A23">
            <w:pPr>
              <w:spacing w:after="0"/>
              <w:jc w:val="center"/>
              <w:rPr>
                <w:rFonts w:ascii="Times New Roman" w:hAnsi="Times New Roman" w:cs="Times New Roman"/>
                <w:sz w:val="24"/>
                <w:szCs w:val="24"/>
              </w:rPr>
            </w:pPr>
          </w:p>
        </w:tc>
        <w:tc>
          <w:tcPr>
            <w:tcW w:w="1190" w:type="dxa"/>
            <w:tcBorders>
              <w:top w:val="single" w:sz="4" w:space="0" w:color="auto"/>
              <w:left w:val="single" w:sz="4" w:space="0" w:color="auto"/>
            </w:tcBorders>
            <w:shd w:val="clear" w:color="auto" w:fill="FFFFFF"/>
            <w:vAlign w:val="center"/>
          </w:tcPr>
          <w:p w:rsidR="00B056FC" w:rsidRPr="00D13A23" w:rsidRDefault="00F9057A" w:rsidP="00D13A23">
            <w:pPr>
              <w:spacing w:after="0"/>
              <w:jc w:val="center"/>
              <w:rPr>
                <w:rFonts w:ascii="Times New Roman" w:hAnsi="Times New Roman" w:cs="Times New Roman"/>
                <w:sz w:val="24"/>
                <w:szCs w:val="24"/>
              </w:rPr>
            </w:pPr>
            <w:r>
              <w:rPr>
                <w:rFonts w:ascii="Times New Roman" w:hAnsi="Times New Roman" w:cs="Times New Roman"/>
                <w:sz w:val="24"/>
                <w:szCs w:val="24"/>
              </w:rPr>
              <w:t>30.01.2018</w:t>
            </w:r>
          </w:p>
        </w:tc>
        <w:tc>
          <w:tcPr>
            <w:tcW w:w="1090" w:type="dxa"/>
            <w:tcBorders>
              <w:top w:val="single" w:sz="4" w:space="0" w:color="auto"/>
              <w:left w:val="single" w:sz="4" w:space="0" w:color="auto"/>
            </w:tcBorders>
            <w:shd w:val="clear" w:color="auto" w:fill="FFFFFF"/>
            <w:vAlign w:val="center"/>
          </w:tcPr>
          <w:p w:rsidR="00B056FC" w:rsidRPr="00D13A23" w:rsidRDefault="00B056FC" w:rsidP="00F9057A">
            <w:pPr>
              <w:pStyle w:val="Bodytext20"/>
              <w:shd w:val="clear" w:color="auto" w:fill="auto"/>
              <w:spacing w:line="298" w:lineRule="exact"/>
              <w:jc w:val="center"/>
              <w:rPr>
                <w:sz w:val="24"/>
                <w:szCs w:val="24"/>
                <w:lang w:val="ro-RO"/>
              </w:rPr>
            </w:pPr>
            <w:r w:rsidRPr="00D13A23">
              <w:rPr>
                <w:rStyle w:val="Bodytext2BookAntiqua"/>
                <w:rFonts w:ascii="Times New Roman" w:hAnsi="Times New Roman" w:cs="Times New Roman"/>
                <w:sz w:val="24"/>
                <w:szCs w:val="24"/>
                <w:lang w:val="ro-RO"/>
              </w:rPr>
              <w:t>0,</w:t>
            </w:r>
            <w:r w:rsidR="00F9057A">
              <w:rPr>
                <w:rStyle w:val="Bodytext2BookAntiqua"/>
                <w:rFonts w:ascii="Times New Roman" w:hAnsi="Times New Roman" w:cs="Times New Roman"/>
                <w:sz w:val="24"/>
                <w:szCs w:val="24"/>
                <w:lang w:val="ro-RO"/>
              </w:rPr>
              <w:t>24</w:t>
            </w:r>
          </w:p>
        </w:tc>
        <w:tc>
          <w:tcPr>
            <w:tcW w:w="1547" w:type="dxa"/>
            <w:tcBorders>
              <w:top w:val="single" w:sz="4" w:space="0" w:color="auto"/>
              <w:left w:val="single" w:sz="4" w:space="0" w:color="auto"/>
              <w:right w:val="single" w:sz="4" w:space="0" w:color="auto"/>
            </w:tcBorders>
            <w:shd w:val="clear" w:color="auto" w:fill="FFFFFF"/>
            <w:vAlign w:val="center"/>
          </w:tcPr>
          <w:p w:rsidR="00B056FC" w:rsidRPr="00D13A23" w:rsidRDefault="00F9057A" w:rsidP="00D13A23">
            <w:pPr>
              <w:spacing w:after="0"/>
              <w:jc w:val="center"/>
              <w:rPr>
                <w:rFonts w:ascii="Times New Roman" w:hAnsi="Times New Roman" w:cs="Times New Roman"/>
                <w:sz w:val="24"/>
                <w:szCs w:val="24"/>
              </w:rPr>
            </w:pPr>
            <w:r w:rsidRPr="00D13A23">
              <w:rPr>
                <w:rStyle w:val="Bodytext2BookAntiqua"/>
                <w:rFonts w:ascii="Times New Roman" w:hAnsi="Times New Roman" w:cs="Times New Roman"/>
                <w:sz w:val="24"/>
                <w:szCs w:val="24"/>
                <w:lang w:val="ro-RO"/>
              </w:rPr>
              <w:t>Soldurile au fost transferate la ORG2 nou</w:t>
            </w:r>
          </w:p>
        </w:tc>
      </w:tr>
      <w:tr w:rsidR="00B056FC" w:rsidRPr="008C2674" w:rsidTr="00F9057A">
        <w:trPr>
          <w:trHeight w:hRule="exact" w:val="996"/>
        </w:trPr>
        <w:tc>
          <w:tcPr>
            <w:tcW w:w="562" w:type="dxa"/>
            <w:tcBorders>
              <w:top w:val="single" w:sz="4" w:space="0" w:color="auto"/>
              <w:left w:val="single" w:sz="4" w:space="0" w:color="auto"/>
            </w:tcBorders>
            <w:shd w:val="clear" w:color="auto" w:fill="FFFFFF"/>
            <w:vAlign w:val="center"/>
          </w:tcPr>
          <w:p w:rsidR="00B056FC" w:rsidRPr="00D13A23" w:rsidRDefault="00B056FC" w:rsidP="005B0E88">
            <w:pPr>
              <w:pStyle w:val="Bodytext20"/>
              <w:shd w:val="clear" w:color="auto" w:fill="auto"/>
              <w:spacing w:line="274" w:lineRule="exact"/>
              <w:jc w:val="center"/>
              <w:rPr>
                <w:b/>
                <w:sz w:val="24"/>
                <w:szCs w:val="24"/>
                <w:lang w:val="ro-RO"/>
              </w:rPr>
            </w:pPr>
            <w:r w:rsidRPr="00D13A23">
              <w:rPr>
                <w:rStyle w:val="Bodytext2BookAntiqua"/>
                <w:rFonts w:ascii="Times New Roman" w:hAnsi="Times New Roman" w:cs="Times New Roman"/>
                <w:b/>
                <w:sz w:val="24"/>
                <w:szCs w:val="24"/>
                <w:lang w:val="ro-RO"/>
              </w:rPr>
              <w:t>6.</w:t>
            </w:r>
          </w:p>
        </w:tc>
        <w:tc>
          <w:tcPr>
            <w:tcW w:w="3518" w:type="dxa"/>
            <w:tcBorders>
              <w:top w:val="single" w:sz="4" w:space="0" w:color="auto"/>
              <w:left w:val="single" w:sz="4" w:space="0" w:color="auto"/>
            </w:tcBorders>
            <w:shd w:val="clear" w:color="auto" w:fill="FFFFFF"/>
            <w:vAlign w:val="center"/>
          </w:tcPr>
          <w:p w:rsidR="00B056FC" w:rsidRPr="00D13A23" w:rsidRDefault="00B056FC" w:rsidP="005B0E88">
            <w:pPr>
              <w:pStyle w:val="Bodytext20"/>
              <w:shd w:val="clear" w:color="auto" w:fill="auto"/>
              <w:spacing w:line="274" w:lineRule="exact"/>
              <w:rPr>
                <w:sz w:val="24"/>
                <w:szCs w:val="24"/>
                <w:lang w:val="ro-RO"/>
              </w:rPr>
            </w:pPr>
            <w:r w:rsidRPr="00D13A23">
              <w:rPr>
                <w:rStyle w:val="Bodytext2BookAntiqua"/>
                <w:rFonts w:ascii="Times New Roman" w:hAnsi="Times New Roman" w:cs="Times New Roman"/>
                <w:sz w:val="24"/>
                <w:szCs w:val="24"/>
                <w:lang w:val="ro-RO"/>
              </w:rPr>
              <w:t>Ministerul Culturii</w:t>
            </w:r>
          </w:p>
        </w:tc>
        <w:tc>
          <w:tcPr>
            <w:tcW w:w="877" w:type="dxa"/>
            <w:tcBorders>
              <w:top w:val="single" w:sz="4" w:space="0" w:color="auto"/>
              <w:left w:val="single" w:sz="4" w:space="0" w:color="auto"/>
            </w:tcBorders>
            <w:shd w:val="clear" w:color="auto" w:fill="FFFFFF"/>
            <w:vAlign w:val="center"/>
          </w:tcPr>
          <w:p w:rsidR="00B056FC" w:rsidRPr="00D13A23" w:rsidRDefault="00B056FC" w:rsidP="00D13A23">
            <w:pPr>
              <w:pStyle w:val="Bodytext20"/>
              <w:shd w:val="clear" w:color="auto" w:fill="auto"/>
              <w:spacing w:line="298" w:lineRule="exact"/>
              <w:jc w:val="center"/>
              <w:rPr>
                <w:sz w:val="24"/>
                <w:szCs w:val="24"/>
                <w:lang w:val="ro-RO"/>
              </w:rPr>
            </w:pPr>
            <w:r w:rsidRPr="00D13A23">
              <w:rPr>
                <w:rStyle w:val="Bodytext2BookAntiqua"/>
                <w:rFonts w:ascii="Times New Roman" w:hAnsi="Times New Roman" w:cs="Times New Roman"/>
                <w:sz w:val="24"/>
                <w:szCs w:val="24"/>
                <w:lang w:val="ro-RO"/>
              </w:rPr>
              <w:t>00436</w:t>
            </w:r>
          </w:p>
        </w:tc>
        <w:tc>
          <w:tcPr>
            <w:tcW w:w="850" w:type="dxa"/>
            <w:tcBorders>
              <w:top w:val="single" w:sz="4" w:space="0" w:color="auto"/>
              <w:left w:val="single" w:sz="4" w:space="0" w:color="auto"/>
            </w:tcBorders>
            <w:shd w:val="clear" w:color="auto" w:fill="FFFFFF"/>
            <w:vAlign w:val="center"/>
          </w:tcPr>
          <w:p w:rsidR="00B056FC" w:rsidRPr="00D13A23" w:rsidRDefault="00B056FC" w:rsidP="00D13A23">
            <w:pPr>
              <w:spacing w:after="0"/>
              <w:jc w:val="center"/>
              <w:rPr>
                <w:rFonts w:ascii="Times New Roman" w:hAnsi="Times New Roman" w:cs="Times New Roman"/>
                <w:sz w:val="24"/>
                <w:szCs w:val="24"/>
              </w:rPr>
            </w:pPr>
          </w:p>
        </w:tc>
        <w:tc>
          <w:tcPr>
            <w:tcW w:w="1190" w:type="dxa"/>
            <w:tcBorders>
              <w:top w:val="single" w:sz="4" w:space="0" w:color="auto"/>
              <w:left w:val="single" w:sz="4" w:space="0" w:color="auto"/>
            </w:tcBorders>
            <w:shd w:val="clear" w:color="auto" w:fill="FFFFFF"/>
            <w:vAlign w:val="center"/>
          </w:tcPr>
          <w:p w:rsidR="00B056FC" w:rsidRPr="00D13A23" w:rsidRDefault="00F9057A" w:rsidP="00D13A23">
            <w:pPr>
              <w:spacing w:after="0"/>
              <w:jc w:val="center"/>
              <w:rPr>
                <w:rFonts w:ascii="Times New Roman" w:hAnsi="Times New Roman" w:cs="Times New Roman"/>
                <w:sz w:val="24"/>
                <w:szCs w:val="24"/>
              </w:rPr>
            </w:pPr>
            <w:r>
              <w:rPr>
                <w:rFonts w:ascii="Times New Roman" w:hAnsi="Times New Roman" w:cs="Times New Roman"/>
                <w:sz w:val="24"/>
                <w:szCs w:val="24"/>
              </w:rPr>
              <w:t>30.01.2018</w:t>
            </w:r>
          </w:p>
        </w:tc>
        <w:tc>
          <w:tcPr>
            <w:tcW w:w="1090" w:type="dxa"/>
            <w:tcBorders>
              <w:top w:val="single" w:sz="4" w:space="0" w:color="auto"/>
              <w:left w:val="single" w:sz="4" w:space="0" w:color="auto"/>
            </w:tcBorders>
            <w:shd w:val="clear" w:color="auto" w:fill="FFFFFF"/>
            <w:vAlign w:val="center"/>
          </w:tcPr>
          <w:p w:rsidR="00B056FC" w:rsidRPr="00D13A23" w:rsidRDefault="00F9057A" w:rsidP="00F9057A">
            <w:pPr>
              <w:pStyle w:val="Bodytext20"/>
              <w:shd w:val="clear" w:color="auto" w:fill="auto"/>
              <w:spacing w:line="298" w:lineRule="exact"/>
              <w:jc w:val="center"/>
              <w:rPr>
                <w:sz w:val="24"/>
                <w:szCs w:val="24"/>
                <w:lang w:val="ro-RO"/>
              </w:rPr>
            </w:pPr>
            <w:r>
              <w:rPr>
                <w:rStyle w:val="Bodytext2BookAntiqua"/>
                <w:rFonts w:ascii="Times New Roman" w:hAnsi="Times New Roman" w:cs="Times New Roman"/>
                <w:sz w:val="24"/>
                <w:szCs w:val="24"/>
                <w:lang w:val="ro-RO"/>
              </w:rPr>
              <w:t>12,2</w:t>
            </w:r>
            <w:r w:rsidR="00B056FC" w:rsidRPr="00D13A23">
              <w:rPr>
                <w:rStyle w:val="Bodytext2BookAntiqua"/>
                <w:rFonts w:ascii="Times New Roman" w:hAnsi="Times New Roman" w:cs="Times New Roman"/>
                <w:sz w:val="24"/>
                <w:szCs w:val="24"/>
                <w:lang w:val="ro-RO"/>
              </w:rPr>
              <w:t>0</w:t>
            </w:r>
          </w:p>
        </w:tc>
        <w:tc>
          <w:tcPr>
            <w:tcW w:w="1547" w:type="dxa"/>
            <w:tcBorders>
              <w:top w:val="single" w:sz="4" w:space="0" w:color="auto"/>
              <w:left w:val="single" w:sz="4" w:space="0" w:color="auto"/>
              <w:right w:val="single" w:sz="4" w:space="0" w:color="auto"/>
            </w:tcBorders>
            <w:shd w:val="clear" w:color="auto" w:fill="FFFFFF"/>
            <w:vAlign w:val="center"/>
          </w:tcPr>
          <w:p w:rsidR="00B056FC" w:rsidRPr="00D13A23" w:rsidRDefault="00F9057A" w:rsidP="00D13A23">
            <w:pPr>
              <w:spacing w:after="0"/>
              <w:jc w:val="center"/>
              <w:rPr>
                <w:rFonts w:ascii="Times New Roman" w:hAnsi="Times New Roman" w:cs="Times New Roman"/>
                <w:sz w:val="24"/>
                <w:szCs w:val="24"/>
              </w:rPr>
            </w:pPr>
            <w:r w:rsidRPr="00D13A23">
              <w:rPr>
                <w:rStyle w:val="Bodytext2BookAntiqua"/>
                <w:rFonts w:ascii="Times New Roman" w:hAnsi="Times New Roman" w:cs="Times New Roman"/>
                <w:sz w:val="24"/>
                <w:szCs w:val="24"/>
                <w:lang w:val="ro-RO"/>
              </w:rPr>
              <w:t>Soldurile au fost transferate la ORG2 nou</w:t>
            </w:r>
          </w:p>
        </w:tc>
      </w:tr>
      <w:tr w:rsidR="00B056FC" w:rsidRPr="008C2674" w:rsidTr="005B0E88">
        <w:trPr>
          <w:trHeight w:hRule="exact" w:val="374"/>
        </w:trPr>
        <w:tc>
          <w:tcPr>
            <w:tcW w:w="562" w:type="dxa"/>
            <w:tcBorders>
              <w:top w:val="single" w:sz="4" w:space="0" w:color="auto"/>
              <w:left w:val="single" w:sz="4" w:space="0" w:color="auto"/>
            </w:tcBorders>
            <w:shd w:val="clear" w:color="auto" w:fill="FFFFFF"/>
            <w:vAlign w:val="center"/>
          </w:tcPr>
          <w:p w:rsidR="00B056FC" w:rsidRPr="00D13A23" w:rsidRDefault="00B056FC" w:rsidP="005B0E88">
            <w:pPr>
              <w:pStyle w:val="Bodytext20"/>
              <w:shd w:val="clear" w:color="auto" w:fill="auto"/>
              <w:spacing w:line="274" w:lineRule="exact"/>
              <w:jc w:val="center"/>
              <w:rPr>
                <w:b/>
                <w:sz w:val="24"/>
                <w:szCs w:val="24"/>
                <w:lang w:val="ro-RO"/>
              </w:rPr>
            </w:pPr>
            <w:r w:rsidRPr="00D13A23">
              <w:rPr>
                <w:rStyle w:val="Bodytext2BookAntiqua"/>
                <w:rFonts w:ascii="Times New Roman" w:hAnsi="Times New Roman" w:cs="Times New Roman"/>
                <w:b/>
                <w:sz w:val="24"/>
                <w:szCs w:val="24"/>
                <w:lang w:val="ro-RO"/>
              </w:rPr>
              <w:t>7.</w:t>
            </w:r>
          </w:p>
        </w:tc>
        <w:tc>
          <w:tcPr>
            <w:tcW w:w="3518" w:type="dxa"/>
            <w:tcBorders>
              <w:top w:val="single" w:sz="4" w:space="0" w:color="auto"/>
              <w:left w:val="single" w:sz="4" w:space="0" w:color="auto"/>
            </w:tcBorders>
            <w:shd w:val="clear" w:color="auto" w:fill="FFFFFF"/>
            <w:vAlign w:val="center"/>
          </w:tcPr>
          <w:p w:rsidR="00B056FC" w:rsidRPr="00D13A23" w:rsidRDefault="00B056FC" w:rsidP="005B0E88">
            <w:pPr>
              <w:pStyle w:val="Bodytext20"/>
              <w:shd w:val="clear" w:color="auto" w:fill="auto"/>
              <w:spacing w:line="274" w:lineRule="exact"/>
              <w:rPr>
                <w:sz w:val="24"/>
                <w:szCs w:val="24"/>
                <w:lang w:val="ro-RO"/>
              </w:rPr>
            </w:pPr>
            <w:r w:rsidRPr="00D13A23">
              <w:rPr>
                <w:rStyle w:val="Bodytext2BookAntiqua"/>
                <w:rFonts w:ascii="Times New Roman" w:hAnsi="Times New Roman" w:cs="Times New Roman"/>
                <w:sz w:val="24"/>
                <w:szCs w:val="24"/>
                <w:lang w:val="ro-RO"/>
              </w:rPr>
              <w:t>Ministerul Agriculturii</w:t>
            </w:r>
          </w:p>
        </w:tc>
        <w:tc>
          <w:tcPr>
            <w:tcW w:w="877" w:type="dxa"/>
            <w:tcBorders>
              <w:top w:val="single" w:sz="4" w:space="0" w:color="auto"/>
              <w:left w:val="single" w:sz="4" w:space="0" w:color="auto"/>
            </w:tcBorders>
            <w:shd w:val="clear" w:color="auto" w:fill="FFFFFF"/>
            <w:vAlign w:val="center"/>
          </w:tcPr>
          <w:p w:rsidR="00B056FC" w:rsidRPr="00D13A23" w:rsidRDefault="00B056FC" w:rsidP="00D13A23">
            <w:pPr>
              <w:pStyle w:val="Bodytext20"/>
              <w:shd w:val="clear" w:color="auto" w:fill="auto"/>
              <w:spacing w:line="298" w:lineRule="exact"/>
              <w:jc w:val="center"/>
              <w:rPr>
                <w:sz w:val="24"/>
                <w:szCs w:val="24"/>
                <w:lang w:val="ro-RO"/>
              </w:rPr>
            </w:pPr>
            <w:r w:rsidRPr="00D13A23">
              <w:rPr>
                <w:rStyle w:val="Bodytext2BookAntiqua"/>
                <w:rFonts w:ascii="Times New Roman" w:hAnsi="Times New Roman" w:cs="Times New Roman"/>
                <w:sz w:val="24"/>
                <w:szCs w:val="24"/>
                <w:lang w:val="ro-RO"/>
              </w:rPr>
              <w:t>00413</w:t>
            </w:r>
          </w:p>
        </w:tc>
        <w:tc>
          <w:tcPr>
            <w:tcW w:w="850" w:type="dxa"/>
            <w:tcBorders>
              <w:top w:val="single" w:sz="4" w:space="0" w:color="auto"/>
              <w:left w:val="single" w:sz="4" w:space="0" w:color="auto"/>
            </w:tcBorders>
            <w:shd w:val="clear" w:color="auto" w:fill="FFFFFF"/>
            <w:vAlign w:val="center"/>
          </w:tcPr>
          <w:p w:rsidR="00B056FC" w:rsidRPr="00D13A23" w:rsidRDefault="00B056FC" w:rsidP="00D13A23">
            <w:pPr>
              <w:spacing w:after="0"/>
              <w:jc w:val="center"/>
              <w:rPr>
                <w:rFonts w:ascii="Times New Roman" w:hAnsi="Times New Roman" w:cs="Times New Roman"/>
                <w:sz w:val="24"/>
                <w:szCs w:val="24"/>
              </w:rPr>
            </w:pPr>
          </w:p>
        </w:tc>
        <w:tc>
          <w:tcPr>
            <w:tcW w:w="1190" w:type="dxa"/>
            <w:tcBorders>
              <w:top w:val="single" w:sz="4" w:space="0" w:color="auto"/>
              <w:left w:val="single" w:sz="4" w:space="0" w:color="auto"/>
            </w:tcBorders>
            <w:shd w:val="clear" w:color="auto" w:fill="FFFFFF"/>
            <w:vAlign w:val="center"/>
          </w:tcPr>
          <w:p w:rsidR="00B056FC" w:rsidRPr="00D13A23" w:rsidRDefault="00B056FC" w:rsidP="00D13A23">
            <w:pPr>
              <w:spacing w:after="0"/>
              <w:jc w:val="center"/>
              <w:rPr>
                <w:rFonts w:ascii="Times New Roman" w:hAnsi="Times New Roman" w:cs="Times New Roman"/>
                <w:sz w:val="24"/>
                <w:szCs w:val="24"/>
              </w:rPr>
            </w:pPr>
          </w:p>
        </w:tc>
        <w:tc>
          <w:tcPr>
            <w:tcW w:w="1090" w:type="dxa"/>
            <w:tcBorders>
              <w:top w:val="single" w:sz="4" w:space="0" w:color="auto"/>
              <w:left w:val="single" w:sz="4" w:space="0" w:color="auto"/>
            </w:tcBorders>
            <w:shd w:val="clear" w:color="auto" w:fill="FFFFFF"/>
            <w:vAlign w:val="center"/>
          </w:tcPr>
          <w:p w:rsidR="00B056FC" w:rsidRPr="00D13A23" w:rsidRDefault="00B056FC" w:rsidP="00D13A23">
            <w:pPr>
              <w:pStyle w:val="Bodytext20"/>
              <w:shd w:val="clear" w:color="auto" w:fill="auto"/>
              <w:spacing w:line="298" w:lineRule="exact"/>
              <w:jc w:val="center"/>
              <w:rPr>
                <w:sz w:val="24"/>
                <w:szCs w:val="24"/>
                <w:lang w:val="ro-RO"/>
              </w:rPr>
            </w:pPr>
            <w:r w:rsidRPr="00D13A23">
              <w:rPr>
                <w:rStyle w:val="Bodytext2BookAntiqua"/>
                <w:rFonts w:ascii="Times New Roman" w:hAnsi="Times New Roman" w:cs="Times New Roman"/>
                <w:sz w:val="24"/>
                <w:szCs w:val="24"/>
                <w:lang w:val="ro-RO"/>
              </w:rPr>
              <w:t>0,00</w:t>
            </w:r>
          </w:p>
        </w:tc>
        <w:tc>
          <w:tcPr>
            <w:tcW w:w="1547" w:type="dxa"/>
            <w:tcBorders>
              <w:top w:val="single" w:sz="4" w:space="0" w:color="auto"/>
              <w:left w:val="single" w:sz="4" w:space="0" w:color="auto"/>
              <w:right w:val="single" w:sz="4" w:space="0" w:color="auto"/>
            </w:tcBorders>
            <w:shd w:val="clear" w:color="auto" w:fill="FFFFFF"/>
            <w:vAlign w:val="center"/>
          </w:tcPr>
          <w:p w:rsidR="00B056FC" w:rsidRPr="00D13A23" w:rsidRDefault="00B056FC" w:rsidP="00D13A23">
            <w:pPr>
              <w:spacing w:after="0"/>
              <w:jc w:val="center"/>
              <w:rPr>
                <w:rFonts w:ascii="Times New Roman" w:hAnsi="Times New Roman" w:cs="Times New Roman"/>
                <w:sz w:val="24"/>
                <w:szCs w:val="24"/>
              </w:rPr>
            </w:pPr>
          </w:p>
        </w:tc>
      </w:tr>
      <w:tr w:rsidR="00B056FC" w:rsidRPr="008C2674" w:rsidTr="005B0E88">
        <w:trPr>
          <w:trHeight w:hRule="exact" w:val="309"/>
        </w:trPr>
        <w:tc>
          <w:tcPr>
            <w:tcW w:w="562" w:type="dxa"/>
            <w:tcBorders>
              <w:top w:val="single" w:sz="4" w:space="0" w:color="auto"/>
              <w:left w:val="single" w:sz="4" w:space="0" w:color="auto"/>
            </w:tcBorders>
            <w:shd w:val="clear" w:color="auto" w:fill="FFFFFF"/>
            <w:vAlign w:val="center"/>
          </w:tcPr>
          <w:p w:rsidR="00B056FC" w:rsidRPr="00D13A23" w:rsidRDefault="00B056FC" w:rsidP="005B0E88">
            <w:pPr>
              <w:pStyle w:val="Bodytext20"/>
              <w:shd w:val="clear" w:color="auto" w:fill="auto"/>
              <w:spacing w:line="274" w:lineRule="exact"/>
              <w:jc w:val="center"/>
              <w:rPr>
                <w:b/>
                <w:sz w:val="24"/>
                <w:szCs w:val="24"/>
                <w:lang w:val="ro-RO"/>
              </w:rPr>
            </w:pPr>
            <w:r w:rsidRPr="00D13A23">
              <w:rPr>
                <w:rStyle w:val="Bodytext2BookAntiqua"/>
                <w:rFonts w:ascii="Times New Roman" w:hAnsi="Times New Roman" w:cs="Times New Roman"/>
                <w:b/>
                <w:sz w:val="24"/>
                <w:szCs w:val="24"/>
                <w:lang w:val="ro-RO"/>
              </w:rPr>
              <w:t>8.</w:t>
            </w:r>
          </w:p>
        </w:tc>
        <w:tc>
          <w:tcPr>
            <w:tcW w:w="3518" w:type="dxa"/>
            <w:tcBorders>
              <w:top w:val="single" w:sz="4" w:space="0" w:color="auto"/>
              <w:left w:val="single" w:sz="4" w:space="0" w:color="auto"/>
            </w:tcBorders>
            <w:shd w:val="clear" w:color="auto" w:fill="FFFFFF"/>
            <w:vAlign w:val="center"/>
          </w:tcPr>
          <w:p w:rsidR="00B056FC" w:rsidRPr="00D13A23" w:rsidRDefault="00B056FC" w:rsidP="008C2674">
            <w:pPr>
              <w:pStyle w:val="Bodytext20"/>
              <w:shd w:val="clear" w:color="auto" w:fill="auto"/>
              <w:spacing w:line="322" w:lineRule="exact"/>
              <w:rPr>
                <w:sz w:val="24"/>
                <w:szCs w:val="24"/>
                <w:lang w:val="ro-RO"/>
              </w:rPr>
            </w:pPr>
            <w:r w:rsidRPr="00D13A23">
              <w:rPr>
                <w:rStyle w:val="Bodytext2BookAntiqua"/>
                <w:rFonts w:ascii="Times New Roman" w:hAnsi="Times New Roman" w:cs="Times New Roman"/>
                <w:sz w:val="24"/>
                <w:szCs w:val="24"/>
                <w:lang w:val="ro-RO"/>
              </w:rPr>
              <w:t xml:space="preserve">Ministerul Tineretului </w:t>
            </w:r>
            <w:r w:rsidR="008C2674">
              <w:rPr>
                <w:rStyle w:val="Bodytext2BookAntiqua"/>
                <w:rFonts w:ascii="Times New Roman" w:hAnsi="Times New Roman" w:cs="Times New Roman"/>
                <w:sz w:val="24"/>
                <w:szCs w:val="24"/>
                <w:lang w:val="ro-RO"/>
              </w:rPr>
              <w:t>ș</w:t>
            </w:r>
            <w:r w:rsidRPr="00D13A23">
              <w:rPr>
                <w:rStyle w:val="Bodytext2BookAntiqua"/>
                <w:rFonts w:ascii="Times New Roman" w:hAnsi="Times New Roman" w:cs="Times New Roman"/>
                <w:sz w:val="24"/>
                <w:szCs w:val="24"/>
                <w:lang w:val="ro-RO"/>
              </w:rPr>
              <w:t>i Sportului</w:t>
            </w:r>
          </w:p>
        </w:tc>
        <w:tc>
          <w:tcPr>
            <w:tcW w:w="877" w:type="dxa"/>
            <w:tcBorders>
              <w:top w:val="single" w:sz="4" w:space="0" w:color="auto"/>
              <w:left w:val="single" w:sz="4" w:space="0" w:color="auto"/>
            </w:tcBorders>
            <w:shd w:val="clear" w:color="auto" w:fill="FFFFFF"/>
            <w:vAlign w:val="center"/>
          </w:tcPr>
          <w:p w:rsidR="00B056FC" w:rsidRPr="00D13A23" w:rsidRDefault="00B056FC" w:rsidP="00D13A23">
            <w:pPr>
              <w:pStyle w:val="Bodytext20"/>
              <w:shd w:val="clear" w:color="auto" w:fill="auto"/>
              <w:spacing w:line="298" w:lineRule="exact"/>
              <w:jc w:val="center"/>
              <w:rPr>
                <w:sz w:val="24"/>
                <w:szCs w:val="24"/>
                <w:lang w:val="ro-RO"/>
              </w:rPr>
            </w:pPr>
            <w:r w:rsidRPr="00D13A23">
              <w:rPr>
                <w:rStyle w:val="Bodytext2BookAntiqua"/>
                <w:rFonts w:ascii="Times New Roman" w:hAnsi="Times New Roman" w:cs="Times New Roman"/>
                <w:sz w:val="24"/>
                <w:szCs w:val="24"/>
                <w:lang w:val="ro-RO"/>
              </w:rPr>
              <w:t>00468</w:t>
            </w:r>
          </w:p>
        </w:tc>
        <w:tc>
          <w:tcPr>
            <w:tcW w:w="850" w:type="dxa"/>
            <w:tcBorders>
              <w:top w:val="single" w:sz="4" w:space="0" w:color="auto"/>
              <w:left w:val="single" w:sz="4" w:space="0" w:color="auto"/>
            </w:tcBorders>
            <w:shd w:val="clear" w:color="auto" w:fill="FFFFFF"/>
            <w:vAlign w:val="center"/>
          </w:tcPr>
          <w:p w:rsidR="00B056FC" w:rsidRPr="00D13A23" w:rsidRDefault="00B056FC" w:rsidP="00D13A23">
            <w:pPr>
              <w:spacing w:after="0"/>
              <w:jc w:val="center"/>
              <w:rPr>
                <w:rFonts w:ascii="Times New Roman" w:hAnsi="Times New Roman" w:cs="Times New Roman"/>
                <w:sz w:val="24"/>
                <w:szCs w:val="24"/>
              </w:rPr>
            </w:pPr>
          </w:p>
        </w:tc>
        <w:tc>
          <w:tcPr>
            <w:tcW w:w="1190" w:type="dxa"/>
            <w:tcBorders>
              <w:top w:val="single" w:sz="4" w:space="0" w:color="auto"/>
              <w:left w:val="single" w:sz="4" w:space="0" w:color="auto"/>
            </w:tcBorders>
            <w:shd w:val="clear" w:color="auto" w:fill="FFFFFF"/>
            <w:vAlign w:val="center"/>
          </w:tcPr>
          <w:p w:rsidR="00B056FC" w:rsidRPr="00D13A23" w:rsidRDefault="00B056FC" w:rsidP="00D13A23">
            <w:pPr>
              <w:spacing w:after="0"/>
              <w:jc w:val="center"/>
              <w:rPr>
                <w:rFonts w:ascii="Times New Roman" w:hAnsi="Times New Roman" w:cs="Times New Roman"/>
                <w:sz w:val="24"/>
                <w:szCs w:val="24"/>
              </w:rPr>
            </w:pPr>
          </w:p>
        </w:tc>
        <w:tc>
          <w:tcPr>
            <w:tcW w:w="1090" w:type="dxa"/>
            <w:tcBorders>
              <w:top w:val="single" w:sz="4" w:space="0" w:color="auto"/>
              <w:left w:val="single" w:sz="4" w:space="0" w:color="auto"/>
            </w:tcBorders>
            <w:shd w:val="clear" w:color="auto" w:fill="FFFFFF"/>
            <w:vAlign w:val="center"/>
          </w:tcPr>
          <w:p w:rsidR="00B056FC" w:rsidRPr="00D13A23" w:rsidRDefault="00B056FC" w:rsidP="00D13A23">
            <w:pPr>
              <w:pStyle w:val="Bodytext20"/>
              <w:shd w:val="clear" w:color="auto" w:fill="auto"/>
              <w:spacing w:line="298" w:lineRule="exact"/>
              <w:jc w:val="center"/>
              <w:rPr>
                <w:sz w:val="24"/>
                <w:szCs w:val="24"/>
                <w:lang w:val="ro-RO"/>
              </w:rPr>
            </w:pPr>
            <w:r w:rsidRPr="00D13A23">
              <w:rPr>
                <w:rStyle w:val="Bodytext2BookAntiqua"/>
                <w:rFonts w:ascii="Times New Roman" w:hAnsi="Times New Roman" w:cs="Times New Roman"/>
                <w:sz w:val="24"/>
                <w:szCs w:val="24"/>
                <w:lang w:val="ro-RO"/>
              </w:rPr>
              <w:t>0,00</w:t>
            </w:r>
          </w:p>
        </w:tc>
        <w:tc>
          <w:tcPr>
            <w:tcW w:w="1547" w:type="dxa"/>
            <w:tcBorders>
              <w:top w:val="single" w:sz="4" w:space="0" w:color="auto"/>
              <w:left w:val="single" w:sz="4" w:space="0" w:color="auto"/>
              <w:right w:val="single" w:sz="4" w:space="0" w:color="auto"/>
            </w:tcBorders>
            <w:shd w:val="clear" w:color="auto" w:fill="FFFFFF"/>
            <w:vAlign w:val="center"/>
          </w:tcPr>
          <w:p w:rsidR="00B056FC" w:rsidRPr="00D13A23" w:rsidRDefault="00B056FC" w:rsidP="00D13A23">
            <w:pPr>
              <w:spacing w:after="0"/>
              <w:jc w:val="center"/>
              <w:rPr>
                <w:rFonts w:ascii="Times New Roman" w:hAnsi="Times New Roman" w:cs="Times New Roman"/>
                <w:sz w:val="24"/>
                <w:szCs w:val="24"/>
              </w:rPr>
            </w:pPr>
          </w:p>
        </w:tc>
      </w:tr>
      <w:tr w:rsidR="00B056FC" w:rsidRPr="008C2674" w:rsidTr="005B0E88">
        <w:trPr>
          <w:trHeight w:hRule="exact" w:val="379"/>
        </w:trPr>
        <w:tc>
          <w:tcPr>
            <w:tcW w:w="562" w:type="dxa"/>
            <w:tcBorders>
              <w:top w:val="single" w:sz="4" w:space="0" w:color="auto"/>
              <w:left w:val="single" w:sz="4" w:space="0" w:color="auto"/>
            </w:tcBorders>
            <w:shd w:val="clear" w:color="auto" w:fill="FFFFFF"/>
            <w:vAlign w:val="center"/>
          </w:tcPr>
          <w:p w:rsidR="00B056FC" w:rsidRPr="00D13A23" w:rsidRDefault="00B056FC" w:rsidP="005B0E88">
            <w:pPr>
              <w:pStyle w:val="Bodytext20"/>
              <w:shd w:val="clear" w:color="auto" w:fill="auto"/>
              <w:spacing w:line="274" w:lineRule="exact"/>
              <w:jc w:val="center"/>
              <w:rPr>
                <w:b/>
                <w:sz w:val="24"/>
                <w:szCs w:val="24"/>
                <w:lang w:val="ro-RO"/>
              </w:rPr>
            </w:pPr>
            <w:r w:rsidRPr="00D13A23">
              <w:rPr>
                <w:rStyle w:val="Bodytext2BookAntiqua"/>
                <w:rFonts w:ascii="Times New Roman" w:hAnsi="Times New Roman" w:cs="Times New Roman"/>
                <w:b/>
                <w:sz w:val="24"/>
                <w:szCs w:val="24"/>
                <w:lang w:val="ro-RO"/>
              </w:rPr>
              <w:t>9.</w:t>
            </w:r>
          </w:p>
        </w:tc>
        <w:tc>
          <w:tcPr>
            <w:tcW w:w="3518" w:type="dxa"/>
            <w:tcBorders>
              <w:top w:val="single" w:sz="4" w:space="0" w:color="auto"/>
              <w:left w:val="single" w:sz="4" w:space="0" w:color="auto"/>
            </w:tcBorders>
            <w:shd w:val="clear" w:color="auto" w:fill="FFFFFF"/>
            <w:vAlign w:val="center"/>
          </w:tcPr>
          <w:p w:rsidR="00B056FC" w:rsidRPr="00D13A23" w:rsidRDefault="00B056FC" w:rsidP="005B0E88">
            <w:pPr>
              <w:pStyle w:val="Bodytext20"/>
              <w:shd w:val="clear" w:color="auto" w:fill="auto"/>
              <w:spacing w:line="274" w:lineRule="exact"/>
              <w:rPr>
                <w:sz w:val="24"/>
                <w:szCs w:val="24"/>
                <w:lang w:val="ro-RO"/>
              </w:rPr>
            </w:pPr>
            <w:r w:rsidRPr="00D13A23">
              <w:rPr>
                <w:rStyle w:val="Bodytext2BookAntiqua"/>
                <w:rFonts w:ascii="Times New Roman" w:hAnsi="Times New Roman" w:cs="Times New Roman"/>
                <w:sz w:val="24"/>
                <w:szCs w:val="24"/>
                <w:lang w:val="ro-RO"/>
              </w:rPr>
              <w:t>Ministerul Economiei</w:t>
            </w:r>
          </w:p>
        </w:tc>
        <w:tc>
          <w:tcPr>
            <w:tcW w:w="877" w:type="dxa"/>
            <w:tcBorders>
              <w:top w:val="single" w:sz="4" w:space="0" w:color="auto"/>
              <w:left w:val="single" w:sz="4" w:space="0" w:color="auto"/>
            </w:tcBorders>
            <w:shd w:val="clear" w:color="auto" w:fill="FFFFFF"/>
            <w:vAlign w:val="center"/>
          </w:tcPr>
          <w:p w:rsidR="00B056FC" w:rsidRPr="00D13A23" w:rsidRDefault="00B056FC" w:rsidP="00D13A23">
            <w:pPr>
              <w:pStyle w:val="Bodytext20"/>
              <w:shd w:val="clear" w:color="auto" w:fill="auto"/>
              <w:spacing w:line="298" w:lineRule="exact"/>
              <w:jc w:val="center"/>
              <w:rPr>
                <w:sz w:val="24"/>
                <w:szCs w:val="24"/>
                <w:lang w:val="ro-RO"/>
              </w:rPr>
            </w:pPr>
            <w:r w:rsidRPr="00D13A23">
              <w:rPr>
                <w:rStyle w:val="Bodytext2BookAntiqua"/>
                <w:rFonts w:ascii="Times New Roman" w:hAnsi="Times New Roman" w:cs="Times New Roman"/>
                <w:sz w:val="24"/>
                <w:szCs w:val="24"/>
                <w:lang w:val="ro-RO"/>
              </w:rPr>
              <w:t>00653</w:t>
            </w:r>
          </w:p>
        </w:tc>
        <w:tc>
          <w:tcPr>
            <w:tcW w:w="850" w:type="dxa"/>
            <w:tcBorders>
              <w:top w:val="single" w:sz="4" w:space="0" w:color="auto"/>
              <w:left w:val="single" w:sz="4" w:space="0" w:color="auto"/>
            </w:tcBorders>
            <w:shd w:val="clear" w:color="auto" w:fill="FFFFFF"/>
            <w:vAlign w:val="center"/>
          </w:tcPr>
          <w:p w:rsidR="00B056FC" w:rsidRPr="00D13A23" w:rsidRDefault="00B056FC" w:rsidP="00D13A23">
            <w:pPr>
              <w:spacing w:after="0"/>
              <w:jc w:val="center"/>
              <w:rPr>
                <w:rFonts w:ascii="Times New Roman" w:hAnsi="Times New Roman" w:cs="Times New Roman"/>
                <w:sz w:val="24"/>
                <w:szCs w:val="24"/>
              </w:rPr>
            </w:pPr>
          </w:p>
        </w:tc>
        <w:tc>
          <w:tcPr>
            <w:tcW w:w="1190" w:type="dxa"/>
            <w:tcBorders>
              <w:top w:val="single" w:sz="4" w:space="0" w:color="auto"/>
              <w:left w:val="single" w:sz="4" w:space="0" w:color="auto"/>
            </w:tcBorders>
            <w:shd w:val="clear" w:color="auto" w:fill="FFFFFF"/>
            <w:vAlign w:val="center"/>
          </w:tcPr>
          <w:p w:rsidR="00B056FC" w:rsidRPr="00D13A23" w:rsidRDefault="00B056FC" w:rsidP="00D13A23">
            <w:pPr>
              <w:spacing w:after="0"/>
              <w:jc w:val="center"/>
              <w:rPr>
                <w:rFonts w:ascii="Times New Roman" w:hAnsi="Times New Roman" w:cs="Times New Roman"/>
                <w:sz w:val="24"/>
                <w:szCs w:val="24"/>
              </w:rPr>
            </w:pPr>
          </w:p>
        </w:tc>
        <w:tc>
          <w:tcPr>
            <w:tcW w:w="1090" w:type="dxa"/>
            <w:tcBorders>
              <w:top w:val="single" w:sz="4" w:space="0" w:color="auto"/>
              <w:left w:val="single" w:sz="4" w:space="0" w:color="auto"/>
            </w:tcBorders>
            <w:shd w:val="clear" w:color="auto" w:fill="FFFFFF"/>
            <w:vAlign w:val="center"/>
          </w:tcPr>
          <w:p w:rsidR="00B056FC" w:rsidRPr="00D13A23" w:rsidRDefault="00B056FC" w:rsidP="00D13A23">
            <w:pPr>
              <w:pStyle w:val="Bodytext20"/>
              <w:shd w:val="clear" w:color="auto" w:fill="auto"/>
              <w:spacing w:line="298" w:lineRule="exact"/>
              <w:jc w:val="center"/>
              <w:rPr>
                <w:sz w:val="24"/>
                <w:szCs w:val="24"/>
                <w:lang w:val="ro-RO"/>
              </w:rPr>
            </w:pPr>
            <w:r w:rsidRPr="00D13A23">
              <w:rPr>
                <w:rStyle w:val="Bodytext2BookAntiqua"/>
                <w:rFonts w:ascii="Times New Roman" w:hAnsi="Times New Roman" w:cs="Times New Roman"/>
                <w:sz w:val="24"/>
                <w:szCs w:val="24"/>
                <w:lang w:val="ro-RO"/>
              </w:rPr>
              <w:t>0,00</w:t>
            </w:r>
          </w:p>
        </w:tc>
        <w:tc>
          <w:tcPr>
            <w:tcW w:w="1547" w:type="dxa"/>
            <w:tcBorders>
              <w:top w:val="single" w:sz="4" w:space="0" w:color="auto"/>
              <w:left w:val="single" w:sz="4" w:space="0" w:color="auto"/>
              <w:right w:val="single" w:sz="4" w:space="0" w:color="auto"/>
            </w:tcBorders>
            <w:shd w:val="clear" w:color="auto" w:fill="FFFFFF"/>
            <w:vAlign w:val="center"/>
          </w:tcPr>
          <w:p w:rsidR="00B056FC" w:rsidRPr="00D13A23" w:rsidRDefault="00B056FC" w:rsidP="00D13A23">
            <w:pPr>
              <w:spacing w:after="0"/>
              <w:jc w:val="center"/>
              <w:rPr>
                <w:rFonts w:ascii="Times New Roman" w:hAnsi="Times New Roman" w:cs="Times New Roman"/>
                <w:sz w:val="24"/>
                <w:szCs w:val="24"/>
              </w:rPr>
            </w:pPr>
          </w:p>
        </w:tc>
      </w:tr>
      <w:tr w:rsidR="00B056FC" w:rsidRPr="008C2674" w:rsidTr="005B0E88">
        <w:trPr>
          <w:trHeight w:hRule="exact" w:val="979"/>
        </w:trPr>
        <w:tc>
          <w:tcPr>
            <w:tcW w:w="562" w:type="dxa"/>
            <w:tcBorders>
              <w:top w:val="single" w:sz="4" w:space="0" w:color="auto"/>
              <w:left w:val="single" w:sz="4" w:space="0" w:color="auto"/>
            </w:tcBorders>
            <w:shd w:val="clear" w:color="auto" w:fill="FFFFFF"/>
            <w:vAlign w:val="center"/>
          </w:tcPr>
          <w:p w:rsidR="00B056FC" w:rsidRPr="00D13A23" w:rsidRDefault="00B056FC" w:rsidP="005B0E88">
            <w:pPr>
              <w:pStyle w:val="Bodytext20"/>
              <w:shd w:val="clear" w:color="auto" w:fill="auto"/>
              <w:spacing w:line="274" w:lineRule="exact"/>
              <w:jc w:val="center"/>
              <w:rPr>
                <w:b/>
                <w:sz w:val="24"/>
                <w:szCs w:val="24"/>
                <w:lang w:val="ro-RO"/>
              </w:rPr>
            </w:pPr>
            <w:r w:rsidRPr="00D13A23">
              <w:rPr>
                <w:rStyle w:val="Bodytext2BookAntiqua"/>
                <w:rFonts w:ascii="Times New Roman" w:hAnsi="Times New Roman" w:cs="Times New Roman"/>
                <w:b/>
                <w:sz w:val="24"/>
                <w:szCs w:val="24"/>
                <w:lang w:val="ro-RO"/>
              </w:rPr>
              <w:t>10.</w:t>
            </w:r>
          </w:p>
        </w:tc>
        <w:tc>
          <w:tcPr>
            <w:tcW w:w="3518" w:type="dxa"/>
            <w:tcBorders>
              <w:top w:val="single" w:sz="4" w:space="0" w:color="auto"/>
              <w:left w:val="single" w:sz="4" w:space="0" w:color="auto"/>
            </w:tcBorders>
            <w:shd w:val="clear" w:color="auto" w:fill="FFFFFF"/>
            <w:vAlign w:val="center"/>
          </w:tcPr>
          <w:p w:rsidR="00B056FC" w:rsidRPr="00437EF7" w:rsidRDefault="00B056FC" w:rsidP="005B0E88">
            <w:pPr>
              <w:pStyle w:val="Bodytext20"/>
              <w:shd w:val="clear" w:color="auto" w:fill="auto"/>
              <w:tabs>
                <w:tab w:val="center" w:pos="4844"/>
                <w:tab w:val="right" w:pos="9689"/>
              </w:tabs>
              <w:spacing w:line="322" w:lineRule="exact"/>
              <w:rPr>
                <w:sz w:val="24"/>
                <w:szCs w:val="24"/>
                <w:lang w:val="ro-RO"/>
              </w:rPr>
            </w:pPr>
            <w:r w:rsidRPr="00437EF7">
              <w:rPr>
                <w:rStyle w:val="Bodytext2BookAntiqua"/>
                <w:rFonts w:ascii="Times New Roman" w:hAnsi="Times New Roman" w:cs="Times New Roman"/>
                <w:sz w:val="24"/>
                <w:szCs w:val="24"/>
                <w:lang w:val="ro-RO"/>
              </w:rPr>
              <w:t xml:space="preserve">Ministerul Tehnologii Informaționale </w:t>
            </w:r>
            <w:r w:rsidR="005B0E88" w:rsidRPr="00437EF7">
              <w:rPr>
                <w:rStyle w:val="Bodytext2BookAntiqua"/>
                <w:rFonts w:ascii="Times New Roman" w:hAnsi="Times New Roman" w:cs="Times New Roman"/>
                <w:sz w:val="24"/>
                <w:szCs w:val="24"/>
                <w:lang w:val="ro-RO"/>
              </w:rPr>
              <w:t>ș</w:t>
            </w:r>
            <w:r w:rsidRPr="00437EF7">
              <w:rPr>
                <w:rStyle w:val="Bodytext2BookAntiqua"/>
                <w:rFonts w:ascii="Times New Roman" w:hAnsi="Times New Roman" w:cs="Times New Roman"/>
                <w:sz w:val="24"/>
                <w:szCs w:val="24"/>
                <w:lang w:val="ro-RO"/>
              </w:rPr>
              <w:t>i</w:t>
            </w:r>
          </w:p>
          <w:p w:rsidR="00B056FC" w:rsidRPr="00D13A23" w:rsidRDefault="00B056FC" w:rsidP="005B0E88">
            <w:pPr>
              <w:pStyle w:val="Bodytext20"/>
              <w:shd w:val="clear" w:color="auto" w:fill="auto"/>
              <w:spacing w:line="322" w:lineRule="exact"/>
              <w:rPr>
                <w:sz w:val="24"/>
                <w:szCs w:val="24"/>
                <w:lang w:val="ro-RO"/>
              </w:rPr>
            </w:pPr>
            <w:r w:rsidRPr="00437EF7">
              <w:rPr>
                <w:rStyle w:val="Bodytext2BookAntiqua"/>
                <w:rFonts w:ascii="Times New Roman" w:hAnsi="Times New Roman" w:cs="Times New Roman"/>
                <w:sz w:val="24"/>
                <w:szCs w:val="24"/>
                <w:lang w:val="ro-RO"/>
              </w:rPr>
              <w:t>Comunicații</w:t>
            </w:r>
          </w:p>
        </w:tc>
        <w:tc>
          <w:tcPr>
            <w:tcW w:w="877" w:type="dxa"/>
            <w:tcBorders>
              <w:top w:val="single" w:sz="4" w:space="0" w:color="auto"/>
              <w:left w:val="single" w:sz="4" w:space="0" w:color="auto"/>
            </w:tcBorders>
            <w:shd w:val="clear" w:color="auto" w:fill="FFFFFF"/>
            <w:vAlign w:val="center"/>
          </w:tcPr>
          <w:p w:rsidR="00B056FC" w:rsidRPr="00D13A23" w:rsidRDefault="00B056FC" w:rsidP="00D13A23">
            <w:pPr>
              <w:pStyle w:val="Bodytext20"/>
              <w:shd w:val="clear" w:color="auto" w:fill="auto"/>
              <w:spacing w:line="298" w:lineRule="exact"/>
              <w:jc w:val="center"/>
              <w:rPr>
                <w:sz w:val="24"/>
                <w:szCs w:val="24"/>
                <w:lang w:val="ro-RO"/>
              </w:rPr>
            </w:pPr>
            <w:r w:rsidRPr="00D13A23">
              <w:rPr>
                <w:rStyle w:val="Bodytext2BookAntiqua"/>
                <w:rFonts w:ascii="Times New Roman" w:hAnsi="Times New Roman" w:cs="Times New Roman"/>
                <w:sz w:val="24"/>
                <w:szCs w:val="24"/>
                <w:lang w:val="ro-RO"/>
              </w:rPr>
              <w:t>00646</w:t>
            </w:r>
          </w:p>
        </w:tc>
        <w:tc>
          <w:tcPr>
            <w:tcW w:w="850" w:type="dxa"/>
            <w:tcBorders>
              <w:top w:val="single" w:sz="4" w:space="0" w:color="auto"/>
              <w:left w:val="single" w:sz="4" w:space="0" w:color="auto"/>
            </w:tcBorders>
            <w:shd w:val="clear" w:color="auto" w:fill="FFFFFF"/>
            <w:vAlign w:val="center"/>
          </w:tcPr>
          <w:p w:rsidR="00B056FC" w:rsidRPr="00D13A23" w:rsidRDefault="00B056FC" w:rsidP="00D13A23">
            <w:pPr>
              <w:spacing w:after="0"/>
              <w:jc w:val="center"/>
              <w:rPr>
                <w:rFonts w:ascii="Times New Roman" w:hAnsi="Times New Roman" w:cs="Times New Roman"/>
                <w:sz w:val="24"/>
                <w:szCs w:val="24"/>
              </w:rPr>
            </w:pPr>
          </w:p>
        </w:tc>
        <w:tc>
          <w:tcPr>
            <w:tcW w:w="1190" w:type="dxa"/>
            <w:tcBorders>
              <w:top w:val="single" w:sz="4" w:space="0" w:color="auto"/>
              <w:left w:val="single" w:sz="4" w:space="0" w:color="auto"/>
            </w:tcBorders>
            <w:shd w:val="clear" w:color="auto" w:fill="FFFFFF"/>
            <w:vAlign w:val="center"/>
          </w:tcPr>
          <w:p w:rsidR="00B056FC" w:rsidRPr="00D13A23" w:rsidRDefault="00B056FC" w:rsidP="00D13A23">
            <w:pPr>
              <w:spacing w:after="0"/>
              <w:jc w:val="center"/>
              <w:rPr>
                <w:rFonts w:ascii="Times New Roman" w:hAnsi="Times New Roman" w:cs="Times New Roman"/>
                <w:sz w:val="24"/>
                <w:szCs w:val="24"/>
              </w:rPr>
            </w:pPr>
          </w:p>
        </w:tc>
        <w:tc>
          <w:tcPr>
            <w:tcW w:w="1090" w:type="dxa"/>
            <w:tcBorders>
              <w:top w:val="single" w:sz="4" w:space="0" w:color="auto"/>
              <w:left w:val="single" w:sz="4" w:space="0" w:color="auto"/>
            </w:tcBorders>
            <w:shd w:val="clear" w:color="auto" w:fill="FFFFFF"/>
            <w:vAlign w:val="center"/>
          </w:tcPr>
          <w:p w:rsidR="00B056FC" w:rsidRPr="00D13A23" w:rsidRDefault="00B056FC" w:rsidP="00D13A23">
            <w:pPr>
              <w:pStyle w:val="Bodytext20"/>
              <w:shd w:val="clear" w:color="auto" w:fill="auto"/>
              <w:spacing w:line="298" w:lineRule="exact"/>
              <w:jc w:val="center"/>
              <w:rPr>
                <w:sz w:val="24"/>
                <w:szCs w:val="24"/>
                <w:lang w:val="ro-RO"/>
              </w:rPr>
            </w:pPr>
            <w:r w:rsidRPr="00D13A23">
              <w:rPr>
                <w:rStyle w:val="Bodytext2BookAntiqua"/>
                <w:rFonts w:ascii="Times New Roman" w:hAnsi="Times New Roman" w:cs="Times New Roman"/>
                <w:sz w:val="24"/>
                <w:szCs w:val="24"/>
                <w:lang w:val="ro-RO"/>
              </w:rPr>
              <w:t>0,00</w:t>
            </w:r>
          </w:p>
        </w:tc>
        <w:tc>
          <w:tcPr>
            <w:tcW w:w="1547" w:type="dxa"/>
            <w:tcBorders>
              <w:top w:val="single" w:sz="4" w:space="0" w:color="auto"/>
              <w:left w:val="single" w:sz="4" w:space="0" w:color="auto"/>
              <w:right w:val="single" w:sz="4" w:space="0" w:color="auto"/>
            </w:tcBorders>
            <w:shd w:val="clear" w:color="auto" w:fill="FFFFFF"/>
            <w:vAlign w:val="center"/>
          </w:tcPr>
          <w:p w:rsidR="00B056FC" w:rsidRPr="00D13A23" w:rsidRDefault="00B056FC" w:rsidP="00D13A23">
            <w:pPr>
              <w:spacing w:after="0"/>
              <w:jc w:val="center"/>
              <w:rPr>
                <w:rFonts w:ascii="Times New Roman" w:hAnsi="Times New Roman" w:cs="Times New Roman"/>
                <w:sz w:val="24"/>
                <w:szCs w:val="24"/>
              </w:rPr>
            </w:pPr>
          </w:p>
        </w:tc>
      </w:tr>
      <w:tr w:rsidR="00B056FC" w:rsidRPr="008C2674" w:rsidTr="005B0E88">
        <w:trPr>
          <w:trHeight w:hRule="exact" w:val="672"/>
        </w:trPr>
        <w:tc>
          <w:tcPr>
            <w:tcW w:w="562" w:type="dxa"/>
            <w:tcBorders>
              <w:top w:val="single" w:sz="4" w:space="0" w:color="auto"/>
              <w:left w:val="single" w:sz="4" w:space="0" w:color="auto"/>
              <w:bottom w:val="single" w:sz="4" w:space="0" w:color="auto"/>
            </w:tcBorders>
            <w:shd w:val="clear" w:color="auto" w:fill="FFFFFF"/>
            <w:vAlign w:val="center"/>
          </w:tcPr>
          <w:p w:rsidR="00B056FC" w:rsidRPr="00D13A23" w:rsidRDefault="00B056FC" w:rsidP="005B0E88">
            <w:pPr>
              <w:pStyle w:val="Bodytext20"/>
              <w:shd w:val="clear" w:color="auto" w:fill="auto"/>
              <w:spacing w:line="274" w:lineRule="exact"/>
              <w:jc w:val="center"/>
              <w:rPr>
                <w:b/>
                <w:sz w:val="24"/>
                <w:szCs w:val="24"/>
                <w:lang w:val="ro-RO"/>
              </w:rPr>
            </w:pPr>
            <w:r w:rsidRPr="00D13A23">
              <w:rPr>
                <w:rStyle w:val="Bodytext2BookAntiqua"/>
                <w:rFonts w:ascii="Times New Roman" w:hAnsi="Times New Roman" w:cs="Times New Roman"/>
                <w:b/>
                <w:sz w:val="24"/>
                <w:szCs w:val="24"/>
                <w:lang w:val="ro-RO"/>
              </w:rPr>
              <w:t>11.</w:t>
            </w:r>
          </w:p>
        </w:tc>
        <w:tc>
          <w:tcPr>
            <w:tcW w:w="3518" w:type="dxa"/>
            <w:tcBorders>
              <w:top w:val="single" w:sz="4" w:space="0" w:color="auto"/>
              <w:left w:val="single" w:sz="4" w:space="0" w:color="auto"/>
              <w:bottom w:val="single" w:sz="4" w:space="0" w:color="auto"/>
            </w:tcBorders>
            <w:shd w:val="clear" w:color="auto" w:fill="FFFFFF"/>
            <w:vAlign w:val="center"/>
          </w:tcPr>
          <w:p w:rsidR="00B056FC" w:rsidRPr="00D13A23" w:rsidRDefault="00B056FC" w:rsidP="005B0E88">
            <w:pPr>
              <w:pStyle w:val="Bodytext20"/>
              <w:shd w:val="clear" w:color="auto" w:fill="auto"/>
              <w:spacing w:line="322" w:lineRule="exact"/>
              <w:rPr>
                <w:sz w:val="24"/>
                <w:szCs w:val="24"/>
                <w:lang w:val="ro-RO"/>
              </w:rPr>
            </w:pPr>
            <w:r w:rsidRPr="00D13A23">
              <w:rPr>
                <w:rStyle w:val="Bodytext2BookAntiqua"/>
                <w:rFonts w:ascii="Times New Roman" w:hAnsi="Times New Roman" w:cs="Times New Roman"/>
                <w:sz w:val="24"/>
                <w:szCs w:val="24"/>
                <w:lang w:val="ro-RO"/>
              </w:rPr>
              <w:t xml:space="preserve">Ministerul Dezvoltării Regionale </w:t>
            </w:r>
            <w:r w:rsidR="005B0E88" w:rsidRPr="00D13A23">
              <w:rPr>
                <w:rStyle w:val="Bodytext2BookAntiqua"/>
                <w:rFonts w:ascii="Times New Roman" w:hAnsi="Times New Roman" w:cs="Times New Roman"/>
                <w:sz w:val="24"/>
                <w:szCs w:val="24"/>
                <w:lang w:val="ro-RO"/>
              </w:rPr>
              <w:t>ș</w:t>
            </w:r>
            <w:r w:rsidRPr="00D13A23">
              <w:rPr>
                <w:rStyle w:val="Bodytext2BookAntiqua"/>
                <w:rFonts w:ascii="Times New Roman" w:hAnsi="Times New Roman" w:cs="Times New Roman"/>
                <w:sz w:val="24"/>
                <w:szCs w:val="24"/>
                <w:lang w:val="ro-RO"/>
              </w:rPr>
              <w:t>i Construcțiilor</w:t>
            </w:r>
          </w:p>
        </w:tc>
        <w:tc>
          <w:tcPr>
            <w:tcW w:w="877" w:type="dxa"/>
            <w:tcBorders>
              <w:top w:val="single" w:sz="4" w:space="0" w:color="auto"/>
              <w:left w:val="single" w:sz="4" w:space="0" w:color="auto"/>
              <w:bottom w:val="single" w:sz="4" w:space="0" w:color="auto"/>
            </w:tcBorders>
            <w:shd w:val="clear" w:color="auto" w:fill="FFFFFF"/>
            <w:vAlign w:val="center"/>
          </w:tcPr>
          <w:p w:rsidR="00B056FC" w:rsidRPr="00D13A23" w:rsidRDefault="00B056FC" w:rsidP="00D13A23">
            <w:pPr>
              <w:spacing w:after="0"/>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tcBorders>
            <w:shd w:val="clear" w:color="auto" w:fill="FFFFFF"/>
            <w:vAlign w:val="center"/>
          </w:tcPr>
          <w:p w:rsidR="00B056FC" w:rsidRPr="00D13A23" w:rsidRDefault="00B056FC" w:rsidP="00D13A23">
            <w:pPr>
              <w:spacing w:after="0"/>
              <w:jc w:val="center"/>
              <w:rPr>
                <w:rFonts w:ascii="Times New Roman" w:hAnsi="Times New Roman" w:cs="Times New Roman"/>
                <w:sz w:val="24"/>
                <w:szCs w:val="24"/>
              </w:rPr>
            </w:pPr>
          </w:p>
        </w:tc>
        <w:tc>
          <w:tcPr>
            <w:tcW w:w="1190" w:type="dxa"/>
            <w:tcBorders>
              <w:top w:val="single" w:sz="4" w:space="0" w:color="auto"/>
              <w:left w:val="single" w:sz="4" w:space="0" w:color="auto"/>
              <w:bottom w:val="single" w:sz="4" w:space="0" w:color="auto"/>
            </w:tcBorders>
            <w:shd w:val="clear" w:color="auto" w:fill="FFFFFF"/>
            <w:vAlign w:val="center"/>
          </w:tcPr>
          <w:p w:rsidR="00B056FC" w:rsidRPr="00D13A23" w:rsidRDefault="00B056FC" w:rsidP="00D13A23">
            <w:pPr>
              <w:spacing w:after="0"/>
              <w:jc w:val="center"/>
              <w:rPr>
                <w:rFonts w:ascii="Times New Roman" w:hAnsi="Times New Roman" w:cs="Times New Roman"/>
                <w:sz w:val="24"/>
                <w:szCs w:val="24"/>
              </w:rPr>
            </w:pPr>
          </w:p>
        </w:tc>
        <w:tc>
          <w:tcPr>
            <w:tcW w:w="1090" w:type="dxa"/>
            <w:tcBorders>
              <w:top w:val="single" w:sz="4" w:space="0" w:color="auto"/>
              <w:left w:val="single" w:sz="4" w:space="0" w:color="auto"/>
              <w:bottom w:val="single" w:sz="4" w:space="0" w:color="auto"/>
            </w:tcBorders>
            <w:shd w:val="clear" w:color="auto" w:fill="FFFFFF"/>
            <w:vAlign w:val="center"/>
          </w:tcPr>
          <w:p w:rsidR="00B056FC" w:rsidRPr="00D13A23" w:rsidRDefault="00B056FC" w:rsidP="00D13A23">
            <w:pPr>
              <w:pStyle w:val="Bodytext20"/>
              <w:shd w:val="clear" w:color="auto" w:fill="auto"/>
              <w:spacing w:line="298" w:lineRule="exact"/>
              <w:jc w:val="center"/>
              <w:rPr>
                <w:sz w:val="24"/>
                <w:szCs w:val="24"/>
                <w:lang w:val="ro-RO"/>
              </w:rPr>
            </w:pPr>
            <w:r w:rsidRPr="00D13A23">
              <w:rPr>
                <w:rStyle w:val="Bodytext2BookAntiqua"/>
                <w:rFonts w:ascii="Times New Roman" w:hAnsi="Times New Roman" w:cs="Times New Roman"/>
                <w:sz w:val="24"/>
                <w:szCs w:val="24"/>
                <w:lang w:val="ro-RO"/>
              </w:rPr>
              <w:t>0,00</w:t>
            </w:r>
          </w:p>
        </w:tc>
        <w:tc>
          <w:tcPr>
            <w:tcW w:w="1547" w:type="dxa"/>
            <w:tcBorders>
              <w:top w:val="single" w:sz="4" w:space="0" w:color="auto"/>
              <w:left w:val="single" w:sz="4" w:space="0" w:color="auto"/>
              <w:bottom w:val="single" w:sz="4" w:space="0" w:color="auto"/>
              <w:right w:val="single" w:sz="4" w:space="0" w:color="auto"/>
            </w:tcBorders>
            <w:shd w:val="clear" w:color="auto" w:fill="FFFFFF"/>
            <w:vAlign w:val="center"/>
          </w:tcPr>
          <w:p w:rsidR="00B056FC" w:rsidRPr="00D13A23" w:rsidRDefault="00B056FC" w:rsidP="00D13A23">
            <w:pPr>
              <w:spacing w:after="0"/>
              <w:jc w:val="center"/>
              <w:rPr>
                <w:rFonts w:ascii="Times New Roman" w:hAnsi="Times New Roman" w:cs="Times New Roman"/>
                <w:sz w:val="24"/>
                <w:szCs w:val="24"/>
              </w:rPr>
            </w:pPr>
          </w:p>
        </w:tc>
      </w:tr>
    </w:tbl>
    <w:p w:rsidR="00B056FC" w:rsidRPr="00D13A23" w:rsidRDefault="00B056FC" w:rsidP="00B056FC">
      <w:pPr>
        <w:spacing w:after="0" w:line="276" w:lineRule="auto"/>
        <w:ind w:right="49"/>
        <w:jc w:val="both"/>
        <w:rPr>
          <w:rFonts w:ascii="Times New Roman" w:eastAsia="Times New Roman" w:hAnsi="Times New Roman" w:cs="Times New Roman"/>
          <w:i/>
          <w:sz w:val="20"/>
          <w:szCs w:val="24"/>
          <w:lang w:eastAsia="ru-RU"/>
        </w:rPr>
      </w:pPr>
      <w:r w:rsidRPr="00D13A23">
        <w:rPr>
          <w:rFonts w:ascii="Times New Roman" w:eastAsia="Times New Roman" w:hAnsi="Times New Roman" w:cs="Times New Roman"/>
          <w:b/>
          <w:i/>
          <w:sz w:val="20"/>
          <w:szCs w:val="24"/>
          <w:lang w:eastAsia="ru-RU"/>
        </w:rPr>
        <w:t>Surs</w:t>
      </w:r>
      <w:r w:rsidR="008C2674">
        <w:rPr>
          <w:rFonts w:ascii="Times New Roman" w:eastAsia="Times New Roman" w:hAnsi="Times New Roman" w:cs="Times New Roman"/>
          <w:b/>
          <w:i/>
          <w:sz w:val="20"/>
          <w:szCs w:val="24"/>
          <w:lang w:eastAsia="ru-RU"/>
        </w:rPr>
        <w:t>ă</w:t>
      </w:r>
      <w:r w:rsidRPr="00D13A23">
        <w:rPr>
          <w:rFonts w:ascii="Times New Roman" w:eastAsia="Times New Roman" w:hAnsi="Times New Roman" w:cs="Times New Roman"/>
          <w:b/>
          <w:i/>
          <w:sz w:val="20"/>
          <w:szCs w:val="24"/>
          <w:lang w:eastAsia="ru-RU"/>
        </w:rPr>
        <w:t xml:space="preserve">: </w:t>
      </w:r>
      <w:r w:rsidRPr="00D13A23">
        <w:rPr>
          <w:rFonts w:ascii="Times New Roman" w:eastAsia="Times New Roman" w:hAnsi="Times New Roman" w:cs="Times New Roman"/>
          <w:i/>
          <w:sz w:val="20"/>
          <w:szCs w:val="24"/>
          <w:lang w:eastAsia="ru-RU"/>
        </w:rPr>
        <w:t>Informații prezentate de persoanele responsabile din cadrul Ministerului Finanțelor</w:t>
      </w:r>
      <w:r w:rsidR="008C2674">
        <w:rPr>
          <w:rFonts w:ascii="Times New Roman" w:eastAsia="Times New Roman" w:hAnsi="Times New Roman" w:cs="Times New Roman"/>
          <w:i/>
          <w:sz w:val="20"/>
          <w:szCs w:val="24"/>
          <w:lang w:eastAsia="ru-RU"/>
        </w:rPr>
        <w:t>.</w:t>
      </w:r>
    </w:p>
    <w:p w:rsidR="00BA5D7A" w:rsidRDefault="00BA5D7A" w:rsidP="00BA5D7A">
      <w:pPr>
        <w:spacing w:after="0" w:line="276" w:lineRule="auto"/>
        <w:ind w:right="51" w:firstLine="709"/>
        <w:jc w:val="right"/>
        <w:rPr>
          <w:rFonts w:ascii="Times New Roman" w:eastAsia="Times New Roman" w:hAnsi="Times New Roman" w:cs="Times New Roman"/>
          <w:i/>
          <w:sz w:val="28"/>
          <w:szCs w:val="24"/>
          <w:lang w:eastAsia="ru-RU"/>
        </w:rPr>
      </w:pPr>
      <w:r w:rsidRPr="004B4661">
        <w:rPr>
          <w:rFonts w:ascii="Times New Roman" w:eastAsia="Times New Roman" w:hAnsi="Times New Roman" w:cs="Times New Roman"/>
          <w:i/>
          <w:sz w:val="28"/>
          <w:szCs w:val="24"/>
          <w:lang w:eastAsia="ru-RU"/>
        </w:rPr>
        <w:lastRenderedPageBreak/>
        <w:t>Tabelul nr.</w:t>
      </w:r>
      <w:r w:rsidR="00024D8E">
        <w:rPr>
          <w:rFonts w:ascii="Times New Roman" w:eastAsia="Times New Roman" w:hAnsi="Times New Roman" w:cs="Times New Roman"/>
          <w:i/>
          <w:sz w:val="28"/>
          <w:szCs w:val="24"/>
          <w:lang w:eastAsia="ru-RU"/>
        </w:rPr>
        <w:t>4</w:t>
      </w:r>
    </w:p>
    <w:p w:rsidR="00BA5D7A" w:rsidRPr="00C5725B" w:rsidRDefault="00BA5D7A" w:rsidP="008B2B2C">
      <w:pPr>
        <w:spacing w:after="0" w:line="276" w:lineRule="auto"/>
        <w:ind w:right="51"/>
        <w:jc w:val="center"/>
        <w:rPr>
          <w:rFonts w:ascii="Times New Roman" w:eastAsia="MS Mincho" w:hAnsi="Times New Roman" w:cs="Times New Roman"/>
          <w:b/>
          <w:i/>
          <w:sz w:val="24"/>
          <w:lang w:val="ro-MD" w:eastAsia="ja-JP"/>
        </w:rPr>
      </w:pPr>
      <w:r w:rsidRPr="0070528C">
        <w:rPr>
          <w:rFonts w:ascii="Times New Roman" w:eastAsia="MS Mincho" w:hAnsi="Times New Roman" w:cs="Times New Roman"/>
          <w:b/>
          <w:i/>
          <w:sz w:val="24"/>
          <w:lang w:eastAsia="ja-JP"/>
        </w:rPr>
        <w:t>Sinteza executării transferurilor cu destinație specială</w:t>
      </w:r>
      <w:r w:rsidR="00C5725B">
        <w:rPr>
          <w:rFonts w:ascii="Times New Roman" w:eastAsia="MS Mincho" w:hAnsi="Times New Roman" w:cs="Times New Roman"/>
          <w:b/>
          <w:i/>
          <w:sz w:val="24"/>
          <w:lang w:eastAsia="ja-JP"/>
        </w:rPr>
        <w:t xml:space="preserve"> de la bugetul de stat </w:t>
      </w:r>
      <w:r w:rsidR="00C5725B">
        <w:rPr>
          <w:rFonts w:ascii="Times New Roman" w:eastAsia="MS Mincho" w:hAnsi="Times New Roman" w:cs="Times New Roman"/>
          <w:b/>
          <w:i/>
          <w:sz w:val="24"/>
          <w:lang w:val="ro-MD" w:eastAsia="ja-JP"/>
        </w:rPr>
        <w:t>către BUAT pe anul 2017</w:t>
      </w:r>
    </w:p>
    <w:p w:rsidR="00BA5D7A" w:rsidRPr="008F706F" w:rsidRDefault="00BA5D7A" w:rsidP="00BA5D7A">
      <w:pPr>
        <w:spacing w:after="0" w:line="276" w:lineRule="auto"/>
        <w:ind w:right="51" w:firstLine="709"/>
        <w:jc w:val="right"/>
        <w:rPr>
          <w:rFonts w:ascii="Times New Roman" w:eastAsia="Times New Roman" w:hAnsi="Times New Roman" w:cs="Times New Roman"/>
          <w:i/>
          <w:sz w:val="28"/>
          <w:szCs w:val="24"/>
          <w:lang w:eastAsia="ru-RU"/>
        </w:rPr>
      </w:pPr>
      <w:r w:rsidRPr="008F706F">
        <w:rPr>
          <w:rFonts w:ascii="Times New Roman" w:eastAsia="MS Mincho" w:hAnsi="Times New Roman" w:cs="Times New Roman"/>
          <w:i/>
          <w:sz w:val="24"/>
          <w:lang w:eastAsia="ja-JP"/>
        </w:rPr>
        <w:t>(mii lei)</w:t>
      </w:r>
    </w:p>
    <w:tbl>
      <w:tblPr>
        <w:tblStyle w:val="ListTable4-Accent51"/>
        <w:tblW w:w="9644" w:type="dxa"/>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ayout w:type="fixed"/>
        <w:tblLook w:val="04A0" w:firstRow="1" w:lastRow="0" w:firstColumn="1" w:lastColumn="0" w:noHBand="0" w:noVBand="1"/>
      </w:tblPr>
      <w:tblGrid>
        <w:gridCol w:w="3865"/>
        <w:gridCol w:w="1350"/>
        <w:gridCol w:w="1301"/>
        <w:gridCol w:w="1276"/>
        <w:gridCol w:w="1011"/>
        <w:gridCol w:w="833"/>
        <w:gridCol w:w="8"/>
      </w:tblGrid>
      <w:tr w:rsidR="00BA5D7A" w:rsidRPr="0070528C" w:rsidTr="008E75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5" w:type="dxa"/>
            <w:vMerge w:val="restart"/>
            <w:shd w:val="clear" w:color="auto" w:fill="1F4E79" w:themeFill="accent1" w:themeFillShade="80"/>
            <w:vAlign w:val="center"/>
          </w:tcPr>
          <w:p w:rsidR="00BA5D7A" w:rsidRPr="0070528C" w:rsidRDefault="00BA5D7A" w:rsidP="008E7523">
            <w:pPr>
              <w:spacing w:after="160" w:line="256" w:lineRule="auto"/>
              <w:ind w:right="-93"/>
              <w:jc w:val="center"/>
              <w:rPr>
                <w:rFonts w:ascii="Times New Roman" w:eastAsia="MS Mincho" w:hAnsi="Times New Roman" w:cs="Times New Roman"/>
                <w:sz w:val="24"/>
                <w:szCs w:val="24"/>
              </w:rPr>
            </w:pPr>
            <w:r w:rsidRPr="0070528C">
              <w:rPr>
                <w:rFonts w:ascii="Times New Roman" w:eastAsia="MS Mincho" w:hAnsi="Times New Roman" w:cs="Times New Roman"/>
                <w:sz w:val="24"/>
                <w:szCs w:val="24"/>
              </w:rPr>
              <w:t>Indicatori</w:t>
            </w:r>
          </w:p>
        </w:tc>
        <w:tc>
          <w:tcPr>
            <w:tcW w:w="1350" w:type="dxa"/>
            <w:vMerge w:val="restart"/>
            <w:shd w:val="clear" w:color="auto" w:fill="1F4E79" w:themeFill="accent1" w:themeFillShade="80"/>
            <w:vAlign w:val="center"/>
          </w:tcPr>
          <w:p w:rsidR="00BA5D7A" w:rsidRPr="0070528C" w:rsidRDefault="00BA5D7A" w:rsidP="008E7523">
            <w:pPr>
              <w:spacing w:after="160" w:line="256" w:lineRule="auto"/>
              <w:ind w:right="-93"/>
              <w:jc w:val="center"/>
              <w:cnfStyle w:val="100000000000" w:firstRow="1" w:lastRow="0" w:firstColumn="0" w:lastColumn="0" w:oddVBand="0" w:evenVBand="0" w:oddHBand="0" w:evenHBand="0" w:firstRowFirstColumn="0" w:firstRowLastColumn="0" w:lastRowFirstColumn="0" w:lastRowLastColumn="0"/>
              <w:rPr>
                <w:rFonts w:ascii="Times New Roman" w:eastAsia="MS Mincho" w:hAnsi="Times New Roman" w:cs="Times New Roman"/>
                <w:sz w:val="24"/>
                <w:szCs w:val="24"/>
              </w:rPr>
            </w:pPr>
            <w:r w:rsidRPr="0070528C">
              <w:rPr>
                <w:rFonts w:ascii="Times New Roman" w:eastAsia="MS Mincho" w:hAnsi="Times New Roman" w:cs="Times New Roman"/>
                <w:sz w:val="24"/>
                <w:szCs w:val="24"/>
              </w:rPr>
              <w:t>Aprobat pe an</w:t>
            </w:r>
          </w:p>
        </w:tc>
        <w:tc>
          <w:tcPr>
            <w:tcW w:w="1301" w:type="dxa"/>
            <w:vMerge w:val="restart"/>
            <w:shd w:val="clear" w:color="auto" w:fill="1F4E79" w:themeFill="accent1" w:themeFillShade="80"/>
            <w:vAlign w:val="center"/>
          </w:tcPr>
          <w:p w:rsidR="00BA5D7A" w:rsidRPr="0070528C" w:rsidRDefault="00BA5D7A" w:rsidP="008E7523">
            <w:pPr>
              <w:spacing w:after="160" w:line="256" w:lineRule="auto"/>
              <w:ind w:right="-93"/>
              <w:jc w:val="center"/>
              <w:cnfStyle w:val="100000000000" w:firstRow="1" w:lastRow="0" w:firstColumn="0" w:lastColumn="0" w:oddVBand="0" w:evenVBand="0" w:oddHBand="0" w:evenHBand="0" w:firstRowFirstColumn="0" w:firstRowLastColumn="0" w:lastRowFirstColumn="0" w:lastRowLastColumn="0"/>
              <w:rPr>
                <w:rFonts w:ascii="Times New Roman" w:eastAsia="MS Mincho" w:hAnsi="Times New Roman" w:cs="Times New Roman"/>
                <w:sz w:val="24"/>
                <w:szCs w:val="24"/>
              </w:rPr>
            </w:pPr>
            <w:r w:rsidRPr="0070528C">
              <w:rPr>
                <w:rFonts w:ascii="Times New Roman" w:eastAsia="MS Mincho" w:hAnsi="Times New Roman" w:cs="Times New Roman"/>
                <w:sz w:val="24"/>
                <w:szCs w:val="24"/>
              </w:rPr>
              <w:t>Precizat pe an</w:t>
            </w:r>
          </w:p>
        </w:tc>
        <w:tc>
          <w:tcPr>
            <w:tcW w:w="1276" w:type="dxa"/>
            <w:vMerge w:val="restart"/>
            <w:shd w:val="clear" w:color="auto" w:fill="1F4E79" w:themeFill="accent1" w:themeFillShade="80"/>
            <w:vAlign w:val="center"/>
          </w:tcPr>
          <w:p w:rsidR="00BA5D7A" w:rsidRPr="0070528C" w:rsidRDefault="00BA5D7A" w:rsidP="008E7523">
            <w:pPr>
              <w:ind w:left="-115" w:right="-102"/>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0528C">
              <w:rPr>
                <w:rFonts w:ascii="Times New Roman" w:eastAsia="Times New Roman" w:hAnsi="Times New Roman" w:cs="Times New Roman"/>
                <w:sz w:val="24"/>
                <w:szCs w:val="24"/>
                <w:lang w:eastAsia="ru-RU"/>
              </w:rPr>
              <w:t>Executat</w:t>
            </w:r>
          </w:p>
        </w:tc>
        <w:tc>
          <w:tcPr>
            <w:tcW w:w="1852" w:type="dxa"/>
            <w:gridSpan w:val="3"/>
            <w:shd w:val="clear" w:color="auto" w:fill="1F4E79" w:themeFill="accent1" w:themeFillShade="80"/>
            <w:vAlign w:val="center"/>
          </w:tcPr>
          <w:p w:rsidR="00BA5D7A" w:rsidRPr="0070528C" w:rsidRDefault="00BA5D7A" w:rsidP="008E7523">
            <w:pPr>
              <w:spacing w:line="256" w:lineRule="auto"/>
              <w:ind w:right="-93"/>
              <w:jc w:val="center"/>
              <w:cnfStyle w:val="100000000000" w:firstRow="1" w:lastRow="0" w:firstColumn="0" w:lastColumn="0" w:oddVBand="0" w:evenVBand="0" w:oddHBand="0" w:evenHBand="0" w:firstRowFirstColumn="0" w:firstRowLastColumn="0" w:lastRowFirstColumn="0" w:lastRowLastColumn="0"/>
              <w:rPr>
                <w:rFonts w:ascii="Times New Roman" w:eastAsia="MS Mincho" w:hAnsi="Times New Roman" w:cs="Times New Roman"/>
                <w:sz w:val="24"/>
                <w:szCs w:val="24"/>
              </w:rPr>
            </w:pPr>
            <w:r w:rsidRPr="0070528C">
              <w:rPr>
                <w:rFonts w:ascii="Times New Roman" w:eastAsia="MS Mincho" w:hAnsi="Times New Roman" w:cs="Times New Roman"/>
                <w:sz w:val="24"/>
                <w:szCs w:val="24"/>
              </w:rPr>
              <w:t>Executat față</w:t>
            </w:r>
          </w:p>
          <w:p w:rsidR="00BA5D7A" w:rsidRPr="0070528C" w:rsidRDefault="00BA5D7A" w:rsidP="008E7523">
            <w:pPr>
              <w:spacing w:line="256" w:lineRule="auto"/>
              <w:ind w:right="-93"/>
              <w:jc w:val="center"/>
              <w:cnfStyle w:val="100000000000" w:firstRow="1" w:lastRow="0" w:firstColumn="0" w:lastColumn="0" w:oddVBand="0" w:evenVBand="0" w:oddHBand="0" w:evenHBand="0" w:firstRowFirstColumn="0" w:firstRowLastColumn="0" w:lastRowFirstColumn="0" w:lastRowLastColumn="0"/>
              <w:rPr>
                <w:rFonts w:ascii="Times New Roman" w:eastAsia="MS Mincho" w:hAnsi="Times New Roman" w:cs="Times New Roman"/>
                <w:sz w:val="24"/>
                <w:szCs w:val="24"/>
              </w:rPr>
            </w:pPr>
            <w:r w:rsidRPr="0070528C">
              <w:rPr>
                <w:rFonts w:ascii="Times New Roman" w:eastAsia="MS Mincho" w:hAnsi="Times New Roman" w:cs="Times New Roman"/>
                <w:sz w:val="24"/>
                <w:szCs w:val="24"/>
              </w:rPr>
              <w:t>de precizat pe an</w:t>
            </w:r>
          </w:p>
        </w:tc>
      </w:tr>
      <w:tr w:rsidR="00BA5D7A" w:rsidRPr="0070528C" w:rsidTr="008E7523">
        <w:trPr>
          <w:gridAfter w:val="1"/>
          <w:cnfStyle w:val="000000100000" w:firstRow="0" w:lastRow="0" w:firstColumn="0" w:lastColumn="0" w:oddVBand="0" w:evenVBand="0" w:oddHBand="1" w:evenHBand="0" w:firstRowFirstColumn="0" w:firstRowLastColumn="0" w:lastRowFirstColumn="0" w:lastRowLastColumn="0"/>
          <w:wAfter w:w="8" w:type="dxa"/>
        </w:trPr>
        <w:tc>
          <w:tcPr>
            <w:cnfStyle w:val="001000000000" w:firstRow="0" w:lastRow="0" w:firstColumn="1" w:lastColumn="0" w:oddVBand="0" w:evenVBand="0" w:oddHBand="0" w:evenHBand="0" w:firstRowFirstColumn="0" w:firstRowLastColumn="0" w:lastRowFirstColumn="0" w:lastRowLastColumn="0"/>
            <w:tcW w:w="3865" w:type="dxa"/>
            <w:vMerge/>
            <w:shd w:val="clear" w:color="auto" w:fill="1F4E79" w:themeFill="accent1" w:themeFillShade="80"/>
            <w:vAlign w:val="center"/>
          </w:tcPr>
          <w:p w:rsidR="00BA5D7A" w:rsidRPr="0070528C" w:rsidRDefault="00BA5D7A" w:rsidP="008E7523">
            <w:pPr>
              <w:spacing w:after="160" w:line="256" w:lineRule="auto"/>
              <w:ind w:right="-93"/>
              <w:jc w:val="center"/>
              <w:rPr>
                <w:rFonts w:ascii="Times New Roman" w:eastAsia="MS Mincho" w:hAnsi="Times New Roman" w:cs="Times New Roman"/>
                <w:color w:val="FFFFFF" w:themeColor="background1"/>
                <w:sz w:val="24"/>
                <w:szCs w:val="24"/>
              </w:rPr>
            </w:pPr>
          </w:p>
        </w:tc>
        <w:tc>
          <w:tcPr>
            <w:tcW w:w="1350" w:type="dxa"/>
            <w:vMerge/>
            <w:shd w:val="clear" w:color="auto" w:fill="1F4E79" w:themeFill="accent1" w:themeFillShade="80"/>
            <w:vAlign w:val="center"/>
          </w:tcPr>
          <w:p w:rsidR="00BA5D7A" w:rsidRPr="0070528C" w:rsidRDefault="00BA5D7A" w:rsidP="008E7523">
            <w:pPr>
              <w:spacing w:after="160" w:line="256" w:lineRule="auto"/>
              <w:ind w:right="-93"/>
              <w:jc w:val="cente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b/>
                <w:color w:val="FFFFFF" w:themeColor="background1"/>
                <w:sz w:val="24"/>
                <w:szCs w:val="24"/>
              </w:rPr>
            </w:pPr>
          </w:p>
        </w:tc>
        <w:tc>
          <w:tcPr>
            <w:tcW w:w="1301" w:type="dxa"/>
            <w:vMerge/>
            <w:shd w:val="clear" w:color="auto" w:fill="1F4E79" w:themeFill="accent1" w:themeFillShade="80"/>
            <w:vAlign w:val="center"/>
          </w:tcPr>
          <w:p w:rsidR="00BA5D7A" w:rsidRPr="0070528C" w:rsidRDefault="00BA5D7A" w:rsidP="008E7523">
            <w:pPr>
              <w:spacing w:after="160" w:line="256" w:lineRule="auto"/>
              <w:ind w:right="-93"/>
              <w:jc w:val="cente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b/>
                <w:color w:val="FFFFFF" w:themeColor="background1"/>
                <w:sz w:val="24"/>
                <w:szCs w:val="24"/>
              </w:rPr>
            </w:pPr>
          </w:p>
        </w:tc>
        <w:tc>
          <w:tcPr>
            <w:tcW w:w="1276" w:type="dxa"/>
            <w:vMerge/>
            <w:shd w:val="clear" w:color="auto" w:fill="1F4E79" w:themeFill="accent1" w:themeFillShade="80"/>
            <w:vAlign w:val="center"/>
          </w:tcPr>
          <w:p w:rsidR="00BA5D7A" w:rsidRPr="0070528C" w:rsidRDefault="00BA5D7A" w:rsidP="008E7523">
            <w:pPr>
              <w:spacing w:after="160" w:line="256" w:lineRule="auto"/>
              <w:ind w:right="-93"/>
              <w:jc w:val="cente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b/>
                <w:color w:val="FFFFFF" w:themeColor="background1"/>
                <w:sz w:val="24"/>
                <w:szCs w:val="24"/>
              </w:rPr>
            </w:pPr>
          </w:p>
        </w:tc>
        <w:tc>
          <w:tcPr>
            <w:tcW w:w="1011" w:type="dxa"/>
            <w:shd w:val="clear" w:color="auto" w:fill="1F4E79" w:themeFill="accent1" w:themeFillShade="80"/>
            <w:vAlign w:val="center"/>
          </w:tcPr>
          <w:p w:rsidR="00BA5D7A" w:rsidRPr="0070528C" w:rsidRDefault="008C2674" w:rsidP="008E7523">
            <w:pPr>
              <w:ind w:left="-113" w:right="29"/>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24"/>
                <w:szCs w:val="24"/>
                <w:lang w:eastAsia="ru-RU"/>
              </w:rPr>
            </w:pPr>
            <w:r>
              <w:rPr>
                <w:rFonts w:ascii="Times New Roman" w:eastAsia="Times New Roman" w:hAnsi="Times New Roman" w:cs="Times New Roman"/>
                <w:b/>
                <w:color w:val="FFFFFF" w:themeColor="background1"/>
                <w:sz w:val="24"/>
                <w:szCs w:val="24"/>
                <w:lang w:eastAsia="ru-RU"/>
              </w:rPr>
              <w:t>d</w:t>
            </w:r>
            <w:r w:rsidR="00BA5D7A" w:rsidRPr="0070528C">
              <w:rPr>
                <w:rFonts w:ascii="Times New Roman" w:eastAsia="Times New Roman" w:hAnsi="Times New Roman" w:cs="Times New Roman"/>
                <w:b/>
                <w:color w:val="FFFFFF" w:themeColor="background1"/>
                <w:sz w:val="24"/>
                <w:szCs w:val="24"/>
                <w:lang w:eastAsia="ru-RU"/>
              </w:rPr>
              <w:t>evieri (+/-)</w:t>
            </w:r>
          </w:p>
        </w:tc>
        <w:tc>
          <w:tcPr>
            <w:tcW w:w="833" w:type="dxa"/>
            <w:shd w:val="clear" w:color="auto" w:fill="1F4E79" w:themeFill="accent1" w:themeFillShade="80"/>
            <w:vAlign w:val="center"/>
          </w:tcPr>
          <w:p w:rsidR="00BA5D7A" w:rsidRPr="0070528C" w:rsidRDefault="00BA5D7A" w:rsidP="008E7523">
            <w:pPr>
              <w:ind w:left="-113" w:right="29"/>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24"/>
                <w:szCs w:val="24"/>
                <w:lang w:eastAsia="ru-RU"/>
              </w:rPr>
            </w:pPr>
            <w:r w:rsidRPr="0070528C">
              <w:rPr>
                <w:rFonts w:ascii="Times New Roman" w:eastAsia="Times New Roman" w:hAnsi="Times New Roman" w:cs="Times New Roman"/>
                <w:b/>
                <w:color w:val="FFFFFF" w:themeColor="background1"/>
                <w:sz w:val="24"/>
                <w:szCs w:val="24"/>
                <w:lang w:eastAsia="ru-RU"/>
              </w:rPr>
              <w:t>%</w:t>
            </w:r>
          </w:p>
        </w:tc>
      </w:tr>
      <w:tr w:rsidR="00BA5D7A" w:rsidRPr="0070528C" w:rsidTr="008E7523">
        <w:trPr>
          <w:gridAfter w:val="1"/>
          <w:wAfter w:w="8" w:type="dxa"/>
        </w:trPr>
        <w:tc>
          <w:tcPr>
            <w:cnfStyle w:val="001000000000" w:firstRow="0" w:lastRow="0" w:firstColumn="1" w:lastColumn="0" w:oddVBand="0" w:evenVBand="0" w:oddHBand="0" w:evenHBand="0" w:firstRowFirstColumn="0" w:firstRowLastColumn="0" w:lastRowFirstColumn="0" w:lastRowLastColumn="0"/>
            <w:tcW w:w="3865" w:type="dxa"/>
            <w:vAlign w:val="center"/>
          </w:tcPr>
          <w:p w:rsidR="00BA5D7A" w:rsidRPr="0070528C" w:rsidRDefault="00BA5D7A" w:rsidP="008E7523">
            <w:pPr>
              <w:spacing w:line="276" w:lineRule="auto"/>
              <w:jc w:val="center"/>
              <w:rPr>
                <w:rFonts w:ascii="Times New Roman" w:eastAsia="Times New Roman" w:hAnsi="Times New Roman" w:cs="Times New Roman"/>
                <w:i/>
                <w:sz w:val="20"/>
                <w:szCs w:val="24"/>
              </w:rPr>
            </w:pPr>
            <w:r w:rsidRPr="0070528C">
              <w:rPr>
                <w:rFonts w:ascii="Times New Roman" w:eastAsia="Times New Roman" w:hAnsi="Times New Roman" w:cs="Times New Roman"/>
                <w:i/>
                <w:sz w:val="20"/>
                <w:szCs w:val="24"/>
              </w:rPr>
              <w:t>1</w:t>
            </w:r>
          </w:p>
        </w:tc>
        <w:tc>
          <w:tcPr>
            <w:tcW w:w="1350" w:type="dxa"/>
            <w:vAlign w:val="center"/>
          </w:tcPr>
          <w:p w:rsidR="00BA5D7A" w:rsidRPr="0070528C" w:rsidRDefault="00BA5D7A" w:rsidP="008E752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i/>
                <w:sz w:val="20"/>
                <w:szCs w:val="24"/>
              </w:rPr>
            </w:pPr>
            <w:r w:rsidRPr="0070528C">
              <w:rPr>
                <w:rFonts w:ascii="Times New Roman" w:eastAsia="Times New Roman" w:hAnsi="Times New Roman" w:cs="Times New Roman"/>
                <w:b/>
                <w:bCs/>
                <w:i/>
                <w:sz w:val="20"/>
                <w:szCs w:val="24"/>
              </w:rPr>
              <w:t>2</w:t>
            </w:r>
          </w:p>
        </w:tc>
        <w:tc>
          <w:tcPr>
            <w:tcW w:w="1301" w:type="dxa"/>
            <w:vAlign w:val="center"/>
          </w:tcPr>
          <w:p w:rsidR="00BA5D7A" w:rsidRPr="0070528C" w:rsidRDefault="00BA5D7A" w:rsidP="008E752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i/>
                <w:sz w:val="20"/>
                <w:szCs w:val="24"/>
              </w:rPr>
            </w:pPr>
            <w:r w:rsidRPr="0070528C">
              <w:rPr>
                <w:rFonts w:ascii="Times New Roman" w:hAnsi="Times New Roman" w:cs="Times New Roman"/>
                <w:b/>
                <w:bCs/>
                <w:i/>
                <w:sz w:val="20"/>
                <w:szCs w:val="24"/>
              </w:rPr>
              <w:t>3</w:t>
            </w:r>
          </w:p>
        </w:tc>
        <w:tc>
          <w:tcPr>
            <w:tcW w:w="1276" w:type="dxa"/>
            <w:vAlign w:val="center"/>
          </w:tcPr>
          <w:p w:rsidR="00BA5D7A" w:rsidRPr="0070528C" w:rsidRDefault="00BA5D7A" w:rsidP="008E752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i/>
                <w:sz w:val="20"/>
                <w:szCs w:val="24"/>
              </w:rPr>
            </w:pPr>
            <w:r w:rsidRPr="0070528C">
              <w:rPr>
                <w:rFonts w:ascii="Times New Roman" w:hAnsi="Times New Roman" w:cs="Times New Roman"/>
                <w:b/>
                <w:bCs/>
                <w:i/>
                <w:sz w:val="20"/>
                <w:szCs w:val="24"/>
              </w:rPr>
              <w:t>4</w:t>
            </w:r>
          </w:p>
        </w:tc>
        <w:tc>
          <w:tcPr>
            <w:tcW w:w="1011" w:type="dxa"/>
            <w:vAlign w:val="center"/>
          </w:tcPr>
          <w:p w:rsidR="00BA5D7A" w:rsidRPr="0070528C" w:rsidRDefault="00BA5D7A" w:rsidP="008E752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i/>
                <w:sz w:val="20"/>
                <w:szCs w:val="24"/>
              </w:rPr>
            </w:pPr>
            <w:r w:rsidRPr="0070528C">
              <w:rPr>
                <w:rFonts w:ascii="Times New Roman" w:hAnsi="Times New Roman" w:cs="Times New Roman"/>
                <w:b/>
                <w:bCs/>
                <w:i/>
                <w:sz w:val="20"/>
                <w:szCs w:val="24"/>
              </w:rPr>
              <w:t>5=4-3</w:t>
            </w:r>
          </w:p>
        </w:tc>
        <w:tc>
          <w:tcPr>
            <w:tcW w:w="833" w:type="dxa"/>
            <w:vAlign w:val="center"/>
          </w:tcPr>
          <w:p w:rsidR="00BA5D7A" w:rsidRPr="0070528C" w:rsidRDefault="00BA5D7A" w:rsidP="008E752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i/>
                <w:sz w:val="20"/>
                <w:szCs w:val="24"/>
              </w:rPr>
            </w:pPr>
            <w:r w:rsidRPr="0070528C">
              <w:rPr>
                <w:rFonts w:ascii="Times New Roman" w:hAnsi="Times New Roman" w:cs="Times New Roman"/>
                <w:b/>
                <w:bCs/>
                <w:i/>
                <w:sz w:val="20"/>
                <w:szCs w:val="24"/>
              </w:rPr>
              <w:t>6=4/3*100</w:t>
            </w:r>
          </w:p>
        </w:tc>
      </w:tr>
      <w:tr w:rsidR="00BA5D7A" w:rsidRPr="0070528C" w:rsidTr="008E7523">
        <w:trPr>
          <w:gridAfter w:val="1"/>
          <w:cnfStyle w:val="000000100000" w:firstRow="0" w:lastRow="0" w:firstColumn="0" w:lastColumn="0" w:oddVBand="0" w:evenVBand="0" w:oddHBand="1" w:evenHBand="0" w:firstRowFirstColumn="0" w:firstRowLastColumn="0" w:lastRowFirstColumn="0" w:lastRowLastColumn="0"/>
          <w:wAfter w:w="8" w:type="dxa"/>
        </w:trPr>
        <w:tc>
          <w:tcPr>
            <w:cnfStyle w:val="001000000000" w:firstRow="0" w:lastRow="0" w:firstColumn="1" w:lastColumn="0" w:oddVBand="0" w:evenVBand="0" w:oddHBand="0" w:evenHBand="0" w:firstRowFirstColumn="0" w:firstRowLastColumn="0" w:lastRowFirstColumn="0" w:lastRowLastColumn="0"/>
            <w:tcW w:w="3865" w:type="dxa"/>
          </w:tcPr>
          <w:p w:rsidR="00BA5D7A" w:rsidRPr="0070528C" w:rsidRDefault="00BA5D7A" w:rsidP="008E7523">
            <w:pPr>
              <w:spacing w:line="256" w:lineRule="auto"/>
              <w:ind w:right="-93"/>
              <w:jc w:val="both"/>
              <w:rPr>
                <w:rFonts w:ascii="Times New Roman" w:eastAsia="MS Mincho" w:hAnsi="Times New Roman" w:cs="Times New Roman"/>
                <w:sz w:val="24"/>
                <w:szCs w:val="24"/>
              </w:rPr>
            </w:pPr>
            <w:r w:rsidRPr="0070528C">
              <w:rPr>
                <w:rFonts w:ascii="Times New Roman" w:eastAsia="MS Mincho" w:hAnsi="Times New Roman" w:cs="Times New Roman"/>
                <w:sz w:val="24"/>
                <w:szCs w:val="24"/>
              </w:rPr>
              <w:t>Transferuri cu destinație specială</w:t>
            </w:r>
          </w:p>
          <w:p w:rsidR="00BA5D7A" w:rsidRPr="0070528C" w:rsidRDefault="00BA5D7A" w:rsidP="008E7523">
            <w:pPr>
              <w:spacing w:line="256" w:lineRule="auto"/>
              <w:ind w:right="-93"/>
              <w:jc w:val="both"/>
              <w:rPr>
                <w:rFonts w:ascii="Times New Roman" w:eastAsia="MS Mincho" w:hAnsi="Times New Roman" w:cs="Times New Roman"/>
                <w:b w:val="0"/>
                <w:sz w:val="24"/>
                <w:szCs w:val="24"/>
              </w:rPr>
            </w:pPr>
            <w:r w:rsidRPr="0070528C">
              <w:rPr>
                <w:rFonts w:ascii="Times New Roman" w:eastAsia="MS Mincho" w:hAnsi="Times New Roman" w:cs="Times New Roman"/>
                <w:i/>
                <w:sz w:val="24"/>
                <w:szCs w:val="24"/>
              </w:rPr>
              <w:t>Total general</w:t>
            </w:r>
            <w:r w:rsidRPr="0070528C">
              <w:rPr>
                <w:rFonts w:ascii="Times New Roman" w:eastAsia="MS Mincho" w:hAnsi="Times New Roman" w:cs="Times New Roman"/>
                <w:b w:val="0"/>
                <w:sz w:val="24"/>
                <w:szCs w:val="24"/>
              </w:rPr>
              <w:t xml:space="preserve">, </w:t>
            </w:r>
            <w:r w:rsidRPr="0070528C">
              <w:rPr>
                <w:rFonts w:ascii="Times New Roman" w:eastAsia="MS Mincho" w:hAnsi="Times New Roman" w:cs="Times New Roman"/>
                <w:b w:val="0"/>
                <w:i/>
                <w:sz w:val="24"/>
                <w:szCs w:val="24"/>
              </w:rPr>
              <w:t>inclusiv:</w:t>
            </w:r>
          </w:p>
        </w:tc>
        <w:tc>
          <w:tcPr>
            <w:tcW w:w="1350" w:type="dxa"/>
            <w:vAlign w:val="center"/>
          </w:tcPr>
          <w:p w:rsidR="00BA5D7A" w:rsidRPr="0070528C" w:rsidRDefault="00BA5D7A" w:rsidP="00D13A23">
            <w:pPr>
              <w:spacing w:line="276" w:lineRule="auto"/>
              <w:ind w:left="-12"/>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rPr>
            </w:pPr>
            <w:r w:rsidRPr="0070528C">
              <w:rPr>
                <w:rFonts w:ascii="Times New Roman" w:eastAsia="Times New Roman" w:hAnsi="Times New Roman" w:cs="Times New Roman"/>
                <w:b/>
                <w:bCs/>
                <w:sz w:val="24"/>
                <w:szCs w:val="24"/>
              </w:rPr>
              <w:t>6.918.903,0</w:t>
            </w:r>
          </w:p>
        </w:tc>
        <w:tc>
          <w:tcPr>
            <w:tcW w:w="1301" w:type="dxa"/>
            <w:vAlign w:val="center"/>
          </w:tcPr>
          <w:p w:rsidR="00BA5D7A" w:rsidRPr="0070528C" w:rsidRDefault="00BA5D7A" w:rsidP="00D13A23">
            <w:pPr>
              <w:spacing w:line="276" w:lineRule="auto"/>
              <w:ind w:left="-8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rPr>
            </w:pPr>
            <w:r w:rsidRPr="0070528C">
              <w:rPr>
                <w:rFonts w:ascii="Times New Roman" w:hAnsi="Times New Roman" w:cs="Times New Roman"/>
                <w:b/>
                <w:bCs/>
                <w:sz w:val="24"/>
                <w:szCs w:val="24"/>
              </w:rPr>
              <w:t>7.907.768,1</w:t>
            </w:r>
          </w:p>
        </w:tc>
        <w:tc>
          <w:tcPr>
            <w:tcW w:w="1276" w:type="dxa"/>
            <w:vAlign w:val="center"/>
          </w:tcPr>
          <w:p w:rsidR="00BA5D7A" w:rsidRPr="0070528C" w:rsidRDefault="00BA5D7A" w:rsidP="00D13A23">
            <w:pPr>
              <w:spacing w:line="276" w:lineRule="auto"/>
              <w:ind w:left="-164"/>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rPr>
            </w:pPr>
            <w:r w:rsidRPr="0070528C">
              <w:rPr>
                <w:rFonts w:ascii="Times New Roman" w:hAnsi="Times New Roman" w:cs="Times New Roman"/>
                <w:b/>
                <w:bCs/>
                <w:sz w:val="24"/>
                <w:szCs w:val="24"/>
              </w:rPr>
              <w:t>7.818.209,6</w:t>
            </w:r>
          </w:p>
        </w:tc>
        <w:tc>
          <w:tcPr>
            <w:tcW w:w="1011" w:type="dxa"/>
            <w:vAlign w:val="center"/>
          </w:tcPr>
          <w:p w:rsidR="00BA5D7A" w:rsidRPr="0070528C" w:rsidRDefault="00BA5D7A" w:rsidP="00D13A23">
            <w:pPr>
              <w:spacing w:line="276" w:lineRule="auto"/>
              <w:ind w:left="-91" w:right="-9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70528C">
              <w:rPr>
                <w:rFonts w:ascii="Times New Roman" w:hAnsi="Times New Roman" w:cs="Times New Roman"/>
                <w:b/>
                <w:bCs/>
                <w:sz w:val="24"/>
                <w:szCs w:val="24"/>
              </w:rPr>
              <w:t>-89.558,5</w:t>
            </w:r>
          </w:p>
        </w:tc>
        <w:tc>
          <w:tcPr>
            <w:tcW w:w="833" w:type="dxa"/>
            <w:vAlign w:val="center"/>
          </w:tcPr>
          <w:p w:rsidR="00BA5D7A" w:rsidRPr="0070528C" w:rsidRDefault="00BA5D7A" w:rsidP="00D13A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70528C">
              <w:rPr>
                <w:rFonts w:ascii="Times New Roman" w:hAnsi="Times New Roman" w:cs="Times New Roman"/>
                <w:b/>
                <w:bCs/>
                <w:sz w:val="24"/>
                <w:szCs w:val="24"/>
              </w:rPr>
              <w:t>98,9</w:t>
            </w:r>
          </w:p>
        </w:tc>
      </w:tr>
      <w:tr w:rsidR="00BA5D7A" w:rsidRPr="0070528C" w:rsidTr="008E7523">
        <w:trPr>
          <w:gridAfter w:val="1"/>
          <w:wAfter w:w="8" w:type="dxa"/>
        </w:trPr>
        <w:tc>
          <w:tcPr>
            <w:cnfStyle w:val="001000000000" w:firstRow="0" w:lastRow="0" w:firstColumn="1" w:lastColumn="0" w:oddVBand="0" w:evenVBand="0" w:oddHBand="0" w:evenHBand="0" w:firstRowFirstColumn="0" w:firstRowLastColumn="0" w:lastRowFirstColumn="0" w:lastRowLastColumn="0"/>
            <w:tcW w:w="3865" w:type="dxa"/>
          </w:tcPr>
          <w:p w:rsidR="00BA5D7A" w:rsidRPr="0070528C" w:rsidRDefault="00BA5D7A" w:rsidP="00DF6432">
            <w:pPr>
              <w:spacing w:line="276" w:lineRule="auto"/>
              <w:jc w:val="both"/>
              <w:rPr>
                <w:rFonts w:ascii="Times New Roman" w:hAnsi="Times New Roman" w:cs="Times New Roman"/>
                <w:b w:val="0"/>
                <w:sz w:val="24"/>
                <w:szCs w:val="24"/>
              </w:rPr>
            </w:pPr>
            <w:r w:rsidRPr="0070528C">
              <w:rPr>
                <w:rFonts w:ascii="Times New Roman" w:eastAsia="Times New Roman" w:hAnsi="Times New Roman" w:cs="Times New Roman"/>
                <w:b w:val="0"/>
                <w:sz w:val="24"/>
                <w:szCs w:val="24"/>
              </w:rPr>
              <w:t>Pentru învățământul preșcolar, primar, secundar general, special și complementar (extrașcolar)</w:t>
            </w:r>
          </w:p>
        </w:tc>
        <w:tc>
          <w:tcPr>
            <w:tcW w:w="1350" w:type="dxa"/>
            <w:vAlign w:val="center"/>
          </w:tcPr>
          <w:p w:rsidR="00BA5D7A" w:rsidRPr="0070528C" w:rsidRDefault="00BA5D7A" w:rsidP="00D13A23">
            <w:pPr>
              <w:spacing w:line="276" w:lineRule="auto"/>
              <w:ind w:left="-12"/>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rPr>
            </w:pPr>
            <w:r w:rsidRPr="0070528C">
              <w:rPr>
                <w:rFonts w:ascii="Times New Roman" w:eastAsia="Times New Roman" w:hAnsi="Times New Roman" w:cs="Times New Roman"/>
                <w:bCs/>
                <w:sz w:val="24"/>
                <w:szCs w:val="24"/>
              </w:rPr>
              <w:t>6.519.564,3</w:t>
            </w:r>
          </w:p>
        </w:tc>
        <w:tc>
          <w:tcPr>
            <w:tcW w:w="1301" w:type="dxa"/>
            <w:vAlign w:val="center"/>
          </w:tcPr>
          <w:p w:rsidR="00BA5D7A" w:rsidRPr="0070528C" w:rsidRDefault="00BA5D7A" w:rsidP="00D13A23">
            <w:pPr>
              <w:ind w:left="-8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rPr>
            </w:pPr>
            <w:r w:rsidRPr="0070528C">
              <w:rPr>
                <w:rFonts w:ascii="Times New Roman" w:eastAsia="Times New Roman" w:hAnsi="Times New Roman" w:cs="Times New Roman"/>
                <w:bCs/>
                <w:sz w:val="24"/>
                <w:szCs w:val="24"/>
              </w:rPr>
              <w:t>6.669.793,5</w:t>
            </w:r>
          </w:p>
        </w:tc>
        <w:tc>
          <w:tcPr>
            <w:tcW w:w="1276" w:type="dxa"/>
            <w:vAlign w:val="center"/>
          </w:tcPr>
          <w:p w:rsidR="00BA5D7A" w:rsidRPr="0070528C" w:rsidRDefault="00BA5D7A" w:rsidP="00D13A23">
            <w:pPr>
              <w:ind w:left="-164"/>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rPr>
            </w:pPr>
            <w:r w:rsidRPr="0070528C">
              <w:rPr>
                <w:rFonts w:ascii="Times New Roman" w:eastAsia="Times New Roman" w:hAnsi="Times New Roman" w:cs="Times New Roman"/>
                <w:bCs/>
                <w:sz w:val="24"/>
                <w:szCs w:val="24"/>
              </w:rPr>
              <w:t>6.669.704,7</w:t>
            </w:r>
          </w:p>
        </w:tc>
        <w:tc>
          <w:tcPr>
            <w:tcW w:w="1011" w:type="dxa"/>
            <w:vAlign w:val="center"/>
          </w:tcPr>
          <w:p w:rsidR="00BA5D7A" w:rsidRPr="0070528C" w:rsidRDefault="00BA5D7A" w:rsidP="00D13A23">
            <w:pPr>
              <w:spacing w:line="276" w:lineRule="auto"/>
              <w:ind w:left="-91" w:right="-9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70528C">
              <w:rPr>
                <w:rFonts w:ascii="Times New Roman" w:eastAsia="Times New Roman" w:hAnsi="Times New Roman" w:cs="Times New Roman"/>
                <w:bCs/>
                <w:sz w:val="24"/>
                <w:szCs w:val="24"/>
              </w:rPr>
              <w:t>-88,8</w:t>
            </w:r>
          </w:p>
        </w:tc>
        <w:tc>
          <w:tcPr>
            <w:tcW w:w="833" w:type="dxa"/>
            <w:vAlign w:val="center"/>
          </w:tcPr>
          <w:p w:rsidR="00BA5D7A" w:rsidRPr="0070528C" w:rsidRDefault="00BA5D7A" w:rsidP="00D13A2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70528C">
              <w:rPr>
                <w:rFonts w:ascii="Times New Roman" w:hAnsi="Times New Roman" w:cs="Times New Roman"/>
                <w:bCs/>
                <w:sz w:val="24"/>
                <w:szCs w:val="24"/>
              </w:rPr>
              <w:t>100,0</w:t>
            </w:r>
          </w:p>
        </w:tc>
      </w:tr>
      <w:tr w:rsidR="00BA5D7A" w:rsidRPr="0070528C" w:rsidTr="008E7523">
        <w:trPr>
          <w:gridAfter w:val="1"/>
          <w:cnfStyle w:val="000000100000" w:firstRow="0" w:lastRow="0" w:firstColumn="0" w:lastColumn="0" w:oddVBand="0" w:evenVBand="0" w:oddHBand="1" w:evenHBand="0" w:firstRowFirstColumn="0" w:firstRowLastColumn="0" w:lastRowFirstColumn="0" w:lastRowLastColumn="0"/>
          <w:wAfter w:w="8" w:type="dxa"/>
        </w:trPr>
        <w:tc>
          <w:tcPr>
            <w:cnfStyle w:val="001000000000" w:firstRow="0" w:lastRow="0" w:firstColumn="1" w:lastColumn="0" w:oddVBand="0" w:evenVBand="0" w:oddHBand="0" w:evenHBand="0" w:firstRowFirstColumn="0" w:firstRowLastColumn="0" w:lastRowFirstColumn="0" w:lastRowLastColumn="0"/>
            <w:tcW w:w="3865" w:type="dxa"/>
          </w:tcPr>
          <w:p w:rsidR="00BA5D7A" w:rsidRPr="0070528C" w:rsidRDefault="00BA5D7A" w:rsidP="00DF6432">
            <w:pPr>
              <w:spacing w:line="276" w:lineRule="auto"/>
              <w:jc w:val="both"/>
              <w:rPr>
                <w:rFonts w:ascii="Times New Roman" w:hAnsi="Times New Roman" w:cs="Times New Roman"/>
                <w:b w:val="0"/>
                <w:sz w:val="24"/>
                <w:szCs w:val="24"/>
              </w:rPr>
            </w:pPr>
            <w:r w:rsidRPr="0070528C">
              <w:rPr>
                <w:rFonts w:ascii="Times New Roman" w:eastAsia="Times New Roman" w:hAnsi="Times New Roman" w:cs="Times New Roman"/>
                <w:b w:val="0"/>
                <w:sz w:val="24"/>
                <w:szCs w:val="24"/>
              </w:rPr>
              <w:t>Pentru școli sportive</w:t>
            </w:r>
          </w:p>
        </w:tc>
        <w:tc>
          <w:tcPr>
            <w:tcW w:w="1350" w:type="dxa"/>
            <w:vAlign w:val="center"/>
          </w:tcPr>
          <w:p w:rsidR="00BA5D7A" w:rsidRPr="0070528C" w:rsidRDefault="00BA5D7A" w:rsidP="00D13A23">
            <w:pPr>
              <w:spacing w:line="276" w:lineRule="auto"/>
              <w:ind w:left="-12"/>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rPr>
            </w:pPr>
            <w:r w:rsidRPr="0070528C">
              <w:rPr>
                <w:rFonts w:ascii="Times New Roman" w:hAnsi="Times New Roman" w:cs="Times New Roman"/>
                <w:bCs/>
                <w:sz w:val="24"/>
                <w:szCs w:val="24"/>
              </w:rPr>
              <w:t>162.028,0</w:t>
            </w:r>
          </w:p>
        </w:tc>
        <w:tc>
          <w:tcPr>
            <w:tcW w:w="1301" w:type="dxa"/>
            <w:vAlign w:val="center"/>
          </w:tcPr>
          <w:p w:rsidR="00BA5D7A" w:rsidRPr="0070528C" w:rsidRDefault="00BA5D7A" w:rsidP="00D13A23">
            <w:pPr>
              <w:spacing w:line="276" w:lineRule="auto"/>
              <w:ind w:left="-8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70528C">
              <w:rPr>
                <w:rFonts w:ascii="Times New Roman" w:hAnsi="Times New Roman" w:cs="Times New Roman"/>
                <w:bCs/>
                <w:sz w:val="24"/>
                <w:szCs w:val="24"/>
              </w:rPr>
              <w:t>166.061,3</w:t>
            </w:r>
          </w:p>
        </w:tc>
        <w:tc>
          <w:tcPr>
            <w:tcW w:w="1276" w:type="dxa"/>
            <w:vAlign w:val="center"/>
          </w:tcPr>
          <w:p w:rsidR="00BA5D7A" w:rsidRPr="0070528C" w:rsidRDefault="00BA5D7A" w:rsidP="00D13A23">
            <w:pPr>
              <w:spacing w:line="276" w:lineRule="auto"/>
              <w:ind w:left="-16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0528C">
              <w:rPr>
                <w:rFonts w:ascii="Times New Roman" w:hAnsi="Times New Roman" w:cs="Times New Roman"/>
                <w:bCs/>
                <w:sz w:val="24"/>
                <w:szCs w:val="24"/>
              </w:rPr>
              <w:t>161.650,8</w:t>
            </w:r>
          </w:p>
        </w:tc>
        <w:tc>
          <w:tcPr>
            <w:tcW w:w="1011" w:type="dxa"/>
            <w:vAlign w:val="center"/>
          </w:tcPr>
          <w:p w:rsidR="00BA5D7A" w:rsidRPr="0070528C" w:rsidRDefault="00BA5D7A" w:rsidP="00D13A23">
            <w:pPr>
              <w:spacing w:line="276" w:lineRule="auto"/>
              <w:ind w:left="-91" w:right="-9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70528C">
              <w:rPr>
                <w:rFonts w:ascii="Times New Roman" w:hAnsi="Times New Roman" w:cs="Times New Roman"/>
                <w:bCs/>
                <w:sz w:val="24"/>
                <w:szCs w:val="24"/>
              </w:rPr>
              <w:t>-4.410,5</w:t>
            </w:r>
          </w:p>
        </w:tc>
        <w:tc>
          <w:tcPr>
            <w:tcW w:w="833" w:type="dxa"/>
            <w:vAlign w:val="center"/>
          </w:tcPr>
          <w:p w:rsidR="00BA5D7A" w:rsidRPr="0070528C" w:rsidRDefault="00BA5D7A" w:rsidP="00D13A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70528C">
              <w:rPr>
                <w:rFonts w:ascii="Times New Roman" w:hAnsi="Times New Roman" w:cs="Times New Roman"/>
                <w:bCs/>
                <w:sz w:val="24"/>
                <w:szCs w:val="24"/>
              </w:rPr>
              <w:t>97,3</w:t>
            </w:r>
          </w:p>
        </w:tc>
      </w:tr>
      <w:tr w:rsidR="00BA5D7A" w:rsidRPr="0070528C" w:rsidTr="008E7523">
        <w:trPr>
          <w:gridAfter w:val="1"/>
          <w:wAfter w:w="8" w:type="dxa"/>
          <w:trHeight w:val="276"/>
        </w:trPr>
        <w:tc>
          <w:tcPr>
            <w:cnfStyle w:val="001000000000" w:firstRow="0" w:lastRow="0" w:firstColumn="1" w:lastColumn="0" w:oddVBand="0" w:evenVBand="0" w:oddHBand="0" w:evenHBand="0" w:firstRowFirstColumn="0" w:firstRowLastColumn="0" w:lastRowFirstColumn="0" w:lastRowLastColumn="0"/>
            <w:tcW w:w="3865" w:type="dxa"/>
          </w:tcPr>
          <w:p w:rsidR="00BA5D7A" w:rsidRPr="0070528C" w:rsidRDefault="00BA5D7A" w:rsidP="00DF6432">
            <w:pPr>
              <w:spacing w:line="276" w:lineRule="auto"/>
              <w:jc w:val="both"/>
              <w:rPr>
                <w:rFonts w:ascii="Times New Roman" w:hAnsi="Times New Roman" w:cs="Times New Roman"/>
                <w:b w:val="0"/>
                <w:sz w:val="24"/>
                <w:szCs w:val="24"/>
              </w:rPr>
            </w:pPr>
            <w:r w:rsidRPr="0070528C">
              <w:rPr>
                <w:rFonts w:ascii="Times New Roman" w:eastAsia="Times New Roman" w:hAnsi="Times New Roman" w:cs="Times New Roman"/>
                <w:b w:val="0"/>
                <w:sz w:val="24"/>
                <w:szCs w:val="24"/>
              </w:rPr>
              <w:t xml:space="preserve">Pentru asistența socială </w:t>
            </w:r>
          </w:p>
        </w:tc>
        <w:tc>
          <w:tcPr>
            <w:tcW w:w="1350" w:type="dxa"/>
            <w:vAlign w:val="center"/>
          </w:tcPr>
          <w:p w:rsidR="00BA5D7A" w:rsidRPr="0070528C" w:rsidRDefault="00BA5D7A" w:rsidP="00D13A23">
            <w:pPr>
              <w:spacing w:line="276" w:lineRule="auto"/>
              <w:ind w:left="-12"/>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rPr>
            </w:pPr>
            <w:r w:rsidRPr="0070528C">
              <w:rPr>
                <w:rFonts w:ascii="Times New Roman" w:eastAsia="Times New Roman" w:hAnsi="Times New Roman" w:cs="Times New Roman"/>
                <w:bCs/>
                <w:sz w:val="24"/>
                <w:szCs w:val="24"/>
              </w:rPr>
              <w:t>192.735,6</w:t>
            </w:r>
          </w:p>
        </w:tc>
        <w:tc>
          <w:tcPr>
            <w:tcW w:w="1301" w:type="dxa"/>
            <w:vAlign w:val="center"/>
          </w:tcPr>
          <w:p w:rsidR="00BA5D7A" w:rsidRPr="0070528C" w:rsidRDefault="00BA5D7A" w:rsidP="00D13A23">
            <w:pPr>
              <w:spacing w:line="276" w:lineRule="auto"/>
              <w:ind w:left="-8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0528C">
              <w:rPr>
                <w:rFonts w:ascii="Times New Roman" w:eastAsia="Times New Roman" w:hAnsi="Times New Roman" w:cs="Times New Roman"/>
                <w:bCs/>
                <w:sz w:val="24"/>
                <w:szCs w:val="24"/>
              </w:rPr>
              <w:t>178.157,8</w:t>
            </w:r>
          </w:p>
        </w:tc>
        <w:tc>
          <w:tcPr>
            <w:tcW w:w="1276" w:type="dxa"/>
            <w:vAlign w:val="center"/>
          </w:tcPr>
          <w:p w:rsidR="00BA5D7A" w:rsidRPr="0070528C" w:rsidRDefault="00BA5D7A" w:rsidP="00D13A23">
            <w:pPr>
              <w:spacing w:line="276" w:lineRule="auto"/>
              <w:ind w:left="-16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0528C">
              <w:rPr>
                <w:rFonts w:ascii="Times New Roman" w:eastAsia="Times New Roman" w:hAnsi="Times New Roman" w:cs="Times New Roman"/>
                <w:bCs/>
                <w:sz w:val="24"/>
                <w:szCs w:val="24"/>
              </w:rPr>
              <w:t>164.253,6</w:t>
            </w:r>
          </w:p>
        </w:tc>
        <w:tc>
          <w:tcPr>
            <w:tcW w:w="1011" w:type="dxa"/>
            <w:vAlign w:val="center"/>
          </w:tcPr>
          <w:p w:rsidR="00BA5D7A" w:rsidRPr="0070528C" w:rsidRDefault="00BA5D7A" w:rsidP="00D13A23">
            <w:pPr>
              <w:spacing w:line="276" w:lineRule="auto"/>
              <w:ind w:left="-91" w:right="-9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70528C">
              <w:rPr>
                <w:rFonts w:ascii="Times New Roman" w:hAnsi="Times New Roman" w:cs="Times New Roman"/>
                <w:bCs/>
                <w:sz w:val="24"/>
                <w:szCs w:val="24"/>
              </w:rPr>
              <w:t>-13.904,2</w:t>
            </w:r>
          </w:p>
        </w:tc>
        <w:tc>
          <w:tcPr>
            <w:tcW w:w="833" w:type="dxa"/>
            <w:vAlign w:val="center"/>
          </w:tcPr>
          <w:p w:rsidR="00BA5D7A" w:rsidRPr="0070528C" w:rsidRDefault="00BA5D7A" w:rsidP="00D13A2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70528C">
              <w:rPr>
                <w:rFonts w:ascii="Times New Roman" w:hAnsi="Times New Roman" w:cs="Times New Roman"/>
                <w:bCs/>
                <w:sz w:val="24"/>
                <w:szCs w:val="24"/>
              </w:rPr>
              <w:t>92,2</w:t>
            </w:r>
          </w:p>
        </w:tc>
      </w:tr>
      <w:tr w:rsidR="00BA5D7A" w:rsidRPr="0070528C" w:rsidTr="008E7523">
        <w:trPr>
          <w:gridAfter w:val="1"/>
          <w:cnfStyle w:val="000000100000" w:firstRow="0" w:lastRow="0" w:firstColumn="0" w:lastColumn="0" w:oddVBand="0" w:evenVBand="0" w:oddHBand="1" w:evenHBand="0" w:firstRowFirstColumn="0" w:firstRowLastColumn="0" w:lastRowFirstColumn="0" w:lastRowLastColumn="0"/>
          <w:wAfter w:w="8" w:type="dxa"/>
        </w:trPr>
        <w:tc>
          <w:tcPr>
            <w:cnfStyle w:val="001000000000" w:firstRow="0" w:lastRow="0" w:firstColumn="1" w:lastColumn="0" w:oddVBand="0" w:evenVBand="0" w:oddHBand="0" w:evenHBand="0" w:firstRowFirstColumn="0" w:firstRowLastColumn="0" w:lastRowFirstColumn="0" w:lastRowLastColumn="0"/>
            <w:tcW w:w="3865" w:type="dxa"/>
          </w:tcPr>
          <w:p w:rsidR="00BA5D7A" w:rsidRPr="0070528C" w:rsidRDefault="00BA5D7A" w:rsidP="00DF6432">
            <w:pPr>
              <w:spacing w:line="276" w:lineRule="auto"/>
              <w:jc w:val="both"/>
              <w:rPr>
                <w:rFonts w:ascii="Times New Roman" w:hAnsi="Times New Roman" w:cs="Times New Roman"/>
                <w:b w:val="0"/>
                <w:sz w:val="24"/>
                <w:szCs w:val="24"/>
              </w:rPr>
            </w:pPr>
            <w:r w:rsidRPr="0070528C">
              <w:rPr>
                <w:rFonts w:ascii="Times New Roman" w:eastAsia="Times New Roman" w:hAnsi="Times New Roman" w:cs="Times New Roman"/>
                <w:b w:val="0"/>
                <w:sz w:val="24"/>
                <w:szCs w:val="24"/>
              </w:rPr>
              <w:t>Pentru plata sporului lunar în mărime de 30% din salariul de bază pentru personalul unităților bugetare din partea stângă a Nistrului (raionul Dubăsari), satul Varnița (raionul Anenii Noi) și satele Hagimus și Copanca (raionul Căușeni)</w:t>
            </w:r>
          </w:p>
        </w:tc>
        <w:tc>
          <w:tcPr>
            <w:tcW w:w="1350" w:type="dxa"/>
            <w:vAlign w:val="center"/>
          </w:tcPr>
          <w:p w:rsidR="00BA5D7A" w:rsidRPr="0070528C" w:rsidRDefault="00BA5D7A" w:rsidP="00D13A23">
            <w:pPr>
              <w:spacing w:line="276" w:lineRule="auto"/>
              <w:ind w:left="-12"/>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rPr>
            </w:pPr>
            <w:r w:rsidRPr="0070528C">
              <w:rPr>
                <w:rFonts w:ascii="Times New Roman" w:eastAsia="Times New Roman" w:hAnsi="Times New Roman" w:cs="Times New Roman"/>
                <w:bCs/>
                <w:sz w:val="24"/>
                <w:szCs w:val="24"/>
              </w:rPr>
              <w:t>3.860,8</w:t>
            </w:r>
          </w:p>
        </w:tc>
        <w:tc>
          <w:tcPr>
            <w:tcW w:w="1301" w:type="dxa"/>
            <w:vAlign w:val="center"/>
          </w:tcPr>
          <w:p w:rsidR="00BA5D7A" w:rsidRPr="0070528C" w:rsidRDefault="00BA5D7A" w:rsidP="00D13A23">
            <w:pPr>
              <w:spacing w:line="276" w:lineRule="auto"/>
              <w:ind w:left="-8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0528C">
              <w:rPr>
                <w:rFonts w:ascii="Times New Roman" w:hAnsi="Times New Roman" w:cs="Times New Roman"/>
                <w:bCs/>
                <w:sz w:val="24"/>
                <w:szCs w:val="24"/>
              </w:rPr>
              <w:t>3.860,8</w:t>
            </w:r>
          </w:p>
        </w:tc>
        <w:tc>
          <w:tcPr>
            <w:tcW w:w="1276" w:type="dxa"/>
            <w:vAlign w:val="center"/>
          </w:tcPr>
          <w:p w:rsidR="00BA5D7A" w:rsidRPr="0070528C" w:rsidRDefault="00BA5D7A" w:rsidP="00D13A23">
            <w:pPr>
              <w:spacing w:line="276" w:lineRule="auto"/>
              <w:ind w:left="-16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0528C">
              <w:rPr>
                <w:rFonts w:ascii="Times New Roman" w:hAnsi="Times New Roman" w:cs="Times New Roman"/>
                <w:bCs/>
                <w:sz w:val="24"/>
                <w:szCs w:val="24"/>
              </w:rPr>
              <w:t>3.860,8</w:t>
            </w:r>
          </w:p>
        </w:tc>
        <w:tc>
          <w:tcPr>
            <w:tcW w:w="1011" w:type="dxa"/>
            <w:vAlign w:val="center"/>
          </w:tcPr>
          <w:p w:rsidR="00BA5D7A" w:rsidRPr="0070528C" w:rsidRDefault="00BA5D7A" w:rsidP="008C2674">
            <w:pPr>
              <w:spacing w:line="276" w:lineRule="auto"/>
              <w:ind w:left="-91" w:right="-9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0528C">
              <w:rPr>
                <w:rFonts w:ascii="Times New Roman" w:hAnsi="Times New Roman" w:cs="Times New Roman"/>
                <w:sz w:val="24"/>
                <w:szCs w:val="24"/>
              </w:rPr>
              <w:t>-</w:t>
            </w:r>
          </w:p>
        </w:tc>
        <w:tc>
          <w:tcPr>
            <w:tcW w:w="833" w:type="dxa"/>
            <w:vAlign w:val="center"/>
          </w:tcPr>
          <w:p w:rsidR="00BA5D7A" w:rsidRPr="0070528C" w:rsidRDefault="00BA5D7A" w:rsidP="00D13A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0528C">
              <w:rPr>
                <w:rFonts w:ascii="Times New Roman" w:hAnsi="Times New Roman" w:cs="Times New Roman"/>
                <w:sz w:val="24"/>
                <w:szCs w:val="24"/>
              </w:rPr>
              <w:t>100,0</w:t>
            </w:r>
          </w:p>
        </w:tc>
      </w:tr>
      <w:tr w:rsidR="00BA5D7A" w:rsidRPr="0070528C" w:rsidTr="008E7523">
        <w:trPr>
          <w:gridAfter w:val="1"/>
          <w:wAfter w:w="8" w:type="dxa"/>
        </w:trPr>
        <w:tc>
          <w:tcPr>
            <w:cnfStyle w:val="001000000000" w:firstRow="0" w:lastRow="0" w:firstColumn="1" w:lastColumn="0" w:oddVBand="0" w:evenVBand="0" w:oddHBand="0" w:evenHBand="0" w:firstRowFirstColumn="0" w:firstRowLastColumn="0" w:lastRowFirstColumn="0" w:lastRowLastColumn="0"/>
            <w:tcW w:w="3865" w:type="dxa"/>
          </w:tcPr>
          <w:p w:rsidR="00BA5D7A" w:rsidRPr="0070528C" w:rsidRDefault="00BA5D7A" w:rsidP="008C2674">
            <w:pPr>
              <w:spacing w:line="276" w:lineRule="auto"/>
              <w:jc w:val="both"/>
              <w:rPr>
                <w:rFonts w:ascii="Times New Roman" w:hAnsi="Times New Roman" w:cs="Times New Roman"/>
                <w:b w:val="0"/>
                <w:sz w:val="24"/>
                <w:szCs w:val="24"/>
              </w:rPr>
            </w:pPr>
            <w:r w:rsidRPr="0070528C">
              <w:rPr>
                <w:rFonts w:ascii="Times New Roman" w:eastAsia="Times New Roman" w:hAnsi="Times New Roman" w:cs="Times New Roman"/>
                <w:b w:val="0"/>
                <w:sz w:val="24"/>
                <w:szCs w:val="24"/>
              </w:rPr>
              <w:t>Pentru compensarea scutirilor de la plata impozitului funcia</w:t>
            </w:r>
            <w:r>
              <w:rPr>
                <w:rFonts w:ascii="Times New Roman" w:eastAsia="Times New Roman" w:hAnsi="Times New Roman" w:cs="Times New Roman"/>
                <w:b w:val="0"/>
                <w:sz w:val="24"/>
                <w:szCs w:val="24"/>
              </w:rPr>
              <w:t>r (venituri ratate) al deținăto</w:t>
            </w:r>
            <w:r w:rsidRPr="0070528C">
              <w:rPr>
                <w:rFonts w:ascii="Times New Roman" w:eastAsia="Times New Roman" w:hAnsi="Times New Roman" w:cs="Times New Roman"/>
                <w:b w:val="0"/>
                <w:sz w:val="24"/>
                <w:szCs w:val="24"/>
              </w:rPr>
              <w:t>rilor de terenuri agricole situate după traseul R</w:t>
            </w:r>
            <w:r w:rsidR="008C2674">
              <w:rPr>
                <w:rFonts w:ascii="Times New Roman" w:eastAsia="Times New Roman" w:hAnsi="Times New Roman" w:cs="Times New Roman"/>
                <w:b w:val="0"/>
                <w:sz w:val="24"/>
                <w:szCs w:val="24"/>
              </w:rPr>
              <w:t>â</w:t>
            </w:r>
            <w:r w:rsidRPr="0070528C">
              <w:rPr>
                <w:rFonts w:ascii="Times New Roman" w:eastAsia="Times New Roman" w:hAnsi="Times New Roman" w:cs="Times New Roman"/>
                <w:b w:val="0"/>
                <w:sz w:val="24"/>
                <w:szCs w:val="24"/>
              </w:rPr>
              <w:t>bnița</w:t>
            </w:r>
            <w:r w:rsidR="008C2674">
              <w:rPr>
                <w:rFonts w:ascii="Times New Roman" w:eastAsia="Times New Roman" w:hAnsi="Times New Roman" w:cs="Times New Roman"/>
                <w:b w:val="0"/>
                <w:sz w:val="24"/>
                <w:szCs w:val="24"/>
              </w:rPr>
              <w:t xml:space="preserve"> </w:t>
            </w:r>
            <w:r w:rsidRPr="0070528C">
              <w:rPr>
                <w:rFonts w:ascii="Times New Roman" w:eastAsia="Times New Roman" w:hAnsi="Times New Roman" w:cs="Times New Roman"/>
                <w:b w:val="0"/>
                <w:sz w:val="24"/>
                <w:szCs w:val="24"/>
              </w:rPr>
              <w:t>-</w:t>
            </w:r>
            <w:r w:rsidR="008C2674">
              <w:rPr>
                <w:rFonts w:ascii="Times New Roman" w:eastAsia="Times New Roman" w:hAnsi="Times New Roman" w:cs="Times New Roman"/>
                <w:b w:val="0"/>
                <w:sz w:val="24"/>
                <w:szCs w:val="24"/>
              </w:rPr>
              <w:t xml:space="preserve"> </w:t>
            </w:r>
            <w:r w:rsidRPr="0070528C">
              <w:rPr>
                <w:rFonts w:ascii="Times New Roman" w:eastAsia="Times New Roman" w:hAnsi="Times New Roman" w:cs="Times New Roman"/>
                <w:b w:val="0"/>
                <w:sz w:val="24"/>
                <w:szCs w:val="24"/>
              </w:rPr>
              <w:t>Tiraspol</w:t>
            </w:r>
          </w:p>
        </w:tc>
        <w:tc>
          <w:tcPr>
            <w:tcW w:w="1350" w:type="dxa"/>
            <w:vAlign w:val="center"/>
          </w:tcPr>
          <w:p w:rsidR="00BA5D7A" w:rsidRPr="0070528C" w:rsidRDefault="00BA5D7A" w:rsidP="00D13A23">
            <w:pPr>
              <w:spacing w:line="276" w:lineRule="auto"/>
              <w:ind w:left="-12"/>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rPr>
            </w:pPr>
            <w:r w:rsidRPr="0070528C">
              <w:rPr>
                <w:rFonts w:ascii="Times New Roman" w:eastAsia="Times New Roman" w:hAnsi="Times New Roman" w:cs="Times New Roman"/>
                <w:bCs/>
                <w:sz w:val="24"/>
                <w:szCs w:val="24"/>
              </w:rPr>
              <w:t>630,0</w:t>
            </w:r>
          </w:p>
        </w:tc>
        <w:tc>
          <w:tcPr>
            <w:tcW w:w="1301" w:type="dxa"/>
            <w:vAlign w:val="center"/>
          </w:tcPr>
          <w:p w:rsidR="00BA5D7A" w:rsidRPr="0070528C" w:rsidRDefault="00BA5D7A" w:rsidP="008C2674">
            <w:pPr>
              <w:spacing w:line="276" w:lineRule="auto"/>
              <w:ind w:left="-8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70528C">
              <w:rPr>
                <w:rFonts w:ascii="Times New Roman" w:hAnsi="Times New Roman" w:cs="Times New Roman"/>
                <w:bCs/>
                <w:sz w:val="24"/>
                <w:szCs w:val="24"/>
              </w:rPr>
              <w:t>630,0</w:t>
            </w:r>
          </w:p>
        </w:tc>
        <w:tc>
          <w:tcPr>
            <w:tcW w:w="1276" w:type="dxa"/>
            <w:vAlign w:val="center"/>
          </w:tcPr>
          <w:p w:rsidR="00BA5D7A" w:rsidRPr="0070528C" w:rsidRDefault="00BA5D7A" w:rsidP="00D13A23">
            <w:pPr>
              <w:spacing w:line="276" w:lineRule="auto"/>
              <w:ind w:left="-16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0528C">
              <w:rPr>
                <w:rFonts w:ascii="Times New Roman" w:hAnsi="Times New Roman" w:cs="Times New Roman"/>
                <w:bCs/>
                <w:sz w:val="24"/>
                <w:szCs w:val="24"/>
              </w:rPr>
              <w:t>629,0</w:t>
            </w:r>
          </w:p>
        </w:tc>
        <w:tc>
          <w:tcPr>
            <w:tcW w:w="1011" w:type="dxa"/>
            <w:vAlign w:val="center"/>
          </w:tcPr>
          <w:p w:rsidR="00BA5D7A" w:rsidRPr="0070528C" w:rsidRDefault="00BA5D7A" w:rsidP="008C2674">
            <w:pPr>
              <w:spacing w:line="276" w:lineRule="auto"/>
              <w:ind w:left="-91" w:right="-9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70528C">
              <w:rPr>
                <w:rFonts w:ascii="Times New Roman" w:hAnsi="Times New Roman" w:cs="Times New Roman"/>
                <w:bCs/>
                <w:sz w:val="24"/>
                <w:szCs w:val="24"/>
              </w:rPr>
              <w:t>-1,0</w:t>
            </w:r>
          </w:p>
        </w:tc>
        <w:tc>
          <w:tcPr>
            <w:tcW w:w="833" w:type="dxa"/>
            <w:vAlign w:val="center"/>
          </w:tcPr>
          <w:p w:rsidR="00BA5D7A" w:rsidRPr="0070528C" w:rsidRDefault="00BA5D7A" w:rsidP="00D13A2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0528C">
              <w:rPr>
                <w:rFonts w:ascii="Times New Roman" w:hAnsi="Times New Roman" w:cs="Times New Roman"/>
                <w:sz w:val="24"/>
                <w:szCs w:val="24"/>
              </w:rPr>
              <w:t>99,8</w:t>
            </w:r>
          </w:p>
        </w:tc>
      </w:tr>
      <w:tr w:rsidR="00BA5D7A" w:rsidRPr="0070528C" w:rsidTr="008E7523">
        <w:trPr>
          <w:gridAfter w:val="1"/>
          <w:cnfStyle w:val="000000100000" w:firstRow="0" w:lastRow="0" w:firstColumn="0" w:lastColumn="0" w:oddVBand="0" w:evenVBand="0" w:oddHBand="1" w:evenHBand="0" w:firstRowFirstColumn="0" w:firstRowLastColumn="0" w:lastRowFirstColumn="0" w:lastRowLastColumn="0"/>
          <w:wAfter w:w="8" w:type="dxa"/>
        </w:trPr>
        <w:tc>
          <w:tcPr>
            <w:cnfStyle w:val="001000000000" w:firstRow="0" w:lastRow="0" w:firstColumn="1" w:lastColumn="0" w:oddVBand="0" w:evenVBand="0" w:oddHBand="0" w:evenHBand="0" w:firstRowFirstColumn="0" w:firstRowLastColumn="0" w:lastRowFirstColumn="0" w:lastRowLastColumn="0"/>
            <w:tcW w:w="3865" w:type="dxa"/>
          </w:tcPr>
          <w:p w:rsidR="00BA5D7A" w:rsidRPr="0070528C" w:rsidRDefault="00BA5D7A" w:rsidP="00DF6432">
            <w:pPr>
              <w:spacing w:line="276" w:lineRule="auto"/>
              <w:jc w:val="both"/>
              <w:rPr>
                <w:rFonts w:ascii="Times New Roman" w:hAnsi="Times New Roman" w:cs="Times New Roman"/>
                <w:b w:val="0"/>
                <w:sz w:val="24"/>
                <w:szCs w:val="24"/>
              </w:rPr>
            </w:pPr>
            <w:r w:rsidRPr="0070528C">
              <w:rPr>
                <w:rFonts w:ascii="Times New Roman" w:eastAsia="Times New Roman" w:hAnsi="Times New Roman" w:cs="Times New Roman"/>
                <w:b w:val="0"/>
                <w:sz w:val="24"/>
                <w:szCs w:val="24"/>
              </w:rPr>
              <w:t>Pentru paza depozitelor cu pesticide neutilizabile și perimate</w:t>
            </w:r>
          </w:p>
        </w:tc>
        <w:tc>
          <w:tcPr>
            <w:tcW w:w="1350" w:type="dxa"/>
            <w:vAlign w:val="center"/>
          </w:tcPr>
          <w:p w:rsidR="00BA5D7A" w:rsidRPr="0070528C" w:rsidRDefault="00BA5D7A" w:rsidP="00D13A23">
            <w:pPr>
              <w:spacing w:line="276" w:lineRule="auto"/>
              <w:ind w:left="-12"/>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rPr>
            </w:pPr>
            <w:r w:rsidRPr="0070528C">
              <w:rPr>
                <w:rFonts w:ascii="Times New Roman" w:eastAsia="Times New Roman" w:hAnsi="Times New Roman" w:cs="Times New Roman"/>
                <w:bCs/>
                <w:sz w:val="24"/>
                <w:szCs w:val="24"/>
              </w:rPr>
              <w:t>788,7</w:t>
            </w:r>
          </w:p>
        </w:tc>
        <w:tc>
          <w:tcPr>
            <w:tcW w:w="1301" w:type="dxa"/>
            <w:vAlign w:val="center"/>
          </w:tcPr>
          <w:p w:rsidR="00BA5D7A" w:rsidRPr="0070528C" w:rsidRDefault="00BA5D7A" w:rsidP="008C2674">
            <w:pPr>
              <w:spacing w:line="276" w:lineRule="auto"/>
              <w:ind w:left="-8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0528C">
              <w:rPr>
                <w:rFonts w:ascii="Times New Roman" w:hAnsi="Times New Roman" w:cs="Times New Roman"/>
                <w:bCs/>
                <w:sz w:val="24"/>
                <w:szCs w:val="24"/>
              </w:rPr>
              <w:t>823,8</w:t>
            </w:r>
          </w:p>
        </w:tc>
        <w:tc>
          <w:tcPr>
            <w:tcW w:w="1276" w:type="dxa"/>
            <w:vAlign w:val="center"/>
          </w:tcPr>
          <w:p w:rsidR="00BA5D7A" w:rsidRPr="0070528C" w:rsidRDefault="00BA5D7A" w:rsidP="00D13A23">
            <w:pPr>
              <w:spacing w:line="276" w:lineRule="auto"/>
              <w:ind w:left="-16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0528C">
              <w:rPr>
                <w:rFonts w:ascii="Times New Roman" w:hAnsi="Times New Roman" w:cs="Times New Roman"/>
                <w:bCs/>
                <w:sz w:val="24"/>
                <w:szCs w:val="24"/>
              </w:rPr>
              <w:t>823,8</w:t>
            </w:r>
          </w:p>
        </w:tc>
        <w:tc>
          <w:tcPr>
            <w:tcW w:w="1011" w:type="dxa"/>
            <w:vAlign w:val="center"/>
          </w:tcPr>
          <w:p w:rsidR="00BA5D7A" w:rsidRPr="0070528C" w:rsidRDefault="00BA5D7A" w:rsidP="008C2674">
            <w:pPr>
              <w:spacing w:line="276" w:lineRule="auto"/>
              <w:ind w:left="-91" w:right="-9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0528C">
              <w:rPr>
                <w:rFonts w:ascii="Times New Roman" w:hAnsi="Times New Roman" w:cs="Times New Roman"/>
                <w:sz w:val="24"/>
                <w:szCs w:val="24"/>
              </w:rPr>
              <w:t>-</w:t>
            </w:r>
          </w:p>
        </w:tc>
        <w:tc>
          <w:tcPr>
            <w:tcW w:w="833" w:type="dxa"/>
            <w:vAlign w:val="center"/>
          </w:tcPr>
          <w:p w:rsidR="00BA5D7A" w:rsidRPr="0070528C" w:rsidRDefault="00BA5D7A" w:rsidP="00D13A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0528C">
              <w:rPr>
                <w:rFonts w:ascii="Times New Roman" w:hAnsi="Times New Roman" w:cs="Times New Roman"/>
                <w:sz w:val="24"/>
                <w:szCs w:val="24"/>
              </w:rPr>
              <w:t>100,0</w:t>
            </w:r>
          </w:p>
        </w:tc>
      </w:tr>
      <w:tr w:rsidR="00BA5D7A" w:rsidRPr="0070528C" w:rsidTr="008E7523">
        <w:trPr>
          <w:gridAfter w:val="1"/>
          <w:wAfter w:w="8" w:type="dxa"/>
        </w:trPr>
        <w:tc>
          <w:tcPr>
            <w:cnfStyle w:val="001000000000" w:firstRow="0" w:lastRow="0" w:firstColumn="1" w:lastColumn="0" w:oddVBand="0" w:evenVBand="0" w:oddHBand="0" w:evenHBand="0" w:firstRowFirstColumn="0" w:firstRowLastColumn="0" w:lastRowFirstColumn="0" w:lastRowLastColumn="0"/>
            <w:tcW w:w="3865" w:type="dxa"/>
          </w:tcPr>
          <w:p w:rsidR="00BA5D7A" w:rsidRPr="0070528C" w:rsidRDefault="00BA5D7A" w:rsidP="00DF6432">
            <w:pPr>
              <w:spacing w:line="276" w:lineRule="auto"/>
              <w:jc w:val="both"/>
              <w:rPr>
                <w:rFonts w:ascii="Times New Roman" w:eastAsia="Times New Roman" w:hAnsi="Times New Roman" w:cs="Times New Roman"/>
                <w:b w:val="0"/>
                <w:sz w:val="24"/>
                <w:szCs w:val="24"/>
              </w:rPr>
            </w:pPr>
            <w:r w:rsidRPr="0070528C">
              <w:rPr>
                <w:rFonts w:ascii="Times New Roman" w:eastAsia="Times New Roman" w:hAnsi="Times New Roman" w:cs="Times New Roman"/>
                <w:b w:val="0"/>
                <w:sz w:val="24"/>
                <w:szCs w:val="24"/>
              </w:rPr>
              <w:t>Pentru cheltuieli capitale</w:t>
            </w:r>
          </w:p>
        </w:tc>
        <w:tc>
          <w:tcPr>
            <w:tcW w:w="1350" w:type="dxa"/>
            <w:vAlign w:val="center"/>
          </w:tcPr>
          <w:p w:rsidR="00BA5D7A" w:rsidRPr="0070528C" w:rsidRDefault="00BA5D7A" w:rsidP="00D13A23">
            <w:pPr>
              <w:spacing w:line="276" w:lineRule="auto"/>
              <w:ind w:left="-12"/>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rPr>
            </w:pPr>
            <w:r w:rsidRPr="0070528C">
              <w:rPr>
                <w:rFonts w:ascii="Times New Roman" w:eastAsia="Times New Roman" w:hAnsi="Times New Roman" w:cs="Times New Roman"/>
                <w:bCs/>
                <w:sz w:val="24"/>
                <w:szCs w:val="24"/>
              </w:rPr>
              <w:t>39.295,6</w:t>
            </w:r>
          </w:p>
        </w:tc>
        <w:tc>
          <w:tcPr>
            <w:tcW w:w="1301" w:type="dxa"/>
            <w:vAlign w:val="center"/>
          </w:tcPr>
          <w:p w:rsidR="00BA5D7A" w:rsidRPr="0070528C" w:rsidRDefault="00BA5D7A" w:rsidP="00D13A23">
            <w:pPr>
              <w:spacing w:line="276" w:lineRule="auto"/>
              <w:ind w:left="-8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0528C">
              <w:rPr>
                <w:rFonts w:ascii="Times New Roman" w:hAnsi="Times New Roman" w:cs="Times New Roman"/>
                <w:bCs/>
                <w:sz w:val="24"/>
                <w:szCs w:val="24"/>
              </w:rPr>
              <w:t>152.285,0</w:t>
            </w:r>
          </w:p>
        </w:tc>
        <w:tc>
          <w:tcPr>
            <w:tcW w:w="1276" w:type="dxa"/>
            <w:vAlign w:val="center"/>
          </w:tcPr>
          <w:p w:rsidR="00BA5D7A" w:rsidRPr="0070528C" w:rsidRDefault="00BA5D7A" w:rsidP="00D13A23">
            <w:pPr>
              <w:spacing w:line="276" w:lineRule="auto"/>
              <w:ind w:left="-16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0528C">
              <w:rPr>
                <w:rFonts w:ascii="Times New Roman" w:hAnsi="Times New Roman" w:cs="Times New Roman"/>
                <w:bCs/>
                <w:sz w:val="24"/>
                <w:szCs w:val="24"/>
              </w:rPr>
              <w:t>117.231,6</w:t>
            </w:r>
          </w:p>
        </w:tc>
        <w:tc>
          <w:tcPr>
            <w:tcW w:w="1011" w:type="dxa"/>
            <w:vAlign w:val="center"/>
          </w:tcPr>
          <w:p w:rsidR="00BA5D7A" w:rsidRPr="0070528C" w:rsidRDefault="00BA5D7A" w:rsidP="00D13A23">
            <w:pPr>
              <w:spacing w:line="276" w:lineRule="auto"/>
              <w:ind w:left="-91" w:right="-9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70528C">
              <w:rPr>
                <w:rFonts w:ascii="Times New Roman" w:hAnsi="Times New Roman" w:cs="Times New Roman"/>
                <w:bCs/>
                <w:sz w:val="24"/>
                <w:szCs w:val="24"/>
              </w:rPr>
              <w:t>-35.053,4</w:t>
            </w:r>
          </w:p>
        </w:tc>
        <w:tc>
          <w:tcPr>
            <w:tcW w:w="833" w:type="dxa"/>
            <w:vAlign w:val="center"/>
          </w:tcPr>
          <w:p w:rsidR="00BA5D7A" w:rsidRPr="0070528C" w:rsidRDefault="00BA5D7A" w:rsidP="00D13A23">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0528C">
              <w:rPr>
                <w:rFonts w:ascii="Times New Roman" w:hAnsi="Times New Roman" w:cs="Times New Roman"/>
                <w:sz w:val="24"/>
                <w:szCs w:val="24"/>
              </w:rPr>
              <w:t>77,0</w:t>
            </w:r>
          </w:p>
        </w:tc>
      </w:tr>
      <w:tr w:rsidR="00BA5D7A" w:rsidRPr="0070528C" w:rsidTr="008E7523">
        <w:trPr>
          <w:gridAfter w:val="1"/>
          <w:cnfStyle w:val="000000100000" w:firstRow="0" w:lastRow="0" w:firstColumn="0" w:lastColumn="0" w:oddVBand="0" w:evenVBand="0" w:oddHBand="1" w:evenHBand="0" w:firstRowFirstColumn="0" w:firstRowLastColumn="0" w:lastRowFirstColumn="0" w:lastRowLastColumn="0"/>
          <w:wAfter w:w="8" w:type="dxa"/>
        </w:trPr>
        <w:tc>
          <w:tcPr>
            <w:cnfStyle w:val="001000000000" w:firstRow="0" w:lastRow="0" w:firstColumn="1" w:lastColumn="0" w:oddVBand="0" w:evenVBand="0" w:oddHBand="0" w:evenHBand="0" w:firstRowFirstColumn="0" w:firstRowLastColumn="0" w:lastRowFirstColumn="0" w:lastRowLastColumn="0"/>
            <w:tcW w:w="3865" w:type="dxa"/>
          </w:tcPr>
          <w:p w:rsidR="00BA5D7A" w:rsidRPr="0070528C" w:rsidRDefault="00BA5D7A" w:rsidP="00DF6432">
            <w:pPr>
              <w:spacing w:line="276" w:lineRule="auto"/>
              <w:jc w:val="both"/>
              <w:rPr>
                <w:rFonts w:ascii="Times New Roman" w:hAnsi="Times New Roman" w:cs="Times New Roman"/>
                <w:b w:val="0"/>
                <w:sz w:val="24"/>
                <w:szCs w:val="24"/>
              </w:rPr>
            </w:pPr>
            <w:r w:rsidRPr="0070528C">
              <w:rPr>
                <w:rFonts w:ascii="Times New Roman" w:eastAsia="Times New Roman" w:hAnsi="Times New Roman" w:cs="Times New Roman"/>
                <w:b w:val="0"/>
                <w:sz w:val="24"/>
                <w:szCs w:val="24"/>
              </w:rPr>
              <w:t>Pentru infrastructura drumurilor publice locale</w:t>
            </w:r>
          </w:p>
        </w:tc>
        <w:tc>
          <w:tcPr>
            <w:tcW w:w="1350" w:type="dxa"/>
            <w:vAlign w:val="center"/>
          </w:tcPr>
          <w:p w:rsidR="00BA5D7A" w:rsidRPr="0070528C" w:rsidRDefault="00BA5D7A" w:rsidP="00D13A23">
            <w:pPr>
              <w:spacing w:line="276" w:lineRule="auto"/>
              <w:ind w:left="-1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tc>
        <w:tc>
          <w:tcPr>
            <w:tcW w:w="1301" w:type="dxa"/>
            <w:vAlign w:val="center"/>
          </w:tcPr>
          <w:p w:rsidR="00BA5D7A" w:rsidRPr="0070528C" w:rsidRDefault="00BA5D7A" w:rsidP="00C5725B">
            <w:pPr>
              <w:spacing w:line="276" w:lineRule="auto"/>
              <w:ind w:left="-8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0528C">
              <w:rPr>
                <w:rFonts w:ascii="Times New Roman" w:hAnsi="Times New Roman" w:cs="Times New Roman"/>
                <w:bCs/>
                <w:sz w:val="24"/>
                <w:szCs w:val="24"/>
              </w:rPr>
              <w:t>736.155,9</w:t>
            </w:r>
          </w:p>
        </w:tc>
        <w:tc>
          <w:tcPr>
            <w:tcW w:w="1276" w:type="dxa"/>
            <w:vAlign w:val="center"/>
          </w:tcPr>
          <w:p w:rsidR="00BA5D7A" w:rsidRPr="0070528C" w:rsidRDefault="00BA5D7A" w:rsidP="00D13A23">
            <w:pPr>
              <w:spacing w:line="276" w:lineRule="auto"/>
              <w:ind w:left="-16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0528C">
              <w:rPr>
                <w:rFonts w:ascii="Times New Roman" w:hAnsi="Times New Roman" w:cs="Times New Roman"/>
                <w:bCs/>
                <w:sz w:val="24"/>
                <w:szCs w:val="24"/>
              </w:rPr>
              <w:t>700.055,3</w:t>
            </w:r>
          </w:p>
        </w:tc>
        <w:tc>
          <w:tcPr>
            <w:tcW w:w="1011" w:type="dxa"/>
            <w:vAlign w:val="center"/>
          </w:tcPr>
          <w:p w:rsidR="00BA5D7A" w:rsidRPr="0070528C" w:rsidRDefault="00BA5D7A" w:rsidP="00D13A23">
            <w:pPr>
              <w:spacing w:line="276" w:lineRule="auto"/>
              <w:ind w:left="-91" w:right="-9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70528C">
              <w:rPr>
                <w:rFonts w:ascii="Times New Roman" w:hAnsi="Times New Roman" w:cs="Times New Roman"/>
                <w:bCs/>
                <w:sz w:val="24"/>
                <w:szCs w:val="24"/>
              </w:rPr>
              <w:t>-36.100,6</w:t>
            </w:r>
          </w:p>
        </w:tc>
        <w:tc>
          <w:tcPr>
            <w:tcW w:w="833" w:type="dxa"/>
            <w:vAlign w:val="center"/>
          </w:tcPr>
          <w:p w:rsidR="00BA5D7A" w:rsidRPr="0070528C" w:rsidRDefault="00BA5D7A" w:rsidP="00D13A2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0528C">
              <w:rPr>
                <w:rFonts w:ascii="Times New Roman" w:hAnsi="Times New Roman" w:cs="Times New Roman"/>
                <w:sz w:val="24"/>
                <w:szCs w:val="24"/>
              </w:rPr>
              <w:t>95,1</w:t>
            </w:r>
          </w:p>
        </w:tc>
      </w:tr>
    </w:tbl>
    <w:p w:rsidR="00BA5D7A" w:rsidRPr="0070528C" w:rsidRDefault="00BA5D7A" w:rsidP="00BA5D7A">
      <w:pPr>
        <w:spacing w:after="0" w:line="276" w:lineRule="auto"/>
        <w:ind w:right="51"/>
        <w:jc w:val="both"/>
        <w:rPr>
          <w:rFonts w:ascii="Times New Roman" w:eastAsia="Times New Roman" w:hAnsi="Times New Roman" w:cs="Times New Roman"/>
          <w:sz w:val="28"/>
          <w:szCs w:val="24"/>
          <w:lang w:eastAsia="ru-RU"/>
        </w:rPr>
      </w:pPr>
      <w:r w:rsidRPr="00C41233">
        <w:rPr>
          <w:rFonts w:ascii="Times New Roman" w:eastAsia="MS Mincho" w:hAnsi="Times New Roman" w:cs="Times New Roman"/>
          <w:b/>
          <w:sz w:val="20"/>
          <w:szCs w:val="20"/>
          <w:lang w:eastAsia="ja-JP"/>
        </w:rPr>
        <w:t>Surs</w:t>
      </w:r>
      <w:r w:rsidR="008C2674">
        <w:rPr>
          <w:rFonts w:ascii="Times New Roman" w:eastAsia="MS Mincho" w:hAnsi="Times New Roman" w:cs="Times New Roman"/>
          <w:b/>
          <w:sz w:val="20"/>
          <w:szCs w:val="20"/>
          <w:lang w:eastAsia="ja-JP"/>
        </w:rPr>
        <w:t>ă</w:t>
      </w:r>
      <w:r>
        <w:rPr>
          <w:rFonts w:ascii="Times New Roman" w:eastAsia="MS Mincho" w:hAnsi="Times New Roman" w:cs="Times New Roman"/>
          <w:b/>
          <w:sz w:val="20"/>
          <w:szCs w:val="20"/>
          <w:lang w:eastAsia="ja-JP"/>
        </w:rPr>
        <w:t xml:space="preserve">: </w:t>
      </w:r>
      <w:r w:rsidRPr="00CC6760">
        <w:rPr>
          <w:rFonts w:ascii="Times New Roman" w:eastAsia="MS Mincho" w:hAnsi="Times New Roman" w:cs="Times New Roman"/>
          <w:i/>
          <w:sz w:val="20"/>
          <w:szCs w:val="20"/>
          <w:lang w:eastAsia="ja-JP"/>
        </w:rPr>
        <w:t xml:space="preserve">Informații generalizate de echipa de audit în baza datelor </w:t>
      </w:r>
      <w:r>
        <w:rPr>
          <w:rFonts w:ascii="Times New Roman" w:eastAsia="MS Mincho" w:hAnsi="Times New Roman" w:cs="Times New Roman"/>
          <w:i/>
          <w:sz w:val="20"/>
          <w:szCs w:val="20"/>
          <w:lang w:eastAsia="ja-JP"/>
        </w:rPr>
        <w:t>din Raportul privind executarea bugetului de stat pe anul 2017, Formularul nr.5.1</w:t>
      </w:r>
      <w:r w:rsidR="008C2674">
        <w:rPr>
          <w:rFonts w:ascii="Times New Roman" w:eastAsia="MS Mincho" w:hAnsi="Times New Roman" w:cs="Times New Roman"/>
          <w:i/>
          <w:sz w:val="20"/>
          <w:szCs w:val="20"/>
          <w:lang w:eastAsia="ja-JP"/>
        </w:rPr>
        <w:t>.</w:t>
      </w:r>
    </w:p>
    <w:p w:rsidR="00C47842" w:rsidRDefault="00C47842" w:rsidP="00BA5D7A">
      <w:pPr>
        <w:spacing w:after="0" w:line="276" w:lineRule="auto"/>
        <w:ind w:right="51" w:firstLine="709"/>
        <w:jc w:val="right"/>
        <w:rPr>
          <w:rFonts w:ascii="Times New Roman" w:eastAsia="Times New Roman" w:hAnsi="Times New Roman" w:cs="Times New Roman"/>
          <w:i/>
          <w:sz w:val="28"/>
          <w:szCs w:val="24"/>
          <w:lang w:eastAsia="ru-RU"/>
        </w:rPr>
      </w:pPr>
    </w:p>
    <w:p w:rsidR="00C47842" w:rsidRDefault="00C47842" w:rsidP="00BA5D7A">
      <w:pPr>
        <w:spacing w:after="0" w:line="276" w:lineRule="auto"/>
        <w:ind w:right="51" w:firstLine="709"/>
        <w:jc w:val="right"/>
        <w:rPr>
          <w:rFonts w:ascii="Times New Roman" w:eastAsia="Times New Roman" w:hAnsi="Times New Roman" w:cs="Times New Roman"/>
          <w:i/>
          <w:sz w:val="28"/>
          <w:szCs w:val="24"/>
          <w:lang w:eastAsia="ru-RU"/>
        </w:rPr>
      </w:pPr>
    </w:p>
    <w:p w:rsidR="00C47842" w:rsidRDefault="00C47842" w:rsidP="00BA5D7A">
      <w:pPr>
        <w:spacing w:after="0" w:line="276" w:lineRule="auto"/>
        <w:ind w:right="51" w:firstLine="709"/>
        <w:jc w:val="right"/>
        <w:rPr>
          <w:rFonts w:ascii="Times New Roman" w:eastAsia="Times New Roman" w:hAnsi="Times New Roman" w:cs="Times New Roman"/>
          <w:i/>
          <w:sz w:val="28"/>
          <w:szCs w:val="24"/>
          <w:lang w:eastAsia="ru-RU"/>
        </w:rPr>
      </w:pPr>
    </w:p>
    <w:p w:rsidR="00C47842" w:rsidRDefault="00C47842" w:rsidP="00BA5D7A">
      <w:pPr>
        <w:spacing w:after="0" w:line="276" w:lineRule="auto"/>
        <w:ind w:right="51" w:firstLine="709"/>
        <w:jc w:val="right"/>
        <w:rPr>
          <w:rFonts w:ascii="Times New Roman" w:eastAsia="Times New Roman" w:hAnsi="Times New Roman" w:cs="Times New Roman"/>
          <w:i/>
          <w:sz w:val="28"/>
          <w:szCs w:val="24"/>
          <w:lang w:eastAsia="ru-RU"/>
        </w:rPr>
      </w:pPr>
    </w:p>
    <w:p w:rsidR="00124E68" w:rsidRDefault="00124E68" w:rsidP="00BA5D7A">
      <w:pPr>
        <w:spacing w:after="0" w:line="276" w:lineRule="auto"/>
        <w:ind w:right="51" w:firstLine="709"/>
        <w:jc w:val="right"/>
        <w:rPr>
          <w:rFonts w:ascii="Times New Roman" w:eastAsia="Times New Roman" w:hAnsi="Times New Roman" w:cs="Times New Roman"/>
          <w:i/>
          <w:sz w:val="28"/>
          <w:szCs w:val="24"/>
          <w:lang w:eastAsia="ru-RU"/>
        </w:rPr>
      </w:pPr>
    </w:p>
    <w:p w:rsidR="00C47842" w:rsidRDefault="00C47842" w:rsidP="00BA5D7A">
      <w:pPr>
        <w:spacing w:after="0" w:line="276" w:lineRule="auto"/>
        <w:ind w:right="51" w:firstLine="709"/>
        <w:jc w:val="right"/>
        <w:rPr>
          <w:rFonts w:ascii="Times New Roman" w:eastAsia="Times New Roman" w:hAnsi="Times New Roman" w:cs="Times New Roman"/>
          <w:i/>
          <w:sz w:val="28"/>
          <w:szCs w:val="24"/>
          <w:lang w:eastAsia="ru-RU"/>
        </w:rPr>
      </w:pPr>
    </w:p>
    <w:p w:rsidR="00BA5D7A" w:rsidRDefault="00BA5D7A" w:rsidP="00BA5D7A">
      <w:pPr>
        <w:spacing w:after="0" w:line="276" w:lineRule="auto"/>
        <w:ind w:right="51" w:firstLine="709"/>
        <w:jc w:val="right"/>
        <w:rPr>
          <w:rFonts w:ascii="Times New Roman" w:eastAsia="Times New Roman" w:hAnsi="Times New Roman" w:cs="Times New Roman"/>
          <w:i/>
          <w:sz w:val="28"/>
          <w:szCs w:val="24"/>
          <w:lang w:eastAsia="ru-RU"/>
        </w:rPr>
      </w:pPr>
      <w:r w:rsidRPr="004B4661">
        <w:rPr>
          <w:rFonts w:ascii="Times New Roman" w:eastAsia="Times New Roman" w:hAnsi="Times New Roman" w:cs="Times New Roman"/>
          <w:i/>
          <w:sz w:val="28"/>
          <w:szCs w:val="24"/>
          <w:lang w:eastAsia="ru-RU"/>
        </w:rPr>
        <w:lastRenderedPageBreak/>
        <w:t>Tabelul nr.</w:t>
      </w:r>
      <w:r w:rsidR="00024D8E">
        <w:rPr>
          <w:rFonts w:ascii="Times New Roman" w:eastAsia="Times New Roman" w:hAnsi="Times New Roman" w:cs="Times New Roman"/>
          <w:i/>
          <w:sz w:val="28"/>
          <w:szCs w:val="24"/>
          <w:lang w:eastAsia="ru-RU"/>
        </w:rPr>
        <w:t>5</w:t>
      </w:r>
    </w:p>
    <w:p w:rsidR="00476255" w:rsidRPr="004B4661" w:rsidRDefault="00476255" w:rsidP="00476255">
      <w:pPr>
        <w:spacing w:after="0" w:line="276" w:lineRule="auto"/>
        <w:ind w:right="49"/>
        <w:jc w:val="center"/>
        <w:rPr>
          <w:rFonts w:ascii="Times New Roman" w:eastAsia="Times New Roman" w:hAnsi="Times New Roman" w:cs="Times New Roman"/>
          <w:b/>
          <w:i/>
          <w:sz w:val="24"/>
          <w:szCs w:val="24"/>
          <w:lang w:eastAsia="ru-RU"/>
        </w:rPr>
      </w:pPr>
      <w:r w:rsidRPr="003F56DB">
        <w:rPr>
          <w:rFonts w:ascii="Times New Roman" w:eastAsia="Times New Roman" w:hAnsi="Times New Roman" w:cs="Times New Roman"/>
          <w:b/>
          <w:i/>
          <w:sz w:val="24"/>
          <w:szCs w:val="24"/>
          <w:lang w:eastAsia="ru-RU"/>
        </w:rPr>
        <w:t>Analiza executării veniturilor bugetului de stat pe anul 2017, în aspectul tipurilor de venituri și în comparație cu indicii aprobați și precizați</w:t>
      </w:r>
    </w:p>
    <w:p w:rsidR="00476255" w:rsidRPr="00B64866" w:rsidRDefault="00476255" w:rsidP="00476255">
      <w:pPr>
        <w:spacing w:after="0" w:line="276" w:lineRule="auto"/>
        <w:ind w:right="49"/>
        <w:jc w:val="right"/>
        <w:rPr>
          <w:rFonts w:ascii="Times New Roman" w:eastAsia="Times New Roman" w:hAnsi="Times New Roman" w:cs="Times New Roman"/>
          <w:sz w:val="24"/>
          <w:szCs w:val="24"/>
          <w:lang w:eastAsia="ru-RU"/>
        </w:rPr>
      </w:pPr>
      <w:r w:rsidRPr="00B64866">
        <w:rPr>
          <w:rFonts w:ascii="Times New Roman" w:eastAsia="Times New Roman" w:hAnsi="Times New Roman" w:cs="Times New Roman"/>
          <w:i/>
          <w:sz w:val="24"/>
          <w:szCs w:val="24"/>
          <w:lang w:eastAsia="ru-RU"/>
        </w:rPr>
        <w:t>(mil.lei)</w:t>
      </w:r>
    </w:p>
    <w:tbl>
      <w:tblPr>
        <w:tblStyle w:val="TableGrid1"/>
        <w:tblW w:w="9842" w:type="dxa"/>
        <w:tblInd w:w="-147" w:type="dxa"/>
        <w:tblLayout w:type="fixed"/>
        <w:tblLook w:val="04A0" w:firstRow="1" w:lastRow="0" w:firstColumn="1" w:lastColumn="0" w:noHBand="0" w:noVBand="1"/>
      </w:tblPr>
      <w:tblGrid>
        <w:gridCol w:w="3544"/>
        <w:gridCol w:w="1011"/>
        <w:gridCol w:w="986"/>
        <w:gridCol w:w="968"/>
        <w:gridCol w:w="850"/>
        <w:gridCol w:w="709"/>
        <w:gridCol w:w="850"/>
        <w:gridCol w:w="924"/>
      </w:tblGrid>
      <w:tr w:rsidR="00476255" w:rsidRPr="00B64866" w:rsidTr="00F362C7">
        <w:tc>
          <w:tcPr>
            <w:tcW w:w="3544" w:type="dxa"/>
            <w:vMerge w:val="restart"/>
            <w:shd w:val="clear" w:color="auto" w:fill="1F3864" w:themeFill="accent5" w:themeFillShade="80"/>
            <w:vAlign w:val="center"/>
          </w:tcPr>
          <w:p w:rsidR="00476255" w:rsidRPr="00B64866" w:rsidRDefault="00476255" w:rsidP="00F362C7">
            <w:pPr>
              <w:ind w:right="29"/>
              <w:jc w:val="center"/>
              <w:rPr>
                <w:rFonts w:ascii="Times New Roman" w:eastAsia="Times New Roman" w:hAnsi="Times New Roman" w:cs="Times New Roman"/>
                <w:b/>
                <w:lang w:eastAsia="ru-RU"/>
              </w:rPr>
            </w:pPr>
            <w:r w:rsidRPr="00B64866">
              <w:rPr>
                <w:rFonts w:ascii="Times New Roman" w:eastAsia="Times New Roman" w:hAnsi="Times New Roman" w:cs="Times New Roman"/>
                <w:lang w:eastAsia="ru-RU"/>
              </w:rPr>
              <w:br w:type="page"/>
            </w:r>
            <w:r w:rsidRPr="00B64866">
              <w:rPr>
                <w:rFonts w:ascii="Times New Roman" w:eastAsia="Times New Roman" w:hAnsi="Times New Roman" w:cs="Times New Roman"/>
                <w:b/>
                <w:lang w:eastAsia="ru-RU"/>
              </w:rPr>
              <w:t>Indicatori</w:t>
            </w:r>
          </w:p>
        </w:tc>
        <w:tc>
          <w:tcPr>
            <w:tcW w:w="1011" w:type="dxa"/>
            <w:vMerge w:val="restart"/>
            <w:shd w:val="clear" w:color="auto" w:fill="1F3864" w:themeFill="accent5" w:themeFillShade="80"/>
            <w:vAlign w:val="center"/>
          </w:tcPr>
          <w:p w:rsidR="00476255" w:rsidRPr="00B64866" w:rsidRDefault="00476255" w:rsidP="00F362C7">
            <w:pPr>
              <w:ind w:right="-10"/>
              <w:jc w:val="center"/>
              <w:rPr>
                <w:rFonts w:ascii="Times New Roman" w:eastAsia="Times New Roman" w:hAnsi="Times New Roman" w:cs="Times New Roman"/>
                <w:b/>
                <w:lang w:eastAsia="ru-RU"/>
              </w:rPr>
            </w:pPr>
            <w:r w:rsidRPr="00B64866">
              <w:rPr>
                <w:rFonts w:ascii="Times New Roman" w:eastAsia="Times New Roman" w:hAnsi="Times New Roman" w:cs="Times New Roman"/>
                <w:b/>
                <w:lang w:eastAsia="ru-RU"/>
              </w:rPr>
              <w:t>Aprobat pe an</w:t>
            </w:r>
          </w:p>
        </w:tc>
        <w:tc>
          <w:tcPr>
            <w:tcW w:w="986" w:type="dxa"/>
            <w:vMerge w:val="restart"/>
            <w:shd w:val="clear" w:color="auto" w:fill="1F3864" w:themeFill="accent5" w:themeFillShade="80"/>
            <w:vAlign w:val="center"/>
          </w:tcPr>
          <w:p w:rsidR="00476255" w:rsidRPr="00B64866" w:rsidRDefault="00476255" w:rsidP="00F362C7">
            <w:pPr>
              <w:ind w:right="-16"/>
              <w:jc w:val="center"/>
              <w:rPr>
                <w:rFonts w:ascii="Times New Roman" w:eastAsia="Times New Roman" w:hAnsi="Times New Roman" w:cs="Times New Roman"/>
                <w:b/>
                <w:lang w:eastAsia="ru-RU"/>
              </w:rPr>
            </w:pPr>
            <w:r w:rsidRPr="00B64866">
              <w:rPr>
                <w:rFonts w:ascii="Times New Roman" w:eastAsia="Times New Roman" w:hAnsi="Times New Roman" w:cs="Times New Roman"/>
                <w:b/>
                <w:lang w:eastAsia="ru-RU"/>
              </w:rPr>
              <w:t>Precizat pe an</w:t>
            </w:r>
          </w:p>
        </w:tc>
        <w:tc>
          <w:tcPr>
            <w:tcW w:w="968" w:type="dxa"/>
            <w:vMerge w:val="restart"/>
            <w:shd w:val="clear" w:color="auto" w:fill="1F3864" w:themeFill="accent5" w:themeFillShade="80"/>
            <w:vAlign w:val="center"/>
          </w:tcPr>
          <w:p w:rsidR="00476255" w:rsidRPr="00B64866" w:rsidRDefault="00476255" w:rsidP="00F362C7">
            <w:pPr>
              <w:ind w:left="-105" w:right="-42"/>
              <w:jc w:val="center"/>
              <w:rPr>
                <w:rFonts w:ascii="Times New Roman" w:eastAsia="Times New Roman" w:hAnsi="Times New Roman" w:cs="Times New Roman"/>
                <w:b/>
                <w:lang w:eastAsia="ru-RU"/>
              </w:rPr>
            </w:pPr>
            <w:r w:rsidRPr="00B64866">
              <w:rPr>
                <w:rFonts w:ascii="Times New Roman" w:eastAsia="Times New Roman" w:hAnsi="Times New Roman" w:cs="Times New Roman"/>
                <w:b/>
                <w:lang w:eastAsia="ru-RU"/>
              </w:rPr>
              <w:t>Executat</w:t>
            </w:r>
          </w:p>
        </w:tc>
        <w:tc>
          <w:tcPr>
            <w:tcW w:w="1559" w:type="dxa"/>
            <w:gridSpan w:val="2"/>
            <w:shd w:val="clear" w:color="auto" w:fill="1F3864" w:themeFill="accent5" w:themeFillShade="80"/>
            <w:vAlign w:val="center"/>
          </w:tcPr>
          <w:p w:rsidR="00476255" w:rsidRPr="00B64866" w:rsidRDefault="00476255" w:rsidP="00F362C7">
            <w:pPr>
              <w:ind w:right="29"/>
              <w:jc w:val="center"/>
              <w:rPr>
                <w:rFonts w:ascii="Times New Roman" w:eastAsia="Times New Roman" w:hAnsi="Times New Roman" w:cs="Times New Roman"/>
                <w:b/>
                <w:lang w:eastAsia="ru-RU"/>
              </w:rPr>
            </w:pPr>
            <w:r w:rsidRPr="00B64866">
              <w:rPr>
                <w:rFonts w:ascii="Times New Roman" w:eastAsia="Times New Roman" w:hAnsi="Times New Roman" w:cs="Times New Roman"/>
                <w:b/>
                <w:lang w:eastAsia="ru-RU"/>
              </w:rPr>
              <w:t>Precizat pe an față de aprobat pe an</w:t>
            </w:r>
          </w:p>
        </w:tc>
        <w:tc>
          <w:tcPr>
            <w:tcW w:w="1774" w:type="dxa"/>
            <w:gridSpan w:val="2"/>
            <w:shd w:val="clear" w:color="auto" w:fill="1F3864" w:themeFill="accent5" w:themeFillShade="80"/>
            <w:vAlign w:val="center"/>
          </w:tcPr>
          <w:p w:rsidR="00476255" w:rsidRPr="00B64866" w:rsidRDefault="00476255" w:rsidP="00F362C7">
            <w:pPr>
              <w:ind w:right="29"/>
              <w:jc w:val="center"/>
              <w:rPr>
                <w:rFonts w:ascii="Times New Roman" w:eastAsia="Times New Roman" w:hAnsi="Times New Roman" w:cs="Times New Roman"/>
                <w:b/>
                <w:lang w:eastAsia="ru-RU"/>
              </w:rPr>
            </w:pPr>
            <w:r w:rsidRPr="00B64866">
              <w:rPr>
                <w:rFonts w:ascii="Times New Roman" w:eastAsia="Times New Roman" w:hAnsi="Times New Roman" w:cs="Times New Roman"/>
                <w:b/>
                <w:lang w:eastAsia="ru-RU"/>
              </w:rPr>
              <w:t>Executat față de precizat pe an</w:t>
            </w:r>
          </w:p>
        </w:tc>
      </w:tr>
      <w:tr w:rsidR="00476255" w:rsidRPr="00B64866" w:rsidTr="00365D6E">
        <w:tc>
          <w:tcPr>
            <w:tcW w:w="3544" w:type="dxa"/>
            <w:vMerge/>
            <w:shd w:val="clear" w:color="auto" w:fill="1F3864" w:themeFill="accent5" w:themeFillShade="80"/>
            <w:vAlign w:val="center"/>
          </w:tcPr>
          <w:p w:rsidR="00476255" w:rsidRPr="00B64866" w:rsidRDefault="00476255" w:rsidP="00F362C7">
            <w:pPr>
              <w:ind w:right="29"/>
              <w:jc w:val="center"/>
              <w:rPr>
                <w:rFonts w:ascii="Times New Roman" w:eastAsia="Times New Roman" w:hAnsi="Times New Roman" w:cs="Times New Roman"/>
                <w:lang w:eastAsia="ru-RU"/>
              </w:rPr>
            </w:pPr>
          </w:p>
        </w:tc>
        <w:tc>
          <w:tcPr>
            <w:tcW w:w="1011" w:type="dxa"/>
            <w:vMerge/>
            <w:shd w:val="clear" w:color="auto" w:fill="1F3864" w:themeFill="accent5" w:themeFillShade="80"/>
            <w:vAlign w:val="center"/>
          </w:tcPr>
          <w:p w:rsidR="00476255" w:rsidRPr="00B64866" w:rsidRDefault="00476255" w:rsidP="00F362C7">
            <w:pPr>
              <w:ind w:right="29"/>
              <w:jc w:val="center"/>
              <w:rPr>
                <w:rFonts w:ascii="Times New Roman" w:eastAsia="Times New Roman" w:hAnsi="Times New Roman" w:cs="Times New Roman"/>
                <w:b/>
                <w:lang w:eastAsia="ru-RU"/>
              </w:rPr>
            </w:pPr>
          </w:p>
        </w:tc>
        <w:tc>
          <w:tcPr>
            <w:tcW w:w="986" w:type="dxa"/>
            <w:vMerge/>
            <w:shd w:val="clear" w:color="auto" w:fill="1F3864" w:themeFill="accent5" w:themeFillShade="80"/>
            <w:vAlign w:val="center"/>
          </w:tcPr>
          <w:p w:rsidR="00476255" w:rsidRPr="00B64866" w:rsidRDefault="00476255" w:rsidP="00F362C7">
            <w:pPr>
              <w:ind w:right="29"/>
              <w:jc w:val="center"/>
              <w:rPr>
                <w:rFonts w:ascii="Times New Roman" w:eastAsia="Times New Roman" w:hAnsi="Times New Roman" w:cs="Times New Roman"/>
                <w:b/>
                <w:lang w:eastAsia="ru-RU"/>
              </w:rPr>
            </w:pPr>
          </w:p>
        </w:tc>
        <w:tc>
          <w:tcPr>
            <w:tcW w:w="968" w:type="dxa"/>
            <w:vMerge/>
            <w:shd w:val="clear" w:color="auto" w:fill="1F3864" w:themeFill="accent5" w:themeFillShade="80"/>
            <w:vAlign w:val="center"/>
          </w:tcPr>
          <w:p w:rsidR="00476255" w:rsidRPr="00B64866" w:rsidRDefault="00476255" w:rsidP="00F362C7">
            <w:pPr>
              <w:ind w:right="29"/>
              <w:jc w:val="center"/>
              <w:rPr>
                <w:rFonts w:ascii="Times New Roman" w:eastAsia="Times New Roman" w:hAnsi="Times New Roman" w:cs="Times New Roman"/>
                <w:b/>
                <w:lang w:eastAsia="ru-RU"/>
              </w:rPr>
            </w:pPr>
          </w:p>
        </w:tc>
        <w:tc>
          <w:tcPr>
            <w:tcW w:w="850" w:type="dxa"/>
            <w:tcBorders>
              <w:bottom w:val="single" w:sz="4" w:space="0" w:color="auto"/>
            </w:tcBorders>
            <w:shd w:val="clear" w:color="auto" w:fill="1F3864" w:themeFill="accent5" w:themeFillShade="80"/>
            <w:vAlign w:val="center"/>
          </w:tcPr>
          <w:p w:rsidR="00476255" w:rsidRPr="00B64866" w:rsidRDefault="008C2674" w:rsidP="00F362C7">
            <w:pPr>
              <w:ind w:left="-113" w:right="29"/>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d</w:t>
            </w:r>
            <w:r w:rsidR="00476255" w:rsidRPr="00B64866">
              <w:rPr>
                <w:rFonts w:ascii="Times New Roman" w:eastAsia="Times New Roman" w:hAnsi="Times New Roman" w:cs="Times New Roman"/>
                <w:b/>
                <w:lang w:eastAsia="ru-RU"/>
              </w:rPr>
              <w:t>evieri (+/-)</w:t>
            </w:r>
          </w:p>
        </w:tc>
        <w:tc>
          <w:tcPr>
            <w:tcW w:w="709" w:type="dxa"/>
            <w:tcBorders>
              <w:bottom w:val="single" w:sz="4" w:space="0" w:color="auto"/>
            </w:tcBorders>
            <w:shd w:val="clear" w:color="auto" w:fill="1F3864" w:themeFill="accent5" w:themeFillShade="80"/>
            <w:vAlign w:val="center"/>
          </w:tcPr>
          <w:p w:rsidR="00476255" w:rsidRPr="00B64866" w:rsidRDefault="00476255" w:rsidP="00F362C7">
            <w:pPr>
              <w:ind w:right="29"/>
              <w:jc w:val="center"/>
              <w:rPr>
                <w:rFonts w:ascii="Times New Roman" w:eastAsia="Times New Roman" w:hAnsi="Times New Roman" w:cs="Times New Roman"/>
                <w:b/>
                <w:lang w:eastAsia="ru-RU"/>
              </w:rPr>
            </w:pPr>
            <w:r w:rsidRPr="00B64866">
              <w:rPr>
                <w:rFonts w:ascii="Times New Roman" w:eastAsia="Times New Roman" w:hAnsi="Times New Roman" w:cs="Times New Roman"/>
                <w:b/>
                <w:lang w:eastAsia="ru-RU"/>
              </w:rPr>
              <w:t>%</w:t>
            </w:r>
          </w:p>
        </w:tc>
        <w:tc>
          <w:tcPr>
            <w:tcW w:w="850" w:type="dxa"/>
            <w:shd w:val="clear" w:color="auto" w:fill="1F3864" w:themeFill="accent5" w:themeFillShade="80"/>
            <w:vAlign w:val="center"/>
          </w:tcPr>
          <w:p w:rsidR="00476255" w:rsidRPr="00B64866" w:rsidRDefault="008C2674" w:rsidP="00F362C7">
            <w:pPr>
              <w:ind w:left="-113" w:right="29"/>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d</w:t>
            </w:r>
            <w:r w:rsidR="00476255" w:rsidRPr="00B64866">
              <w:rPr>
                <w:rFonts w:ascii="Times New Roman" w:eastAsia="Times New Roman" w:hAnsi="Times New Roman" w:cs="Times New Roman"/>
                <w:b/>
                <w:lang w:eastAsia="ru-RU"/>
              </w:rPr>
              <w:t>evieri (+/-)</w:t>
            </w:r>
          </w:p>
        </w:tc>
        <w:tc>
          <w:tcPr>
            <w:tcW w:w="924" w:type="dxa"/>
            <w:shd w:val="clear" w:color="auto" w:fill="1F3864" w:themeFill="accent5" w:themeFillShade="80"/>
            <w:vAlign w:val="center"/>
          </w:tcPr>
          <w:p w:rsidR="00476255" w:rsidRPr="00B64866" w:rsidRDefault="00476255" w:rsidP="00F362C7">
            <w:pPr>
              <w:ind w:right="29"/>
              <w:jc w:val="center"/>
              <w:rPr>
                <w:rFonts w:ascii="Times New Roman" w:eastAsia="Times New Roman" w:hAnsi="Times New Roman" w:cs="Times New Roman"/>
                <w:b/>
                <w:lang w:eastAsia="ru-RU"/>
              </w:rPr>
            </w:pPr>
            <w:r w:rsidRPr="00B64866">
              <w:rPr>
                <w:rFonts w:ascii="Times New Roman" w:eastAsia="Times New Roman" w:hAnsi="Times New Roman" w:cs="Times New Roman"/>
                <w:b/>
                <w:lang w:eastAsia="ru-RU"/>
              </w:rPr>
              <w:t>%</w:t>
            </w:r>
          </w:p>
        </w:tc>
      </w:tr>
      <w:tr w:rsidR="008A49DE" w:rsidRPr="00B64866" w:rsidTr="00365D6E">
        <w:tc>
          <w:tcPr>
            <w:tcW w:w="3544" w:type="dxa"/>
            <w:vAlign w:val="center"/>
          </w:tcPr>
          <w:p w:rsidR="008A49DE" w:rsidRPr="000357F7" w:rsidRDefault="008A49DE" w:rsidP="000357F7">
            <w:pPr>
              <w:ind w:right="29"/>
              <w:jc w:val="center"/>
              <w:rPr>
                <w:rFonts w:ascii="Times New Roman" w:eastAsia="Times New Roman" w:hAnsi="Times New Roman" w:cs="Times New Roman"/>
                <w:b/>
                <w:sz w:val="20"/>
                <w:lang w:eastAsia="ru-RU"/>
              </w:rPr>
            </w:pPr>
            <w:r w:rsidRPr="000357F7">
              <w:rPr>
                <w:rFonts w:ascii="Times New Roman" w:eastAsia="Times New Roman" w:hAnsi="Times New Roman" w:cs="Times New Roman"/>
                <w:b/>
                <w:sz w:val="20"/>
                <w:lang w:eastAsia="ru-RU"/>
              </w:rPr>
              <w:t>1</w:t>
            </w:r>
          </w:p>
        </w:tc>
        <w:tc>
          <w:tcPr>
            <w:tcW w:w="1011" w:type="dxa"/>
            <w:vAlign w:val="center"/>
          </w:tcPr>
          <w:p w:rsidR="008A49DE" w:rsidRPr="000357F7" w:rsidRDefault="008A49DE" w:rsidP="000357F7">
            <w:pPr>
              <w:ind w:right="29"/>
              <w:jc w:val="center"/>
              <w:rPr>
                <w:rFonts w:ascii="Times New Roman" w:eastAsia="Times New Roman" w:hAnsi="Times New Roman" w:cs="Times New Roman"/>
                <w:b/>
                <w:sz w:val="20"/>
                <w:lang w:eastAsia="ru-RU"/>
              </w:rPr>
            </w:pPr>
            <w:r w:rsidRPr="000357F7">
              <w:rPr>
                <w:rFonts w:ascii="Times New Roman" w:eastAsia="Times New Roman" w:hAnsi="Times New Roman" w:cs="Times New Roman"/>
                <w:b/>
                <w:sz w:val="20"/>
                <w:lang w:eastAsia="ru-RU"/>
              </w:rPr>
              <w:t>2</w:t>
            </w:r>
          </w:p>
        </w:tc>
        <w:tc>
          <w:tcPr>
            <w:tcW w:w="986" w:type="dxa"/>
            <w:tcBorders>
              <w:top w:val="single" w:sz="4" w:space="0" w:color="auto"/>
              <w:left w:val="nil"/>
              <w:bottom w:val="single" w:sz="4" w:space="0" w:color="auto"/>
              <w:right w:val="single" w:sz="4" w:space="0" w:color="auto"/>
            </w:tcBorders>
            <w:shd w:val="clear" w:color="auto" w:fill="auto"/>
            <w:vAlign w:val="center"/>
          </w:tcPr>
          <w:p w:rsidR="008A49DE" w:rsidRPr="000357F7" w:rsidRDefault="008A49DE" w:rsidP="000357F7">
            <w:pPr>
              <w:ind w:right="29"/>
              <w:jc w:val="center"/>
              <w:rPr>
                <w:rFonts w:ascii="Times New Roman" w:eastAsia="Times New Roman" w:hAnsi="Times New Roman" w:cs="Times New Roman"/>
                <w:b/>
                <w:color w:val="000000"/>
                <w:sz w:val="20"/>
                <w:lang w:val="en-US"/>
              </w:rPr>
            </w:pPr>
            <w:r w:rsidRPr="000357F7">
              <w:rPr>
                <w:rFonts w:ascii="Times New Roman" w:eastAsia="Times New Roman" w:hAnsi="Times New Roman" w:cs="Times New Roman"/>
                <w:b/>
                <w:color w:val="000000"/>
                <w:sz w:val="20"/>
                <w:lang w:val="en-US"/>
              </w:rPr>
              <w:t>3</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8A49DE" w:rsidRPr="000357F7" w:rsidRDefault="008A49DE" w:rsidP="000357F7">
            <w:pPr>
              <w:ind w:right="29"/>
              <w:jc w:val="center"/>
              <w:rPr>
                <w:rFonts w:ascii="Times New Roman" w:eastAsia="Times New Roman" w:hAnsi="Times New Roman" w:cs="Times New Roman"/>
                <w:b/>
                <w:sz w:val="20"/>
                <w:lang w:eastAsia="ru-RU"/>
              </w:rPr>
            </w:pPr>
            <w:r w:rsidRPr="000357F7">
              <w:rPr>
                <w:rFonts w:ascii="Times New Roman" w:eastAsia="Times New Roman" w:hAnsi="Times New Roman" w:cs="Times New Roman"/>
                <w:b/>
                <w:sz w:val="20"/>
                <w:lang w:eastAsia="ru-RU"/>
              </w:rPr>
              <w:t>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A49DE" w:rsidRPr="000357F7" w:rsidRDefault="008A49DE" w:rsidP="000357F7">
            <w:pPr>
              <w:ind w:right="29"/>
              <w:jc w:val="center"/>
              <w:rPr>
                <w:rFonts w:ascii="Times New Roman" w:eastAsia="Times New Roman" w:hAnsi="Times New Roman" w:cs="Times New Roman"/>
                <w:b/>
                <w:bCs/>
                <w:color w:val="000000"/>
                <w:sz w:val="20"/>
                <w:lang w:eastAsia="ru-RU"/>
              </w:rPr>
            </w:pPr>
            <w:r w:rsidRPr="000357F7">
              <w:rPr>
                <w:rFonts w:ascii="Times New Roman" w:eastAsia="Times New Roman" w:hAnsi="Times New Roman" w:cs="Times New Roman"/>
                <w:b/>
                <w:bCs/>
                <w:color w:val="000000"/>
                <w:sz w:val="20"/>
                <w:lang w:eastAsia="ru-RU"/>
              </w:rPr>
              <w:t>5=</w:t>
            </w:r>
            <w:r w:rsidR="000357F7" w:rsidRPr="000357F7">
              <w:rPr>
                <w:rFonts w:ascii="Times New Roman" w:eastAsia="Times New Roman" w:hAnsi="Times New Roman" w:cs="Times New Roman"/>
                <w:b/>
                <w:bCs/>
                <w:color w:val="000000"/>
                <w:sz w:val="20"/>
                <w:lang w:eastAsia="ru-RU"/>
              </w:rPr>
              <w:t>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A49DE" w:rsidRPr="000357F7" w:rsidRDefault="000357F7" w:rsidP="000357F7">
            <w:pPr>
              <w:ind w:left="-89" w:right="29"/>
              <w:jc w:val="center"/>
              <w:rPr>
                <w:rFonts w:ascii="Times New Roman" w:eastAsia="Times New Roman" w:hAnsi="Times New Roman" w:cs="Times New Roman"/>
                <w:b/>
                <w:bCs/>
                <w:color w:val="000000"/>
                <w:sz w:val="20"/>
                <w:lang w:eastAsia="ru-RU"/>
              </w:rPr>
            </w:pPr>
            <w:r w:rsidRPr="000357F7">
              <w:rPr>
                <w:rFonts w:ascii="Times New Roman" w:eastAsia="Times New Roman" w:hAnsi="Times New Roman" w:cs="Times New Roman"/>
                <w:b/>
                <w:bCs/>
                <w:color w:val="000000"/>
                <w:sz w:val="20"/>
                <w:lang w:eastAsia="ru-RU"/>
              </w:rPr>
              <w:t>6=3/2*100</w:t>
            </w:r>
          </w:p>
        </w:tc>
        <w:tc>
          <w:tcPr>
            <w:tcW w:w="850" w:type="dxa"/>
            <w:tcBorders>
              <w:top w:val="single" w:sz="4" w:space="0" w:color="auto"/>
              <w:left w:val="single" w:sz="4" w:space="0" w:color="auto"/>
              <w:bottom w:val="single" w:sz="4" w:space="0" w:color="auto"/>
              <w:right w:val="single" w:sz="4" w:space="0" w:color="auto"/>
            </w:tcBorders>
            <w:vAlign w:val="center"/>
          </w:tcPr>
          <w:p w:rsidR="008A49DE" w:rsidRPr="000357F7" w:rsidRDefault="000357F7" w:rsidP="000357F7">
            <w:pPr>
              <w:ind w:right="29"/>
              <w:jc w:val="center"/>
              <w:rPr>
                <w:rFonts w:ascii="Times New Roman" w:eastAsia="Times New Roman" w:hAnsi="Times New Roman" w:cs="Times New Roman"/>
                <w:b/>
                <w:color w:val="000000"/>
                <w:sz w:val="20"/>
                <w:lang w:eastAsia="ru-RU"/>
              </w:rPr>
            </w:pPr>
            <w:r w:rsidRPr="000357F7">
              <w:rPr>
                <w:rFonts w:ascii="Times New Roman" w:eastAsia="Times New Roman" w:hAnsi="Times New Roman" w:cs="Times New Roman"/>
                <w:b/>
                <w:color w:val="000000"/>
                <w:sz w:val="20"/>
                <w:lang w:eastAsia="ru-RU"/>
              </w:rPr>
              <w:t>7=4-3</w:t>
            </w:r>
          </w:p>
        </w:tc>
        <w:tc>
          <w:tcPr>
            <w:tcW w:w="924" w:type="dxa"/>
            <w:tcBorders>
              <w:top w:val="single" w:sz="4" w:space="0" w:color="auto"/>
              <w:left w:val="single" w:sz="4" w:space="0" w:color="auto"/>
              <w:bottom w:val="single" w:sz="4" w:space="0" w:color="auto"/>
              <w:right w:val="single" w:sz="4" w:space="0" w:color="auto"/>
            </w:tcBorders>
            <w:vAlign w:val="center"/>
          </w:tcPr>
          <w:p w:rsidR="008A49DE" w:rsidRPr="000357F7" w:rsidRDefault="000357F7" w:rsidP="000357F7">
            <w:pPr>
              <w:ind w:right="29"/>
              <w:jc w:val="center"/>
              <w:rPr>
                <w:rFonts w:ascii="Times New Roman" w:eastAsia="Times New Roman" w:hAnsi="Times New Roman" w:cs="Times New Roman"/>
                <w:b/>
                <w:color w:val="000000"/>
                <w:sz w:val="20"/>
                <w:lang w:eastAsia="ru-RU"/>
              </w:rPr>
            </w:pPr>
            <w:r w:rsidRPr="000357F7">
              <w:rPr>
                <w:rFonts w:ascii="Times New Roman" w:eastAsia="Times New Roman" w:hAnsi="Times New Roman" w:cs="Times New Roman"/>
                <w:b/>
                <w:color w:val="000000"/>
                <w:sz w:val="20"/>
                <w:lang w:eastAsia="ru-RU"/>
              </w:rPr>
              <w:t>8=4/3*</w:t>
            </w:r>
            <w:r>
              <w:rPr>
                <w:rFonts w:ascii="Times New Roman" w:eastAsia="Times New Roman" w:hAnsi="Times New Roman" w:cs="Times New Roman"/>
                <w:b/>
                <w:color w:val="000000"/>
                <w:sz w:val="20"/>
                <w:lang w:eastAsia="ru-RU"/>
              </w:rPr>
              <w:t xml:space="preserve"> </w:t>
            </w:r>
            <w:r w:rsidRPr="000357F7">
              <w:rPr>
                <w:rFonts w:ascii="Times New Roman" w:eastAsia="Times New Roman" w:hAnsi="Times New Roman" w:cs="Times New Roman"/>
                <w:b/>
                <w:color w:val="000000"/>
                <w:sz w:val="20"/>
                <w:lang w:eastAsia="ru-RU"/>
              </w:rPr>
              <w:t>100</w:t>
            </w:r>
          </w:p>
        </w:tc>
      </w:tr>
      <w:tr w:rsidR="00476255" w:rsidRPr="00B64866" w:rsidTr="00365D6E">
        <w:tc>
          <w:tcPr>
            <w:tcW w:w="3544" w:type="dxa"/>
          </w:tcPr>
          <w:p w:rsidR="00476255" w:rsidRPr="00B64866" w:rsidRDefault="00476255" w:rsidP="00F362C7">
            <w:pPr>
              <w:ind w:right="29"/>
              <w:rPr>
                <w:rFonts w:ascii="Times New Roman" w:eastAsia="Times New Roman" w:hAnsi="Times New Roman" w:cs="Times New Roman"/>
                <w:b/>
                <w:lang w:eastAsia="ru-RU"/>
              </w:rPr>
            </w:pPr>
            <w:r w:rsidRPr="00B64866">
              <w:rPr>
                <w:rFonts w:ascii="Times New Roman" w:eastAsia="Times New Roman" w:hAnsi="Times New Roman" w:cs="Times New Roman"/>
                <w:b/>
                <w:lang w:eastAsia="ru-RU"/>
              </w:rPr>
              <w:t>VENITURI TOTAL</w:t>
            </w:r>
            <w:r w:rsidR="008C2674">
              <w:rPr>
                <w:rFonts w:ascii="Times New Roman" w:eastAsia="Times New Roman" w:hAnsi="Times New Roman" w:cs="Times New Roman"/>
                <w:b/>
                <w:lang w:eastAsia="ru-RU"/>
              </w:rPr>
              <w:t>,</w:t>
            </w:r>
            <w:r w:rsidRPr="00B64866">
              <w:rPr>
                <w:rFonts w:ascii="Times New Roman" w:eastAsia="Times New Roman" w:hAnsi="Times New Roman" w:cs="Times New Roman"/>
                <w:b/>
                <w:lang w:eastAsia="ru-RU"/>
              </w:rPr>
              <w:t xml:space="preserve"> din care:</w:t>
            </w:r>
          </w:p>
        </w:tc>
        <w:tc>
          <w:tcPr>
            <w:tcW w:w="1011" w:type="dxa"/>
            <w:vAlign w:val="center"/>
          </w:tcPr>
          <w:p w:rsidR="00476255" w:rsidRPr="00B64866" w:rsidRDefault="00476255" w:rsidP="00D13A23">
            <w:pPr>
              <w:ind w:right="29"/>
              <w:jc w:val="center"/>
              <w:rPr>
                <w:rFonts w:ascii="Times New Roman" w:eastAsia="Times New Roman" w:hAnsi="Times New Roman" w:cs="Times New Roman"/>
                <w:b/>
                <w:lang w:eastAsia="ru-RU"/>
              </w:rPr>
            </w:pPr>
            <w:r w:rsidRPr="00B64866">
              <w:rPr>
                <w:rFonts w:ascii="Times New Roman" w:eastAsia="Times New Roman" w:hAnsi="Times New Roman" w:cs="Times New Roman"/>
                <w:b/>
                <w:lang w:eastAsia="ru-RU"/>
              </w:rPr>
              <w:t>32839,2</w:t>
            </w:r>
          </w:p>
        </w:tc>
        <w:tc>
          <w:tcPr>
            <w:tcW w:w="986" w:type="dxa"/>
            <w:tcBorders>
              <w:top w:val="single" w:sz="4" w:space="0" w:color="auto"/>
              <w:left w:val="nil"/>
              <w:bottom w:val="single" w:sz="4" w:space="0" w:color="auto"/>
              <w:right w:val="single" w:sz="4" w:space="0" w:color="auto"/>
            </w:tcBorders>
            <w:shd w:val="clear" w:color="auto" w:fill="auto"/>
            <w:vAlign w:val="center"/>
          </w:tcPr>
          <w:p w:rsidR="00476255" w:rsidRPr="00B64866" w:rsidRDefault="00476255" w:rsidP="00D13A23">
            <w:pPr>
              <w:ind w:right="29"/>
              <w:jc w:val="center"/>
              <w:rPr>
                <w:rFonts w:ascii="Times New Roman" w:eastAsia="Times New Roman" w:hAnsi="Times New Roman" w:cs="Times New Roman"/>
                <w:b/>
                <w:color w:val="000000"/>
                <w:lang w:val="en-US"/>
              </w:rPr>
            </w:pPr>
            <w:r w:rsidRPr="00B64866">
              <w:rPr>
                <w:rFonts w:ascii="Times New Roman" w:eastAsia="Times New Roman" w:hAnsi="Times New Roman" w:cs="Times New Roman"/>
                <w:b/>
                <w:color w:val="000000"/>
                <w:lang w:val="en-US"/>
              </w:rPr>
              <w:t>33778,3</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476255" w:rsidRPr="00B64866" w:rsidRDefault="00476255" w:rsidP="00D13A23">
            <w:pPr>
              <w:ind w:right="29"/>
              <w:jc w:val="center"/>
              <w:rPr>
                <w:rFonts w:ascii="Times New Roman" w:eastAsia="Times New Roman" w:hAnsi="Times New Roman" w:cs="Times New Roman"/>
                <w:b/>
                <w:lang w:eastAsia="ru-RU"/>
              </w:rPr>
            </w:pPr>
            <w:r w:rsidRPr="00B64866">
              <w:rPr>
                <w:rFonts w:ascii="Times New Roman" w:eastAsia="Times New Roman" w:hAnsi="Times New Roman" w:cs="Times New Roman"/>
                <w:b/>
                <w:lang w:eastAsia="ru-RU"/>
              </w:rPr>
              <w:t>33947,</w:t>
            </w:r>
            <w:r w:rsidR="00D82614">
              <w:rPr>
                <w:rFonts w:ascii="Times New Roman" w:eastAsia="Times New Roman" w:hAnsi="Times New Roman" w:cs="Times New Roman"/>
                <w:b/>
                <w:lang w:eastAsia="ru-RU"/>
              </w:rPr>
              <w:t>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76255" w:rsidRPr="00B64866" w:rsidRDefault="00476255" w:rsidP="00D13A23">
            <w:pPr>
              <w:ind w:right="29"/>
              <w:jc w:val="center"/>
              <w:rPr>
                <w:rFonts w:ascii="Times New Roman" w:eastAsia="Times New Roman" w:hAnsi="Times New Roman" w:cs="Times New Roman"/>
                <w:b/>
                <w:bCs/>
                <w:color w:val="000000"/>
                <w:lang w:val="en-US"/>
              </w:rPr>
            </w:pPr>
            <w:r w:rsidRPr="00B64866">
              <w:rPr>
                <w:rFonts w:ascii="Times New Roman" w:eastAsia="Times New Roman" w:hAnsi="Times New Roman" w:cs="Times New Roman"/>
                <w:b/>
                <w:bCs/>
                <w:color w:val="000000"/>
                <w:lang w:eastAsia="ru-RU"/>
              </w:rPr>
              <w:t>939,1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76255" w:rsidRPr="00B64866" w:rsidRDefault="00476255" w:rsidP="00D13A23">
            <w:pPr>
              <w:ind w:left="-89" w:right="29"/>
              <w:jc w:val="center"/>
              <w:rPr>
                <w:rFonts w:ascii="Times New Roman" w:eastAsia="Times New Roman" w:hAnsi="Times New Roman" w:cs="Times New Roman"/>
                <w:b/>
                <w:bCs/>
                <w:color w:val="000000"/>
                <w:lang w:val="en-US"/>
              </w:rPr>
            </w:pPr>
            <w:r w:rsidRPr="00B64866">
              <w:rPr>
                <w:rFonts w:ascii="Times New Roman" w:eastAsia="Times New Roman" w:hAnsi="Times New Roman" w:cs="Times New Roman"/>
                <w:b/>
                <w:bCs/>
                <w:color w:val="000000"/>
                <w:lang w:eastAsia="ru-RU"/>
              </w:rPr>
              <w:t>102,9</w:t>
            </w:r>
          </w:p>
        </w:tc>
        <w:tc>
          <w:tcPr>
            <w:tcW w:w="850" w:type="dxa"/>
            <w:tcBorders>
              <w:top w:val="single" w:sz="4" w:space="0" w:color="auto"/>
              <w:left w:val="single" w:sz="4" w:space="0" w:color="auto"/>
              <w:bottom w:val="single" w:sz="4" w:space="0" w:color="auto"/>
              <w:right w:val="single" w:sz="4" w:space="0" w:color="auto"/>
            </w:tcBorders>
            <w:vAlign w:val="center"/>
          </w:tcPr>
          <w:p w:rsidR="00476255" w:rsidRPr="00B64866" w:rsidRDefault="00476255" w:rsidP="00D13A23">
            <w:pPr>
              <w:ind w:right="29"/>
              <w:jc w:val="center"/>
              <w:rPr>
                <w:rFonts w:ascii="Times New Roman" w:eastAsia="Times New Roman" w:hAnsi="Times New Roman" w:cs="Times New Roman"/>
                <w:b/>
                <w:color w:val="000000"/>
                <w:lang w:eastAsia="ru-RU"/>
              </w:rPr>
            </w:pPr>
            <w:r w:rsidRPr="00B64866">
              <w:rPr>
                <w:rFonts w:ascii="Times New Roman" w:eastAsia="Times New Roman" w:hAnsi="Times New Roman" w:cs="Times New Roman"/>
                <w:b/>
                <w:color w:val="000000"/>
                <w:lang w:eastAsia="ru-RU"/>
              </w:rPr>
              <w:t>169,1</w:t>
            </w:r>
          </w:p>
        </w:tc>
        <w:tc>
          <w:tcPr>
            <w:tcW w:w="924" w:type="dxa"/>
            <w:tcBorders>
              <w:top w:val="single" w:sz="4" w:space="0" w:color="auto"/>
              <w:left w:val="single" w:sz="4" w:space="0" w:color="auto"/>
              <w:bottom w:val="single" w:sz="4" w:space="0" w:color="auto"/>
              <w:right w:val="single" w:sz="4" w:space="0" w:color="auto"/>
            </w:tcBorders>
            <w:vAlign w:val="center"/>
          </w:tcPr>
          <w:p w:rsidR="00476255" w:rsidRPr="00B64866" w:rsidRDefault="00476255" w:rsidP="00D13A23">
            <w:pPr>
              <w:ind w:right="29"/>
              <w:jc w:val="center"/>
              <w:rPr>
                <w:rFonts w:ascii="Times New Roman" w:eastAsia="Times New Roman" w:hAnsi="Times New Roman" w:cs="Times New Roman"/>
                <w:b/>
                <w:color w:val="000000"/>
                <w:lang w:eastAsia="ru-RU"/>
              </w:rPr>
            </w:pPr>
            <w:r w:rsidRPr="00B64866">
              <w:rPr>
                <w:rFonts w:ascii="Times New Roman" w:eastAsia="Times New Roman" w:hAnsi="Times New Roman" w:cs="Times New Roman"/>
                <w:b/>
                <w:color w:val="000000"/>
                <w:lang w:eastAsia="ru-RU"/>
              </w:rPr>
              <w:t>100,5</w:t>
            </w:r>
          </w:p>
        </w:tc>
      </w:tr>
      <w:tr w:rsidR="00476255" w:rsidRPr="00B64866" w:rsidTr="00365D6E">
        <w:tc>
          <w:tcPr>
            <w:tcW w:w="3544" w:type="dxa"/>
          </w:tcPr>
          <w:p w:rsidR="00476255" w:rsidRPr="00B64866" w:rsidRDefault="00476255" w:rsidP="00F362C7">
            <w:pPr>
              <w:ind w:right="29"/>
              <w:rPr>
                <w:rFonts w:ascii="Times New Roman" w:eastAsia="Times New Roman" w:hAnsi="Times New Roman" w:cs="Times New Roman"/>
                <w:b/>
                <w:lang w:eastAsia="ru-RU"/>
              </w:rPr>
            </w:pPr>
            <w:r w:rsidRPr="00B64866">
              <w:rPr>
                <w:rFonts w:ascii="Times New Roman" w:eastAsia="Times New Roman" w:hAnsi="Times New Roman" w:cs="Times New Roman"/>
                <w:b/>
                <w:lang w:eastAsia="ru-RU"/>
              </w:rPr>
              <w:t>Impozite și taxe</w:t>
            </w:r>
          </w:p>
        </w:tc>
        <w:tc>
          <w:tcPr>
            <w:tcW w:w="1011" w:type="dxa"/>
            <w:vAlign w:val="center"/>
          </w:tcPr>
          <w:p w:rsidR="00476255" w:rsidRPr="00B64866" w:rsidRDefault="00476255" w:rsidP="00D13A23">
            <w:pPr>
              <w:ind w:right="29"/>
              <w:jc w:val="center"/>
              <w:rPr>
                <w:rFonts w:ascii="Times New Roman" w:eastAsia="Times New Roman" w:hAnsi="Times New Roman" w:cs="Times New Roman"/>
                <w:b/>
                <w:lang w:eastAsia="ru-RU"/>
              </w:rPr>
            </w:pPr>
            <w:r w:rsidRPr="00B64866">
              <w:rPr>
                <w:rFonts w:ascii="Times New Roman" w:eastAsia="Times New Roman" w:hAnsi="Times New Roman" w:cs="Times New Roman"/>
                <w:b/>
                <w:lang w:eastAsia="ru-RU"/>
              </w:rPr>
              <w:t>28268,4</w:t>
            </w:r>
          </w:p>
        </w:tc>
        <w:tc>
          <w:tcPr>
            <w:tcW w:w="986" w:type="dxa"/>
            <w:tcBorders>
              <w:top w:val="single" w:sz="4" w:space="0" w:color="auto"/>
              <w:left w:val="nil"/>
              <w:bottom w:val="single" w:sz="4" w:space="0" w:color="auto"/>
              <w:right w:val="single" w:sz="4" w:space="0" w:color="auto"/>
            </w:tcBorders>
            <w:shd w:val="clear" w:color="auto" w:fill="auto"/>
            <w:vAlign w:val="center"/>
          </w:tcPr>
          <w:p w:rsidR="00476255" w:rsidRPr="00B64866" w:rsidRDefault="00476255" w:rsidP="00D13A23">
            <w:pPr>
              <w:ind w:right="29"/>
              <w:jc w:val="center"/>
              <w:rPr>
                <w:rFonts w:ascii="Times New Roman" w:eastAsia="Times New Roman" w:hAnsi="Times New Roman" w:cs="Times New Roman"/>
                <w:b/>
                <w:color w:val="000000"/>
                <w:lang w:eastAsia="ru-RU"/>
              </w:rPr>
            </w:pPr>
            <w:r w:rsidRPr="00B64866">
              <w:rPr>
                <w:rFonts w:ascii="Times New Roman" w:eastAsia="Times New Roman" w:hAnsi="Times New Roman" w:cs="Times New Roman"/>
                <w:b/>
                <w:color w:val="000000"/>
                <w:lang w:eastAsia="ru-RU"/>
              </w:rPr>
              <w:t>30803,9</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476255" w:rsidRPr="00B64866" w:rsidRDefault="00476255" w:rsidP="00D13A23">
            <w:pPr>
              <w:ind w:right="29"/>
              <w:jc w:val="center"/>
              <w:rPr>
                <w:rFonts w:ascii="Times New Roman" w:eastAsia="Times New Roman" w:hAnsi="Times New Roman" w:cs="Times New Roman"/>
                <w:b/>
                <w:lang w:eastAsia="ru-RU"/>
              </w:rPr>
            </w:pPr>
            <w:r w:rsidRPr="00B64866">
              <w:rPr>
                <w:rFonts w:ascii="Times New Roman" w:eastAsia="Times New Roman" w:hAnsi="Times New Roman" w:cs="Times New Roman"/>
                <w:b/>
                <w:lang w:eastAsia="ru-RU"/>
              </w:rPr>
              <w:t>31201,6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76255" w:rsidRPr="00B64866" w:rsidRDefault="00476255" w:rsidP="00D13A23">
            <w:pPr>
              <w:ind w:right="29"/>
              <w:jc w:val="center"/>
              <w:rPr>
                <w:rFonts w:ascii="Times New Roman" w:eastAsia="Times New Roman" w:hAnsi="Times New Roman" w:cs="Times New Roman"/>
                <w:b/>
                <w:bCs/>
                <w:color w:val="000000"/>
                <w:lang w:eastAsia="ru-RU"/>
              </w:rPr>
            </w:pPr>
            <w:r w:rsidRPr="00B64866">
              <w:rPr>
                <w:rFonts w:ascii="Times New Roman" w:eastAsia="Times New Roman" w:hAnsi="Times New Roman" w:cs="Times New Roman"/>
                <w:b/>
                <w:bCs/>
                <w:color w:val="000000"/>
                <w:lang w:eastAsia="ru-RU"/>
              </w:rPr>
              <w:t>2535,5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76255" w:rsidRPr="00B64866" w:rsidRDefault="00476255" w:rsidP="00D13A23">
            <w:pPr>
              <w:ind w:left="-89" w:right="29"/>
              <w:jc w:val="center"/>
              <w:rPr>
                <w:rFonts w:ascii="Times New Roman" w:eastAsia="Times New Roman" w:hAnsi="Times New Roman" w:cs="Times New Roman"/>
                <w:b/>
                <w:bCs/>
                <w:color w:val="000000"/>
                <w:lang w:eastAsia="ru-RU"/>
              </w:rPr>
            </w:pPr>
            <w:r w:rsidRPr="00B64866">
              <w:rPr>
                <w:rFonts w:ascii="Times New Roman" w:eastAsia="Times New Roman" w:hAnsi="Times New Roman" w:cs="Times New Roman"/>
                <w:b/>
                <w:bCs/>
                <w:color w:val="000000"/>
                <w:lang w:eastAsia="ru-RU"/>
              </w:rPr>
              <w:t>109,0</w:t>
            </w:r>
          </w:p>
        </w:tc>
        <w:tc>
          <w:tcPr>
            <w:tcW w:w="850" w:type="dxa"/>
            <w:tcBorders>
              <w:top w:val="single" w:sz="4" w:space="0" w:color="auto"/>
              <w:left w:val="single" w:sz="4" w:space="0" w:color="auto"/>
              <w:bottom w:val="single" w:sz="4" w:space="0" w:color="auto"/>
              <w:right w:val="single" w:sz="4" w:space="0" w:color="auto"/>
            </w:tcBorders>
            <w:vAlign w:val="center"/>
          </w:tcPr>
          <w:p w:rsidR="00476255" w:rsidRPr="00B64866" w:rsidRDefault="00476255" w:rsidP="00D13A23">
            <w:pPr>
              <w:ind w:right="29"/>
              <w:jc w:val="center"/>
              <w:rPr>
                <w:rFonts w:ascii="Times New Roman" w:eastAsia="Times New Roman" w:hAnsi="Times New Roman" w:cs="Times New Roman"/>
                <w:b/>
                <w:color w:val="000000"/>
                <w:lang w:eastAsia="ru-RU"/>
              </w:rPr>
            </w:pPr>
            <w:r w:rsidRPr="00B64866">
              <w:rPr>
                <w:rFonts w:ascii="Times New Roman" w:eastAsia="Times New Roman" w:hAnsi="Times New Roman" w:cs="Times New Roman"/>
                <w:b/>
                <w:color w:val="000000"/>
                <w:lang w:eastAsia="ru-RU"/>
              </w:rPr>
              <w:t>397,6</w:t>
            </w:r>
          </w:p>
        </w:tc>
        <w:tc>
          <w:tcPr>
            <w:tcW w:w="924" w:type="dxa"/>
            <w:tcBorders>
              <w:top w:val="single" w:sz="4" w:space="0" w:color="auto"/>
              <w:left w:val="single" w:sz="4" w:space="0" w:color="auto"/>
              <w:bottom w:val="single" w:sz="4" w:space="0" w:color="auto"/>
              <w:right w:val="single" w:sz="4" w:space="0" w:color="auto"/>
            </w:tcBorders>
            <w:vAlign w:val="center"/>
          </w:tcPr>
          <w:p w:rsidR="00476255" w:rsidRPr="00B64866" w:rsidRDefault="00476255" w:rsidP="00D13A23">
            <w:pPr>
              <w:ind w:right="29"/>
              <w:jc w:val="center"/>
              <w:rPr>
                <w:rFonts w:ascii="Times New Roman" w:eastAsia="Times New Roman" w:hAnsi="Times New Roman" w:cs="Times New Roman"/>
                <w:b/>
                <w:color w:val="000000"/>
                <w:lang w:eastAsia="ru-RU"/>
              </w:rPr>
            </w:pPr>
            <w:r w:rsidRPr="00B64866">
              <w:rPr>
                <w:rFonts w:ascii="Times New Roman" w:eastAsia="Times New Roman" w:hAnsi="Times New Roman" w:cs="Times New Roman"/>
                <w:b/>
                <w:color w:val="000000"/>
                <w:lang w:eastAsia="ru-RU"/>
              </w:rPr>
              <w:t>101,3</w:t>
            </w:r>
          </w:p>
        </w:tc>
      </w:tr>
      <w:tr w:rsidR="00476255" w:rsidRPr="00B64866" w:rsidTr="00365D6E">
        <w:tc>
          <w:tcPr>
            <w:tcW w:w="3544" w:type="dxa"/>
          </w:tcPr>
          <w:p w:rsidR="00476255" w:rsidRPr="00B64866" w:rsidRDefault="00476255" w:rsidP="00F362C7">
            <w:pPr>
              <w:ind w:right="29"/>
              <w:rPr>
                <w:rFonts w:ascii="Times New Roman" w:eastAsia="Times New Roman" w:hAnsi="Times New Roman" w:cs="Times New Roman"/>
                <w:b/>
                <w:lang w:eastAsia="ru-RU"/>
              </w:rPr>
            </w:pPr>
            <w:r w:rsidRPr="00B64866">
              <w:rPr>
                <w:rFonts w:ascii="Times New Roman" w:eastAsia="Times New Roman" w:hAnsi="Times New Roman" w:cs="Times New Roman"/>
                <w:b/>
                <w:lang w:eastAsia="ru-RU"/>
              </w:rPr>
              <w:t>Impozite pe venit</w:t>
            </w:r>
          </w:p>
        </w:tc>
        <w:tc>
          <w:tcPr>
            <w:tcW w:w="1011" w:type="dxa"/>
            <w:vAlign w:val="center"/>
          </w:tcPr>
          <w:p w:rsidR="00476255" w:rsidRPr="00B64866" w:rsidRDefault="00476255" w:rsidP="00D13A23">
            <w:pPr>
              <w:ind w:right="29"/>
              <w:jc w:val="center"/>
              <w:rPr>
                <w:rFonts w:ascii="Times New Roman" w:eastAsia="Times New Roman" w:hAnsi="Times New Roman" w:cs="Times New Roman"/>
                <w:b/>
                <w:lang w:eastAsia="ru-RU"/>
              </w:rPr>
            </w:pPr>
            <w:r w:rsidRPr="00B64866">
              <w:rPr>
                <w:rFonts w:ascii="Times New Roman" w:eastAsia="Times New Roman" w:hAnsi="Times New Roman" w:cs="Times New Roman"/>
                <w:b/>
                <w:lang w:eastAsia="ru-RU"/>
              </w:rPr>
              <w:t>4982,2</w:t>
            </w:r>
          </w:p>
        </w:tc>
        <w:tc>
          <w:tcPr>
            <w:tcW w:w="986" w:type="dxa"/>
            <w:tcBorders>
              <w:top w:val="single" w:sz="4" w:space="0" w:color="auto"/>
              <w:left w:val="nil"/>
              <w:bottom w:val="single" w:sz="4" w:space="0" w:color="auto"/>
              <w:right w:val="single" w:sz="4" w:space="0" w:color="auto"/>
            </w:tcBorders>
            <w:shd w:val="clear" w:color="auto" w:fill="auto"/>
            <w:vAlign w:val="center"/>
          </w:tcPr>
          <w:p w:rsidR="00476255" w:rsidRPr="00B64866" w:rsidRDefault="00476255" w:rsidP="00D13A23">
            <w:pPr>
              <w:ind w:right="29"/>
              <w:jc w:val="center"/>
              <w:rPr>
                <w:rFonts w:ascii="Times New Roman" w:eastAsia="Times New Roman" w:hAnsi="Times New Roman" w:cs="Times New Roman"/>
                <w:b/>
                <w:color w:val="000000"/>
                <w:lang w:eastAsia="ru-RU"/>
              </w:rPr>
            </w:pPr>
            <w:r w:rsidRPr="00B64866">
              <w:rPr>
                <w:rFonts w:ascii="Times New Roman" w:eastAsia="Times New Roman" w:hAnsi="Times New Roman" w:cs="Times New Roman"/>
                <w:b/>
                <w:color w:val="000000"/>
                <w:lang w:eastAsia="ru-RU"/>
              </w:rPr>
              <w:t>5622,1</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476255" w:rsidRPr="00B64866" w:rsidRDefault="00476255" w:rsidP="00D13A23">
            <w:pPr>
              <w:ind w:right="29"/>
              <w:jc w:val="center"/>
              <w:rPr>
                <w:rFonts w:ascii="Times New Roman" w:eastAsia="Times New Roman" w:hAnsi="Times New Roman" w:cs="Times New Roman"/>
                <w:b/>
                <w:lang w:eastAsia="ru-RU"/>
              </w:rPr>
            </w:pPr>
            <w:r w:rsidRPr="00B64866">
              <w:rPr>
                <w:rFonts w:ascii="Times New Roman" w:eastAsia="Times New Roman" w:hAnsi="Times New Roman" w:cs="Times New Roman"/>
                <w:b/>
                <w:lang w:eastAsia="ru-RU"/>
              </w:rPr>
              <w:t>5541,4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76255" w:rsidRPr="00B64866" w:rsidRDefault="00476255" w:rsidP="00D13A23">
            <w:pPr>
              <w:ind w:right="29"/>
              <w:jc w:val="center"/>
              <w:rPr>
                <w:rFonts w:ascii="Times New Roman" w:eastAsia="Times New Roman" w:hAnsi="Times New Roman" w:cs="Times New Roman"/>
                <w:b/>
                <w:bCs/>
                <w:color w:val="000000"/>
                <w:lang w:eastAsia="ru-RU"/>
              </w:rPr>
            </w:pPr>
            <w:r w:rsidRPr="00B64866">
              <w:rPr>
                <w:rFonts w:ascii="Times New Roman" w:eastAsia="Times New Roman" w:hAnsi="Times New Roman" w:cs="Times New Roman"/>
                <w:b/>
                <w:bCs/>
                <w:color w:val="000000"/>
                <w:lang w:eastAsia="ru-RU"/>
              </w:rPr>
              <w:t>639,9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76255" w:rsidRPr="00B64866" w:rsidRDefault="00476255" w:rsidP="00D13A23">
            <w:pPr>
              <w:ind w:left="-89" w:right="29"/>
              <w:jc w:val="center"/>
              <w:rPr>
                <w:rFonts w:ascii="Times New Roman" w:eastAsia="Times New Roman" w:hAnsi="Times New Roman" w:cs="Times New Roman"/>
                <w:b/>
                <w:bCs/>
                <w:color w:val="000000"/>
                <w:lang w:eastAsia="ru-RU"/>
              </w:rPr>
            </w:pPr>
            <w:r w:rsidRPr="00B64866">
              <w:rPr>
                <w:rFonts w:ascii="Times New Roman" w:eastAsia="Times New Roman" w:hAnsi="Times New Roman" w:cs="Times New Roman"/>
                <w:b/>
                <w:bCs/>
                <w:color w:val="000000"/>
                <w:lang w:eastAsia="ru-RU"/>
              </w:rPr>
              <w:t>112,8</w:t>
            </w:r>
          </w:p>
        </w:tc>
        <w:tc>
          <w:tcPr>
            <w:tcW w:w="850" w:type="dxa"/>
            <w:tcBorders>
              <w:top w:val="single" w:sz="4" w:space="0" w:color="auto"/>
              <w:left w:val="single" w:sz="4" w:space="0" w:color="auto"/>
              <w:bottom w:val="single" w:sz="4" w:space="0" w:color="auto"/>
              <w:right w:val="single" w:sz="4" w:space="0" w:color="auto"/>
            </w:tcBorders>
            <w:vAlign w:val="center"/>
          </w:tcPr>
          <w:p w:rsidR="00476255" w:rsidRPr="00B64866" w:rsidRDefault="00476255" w:rsidP="00D13A23">
            <w:pPr>
              <w:ind w:right="29"/>
              <w:jc w:val="center"/>
              <w:rPr>
                <w:rFonts w:ascii="Times New Roman" w:eastAsia="Times New Roman" w:hAnsi="Times New Roman" w:cs="Times New Roman"/>
                <w:b/>
                <w:color w:val="000000"/>
                <w:lang w:eastAsia="ru-RU"/>
              </w:rPr>
            </w:pPr>
            <w:r w:rsidRPr="00B64866">
              <w:rPr>
                <w:rFonts w:ascii="Times New Roman" w:eastAsia="Times New Roman" w:hAnsi="Times New Roman" w:cs="Times New Roman"/>
                <w:b/>
                <w:color w:val="000000"/>
                <w:lang w:eastAsia="ru-RU"/>
              </w:rPr>
              <w:t>-80,7</w:t>
            </w:r>
          </w:p>
        </w:tc>
        <w:tc>
          <w:tcPr>
            <w:tcW w:w="924" w:type="dxa"/>
            <w:tcBorders>
              <w:top w:val="single" w:sz="4" w:space="0" w:color="auto"/>
              <w:left w:val="single" w:sz="4" w:space="0" w:color="auto"/>
              <w:bottom w:val="single" w:sz="4" w:space="0" w:color="auto"/>
              <w:right w:val="single" w:sz="4" w:space="0" w:color="auto"/>
            </w:tcBorders>
            <w:vAlign w:val="center"/>
          </w:tcPr>
          <w:p w:rsidR="00476255" w:rsidRPr="00B64866" w:rsidRDefault="00476255" w:rsidP="00D13A23">
            <w:pPr>
              <w:ind w:right="29"/>
              <w:jc w:val="center"/>
              <w:rPr>
                <w:rFonts w:ascii="Times New Roman" w:eastAsia="Times New Roman" w:hAnsi="Times New Roman" w:cs="Times New Roman"/>
                <w:b/>
                <w:color w:val="000000"/>
                <w:lang w:eastAsia="ru-RU"/>
              </w:rPr>
            </w:pPr>
            <w:r w:rsidRPr="00B64866">
              <w:rPr>
                <w:rFonts w:ascii="Times New Roman" w:eastAsia="Times New Roman" w:hAnsi="Times New Roman" w:cs="Times New Roman"/>
                <w:b/>
                <w:color w:val="000000"/>
                <w:lang w:eastAsia="ru-RU"/>
              </w:rPr>
              <w:t>98,6</w:t>
            </w:r>
          </w:p>
        </w:tc>
      </w:tr>
      <w:tr w:rsidR="00476255" w:rsidRPr="00B64866" w:rsidTr="00365D6E">
        <w:tc>
          <w:tcPr>
            <w:tcW w:w="3544" w:type="dxa"/>
          </w:tcPr>
          <w:p w:rsidR="00476255" w:rsidRPr="00B64866" w:rsidRDefault="00476255" w:rsidP="00F362C7">
            <w:pPr>
              <w:ind w:right="29"/>
              <w:rPr>
                <w:rFonts w:ascii="Times New Roman" w:eastAsia="Times New Roman" w:hAnsi="Times New Roman" w:cs="Times New Roman"/>
                <w:lang w:eastAsia="ru-RU"/>
              </w:rPr>
            </w:pPr>
            <w:r w:rsidRPr="00B64866">
              <w:rPr>
                <w:rFonts w:ascii="Times New Roman" w:eastAsia="Times New Roman" w:hAnsi="Times New Roman" w:cs="Times New Roman"/>
                <w:lang w:eastAsia="ru-RU"/>
              </w:rPr>
              <w:t>Impozit pe venitul persoanelor fizice</w:t>
            </w:r>
          </w:p>
        </w:tc>
        <w:tc>
          <w:tcPr>
            <w:tcW w:w="1011" w:type="dxa"/>
            <w:vAlign w:val="center"/>
          </w:tcPr>
          <w:p w:rsidR="00476255" w:rsidRPr="00B64866" w:rsidRDefault="00476255" w:rsidP="00D13A23">
            <w:pPr>
              <w:ind w:right="29"/>
              <w:jc w:val="center"/>
              <w:rPr>
                <w:rFonts w:ascii="Times New Roman" w:eastAsia="Times New Roman" w:hAnsi="Times New Roman" w:cs="Times New Roman"/>
                <w:lang w:eastAsia="ru-RU"/>
              </w:rPr>
            </w:pPr>
            <w:r w:rsidRPr="00B64866">
              <w:rPr>
                <w:rFonts w:ascii="Times New Roman" w:eastAsia="Times New Roman" w:hAnsi="Times New Roman" w:cs="Times New Roman"/>
                <w:lang w:eastAsia="ru-RU"/>
              </w:rPr>
              <w:t>1428,8</w:t>
            </w:r>
          </w:p>
        </w:tc>
        <w:tc>
          <w:tcPr>
            <w:tcW w:w="986" w:type="dxa"/>
            <w:tcBorders>
              <w:top w:val="single" w:sz="4" w:space="0" w:color="auto"/>
              <w:left w:val="nil"/>
              <w:bottom w:val="single" w:sz="4" w:space="0" w:color="auto"/>
              <w:right w:val="single" w:sz="4" w:space="0" w:color="auto"/>
            </w:tcBorders>
            <w:shd w:val="clear" w:color="auto" w:fill="auto"/>
            <w:vAlign w:val="center"/>
          </w:tcPr>
          <w:p w:rsidR="00476255" w:rsidRPr="00B64866" w:rsidRDefault="00476255" w:rsidP="00D13A23">
            <w:pPr>
              <w:ind w:right="29"/>
              <w:jc w:val="center"/>
              <w:rPr>
                <w:rFonts w:ascii="Times New Roman" w:eastAsia="Times New Roman" w:hAnsi="Times New Roman" w:cs="Times New Roman"/>
                <w:color w:val="000000"/>
                <w:lang w:eastAsia="ru-RU"/>
              </w:rPr>
            </w:pPr>
            <w:r w:rsidRPr="00B64866">
              <w:rPr>
                <w:rFonts w:ascii="Times New Roman" w:eastAsia="Times New Roman" w:hAnsi="Times New Roman" w:cs="Times New Roman"/>
                <w:color w:val="000000"/>
                <w:lang w:eastAsia="ru-RU"/>
              </w:rPr>
              <w:t>1534,2</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476255" w:rsidRPr="00B64866" w:rsidRDefault="00476255" w:rsidP="00D13A23">
            <w:pPr>
              <w:ind w:right="29"/>
              <w:jc w:val="center"/>
              <w:rPr>
                <w:rFonts w:ascii="Times New Roman" w:eastAsia="Times New Roman" w:hAnsi="Times New Roman" w:cs="Times New Roman"/>
                <w:lang w:eastAsia="ru-RU"/>
              </w:rPr>
            </w:pPr>
            <w:r w:rsidRPr="00B64866">
              <w:rPr>
                <w:rFonts w:ascii="Times New Roman" w:eastAsia="Times New Roman" w:hAnsi="Times New Roman" w:cs="Times New Roman"/>
                <w:lang w:eastAsia="ru-RU"/>
              </w:rPr>
              <w:t>1572,6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76255" w:rsidRPr="00B64866" w:rsidRDefault="00476255" w:rsidP="00D13A23">
            <w:pPr>
              <w:ind w:right="29"/>
              <w:jc w:val="center"/>
              <w:rPr>
                <w:rFonts w:ascii="Times New Roman" w:eastAsia="Times New Roman" w:hAnsi="Times New Roman" w:cs="Times New Roman"/>
                <w:bCs/>
                <w:color w:val="000000"/>
                <w:lang w:eastAsia="ru-RU"/>
              </w:rPr>
            </w:pPr>
            <w:r w:rsidRPr="00B64866">
              <w:rPr>
                <w:rFonts w:ascii="Times New Roman" w:eastAsia="Times New Roman" w:hAnsi="Times New Roman" w:cs="Times New Roman"/>
                <w:bCs/>
                <w:color w:val="000000"/>
                <w:lang w:eastAsia="ru-RU"/>
              </w:rPr>
              <w:t>105,4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76255" w:rsidRPr="00B64866" w:rsidRDefault="00476255" w:rsidP="00D13A23">
            <w:pPr>
              <w:ind w:left="-89" w:right="29"/>
              <w:jc w:val="center"/>
              <w:rPr>
                <w:rFonts w:ascii="Times New Roman" w:eastAsia="Times New Roman" w:hAnsi="Times New Roman" w:cs="Times New Roman"/>
                <w:bCs/>
                <w:color w:val="000000"/>
                <w:lang w:eastAsia="ru-RU"/>
              </w:rPr>
            </w:pPr>
            <w:r w:rsidRPr="00B64866">
              <w:rPr>
                <w:rFonts w:ascii="Times New Roman" w:eastAsia="Times New Roman" w:hAnsi="Times New Roman" w:cs="Times New Roman"/>
                <w:bCs/>
                <w:color w:val="000000"/>
                <w:lang w:eastAsia="ru-RU"/>
              </w:rPr>
              <w:t>107,4</w:t>
            </w:r>
          </w:p>
        </w:tc>
        <w:tc>
          <w:tcPr>
            <w:tcW w:w="850" w:type="dxa"/>
            <w:tcBorders>
              <w:top w:val="single" w:sz="4" w:space="0" w:color="auto"/>
              <w:left w:val="single" w:sz="4" w:space="0" w:color="auto"/>
              <w:bottom w:val="single" w:sz="4" w:space="0" w:color="auto"/>
              <w:right w:val="single" w:sz="4" w:space="0" w:color="auto"/>
            </w:tcBorders>
            <w:vAlign w:val="center"/>
          </w:tcPr>
          <w:p w:rsidR="00476255" w:rsidRPr="00B64866" w:rsidRDefault="00476255" w:rsidP="00D13A23">
            <w:pPr>
              <w:ind w:right="29"/>
              <w:jc w:val="center"/>
              <w:rPr>
                <w:rFonts w:ascii="Times New Roman" w:eastAsia="Times New Roman" w:hAnsi="Times New Roman" w:cs="Times New Roman"/>
                <w:color w:val="000000"/>
                <w:lang w:eastAsia="ru-RU"/>
              </w:rPr>
            </w:pPr>
            <w:r w:rsidRPr="00B64866">
              <w:rPr>
                <w:rFonts w:ascii="Times New Roman" w:eastAsia="Times New Roman" w:hAnsi="Times New Roman" w:cs="Times New Roman"/>
                <w:color w:val="000000"/>
                <w:lang w:eastAsia="ru-RU"/>
              </w:rPr>
              <w:t>38,6</w:t>
            </w:r>
          </w:p>
        </w:tc>
        <w:tc>
          <w:tcPr>
            <w:tcW w:w="924" w:type="dxa"/>
            <w:tcBorders>
              <w:top w:val="single" w:sz="4" w:space="0" w:color="auto"/>
              <w:left w:val="single" w:sz="4" w:space="0" w:color="auto"/>
              <w:bottom w:val="single" w:sz="4" w:space="0" w:color="auto"/>
              <w:right w:val="single" w:sz="4" w:space="0" w:color="auto"/>
            </w:tcBorders>
            <w:vAlign w:val="center"/>
          </w:tcPr>
          <w:p w:rsidR="00476255" w:rsidRPr="00B64866" w:rsidRDefault="00476255" w:rsidP="00D13A23">
            <w:pPr>
              <w:ind w:right="29"/>
              <w:jc w:val="center"/>
              <w:rPr>
                <w:rFonts w:ascii="Times New Roman" w:eastAsia="Times New Roman" w:hAnsi="Times New Roman" w:cs="Times New Roman"/>
                <w:color w:val="000000"/>
                <w:lang w:eastAsia="ru-RU"/>
              </w:rPr>
            </w:pPr>
            <w:r w:rsidRPr="00B64866">
              <w:rPr>
                <w:rFonts w:ascii="Times New Roman" w:eastAsia="Times New Roman" w:hAnsi="Times New Roman" w:cs="Times New Roman"/>
                <w:color w:val="000000"/>
                <w:lang w:eastAsia="ru-RU"/>
              </w:rPr>
              <w:t>102,5</w:t>
            </w:r>
          </w:p>
        </w:tc>
      </w:tr>
      <w:tr w:rsidR="00476255" w:rsidRPr="00B64866" w:rsidTr="00365D6E">
        <w:tc>
          <w:tcPr>
            <w:tcW w:w="3544" w:type="dxa"/>
          </w:tcPr>
          <w:p w:rsidR="00476255" w:rsidRPr="00B64866" w:rsidRDefault="00476255" w:rsidP="00F362C7">
            <w:pPr>
              <w:ind w:right="29"/>
              <w:rPr>
                <w:rFonts w:ascii="Times New Roman" w:eastAsia="Times New Roman" w:hAnsi="Times New Roman" w:cs="Times New Roman"/>
                <w:lang w:eastAsia="ru-RU"/>
              </w:rPr>
            </w:pPr>
            <w:r w:rsidRPr="00B64866">
              <w:rPr>
                <w:rFonts w:ascii="Times New Roman" w:eastAsia="Times New Roman" w:hAnsi="Times New Roman" w:cs="Times New Roman"/>
                <w:lang w:eastAsia="ru-RU"/>
              </w:rPr>
              <w:t>Impozit pe venitul persoanelor juridice</w:t>
            </w:r>
          </w:p>
        </w:tc>
        <w:tc>
          <w:tcPr>
            <w:tcW w:w="1011" w:type="dxa"/>
            <w:vAlign w:val="center"/>
          </w:tcPr>
          <w:p w:rsidR="00476255" w:rsidRPr="00B64866" w:rsidRDefault="00476255" w:rsidP="00D13A23">
            <w:pPr>
              <w:ind w:right="29"/>
              <w:jc w:val="center"/>
              <w:rPr>
                <w:rFonts w:ascii="Times New Roman" w:eastAsia="Times New Roman" w:hAnsi="Times New Roman" w:cs="Times New Roman"/>
                <w:lang w:eastAsia="ru-RU"/>
              </w:rPr>
            </w:pPr>
            <w:r w:rsidRPr="00B64866">
              <w:rPr>
                <w:rFonts w:ascii="Times New Roman" w:eastAsia="Times New Roman" w:hAnsi="Times New Roman" w:cs="Times New Roman"/>
                <w:lang w:eastAsia="ru-RU"/>
              </w:rPr>
              <w:t>3553,4</w:t>
            </w:r>
          </w:p>
        </w:tc>
        <w:tc>
          <w:tcPr>
            <w:tcW w:w="986" w:type="dxa"/>
            <w:tcBorders>
              <w:top w:val="single" w:sz="4" w:space="0" w:color="auto"/>
              <w:left w:val="nil"/>
              <w:bottom w:val="single" w:sz="4" w:space="0" w:color="auto"/>
              <w:right w:val="single" w:sz="4" w:space="0" w:color="auto"/>
            </w:tcBorders>
            <w:shd w:val="clear" w:color="auto" w:fill="auto"/>
            <w:vAlign w:val="center"/>
          </w:tcPr>
          <w:p w:rsidR="00476255" w:rsidRPr="00B64866" w:rsidRDefault="00476255" w:rsidP="00D13A23">
            <w:pPr>
              <w:ind w:right="29"/>
              <w:jc w:val="center"/>
              <w:rPr>
                <w:rFonts w:ascii="Times New Roman" w:eastAsia="Times New Roman" w:hAnsi="Times New Roman" w:cs="Times New Roman"/>
                <w:color w:val="000000"/>
                <w:lang w:eastAsia="ru-RU"/>
              </w:rPr>
            </w:pPr>
            <w:r w:rsidRPr="00B64866">
              <w:rPr>
                <w:rFonts w:ascii="Times New Roman" w:eastAsia="Times New Roman" w:hAnsi="Times New Roman" w:cs="Times New Roman"/>
                <w:color w:val="000000"/>
                <w:lang w:eastAsia="ru-RU"/>
              </w:rPr>
              <w:t>4087,8</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476255" w:rsidRPr="00B64866" w:rsidRDefault="00476255" w:rsidP="00D13A23">
            <w:pPr>
              <w:ind w:right="29"/>
              <w:jc w:val="center"/>
              <w:rPr>
                <w:rFonts w:ascii="Times New Roman" w:eastAsia="Times New Roman" w:hAnsi="Times New Roman" w:cs="Times New Roman"/>
                <w:lang w:eastAsia="ru-RU"/>
              </w:rPr>
            </w:pPr>
            <w:r w:rsidRPr="00B64866">
              <w:rPr>
                <w:rFonts w:ascii="Times New Roman" w:eastAsia="Times New Roman" w:hAnsi="Times New Roman" w:cs="Times New Roman"/>
                <w:lang w:eastAsia="ru-RU"/>
              </w:rPr>
              <w:t>3968,8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76255" w:rsidRPr="00B64866" w:rsidRDefault="00476255" w:rsidP="00D13A23">
            <w:pPr>
              <w:ind w:right="29"/>
              <w:jc w:val="center"/>
              <w:rPr>
                <w:rFonts w:ascii="Times New Roman" w:eastAsia="Times New Roman" w:hAnsi="Times New Roman" w:cs="Times New Roman"/>
                <w:bCs/>
                <w:color w:val="000000"/>
                <w:lang w:eastAsia="ru-RU"/>
              </w:rPr>
            </w:pPr>
            <w:r w:rsidRPr="00B64866">
              <w:rPr>
                <w:rFonts w:ascii="Times New Roman" w:eastAsia="Times New Roman" w:hAnsi="Times New Roman" w:cs="Times New Roman"/>
                <w:bCs/>
                <w:color w:val="000000"/>
                <w:lang w:eastAsia="ru-RU"/>
              </w:rPr>
              <w:t>534,4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76255" w:rsidRPr="00B64866" w:rsidRDefault="00476255" w:rsidP="00D13A23">
            <w:pPr>
              <w:ind w:left="-89" w:right="29"/>
              <w:jc w:val="center"/>
              <w:rPr>
                <w:rFonts w:ascii="Times New Roman" w:eastAsia="Times New Roman" w:hAnsi="Times New Roman" w:cs="Times New Roman"/>
                <w:bCs/>
                <w:color w:val="000000"/>
                <w:lang w:eastAsia="ru-RU"/>
              </w:rPr>
            </w:pPr>
            <w:r w:rsidRPr="00B64866">
              <w:rPr>
                <w:rFonts w:ascii="Times New Roman" w:eastAsia="Times New Roman" w:hAnsi="Times New Roman" w:cs="Times New Roman"/>
                <w:bCs/>
                <w:color w:val="000000"/>
                <w:lang w:eastAsia="ru-RU"/>
              </w:rPr>
              <w:t>115,0</w:t>
            </w:r>
          </w:p>
        </w:tc>
        <w:tc>
          <w:tcPr>
            <w:tcW w:w="850" w:type="dxa"/>
            <w:tcBorders>
              <w:top w:val="single" w:sz="4" w:space="0" w:color="auto"/>
              <w:left w:val="single" w:sz="4" w:space="0" w:color="auto"/>
              <w:bottom w:val="single" w:sz="4" w:space="0" w:color="auto"/>
              <w:right w:val="single" w:sz="4" w:space="0" w:color="auto"/>
            </w:tcBorders>
            <w:vAlign w:val="center"/>
          </w:tcPr>
          <w:p w:rsidR="00476255" w:rsidRPr="00B64866" w:rsidRDefault="00476255" w:rsidP="00D13A23">
            <w:pPr>
              <w:ind w:right="29"/>
              <w:jc w:val="center"/>
              <w:rPr>
                <w:rFonts w:ascii="Times New Roman" w:eastAsia="Times New Roman" w:hAnsi="Times New Roman" w:cs="Times New Roman"/>
                <w:color w:val="000000"/>
                <w:lang w:eastAsia="ru-RU"/>
              </w:rPr>
            </w:pPr>
            <w:r w:rsidRPr="00B64866">
              <w:rPr>
                <w:rFonts w:ascii="Times New Roman" w:eastAsia="Times New Roman" w:hAnsi="Times New Roman" w:cs="Times New Roman"/>
                <w:color w:val="000000"/>
                <w:lang w:eastAsia="ru-RU"/>
              </w:rPr>
              <w:t>-119,0</w:t>
            </w:r>
          </w:p>
        </w:tc>
        <w:tc>
          <w:tcPr>
            <w:tcW w:w="924" w:type="dxa"/>
            <w:tcBorders>
              <w:top w:val="single" w:sz="4" w:space="0" w:color="auto"/>
              <w:left w:val="single" w:sz="4" w:space="0" w:color="auto"/>
              <w:bottom w:val="single" w:sz="4" w:space="0" w:color="auto"/>
              <w:right w:val="single" w:sz="4" w:space="0" w:color="auto"/>
            </w:tcBorders>
            <w:vAlign w:val="center"/>
          </w:tcPr>
          <w:p w:rsidR="00476255" w:rsidRPr="00B64866" w:rsidRDefault="00476255" w:rsidP="00D13A23">
            <w:pPr>
              <w:ind w:right="29"/>
              <w:jc w:val="center"/>
              <w:rPr>
                <w:rFonts w:ascii="Times New Roman" w:eastAsia="Times New Roman" w:hAnsi="Times New Roman" w:cs="Times New Roman"/>
                <w:color w:val="000000"/>
                <w:lang w:eastAsia="ru-RU"/>
              </w:rPr>
            </w:pPr>
            <w:r w:rsidRPr="00B64866">
              <w:rPr>
                <w:rFonts w:ascii="Times New Roman" w:eastAsia="Times New Roman" w:hAnsi="Times New Roman" w:cs="Times New Roman"/>
                <w:color w:val="000000"/>
                <w:lang w:eastAsia="ru-RU"/>
              </w:rPr>
              <w:t>97,1</w:t>
            </w:r>
          </w:p>
        </w:tc>
      </w:tr>
      <w:tr w:rsidR="00476255" w:rsidRPr="00B64866" w:rsidTr="00365D6E">
        <w:tc>
          <w:tcPr>
            <w:tcW w:w="3544" w:type="dxa"/>
          </w:tcPr>
          <w:p w:rsidR="00476255" w:rsidRPr="00B64866" w:rsidRDefault="00476255" w:rsidP="00F362C7">
            <w:pPr>
              <w:ind w:right="29"/>
              <w:rPr>
                <w:rFonts w:ascii="Times New Roman" w:eastAsia="Times New Roman" w:hAnsi="Times New Roman" w:cs="Times New Roman"/>
                <w:b/>
                <w:lang w:eastAsia="ru-RU"/>
              </w:rPr>
            </w:pPr>
            <w:r w:rsidRPr="00B64866">
              <w:rPr>
                <w:rFonts w:ascii="Times New Roman" w:eastAsia="Times New Roman" w:hAnsi="Times New Roman" w:cs="Times New Roman"/>
                <w:b/>
                <w:lang w:eastAsia="ru-RU"/>
              </w:rPr>
              <w:t>Impozite pe proprietate</w:t>
            </w:r>
          </w:p>
        </w:tc>
        <w:tc>
          <w:tcPr>
            <w:tcW w:w="1011" w:type="dxa"/>
            <w:vAlign w:val="center"/>
          </w:tcPr>
          <w:p w:rsidR="00476255" w:rsidRPr="00B64866" w:rsidRDefault="00476255" w:rsidP="00D13A23">
            <w:pPr>
              <w:ind w:right="29"/>
              <w:jc w:val="center"/>
              <w:rPr>
                <w:rFonts w:ascii="Times New Roman" w:eastAsia="Times New Roman" w:hAnsi="Times New Roman" w:cs="Times New Roman"/>
                <w:b/>
                <w:lang w:eastAsia="ru-RU"/>
              </w:rPr>
            </w:pPr>
            <w:r w:rsidRPr="00B64866">
              <w:rPr>
                <w:rFonts w:ascii="Times New Roman" w:eastAsia="Times New Roman" w:hAnsi="Times New Roman" w:cs="Times New Roman"/>
                <w:b/>
                <w:lang w:eastAsia="ru-RU"/>
              </w:rPr>
              <w:t>57,0</w:t>
            </w:r>
          </w:p>
        </w:tc>
        <w:tc>
          <w:tcPr>
            <w:tcW w:w="986" w:type="dxa"/>
            <w:tcBorders>
              <w:top w:val="single" w:sz="4" w:space="0" w:color="auto"/>
              <w:left w:val="nil"/>
              <w:bottom w:val="single" w:sz="4" w:space="0" w:color="auto"/>
              <w:right w:val="single" w:sz="4" w:space="0" w:color="auto"/>
            </w:tcBorders>
            <w:shd w:val="clear" w:color="auto" w:fill="auto"/>
            <w:vAlign w:val="center"/>
          </w:tcPr>
          <w:p w:rsidR="00476255" w:rsidRPr="00B64866" w:rsidRDefault="00476255" w:rsidP="00D13A23">
            <w:pPr>
              <w:ind w:right="29"/>
              <w:jc w:val="center"/>
              <w:rPr>
                <w:rFonts w:ascii="Times New Roman" w:eastAsia="Times New Roman" w:hAnsi="Times New Roman" w:cs="Times New Roman"/>
                <w:b/>
                <w:color w:val="000000"/>
                <w:lang w:eastAsia="ru-RU"/>
              </w:rPr>
            </w:pPr>
            <w:r w:rsidRPr="00B64866">
              <w:rPr>
                <w:rFonts w:ascii="Times New Roman" w:eastAsia="Times New Roman" w:hAnsi="Times New Roman" w:cs="Times New Roman"/>
                <w:b/>
                <w:color w:val="000000"/>
                <w:lang w:eastAsia="ru-RU"/>
              </w:rPr>
              <w:t>57,0</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476255" w:rsidRPr="00B64866" w:rsidRDefault="00476255" w:rsidP="00D13A23">
            <w:pPr>
              <w:ind w:right="29"/>
              <w:jc w:val="center"/>
              <w:rPr>
                <w:rFonts w:ascii="Times New Roman" w:eastAsia="Times New Roman" w:hAnsi="Times New Roman" w:cs="Times New Roman"/>
                <w:b/>
                <w:lang w:eastAsia="ru-RU"/>
              </w:rPr>
            </w:pPr>
            <w:r w:rsidRPr="00B64866">
              <w:rPr>
                <w:rFonts w:ascii="Times New Roman" w:eastAsia="Times New Roman" w:hAnsi="Times New Roman" w:cs="Times New Roman"/>
                <w:b/>
                <w:lang w:eastAsia="ru-RU"/>
              </w:rPr>
              <w:t>45,3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76255" w:rsidRPr="00B64866" w:rsidRDefault="00476255" w:rsidP="00D13A23">
            <w:pPr>
              <w:ind w:right="29"/>
              <w:jc w:val="center"/>
              <w:rPr>
                <w:rFonts w:ascii="Times New Roman" w:eastAsia="Times New Roman" w:hAnsi="Times New Roman" w:cs="Times New Roman"/>
                <w:b/>
                <w:bCs/>
                <w:color w:val="000000"/>
                <w:lang w:eastAsia="ru-RU"/>
              </w:rPr>
            </w:pPr>
            <w:r w:rsidRPr="00B64866">
              <w:rPr>
                <w:rFonts w:ascii="Times New Roman" w:eastAsia="Times New Roman" w:hAnsi="Times New Roman" w:cs="Times New Roman"/>
                <w:b/>
                <w:bCs/>
                <w:color w:val="000000"/>
                <w:lang w:eastAsia="ru-RU"/>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76255" w:rsidRPr="00B64866" w:rsidRDefault="00476255" w:rsidP="00D13A23">
            <w:pPr>
              <w:ind w:left="-89" w:right="29"/>
              <w:jc w:val="center"/>
              <w:rPr>
                <w:rFonts w:ascii="Times New Roman" w:eastAsia="Times New Roman" w:hAnsi="Times New Roman" w:cs="Times New Roman"/>
                <w:b/>
                <w:bCs/>
                <w:color w:val="000000"/>
                <w:lang w:eastAsia="ru-RU"/>
              </w:rPr>
            </w:pPr>
            <w:r w:rsidRPr="00B64866">
              <w:rPr>
                <w:rFonts w:ascii="Times New Roman" w:eastAsia="Times New Roman" w:hAnsi="Times New Roman" w:cs="Times New Roman"/>
                <w:b/>
                <w:bCs/>
                <w:color w:val="000000"/>
                <w:lang w:eastAsia="ru-RU"/>
              </w:rPr>
              <w:t>100,0</w:t>
            </w:r>
          </w:p>
        </w:tc>
        <w:tc>
          <w:tcPr>
            <w:tcW w:w="850" w:type="dxa"/>
            <w:tcBorders>
              <w:top w:val="single" w:sz="4" w:space="0" w:color="auto"/>
              <w:left w:val="single" w:sz="4" w:space="0" w:color="auto"/>
              <w:bottom w:val="single" w:sz="4" w:space="0" w:color="auto"/>
              <w:right w:val="single" w:sz="4" w:space="0" w:color="auto"/>
            </w:tcBorders>
            <w:vAlign w:val="center"/>
          </w:tcPr>
          <w:p w:rsidR="00476255" w:rsidRPr="00B64866" w:rsidRDefault="00476255" w:rsidP="00D13A23">
            <w:pPr>
              <w:ind w:right="29"/>
              <w:jc w:val="center"/>
              <w:rPr>
                <w:rFonts w:ascii="Times New Roman" w:eastAsia="Times New Roman" w:hAnsi="Times New Roman" w:cs="Times New Roman"/>
                <w:b/>
                <w:color w:val="000000"/>
                <w:lang w:eastAsia="ru-RU"/>
              </w:rPr>
            </w:pPr>
            <w:r w:rsidRPr="00B64866">
              <w:rPr>
                <w:rFonts w:ascii="Times New Roman" w:eastAsia="Times New Roman" w:hAnsi="Times New Roman" w:cs="Times New Roman"/>
                <w:b/>
                <w:color w:val="000000"/>
                <w:lang w:eastAsia="ru-RU"/>
              </w:rPr>
              <w:t>-11,7</w:t>
            </w:r>
          </w:p>
        </w:tc>
        <w:tc>
          <w:tcPr>
            <w:tcW w:w="924" w:type="dxa"/>
            <w:tcBorders>
              <w:top w:val="single" w:sz="4" w:space="0" w:color="auto"/>
              <w:left w:val="single" w:sz="4" w:space="0" w:color="auto"/>
              <w:bottom w:val="single" w:sz="4" w:space="0" w:color="auto"/>
              <w:right w:val="single" w:sz="4" w:space="0" w:color="auto"/>
            </w:tcBorders>
            <w:vAlign w:val="center"/>
          </w:tcPr>
          <w:p w:rsidR="00476255" w:rsidRPr="00B64866" w:rsidRDefault="00476255" w:rsidP="00D13A23">
            <w:pPr>
              <w:ind w:right="29"/>
              <w:jc w:val="center"/>
              <w:rPr>
                <w:rFonts w:ascii="Times New Roman" w:eastAsia="Times New Roman" w:hAnsi="Times New Roman" w:cs="Times New Roman"/>
                <w:b/>
                <w:color w:val="000000"/>
                <w:lang w:eastAsia="ru-RU"/>
              </w:rPr>
            </w:pPr>
            <w:r w:rsidRPr="00B64866">
              <w:rPr>
                <w:rFonts w:ascii="Times New Roman" w:eastAsia="Times New Roman" w:hAnsi="Times New Roman" w:cs="Times New Roman"/>
                <w:b/>
                <w:color w:val="000000"/>
                <w:lang w:eastAsia="ru-RU"/>
              </w:rPr>
              <w:t>79,5</w:t>
            </w:r>
          </w:p>
        </w:tc>
      </w:tr>
      <w:tr w:rsidR="00476255" w:rsidRPr="00B64866" w:rsidTr="00365D6E">
        <w:tc>
          <w:tcPr>
            <w:tcW w:w="3544" w:type="dxa"/>
          </w:tcPr>
          <w:p w:rsidR="00476255" w:rsidRPr="00B64866" w:rsidRDefault="00476255" w:rsidP="00F362C7">
            <w:pPr>
              <w:ind w:right="29"/>
              <w:rPr>
                <w:rFonts w:ascii="Times New Roman" w:eastAsia="Times New Roman" w:hAnsi="Times New Roman" w:cs="Times New Roman"/>
                <w:lang w:eastAsia="ru-RU"/>
              </w:rPr>
            </w:pPr>
            <w:r w:rsidRPr="00B64866">
              <w:rPr>
                <w:rFonts w:ascii="Times New Roman" w:eastAsia="Times New Roman" w:hAnsi="Times New Roman" w:cs="Times New Roman"/>
                <w:lang w:eastAsia="ru-RU"/>
              </w:rPr>
              <w:t>Impozite pe proprietate cu caracter ocazional</w:t>
            </w:r>
          </w:p>
        </w:tc>
        <w:tc>
          <w:tcPr>
            <w:tcW w:w="1011" w:type="dxa"/>
            <w:vAlign w:val="center"/>
          </w:tcPr>
          <w:p w:rsidR="00476255" w:rsidRPr="00B64866" w:rsidRDefault="00476255" w:rsidP="00D13A23">
            <w:pPr>
              <w:ind w:right="29"/>
              <w:jc w:val="center"/>
              <w:rPr>
                <w:rFonts w:ascii="Times New Roman" w:eastAsia="Times New Roman" w:hAnsi="Times New Roman" w:cs="Times New Roman"/>
                <w:lang w:eastAsia="ru-RU"/>
              </w:rPr>
            </w:pPr>
            <w:r w:rsidRPr="00B64866">
              <w:rPr>
                <w:rFonts w:ascii="Times New Roman" w:eastAsia="Times New Roman" w:hAnsi="Times New Roman" w:cs="Times New Roman"/>
                <w:lang w:eastAsia="ru-RU"/>
              </w:rPr>
              <w:t>2,0</w:t>
            </w:r>
          </w:p>
        </w:tc>
        <w:tc>
          <w:tcPr>
            <w:tcW w:w="986" w:type="dxa"/>
            <w:tcBorders>
              <w:top w:val="single" w:sz="4" w:space="0" w:color="auto"/>
              <w:left w:val="nil"/>
              <w:bottom w:val="single" w:sz="4" w:space="0" w:color="auto"/>
              <w:right w:val="single" w:sz="4" w:space="0" w:color="auto"/>
            </w:tcBorders>
            <w:shd w:val="clear" w:color="auto" w:fill="auto"/>
            <w:vAlign w:val="center"/>
          </w:tcPr>
          <w:p w:rsidR="00476255" w:rsidRPr="00B64866" w:rsidRDefault="00476255" w:rsidP="00D13A23">
            <w:pPr>
              <w:ind w:right="29"/>
              <w:jc w:val="center"/>
              <w:rPr>
                <w:rFonts w:ascii="Times New Roman" w:eastAsia="Times New Roman" w:hAnsi="Times New Roman" w:cs="Times New Roman"/>
                <w:color w:val="000000"/>
                <w:lang w:eastAsia="ru-RU"/>
              </w:rPr>
            </w:pPr>
            <w:r w:rsidRPr="00B64866">
              <w:rPr>
                <w:rFonts w:ascii="Times New Roman" w:eastAsia="Times New Roman" w:hAnsi="Times New Roman" w:cs="Times New Roman"/>
                <w:color w:val="000000"/>
                <w:lang w:eastAsia="ru-RU"/>
              </w:rPr>
              <w:t>2,0</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476255" w:rsidRPr="00B64866" w:rsidRDefault="00476255" w:rsidP="00D13A23">
            <w:pPr>
              <w:ind w:right="29"/>
              <w:jc w:val="center"/>
              <w:rPr>
                <w:rFonts w:ascii="Times New Roman" w:eastAsia="Times New Roman" w:hAnsi="Times New Roman" w:cs="Times New Roman"/>
                <w:lang w:eastAsia="ru-RU"/>
              </w:rPr>
            </w:pPr>
            <w:r w:rsidRPr="00B64866">
              <w:rPr>
                <w:rFonts w:ascii="Times New Roman" w:eastAsia="Times New Roman" w:hAnsi="Times New Roman" w:cs="Times New Roman"/>
                <w:lang w:eastAsia="ru-RU"/>
              </w:rPr>
              <w:t>1,8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76255" w:rsidRPr="00B64866" w:rsidRDefault="00476255" w:rsidP="00D13A23">
            <w:pPr>
              <w:ind w:right="29"/>
              <w:jc w:val="center"/>
              <w:rPr>
                <w:rFonts w:ascii="Times New Roman" w:eastAsia="Times New Roman" w:hAnsi="Times New Roman" w:cs="Times New Roman"/>
                <w:bCs/>
                <w:color w:val="000000"/>
                <w:lang w:eastAsia="ru-RU"/>
              </w:rPr>
            </w:pPr>
            <w:r w:rsidRPr="00B64866">
              <w:rPr>
                <w:rFonts w:ascii="Times New Roman" w:eastAsia="Times New Roman" w:hAnsi="Times New Roman" w:cs="Times New Roman"/>
                <w:bCs/>
                <w:color w:val="000000"/>
                <w:lang w:eastAsia="ru-RU"/>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76255" w:rsidRPr="00B64866" w:rsidRDefault="00476255" w:rsidP="00D13A23">
            <w:pPr>
              <w:ind w:left="-89" w:right="29"/>
              <w:jc w:val="center"/>
              <w:rPr>
                <w:rFonts w:ascii="Times New Roman" w:eastAsia="Times New Roman" w:hAnsi="Times New Roman" w:cs="Times New Roman"/>
                <w:bCs/>
                <w:color w:val="000000"/>
                <w:lang w:eastAsia="ru-RU"/>
              </w:rPr>
            </w:pPr>
            <w:r w:rsidRPr="00B64866">
              <w:rPr>
                <w:rFonts w:ascii="Times New Roman" w:eastAsia="Times New Roman" w:hAnsi="Times New Roman" w:cs="Times New Roman"/>
                <w:bCs/>
                <w:color w:val="000000"/>
                <w:lang w:eastAsia="ru-RU"/>
              </w:rPr>
              <w:t>100,0</w:t>
            </w:r>
          </w:p>
        </w:tc>
        <w:tc>
          <w:tcPr>
            <w:tcW w:w="850" w:type="dxa"/>
            <w:tcBorders>
              <w:top w:val="single" w:sz="4" w:space="0" w:color="auto"/>
              <w:left w:val="single" w:sz="4" w:space="0" w:color="auto"/>
              <w:bottom w:val="single" w:sz="4" w:space="0" w:color="auto"/>
              <w:right w:val="single" w:sz="4" w:space="0" w:color="auto"/>
            </w:tcBorders>
            <w:vAlign w:val="center"/>
          </w:tcPr>
          <w:p w:rsidR="00476255" w:rsidRPr="00B64866" w:rsidRDefault="00476255" w:rsidP="00D13A23">
            <w:pPr>
              <w:ind w:right="29"/>
              <w:jc w:val="center"/>
              <w:rPr>
                <w:rFonts w:ascii="Times New Roman" w:eastAsia="Times New Roman" w:hAnsi="Times New Roman" w:cs="Times New Roman"/>
                <w:color w:val="000000"/>
                <w:lang w:eastAsia="ru-RU"/>
              </w:rPr>
            </w:pPr>
            <w:r w:rsidRPr="00B64866">
              <w:rPr>
                <w:rFonts w:ascii="Times New Roman" w:eastAsia="Times New Roman" w:hAnsi="Times New Roman" w:cs="Times New Roman"/>
                <w:color w:val="000000"/>
                <w:lang w:eastAsia="ru-RU"/>
              </w:rPr>
              <w:t>-0,2</w:t>
            </w:r>
          </w:p>
        </w:tc>
        <w:tc>
          <w:tcPr>
            <w:tcW w:w="924" w:type="dxa"/>
            <w:tcBorders>
              <w:top w:val="single" w:sz="4" w:space="0" w:color="auto"/>
              <w:left w:val="single" w:sz="4" w:space="0" w:color="auto"/>
              <w:bottom w:val="single" w:sz="4" w:space="0" w:color="auto"/>
              <w:right w:val="single" w:sz="4" w:space="0" w:color="auto"/>
            </w:tcBorders>
            <w:vAlign w:val="center"/>
          </w:tcPr>
          <w:p w:rsidR="00476255" w:rsidRPr="00B64866" w:rsidRDefault="00476255" w:rsidP="00D13A23">
            <w:pPr>
              <w:ind w:right="29"/>
              <w:jc w:val="center"/>
              <w:rPr>
                <w:rFonts w:ascii="Times New Roman" w:eastAsia="Times New Roman" w:hAnsi="Times New Roman" w:cs="Times New Roman"/>
                <w:color w:val="000000"/>
                <w:lang w:eastAsia="ru-RU"/>
              </w:rPr>
            </w:pPr>
            <w:r w:rsidRPr="00B64866">
              <w:rPr>
                <w:rFonts w:ascii="Times New Roman" w:eastAsia="Times New Roman" w:hAnsi="Times New Roman" w:cs="Times New Roman"/>
                <w:color w:val="000000"/>
                <w:lang w:eastAsia="ru-RU"/>
              </w:rPr>
              <w:t>89,6</w:t>
            </w:r>
          </w:p>
        </w:tc>
      </w:tr>
      <w:tr w:rsidR="00476255" w:rsidRPr="00B64866" w:rsidTr="00365D6E">
        <w:tc>
          <w:tcPr>
            <w:tcW w:w="3544" w:type="dxa"/>
          </w:tcPr>
          <w:p w:rsidR="00476255" w:rsidRPr="00B64866" w:rsidRDefault="00476255" w:rsidP="00F362C7">
            <w:pPr>
              <w:ind w:right="29"/>
              <w:rPr>
                <w:rFonts w:ascii="Times New Roman" w:eastAsia="Times New Roman" w:hAnsi="Times New Roman" w:cs="Times New Roman"/>
                <w:lang w:eastAsia="ru-RU"/>
              </w:rPr>
            </w:pPr>
            <w:r w:rsidRPr="00B64866">
              <w:rPr>
                <w:rFonts w:ascii="Times New Roman" w:eastAsia="Times New Roman" w:hAnsi="Times New Roman" w:cs="Times New Roman"/>
                <w:lang w:eastAsia="ru-RU"/>
              </w:rPr>
              <w:t>Alte impozite pe proprietate</w:t>
            </w:r>
          </w:p>
        </w:tc>
        <w:tc>
          <w:tcPr>
            <w:tcW w:w="1011" w:type="dxa"/>
            <w:vAlign w:val="center"/>
          </w:tcPr>
          <w:p w:rsidR="00476255" w:rsidRPr="00B64866" w:rsidRDefault="00476255" w:rsidP="00D13A23">
            <w:pPr>
              <w:ind w:right="29"/>
              <w:jc w:val="center"/>
              <w:rPr>
                <w:rFonts w:ascii="Times New Roman" w:eastAsia="Times New Roman" w:hAnsi="Times New Roman" w:cs="Times New Roman"/>
                <w:lang w:eastAsia="ru-RU"/>
              </w:rPr>
            </w:pPr>
            <w:r w:rsidRPr="00B64866">
              <w:rPr>
                <w:rFonts w:ascii="Times New Roman" w:eastAsia="Times New Roman" w:hAnsi="Times New Roman" w:cs="Times New Roman"/>
                <w:lang w:eastAsia="ru-RU"/>
              </w:rPr>
              <w:t>55,0</w:t>
            </w:r>
          </w:p>
        </w:tc>
        <w:tc>
          <w:tcPr>
            <w:tcW w:w="986" w:type="dxa"/>
            <w:tcBorders>
              <w:top w:val="single" w:sz="4" w:space="0" w:color="auto"/>
              <w:left w:val="nil"/>
              <w:bottom w:val="single" w:sz="4" w:space="0" w:color="auto"/>
              <w:right w:val="single" w:sz="4" w:space="0" w:color="auto"/>
            </w:tcBorders>
            <w:shd w:val="clear" w:color="auto" w:fill="auto"/>
            <w:vAlign w:val="center"/>
          </w:tcPr>
          <w:p w:rsidR="00476255" w:rsidRPr="00B64866" w:rsidRDefault="00476255" w:rsidP="00D13A23">
            <w:pPr>
              <w:ind w:right="29"/>
              <w:jc w:val="center"/>
              <w:rPr>
                <w:rFonts w:ascii="Times New Roman" w:eastAsia="Times New Roman" w:hAnsi="Times New Roman" w:cs="Times New Roman"/>
                <w:color w:val="000000"/>
                <w:lang w:eastAsia="ru-RU"/>
              </w:rPr>
            </w:pPr>
            <w:r w:rsidRPr="00B64866">
              <w:rPr>
                <w:rFonts w:ascii="Times New Roman" w:eastAsia="Times New Roman" w:hAnsi="Times New Roman" w:cs="Times New Roman"/>
                <w:color w:val="000000"/>
                <w:lang w:eastAsia="ru-RU"/>
              </w:rPr>
              <w:t>55,0</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476255" w:rsidRPr="00B64866" w:rsidRDefault="00476255" w:rsidP="00D13A23">
            <w:pPr>
              <w:ind w:right="29"/>
              <w:jc w:val="center"/>
              <w:rPr>
                <w:rFonts w:ascii="Times New Roman" w:eastAsia="Times New Roman" w:hAnsi="Times New Roman" w:cs="Times New Roman"/>
                <w:lang w:eastAsia="ru-RU"/>
              </w:rPr>
            </w:pPr>
            <w:r w:rsidRPr="00B64866">
              <w:rPr>
                <w:rFonts w:ascii="Times New Roman" w:eastAsia="Times New Roman" w:hAnsi="Times New Roman" w:cs="Times New Roman"/>
                <w:lang w:eastAsia="ru-RU"/>
              </w:rPr>
              <w:t>43,6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76255" w:rsidRPr="00B64866" w:rsidRDefault="00476255" w:rsidP="00D13A23">
            <w:pPr>
              <w:ind w:right="29"/>
              <w:jc w:val="center"/>
              <w:rPr>
                <w:rFonts w:ascii="Times New Roman" w:eastAsia="Times New Roman" w:hAnsi="Times New Roman" w:cs="Times New Roman"/>
                <w:bCs/>
                <w:color w:val="000000"/>
                <w:lang w:eastAsia="ru-RU"/>
              </w:rPr>
            </w:pPr>
            <w:r w:rsidRPr="00B64866">
              <w:rPr>
                <w:rFonts w:ascii="Times New Roman" w:eastAsia="Times New Roman" w:hAnsi="Times New Roman" w:cs="Times New Roman"/>
                <w:bCs/>
                <w:color w:val="000000"/>
                <w:lang w:eastAsia="ru-RU"/>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76255" w:rsidRPr="00B64866" w:rsidRDefault="00476255" w:rsidP="00D13A23">
            <w:pPr>
              <w:ind w:left="-89" w:right="29"/>
              <w:jc w:val="center"/>
              <w:rPr>
                <w:rFonts w:ascii="Times New Roman" w:eastAsia="Times New Roman" w:hAnsi="Times New Roman" w:cs="Times New Roman"/>
                <w:bCs/>
                <w:color w:val="000000"/>
                <w:lang w:eastAsia="ru-RU"/>
              </w:rPr>
            </w:pPr>
            <w:r w:rsidRPr="00B64866">
              <w:rPr>
                <w:rFonts w:ascii="Times New Roman" w:eastAsia="Times New Roman" w:hAnsi="Times New Roman" w:cs="Times New Roman"/>
                <w:bCs/>
                <w:color w:val="000000"/>
                <w:lang w:eastAsia="ru-RU"/>
              </w:rPr>
              <w:t>100,0</w:t>
            </w:r>
          </w:p>
        </w:tc>
        <w:tc>
          <w:tcPr>
            <w:tcW w:w="850" w:type="dxa"/>
            <w:tcBorders>
              <w:top w:val="single" w:sz="4" w:space="0" w:color="auto"/>
              <w:left w:val="single" w:sz="4" w:space="0" w:color="auto"/>
              <w:bottom w:val="single" w:sz="4" w:space="0" w:color="auto"/>
              <w:right w:val="single" w:sz="4" w:space="0" w:color="auto"/>
            </w:tcBorders>
            <w:vAlign w:val="center"/>
          </w:tcPr>
          <w:p w:rsidR="00476255" w:rsidRPr="00B64866" w:rsidRDefault="00476255" w:rsidP="00D13A23">
            <w:pPr>
              <w:ind w:right="29"/>
              <w:jc w:val="center"/>
              <w:rPr>
                <w:rFonts w:ascii="Times New Roman" w:eastAsia="Times New Roman" w:hAnsi="Times New Roman" w:cs="Times New Roman"/>
                <w:color w:val="000000"/>
                <w:lang w:eastAsia="ru-RU"/>
              </w:rPr>
            </w:pPr>
            <w:r w:rsidRPr="00B64866">
              <w:rPr>
                <w:rFonts w:ascii="Times New Roman" w:eastAsia="Times New Roman" w:hAnsi="Times New Roman" w:cs="Times New Roman"/>
                <w:color w:val="000000"/>
                <w:lang w:eastAsia="ru-RU"/>
              </w:rPr>
              <w:t>-11,4</w:t>
            </w:r>
          </w:p>
        </w:tc>
        <w:tc>
          <w:tcPr>
            <w:tcW w:w="924" w:type="dxa"/>
            <w:tcBorders>
              <w:top w:val="single" w:sz="4" w:space="0" w:color="auto"/>
              <w:left w:val="single" w:sz="4" w:space="0" w:color="auto"/>
              <w:bottom w:val="single" w:sz="4" w:space="0" w:color="auto"/>
              <w:right w:val="single" w:sz="4" w:space="0" w:color="auto"/>
            </w:tcBorders>
            <w:vAlign w:val="center"/>
          </w:tcPr>
          <w:p w:rsidR="00476255" w:rsidRPr="00B64866" w:rsidRDefault="00476255" w:rsidP="00D13A23">
            <w:pPr>
              <w:ind w:right="29"/>
              <w:jc w:val="center"/>
              <w:rPr>
                <w:rFonts w:ascii="Times New Roman" w:eastAsia="Times New Roman" w:hAnsi="Times New Roman" w:cs="Times New Roman"/>
                <w:color w:val="000000"/>
                <w:lang w:eastAsia="ru-RU"/>
              </w:rPr>
            </w:pPr>
            <w:r w:rsidRPr="00B64866">
              <w:rPr>
                <w:rFonts w:ascii="Times New Roman" w:eastAsia="Times New Roman" w:hAnsi="Times New Roman" w:cs="Times New Roman"/>
                <w:color w:val="000000"/>
                <w:lang w:eastAsia="ru-RU"/>
              </w:rPr>
              <w:t>79,2</w:t>
            </w:r>
          </w:p>
        </w:tc>
      </w:tr>
      <w:tr w:rsidR="00476255" w:rsidRPr="00B64866" w:rsidTr="00365D6E">
        <w:tc>
          <w:tcPr>
            <w:tcW w:w="3544" w:type="dxa"/>
          </w:tcPr>
          <w:p w:rsidR="00476255" w:rsidRPr="00B64866" w:rsidRDefault="00476255" w:rsidP="00F362C7">
            <w:pPr>
              <w:ind w:right="29"/>
              <w:rPr>
                <w:rFonts w:ascii="Times New Roman" w:eastAsia="Times New Roman" w:hAnsi="Times New Roman" w:cs="Times New Roman"/>
                <w:b/>
                <w:lang w:eastAsia="ru-RU"/>
              </w:rPr>
            </w:pPr>
            <w:r w:rsidRPr="00B64866">
              <w:rPr>
                <w:rFonts w:ascii="Times New Roman" w:eastAsia="Times New Roman" w:hAnsi="Times New Roman" w:cs="Times New Roman"/>
                <w:b/>
                <w:lang w:eastAsia="ru-RU"/>
              </w:rPr>
              <w:t>Impozite și taxe pe mărfuri și servicii</w:t>
            </w:r>
          </w:p>
        </w:tc>
        <w:tc>
          <w:tcPr>
            <w:tcW w:w="1011" w:type="dxa"/>
            <w:vAlign w:val="center"/>
          </w:tcPr>
          <w:p w:rsidR="00476255" w:rsidRPr="00B64866" w:rsidRDefault="00476255" w:rsidP="00D13A23">
            <w:pPr>
              <w:ind w:right="29"/>
              <w:jc w:val="center"/>
              <w:rPr>
                <w:rFonts w:ascii="Times New Roman" w:eastAsia="Times New Roman" w:hAnsi="Times New Roman" w:cs="Times New Roman"/>
                <w:b/>
                <w:lang w:eastAsia="ru-RU"/>
              </w:rPr>
            </w:pPr>
            <w:r w:rsidRPr="00B64866">
              <w:rPr>
                <w:rFonts w:ascii="Times New Roman" w:eastAsia="Times New Roman" w:hAnsi="Times New Roman" w:cs="Times New Roman"/>
                <w:b/>
                <w:lang w:eastAsia="ru-RU"/>
              </w:rPr>
              <w:t>21963,7</w:t>
            </w:r>
          </w:p>
        </w:tc>
        <w:tc>
          <w:tcPr>
            <w:tcW w:w="986" w:type="dxa"/>
            <w:tcBorders>
              <w:top w:val="single" w:sz="4" w:space="0" w:color="auto"/>
              <w:left w:val="nil"/>
              <w:bottom w:val="single" w:sz="4" w:space="0" w:color="auto"/>
              <w:right w:val="single" w:sz="4" w:space="0" w:color="auto"/>
            </w:tcBorders>
            <w:shd w:val="clear" w:color="auto" w:fill="auto"/>
            <w:vAlign w:val="center"/>
          </w:tcPr>
          <w:p w:rsidR="00476255" w:rsidRPr="00B64866" w:rsidRDefault="00476255" w:rsidP="00D13A23">
            <w:pPr>
              <w:ind w:right="29"/>
              <w:jc w:val="center"/>
              <w:rPr>
                <w:rFonts w:ascii="Times New Roman" w:eastAsia="Times New Roman" w:hAnsi="Times New Roman" w:cs="Times New Roman"/>
                <w:b/>
                <w:color w:val="000000"/>
                <w:lang w:eastAsia="ru-RU"/>
              </w:rPr>
            </w:pPr>
            <w:r w:rsidRPr="00B64866">
              <w:rPr>
                <w:rFonts w:ascii="Times New Roman" w:eastAsia="Times New Roman" w:hAnsi="Times New Roman" w:cs="Times New Roman"/>
                <w:b/>
                <w:color w:val="000000"/>
                <w:lang w:eastAsia="ru-RU"/>
              </w:rPr>
              <w:t>23646,2</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476255" w:rsidRPr="00B64866" w:rsidRDefault="00476255" w:rsidP="00D13A23">
            <w:pPr>
              <w:ind w:right="29"/>
              <w:jc w:val="center"/>
              <w:rPr>
                <w:rFonts w:ascii="Times New Roman" w:eastAsia="Times New Roman" w:hAnsi="Times New Roman" w:cs="Times New Roman"/>
                <w:b/>
                <w:lang w:eastAsia="ru-RU"/>
              </w:rPr>
            </w:pPr>
            <w:r w:rsidRPr="00B64866">
              <w:rPr>
                <w:rFonts w:ascii="Times New Roman" w:eastAsia="Times New Roman" w:hAnsi="Times New Roman" w:cs="Times New Roman"/>
                <w:b/>
                <w:lang w:eastAsia="ru-RU"/>
              </w:rPr>
              <w:t>24023,7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76255" w:rsidRPr="00B64866" w:rsidRDefault="00476255" w:rsidP="00D13A23">
            <w:pPr>
              <w:ind w:right="29"/>
              <w:jc w:val="center"/>
              <w:rPr>
                <w:rFonts w:ascii="Times New Roman" w:eastAsia="Times New Roman" w:hAnsi="Times New Roman" w:cs="Times New Roman"/>
                <w:b/>
                <w:bCs/>
                <w:color w:val="000000"/>
                <w:lang w:eastAsia="ru-RU"/>
              </w:rPr>
            </w:pPr>
            <w:r w:rsidRPr="00B64866">
              <w:rPr>
                <w:rFonts w:ascii="Times New Roman" w:eastAsia="Times New Roman" w:hAnsi="Times New Roman" w:cs="Times New Roman"/>
                <w:b/>
                <w:bCs/>
                <w:color w:val="000000"/>
                <w:lang w:eastAsia="ru-RU"/>
              </w:rPr>
              <w:t>1682,5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76255" w:rsidRPr="00B64866" w:rsidRDefault="00476255" w:rsidP="00D13A23">
            <w:pPr>
              <w:ind w:left="-89" w:right="29"/>
              <w:jc w:val="center"/>
              <w:rPr>
                <w:rFonts w:ascii="Times New Roman" w:eastAsia="Times New Roman" w:hAnsi="Times New Roman" w:cs="Times New Roman"/>
                <w:b/>
                <w:bCs/>
                <w:color w:val="000000"/>
                <w:lang w:eastAsia="ru-RU"/>
              </w:rPr>
            </w:pPr>
            <w:r w:rsidRPr="00B64866">
              <w:rPr>
                <w:rFonts w:ascii="Times New Roman" w:eastAsia="Times New Roman" w:hAnsi="Times New Roman" w:cs="Times New Roman"/>
                <w:b/>
                <w:bCs/>
                <w:color w:val="000000"/>
                <w:lang w:eastAsia="ru-RU"/>
              </w:rPr>
              <w:t>107,7</w:t>
            </w:r>
          </w:p>
        </w:tc>
        <w:tc>
          <w:tcPr>
            <w:tcW w:w="850" w:type="dxa"/>
            <w:tcBorders>
              <w:top w:val="single" w:sz="4" w:space="0" w:color="auto"/>
              <w:left w:val="single" w:sz="4" w:space="0" w:color="auto"/>
              <w:bottom w:val="single" w:sz="4" w:space="0" w:color="auto"/>
              <w:right w:val="single" w:sz="4" w:space="0" w:color="auto"/>
            </w:tcBorders>
            <w:vAlign w:val="center"/>
          </w:tcPr>
          <w:p w:rsidR="00476255" w:rsidRPr="00B64866" w:rsidRDefault="00476255" w:rsidP="00D13A23">
            <w:pPr>
              <w:ind w:right="29"/>
              <w:jc w:val="center"/>
              <w:rPr>
                <w:rFonts w:ascii="Times New Roman" w:eastAsia="Times New Roman" w:hAnsi="Times New Roman" w:cs="Times New Roman"/>
                <w:b/>
                <w:color w:val="000000"/>
                <w:lang w:eastAsia="ru-RU"/>
              </w:rPr>
            </w:pPr>
            <w:r w:rsidRPr="00B64866">
              <w:rPr>
                <w:rFonts w:ascii="Times New Roman" w:eastAsia="Times New Roman" w:hAnsi="Times New Roman" w:cs="Times New Roman"/>
                <w:b/>
                <w:color w:val="000000"/>
                <w:lang w:eastAsia="ru-RU"/>
              </w:rPr>
              <w:t>377,6</w:t>
            </w:r>
          </w:p>
        </w:tc>
        <w:tc>
          <w:tcPr>
            <w:tcW w:w="924" w:type="dxa"/>
            <w:tcBorders>
              <w:top w:val="single" w:sz="4" w:space="0" w:color="auto"/>
              <w:left w:val="single" w:sz="4" w:space="0" w:color="auto"/>
              <w:bottom w:val="single" w:sz="4" w:space="0" w:color="auto"/>
              <w:right w:val="single" w:sz="4" w:space="0" w:color="auto"/>
            </w:tcBorders>
            <w:vAlign w:val="center"/>
          </w:tcPr>
          <w:p w:rsidR="00476255" w:rsidRPr="00B64866" w:rsidRDefault="00476255" w:rsidP="00D13A23">
            <w:pPr>
              <w:ind w:right="29"/>
              <w:jc w:val="center"/>
              <w:rPr>
                <w:rFonts w:ascii="Times New Roman" w:eastAsia="Times New Roman" w:hAnsi="Times New Roman" w:cs="Times New Roman"/>
                <w:b/>
                <w:color w:val="000000"/>
                <w:lang w:eastAsia="ru-RU"/>
              </w:rPr>
            </w:pPr>
            <w:r w:rsidRPr="00B64866">
              <w:rPr>
                <w:rFonts w:ascii="Times New Roman" w:eastAsia="Times New Roman" w:hAnsi="Times New Roman" w:cs="Times New Roman"/>
                <w:b/>
                <w:color w:val="000000"/>
                <w:lang w:eastAsia="ru-RU"/>
              </w:rPr>
              <w:t>101,6</w:t>
            </w:r>
          </w:p>
        </w:tc>
      </w:tr>
      <w:tr w:rsidR="00476255" w:rsidRPr="002F4189" w:rsidTr="00365D6E">
        <w:tc>
          <w:tcPr>
            <w:tcW w:w="3544" w:type="dxa"/>
          </w:tcPr>
          <w:p w:rsidR="00476255" w:rsidRPr="002F4189" w:rsidRDefault="00476255" w:rsidP="00F362C7">
            <w:pPr>
              <w:ind w:right="29"/>
              <w:rPr>
                <w:rFonts w:ascii="Times New Roman" w:eastAsia="Times New Roman" w:hAnsi="Times New Roman" w:cs="Times New Roman"/>
                <w:lang w:eastAsia="ru-RU"/>
              </w:rPr>
            </w:pPr>
            <w:r w:rsidRPr="002F4189">
              <w:rPr>
                <w:rFonts w:ascii="Times New Roman" w:eastAsia="Times New Roman" w:hAnsi="Times New Roman" w:cs="Times New Roman"/>
                <w:lang w:eastAsia="ru-RU"/>
              </w:rPr>
              <w:t>Taxa pe valoare adăugată</w:t>
            </w:r>
          </w:p>
        </w:tc>
        <w:tc>
          <w:tcPr>
            <w:tcW w:w="1011" w:type="dxa"/>
            <w:vAlign w:val="center"/>
          </w:tcPr>
          <w:p w:rsidR="00476255" w:rsidRPr="002F4189" w:rsidRDefault="00476255" w:rsidP="00D13A23">
            <w:pPr>
              <w:ind w:right="29"/>
              <w:jc w:val="center"/>
              <w:rPr>
                <w:rFonts w:ascii="Times New Roman" w:eastAsia="Times New Roman" w:hAnsi="Times New Roman" w:cs="Times New Roman"/>
                <w:lang w:eastAsia="ru-RU"/>
              </w:rPr>
            </w:pPr>
            <w:r w:rsidRPr="002F4189">
              <w:rPr>
                <w:rFonts w:ascii="Times New Roman" w:eastAsia="Times New Roman" w:hAnsi="Times New Roman" w:cs="Times New Roman"/>
                <w:lang w:eastAsia="ru-RU"/>
              </w:rPr>
              <w:t>15964,2</w:t>
            </w:r>
          </w:p>
        </w:tc>
        <w:tc>
          <w:tcPr>
            <w:tcW w:w="986" w:type="dxa"/>
            <w:tcBorders>
              <w:top w:val="single" w:sz="4" w:space="0" w:color="auto"/>
              <w:left w:val="nil"/>
              <w:bottom w:val="single" w:sz="4" w:space="0" w:color="auto"/>
              <w:right w:val="single" w:sz="4" w:space="0" w:color="auto"/>
            </w:tcBorders>
            <w:shd w:val="clear" w:color="auto" w:fill="auto"/>
            <w:vAlign w:val="center"/>
          </w:tcPr>
          <w:p w:rsidR="00476255" w:rsidRPr="002F4189" w:rsidRDefault="00476255" w:rsidP="00D13A23">
            <w:pPr>
              <w:ind w:right="29"/>
              <w:jc w:val="center"/>
              <w:rPr>
                <w:rFonts w:ascii="Times New Roman" w:eastAsia="Times New Roman" w:hAnsi="Times New Roman" w:cs="Times New Roman"/>
                <w:color w:val="000000"/>
                <w:lang w:eastAsia="ru-RU"/>
              </w:rPr>
            </w:pPr>
            <w:r w:rsidRPr="002F4189">
              <w:rPr>
                <w:rFonts w:ascii="Times New Roman" w:eastAsia="Times New Roman" w:hAnsi="Times New Roman" w:cs="Times New Roman"/>
                <w:color w:val="000000"/>
                <w:lang w:eastAsia="ru-RU"/>
              </w:rPr>
              <w:t>16728,2</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476255" w:rsidRPr="002F4189" w:rsidRDefault="00476255" w:rsidP="00D13A23">
            <w:pPr>
              <w:ind w:right="29"/>
              <w:jc w:val="center"/>
              <w:rPr>
                <w:rFonts w:ascii="Times New Roman" w:eastAsia="Times New Roman" w:hAnsi="Times New Roman" w:cs="Times New Roman"/>
                <w:lang w:eastAsia="ru-RU"/>
              </w:rPr>
            </w:pPr>
            <w:r w:rsidRPr="002F4189">
              <w:rPr>
                <w:rFonts w:ascii="Times New Roman" w:eastAsia="Times New Roman" w:hAnsi="Times New Roman" w:cs="Times New Roman"/>
                <w:lang w:eastAsia="ru-RU"/>
              </w:rPr>
              <w:t>16788,8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76255" w:rsidRPr="002F4189" w:rsidRDefault="00476255" w:rsidP="00D13A23">
            <w:pPr>
              <w:ind w:right="29"/>
              <w:jc w:val="center"/>
              <w:rPr>
                <w:rFonts w:ascii="Times New Roman" w:eastAsia="Times New Roman" w:hAnsi="Times New Roman" w:cs="Times New Roman"/>
                <w:bCs/>
                <w:color w:val="000000"/>
                <w:lang w:eastAsia="ru-RU"/>
              </w:rPr>
            </w:pPr>
            <w:r w:rsidRPr="002F4189">
              <w:rPr>
                <w:rFonts w:ascii="Times New Roman" w:eastAsia="Times New Roman" w:hAnsi="Times New Roman" w:cs="Times New Roman"/>
                <w:bCs/>
                <w:color w:val="000000"/>
                <w:lang w:eastAsia="ru-RU"/>
              </w:rPr>
              <w:t>764,0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76255" w:rsidRPr="002F4189" w:rsidRDefault="00476255" w:rsidP="00D13A23">
            <w:pPr>
              <w:ind w:left="-89" w:right="29"/>
              <w:jc w:val="center"/>
              <w:rPr>
                <w:rFonts w:ascii="Times New Roman" w:eastAsia="Times New Roman" w:hAnsi="Times New Roman" w:cs="Times New Roman"/>
                <w:bCs/>
                <w:color w:val="000000"/>
                <w:lang w:eastAsia="ru-RU"/>
              </w:rPr>
            </w:pPr>
            <w:r w:rsidRPr="002F4189">
              <w:rPr>
                <w:rFonts w:ascii="Times New Roman" w:eastAsia="Times New Roman" w:hAnsi="Times New Roman" w:cs="Times New Roman"/>
                <w:bCs/>
                <w:color w:val="000000"/>
                <w:lang w:eastAsia="ru-RU"/>
              </w:rPr>
              <w:t>104,8</w:t>
            </w:r>
          </w:p>
        </w:tc>
        <w:tc>
          <w:tcPr>
            <w:tcW w:w="850" w:type="dxa"/>
            <w:tcBorders>
              <w:top w:val="single" w:sz="4" w:space="0" w:color="auto"/>
              <w:left w:val="single" w:sz="4" w:space="0" w:color="auto"/>
              <w:bottom w:val="single" w:sz="4" w:space="0" w:color="auto"/>
              <w:right w:val="single" w:sz="4" w:space="0" w:color="auto"/>
            </w:tcBorders>
            <w:vAlign w:val="center"/>
          </w:tcPr>
          <w:p w:rsidR="00476255" w:rsidRPr="002F4189" w:rsidRDefault="00476255" w:rsidP="00D13A23">
            <w:pPr>
              <w:ind w:right="29"/>
              <w:jc w:val="center"/>
              <w:rPr>
                <w:rFonts w:ascii="Times New Roman" w:eastAsia="Times New Roman" w:hAnsi="Times New Roman" w:cs="Times New Roman"/>
                <w:color w:val="000000"/>
                <w:lang w:eastAsia="ru-RU"/>
              </w:rPr>
            </w:pPr>
            <w:r w:rsidRPr="002F4189">
              <w:rPr>
                <w:rFonts w:ascii="Times New Roman" w:eastAsia="Times New Roman" w:hAnsi="Times New Roman" w:cs="Times New Roman"/>
                <w:color w:val="000000"/>
                <w:lang w:eastAsia="ru-RU"/>
              </w:rPr>
              <w:t>60,6</w:t>
            </w:r>
          </w:p>
        </w:tc>
        <w:tc>
          <w:tcPr>
            <w:tcW w:w="924" w:type="dxa"/>
            <w:tcBorders>
              <w:top w:val="single" w:sz="4" w:space="0" w:color="auto"/>
              <w:left w:val="single" w:sz="4" w:space="0" w:color="auto"/>
              <w:bottom w:val="single" w:sz="4" w:space="0" w:color="auto"/>
              <w:right w:val="single" w:sz="4" w:space="0" w:color="auto"/>
            </w:tcBorders>
            <w:vAlign w:val="center"/>
          </w:tcPr>
          <w:p w:rsidR="00476255" w:rsidRPr="002F4189" w:rsidRDefault="00476255" w:rsidP="00D13A23">
            <w:pPr>
              <w:ind w:right="29"/>
              <w:jc w:val="center"/>
              <w:rPr>
                <w:rFonts w:ascii="Times New Roman" w:eastAsia="Times New Roman" w:hAnsi="Times New Roman" w:cs="Times New Roman"/>
                <w:color w:val="000000"/>
                <w:lang w:eastAsia="ru-RU"/>
              </w:rPr>
            </w:pPr>
            <w:r w:rsidRPr="002F4189">
              <w:rPr>
                <w:rFonts w:ascii="Times New Roman" w:eastAsia="Times New Roman" w:hAnsi="Times New Roman" w:cs="Times New Roman"/>
                <w:color w:val="000000"/>
                <w:lang w:eastAsia="ru-RU"/>
              </w:rPr>
              <w:t>100,4</w:t>
            </w:r>
          </w:p>
        </w:tc>
      </w:tr>
      <w:tr w:rsidR="00476255" w:rsidRPr="00B64866" w:rsidTr="00365D6E">
        <w:tc>
          <w:tcPr>
            <w:tcW w:w="3544" w:type="dxa"/>
          </w:tcPr>
          <w:p w:rsidR="00476255" w:rsidRPr="00B64866" w:rsidRDefault="00476255" w:rsidP="00F362C7">
            <w:pPr>
              <w:ind w:right="29"/>
              <w:rPr>
                <w:rFonts w:ascii="Times New Roman" w:eastAsia="Times New Roman" w:hAnsi="Times New Roman" w:cs="Times New Roman"/>
                <w:lang w:eastAsia="ru-RU"/>
              </w:rPr>
            </w:pPr>
            <w:r w:rsidRPr="00B64866">
              <w:rPr>
                <w:rFonts w:ascii="Times New Roman" w:eastAsia="Times New Roman" w:hAnsi="Times New Roman" w:cs="Times New Roman"/>
                <w:lang w:eastAsia="ru-RU"/>
              </w:rPr>
              <w:t>Accize</w:t>
            </w:r>
          </w:p>
        </w:tc>
        <w:tc>
          <w:tcPr>
            <w:tcW w:w="1011" w:type="dxa"/>
            <w:vAlign w:val="center"/>
          </w:tcPr>
          <w:p w:rsidR="00476255" w:rsidRPr="00B64866" w:rsidRDefault="00476255" w:rsidP="00D13A23">
            <w:pPr>
              <w:ind w:right="29"/>
              <w:jc w:val="center"/>
              <w:rPr>
                <w:rFonts w:ascii="Times New Roman" w:eastAsia="Times New Roman" w:hAnsi="Times New Roman" w:cs="Times New Roman"/>
                <w:lang w:eastAsia="ru-RU"/>
              </w:rPr>
            </w:pPr>
            <w:r w:rsidRPr="00B64866">
              <w:rPr>
                <w:rFonts w:ascii="Times New Roman" w:eastAsia="Times New Roman" w:hAnsi="Times New Roman" w:cs="Times New Roman"/>
                <w:lang w:eastAsia="ru-RU"/>
              </w:rPr>
              <w:t>5074,2</w:t>
            </w:r>
          </w:p>
        </w:tc>
        <w:tc>
          <w:tcPr>
            <w:tcW w:w="986" w:type="dxa"/>
            <w:tcBorders>
              <w:top w:val="single" w:sz="4" w:space="0" w:color="auto"/>
              <w:left w:val="nil"/>
              <w:bottom w:val="single" w:sz="4" w:space="0" w:color="auto"/>
              <w:right w:val="single" w:sz="4" w:space="0" w:color="auto"/>
            </w:tcBorders>
            <w:shd w:val="clear" w:color="auto" w:fill="auto"/>
            <w:vAlign w:val="center"/>
          </w:tcPr>
          <w:p w:rsidR="00476255" w:rsidRPr="00B64866" w:rsidRDefault="00476255" w:rsidP="00D13A23">
            <w:pPr>
              <w:ind w:right="29"/>
              <w:jc w:val="center"/>
              <w:rPr>
                <w:rFonts w:ascii="Times New Roman" w:eastAsia="Times New Roman" w:hAnsi="Times New Roman" w:cs="Times New Roman"/>
                <w:color w:val="000000"/>
                <w:lang w:eastAsia="ru-RU"/>
              </w:rPr>
            </w:pPr>
            <w:r w:rsidRPr="00B64866">
              <w:rPr>
                <w:rFonts w:ascii="Times New Roman" w:eastAsia="Times New Roman" w:hAnsi="Times New Roman" w:cs="Times New Roman"/>
                <w:color w:val="000000"/>
                <w:lang w:eastAsia="ru-RU"/>
              </w:rPr>
              <w:t>5641,7</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476255" w:rsidRPr="00B64866" w:rsidRDefault="00476255" w:rsidP="00D13A23">
            <w:pPr>
              <w:ind w:right="29"/>
              <w:jc w:val="center"/>
              <w:rPr>
                <w:rFonts w:ascii="Times New Roman" w:eastAsia="Times New Roman" w:hAnsi="Times New Roman" w:cs="Times New Roman"/>
                <w:lang w:eastAsia="ru-RU"/>
              </w:rPr>
            </w:pPr>
            <w:r w:rsidRPr="00B64866">
              <w:rPr>
                <w:rFonts w:ascii="Times New Roman" w:eastAsia="Times New Roman" w:hAnsi="Times New Roman" w:cs="Times New Roman"/>
                <w:lang w:eastAsia="ru-RU"/>
              </w:rPr>
              <w:t>5947,0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76255" w:rsidRPr="00B64866" w:rsidRDefault="00476255" w:rsidP="00D13A23">
            <w:pPr>
              <w:ind w:right="29"/>
              <w:jc w:val="center"/>
              <w:rPr>
                <w:rFonts w:ascii="Times New Roman" w:eastAsia="Times New Roman" w:hAnsi="Times New Roman" w:cs="Times New Roman"/>
                <w:bCs/>
                <w:color w:val="000000"/>
                <w:lang w:eastAsia="ru-RU"/>
              </w:rPr>
            </w:pPr>
            <w:r w:rsidRPr="00B64866">
              <w:rPr>
                <w:rFonts w:ascii="Times New Roman" w:eastAsia="Times New Roman" w:hAnsi="Times New Roman" w:cs="Times New Roman"/>
                <w:bCs/>
                <w:color w:val="000000"/>
                <w:lang w:eastAsia="ru-RU"/>
              </w:rPr>
              <w:t>567,5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76255" w:rsidRPr="00B64866" w:rsidRDefault="00476255" w:rsidP="00D13A23">
            <w:pPr>
              <w:ind w:left="-89" w:right="29"/>
              <w:jc w:val="center"/>
              <w:rPr>
                <w:rFonts w:ascii="Times New Roman" w:eastAsia="Times New Roman" w:hAnsi="Times New Roman" w:cs="Times New Roman"/>
                <w:bCs/>
                <w:color w:val="000000"/>
                <w:lang w:eastAsia="ru-RU"/>
              </w:rPr>
            </w:pPr>
            <w:r w:rsidRPr="00B64866">
              <w:rPr>
                <w:rFonts w:ascii="Times New Roman" w:eastAsia="Times New Roman" w:hAnsi="Times New Roman" w:cs="Times New Roman"/>
                <w:bCs/>
                <w:color w:val="000000"/>
                <w:lang w:eastAsia="ru-RU"/>
              </w:rPr>
              <w:t>111,2</w:t>
            </w:r>
          </w:p>
        </w:tc>
        <w:tc>
          <w:tcPr>
            <w:tcW w:w="850" w:type="dxa"/>
            <w:tcBorders>
              <w:top w:val="single" w:sz="4" w:space="0" w:color="auto"/>
              <w:left w:val="single" w:sz="4" w:space="0" w:color="auto"/>
              <w:bottom w:val="single" w:sz="4" w:space="0" w:color="auto"/>
              <w:right w:val="single" w:sz="4" w:space="0" w:color="auto"/>
            </w:tcBorders>
            <w:vAlign w:val="center"/>
          </w:tcPr>
          <w:p w:rsidR="00476255" w:rsidRPr="00B64866" w:rsidRDefault="00476255" w:rsidP="00D13A23">
            <w:pPr>
              <w:ind w:right="29"/>
              <w:jc w:val="center"/>
              <w:rPr>
                <w:rFonts w:ascii="Times New Roman" w:eastAsia="Times New Roman" w:hAnsi="Times New Roman" w:cs="Times New Roman"/>
                <w:color w:val="000000"/>
                <w:lang w:eastAsia="ru-RU"/>
              </w:rPr>
            </w:pPr>
            <w:r w:rsidRPr="00B64866">
              <w:rPr>
                <w:rFonts w:ascii="Times New Roman" w:eastAsia="Times New Roman" w:hAnsi="Times New Roman" w:cs="Times New Roman"/>
                <w:color w:val="000000"/>
                <w:lang w:eastAsia="ru-RU"/>
              </w:rPr>
              <w:t>305,3</w:t>
            </w:r>
          </w:p>
        </w:tc>
        <w:tc>
          <w:tcPr>
            <w:tcW w:w="924" w:type="dxa"/>
            <w:tcBorders>
              <w:top w:val="single" w:sz="4" w:space="0" w:color="auto"/>
              <w:left w:val="single" w:sz="4" w:space="0" w:color="auto"/>
              <w:bottom w:val="single" w:sz="4" w:space="0" w:color="auto"/>
              <w:right w:val="single" w:sz="4" w:space="0" w:color="auto"/>
            </w:tcBorders>
            <w:vAlign w:val="center"/>
          </w:tcPr>
          <w:p w:rsidR="00476255" w:rsidRPr="00B64866" w:rsidRDefault="00476255" w:rsidP="00D13A23">
            <w:pPr>
              <w:ind w:right="29"/>
              <w:jc w:val="center"/>
              <w:rPr>
                <w:rFonts w:ascii="Times New Roman" w:eastAsia="Times New Roman" w:hAnsi="Times New Roman" w:cs="Times New Roman"/>
                <w:color w:val="000000"/>
                <w:lang w:eastAsia="ru-RU"/>
              </w:rPr>
            </w:pPr>
            <w:r w:rsidRPr="00B64866">
              <w:rPr>
                <w:rFonts w:ascii="Times New Roman" w:eastAsia="Times New Roman" w:hAnsi="Times New Roman" w:cs="Times New Roman"/>
                <w:color w:val="000000"/>
                <w:lang w:eastAsia="ru-RU"/>
              </w:rPr>
              <w:t>105,4</w:t>
            </w:r>
          </w:p>
        </w:tc>
      </w:tr>
      <w:tr w:rsidR="00476255" w:rsidRPr="00B64866" w:rsidTr="00365D6E">
        <w:tc>
          <w:tcPr>
            <w:tcW w:w="3544" w:type="dxa"/>
          </w:tcPr>
          <w:p w:rsidR="00476255" w:rsidRPr="00B64866" w:rsidRDefault="00476255" w:rsidP="00F362C7">
            <w:pPr>
              <w:ind w:right="29"/>
              <w:rPr>
                <w:rFonts w:ascii="Times New Roman" w:eastAsia="Times New Roman" w:hAnsi="Times New Roman" w:cs="Times New Roman"/>
                <w:lang w:eastAsia="ru-RU"/>
              </w:rPr>
            </w:pPr>
            <w:r w:rsidRPr="00B64866">
              <w:rPr>
                <w:rFonts w:ascii="Times New Roman" w:eastAsia="Times New Roman" w:hAnsi="Times New Roman" w:cs="Times New Roman"/>
                <w:lang w:eastAsia="ru-RU"/>
              </w:rPr>
              <w:t xml:space="preserve">Taxe pentru servicii specifice </w:t>
            </w:r>
          </w:p>
        </w:tc>
        <w:tc>
          <w:tcPr>
            <w:tcW w:w="1011" w:type="dxa"/>
            <w:vAlign w:val="center"/>
          </w:tcPr>
          <w:p w:rsidR="00476255" w:rsidRPr="00B64866" w:rsidRDefault="00476255" w:rsidP="00D13A23">
            <w:pPr>
              <w:ind w:right="29"/>
              <w:jc w:val="center"/>
              <w:rPr>
                <w:rFonts w:ascii="Times New Roman" w:eastAsia="Times New Roman" w:hAnsi="Times New Roman" w:cs="Times New Roman"/>
                <w:lang w:eastAsia="ru-RU"/>
              </w:rPr>
            </w:pPr>
            <w:r w:rsidRPr="00B64866">
              <w:rPr>
                <w:rFonts w:ascii="Times New Roman" w:eastAsia="Times New Roman" w:hAnsi="Times New Roman" w:cs="Times New Roman"/>
                <w:lang w:eastAsia="ru-RU"/>
              </w:rPr>
              <w:t>11,8</w:t>
            </w:r>
          </w:p>
        </w:tc>
        <w:tc>
          <w:tcPr>
            <w:tcW w:w="986" w:type="dxa"/>
            <w:tcBorders>
              <w:top w:val="single" w:sz="4" w:space="0" w:color="auto"/>
              <w:left w:val="nil"/>
              <w:bottom w:val="single" w:sz="4" w:space="0" w:color="auto"/>
              <w:right w:val="single" w:sz="4" w:space="0" w:color="auto"/>
            </w:tcBorders>
            <w:shd w:val="clear" w:color="auto" w:fill="auto"/>
            <w:vAlign w:val="center"/>
          </w:tcPr>
          <w:p w:rsidR="00476255" w:rsidRPr="00B64866" w:rsidRDefault="00476255" w:rsidP="00D13A23">
            <w:pPr>
              <w:ind w:right="29"/>
              <w:jc w:val="center"/>
              <w:rPr>
                <w:rFonts w:ascii="Times New Roman" w:eastAsia="Times New Roman" w:hAnsi="Times New Roman" w:cs="Times New Roman"/>
                <w:color w:val="000000"/>
                <w:lang w:eastAsia="ru-RU"/>
              </w:rPr>
            </w:pPr>
            <w:r w:rsidRPr="00B64866">
              <w:rPr>
                <w:rFonts w:ascii="Times New Roman" w:eastAsia="Times New Roman" w:hAnsi="Times New Roman" w:cs="Times New Roman"/>
                <w:color w:val="000000"/>
                <w:lang w:eastAsia="ru-RU"/>
              </w:rPr>
              <w:t>10,0</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476255" w:rsidRPr="00B64866" w:rsidRDefault="00476255" w:rsidP="00D13A23">
            <w:pPr>
              <w:ind w:right="29"/>
              <w:jc w:val="center"/>
              <w:rPr>
                <w:rFonts w:ascii="Times New Roman" w:eastAsia="Times New Roman" w:hAnsi="Times New Roman" w:cs="Times New Roman"/>
                <w:lang w:eastAsia="ru-RU"/>
              </w:rPr>
            </w:pPr>
            <w:r w:rsidRPr="00B64866">
              <w:rPr>
                <w:rFonts w:ascii="Times New Roman" w:eastAsia="Times New Roman" w:hAnsi="Times New Roman" w:cs="Times New Roman"/>
                <w:lang w:eastAsia="ru-RU"/>
              </w:rPr>
              <w:t>9,6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76255" w:rsidRPr="00B64866" w:rsidRDefault="00476255" w:rsidP="00D13A23">
            <w:pPr>
              <w:ind w:right="29"/>
              <w:jc w:val="center"/>
              <w:rPr>
                <w:rFonts w:ascii="Times New Roman" w:eastAsia="Times New Roman" w:hAnsi="Times New Roman" w:cs="Times New Roman"/>
                <w:bCs/>
                <w:color w:val="000000"/>
                <w:lang w:eastAsia="ru-RU"/>
              </w:rPr>
            </w:pPr>
            <w:r w:rsidRPr="00B64866">
              <w:rPr>
                <w:rFonts w:ascii="Times New Roman" w:eastAsia="Times New Roman" w:hAnsi="Times New Roman" w:cs="Times New Roman"/>
                <w:bCs/>
                <w:color w:val="000000"/>
                <w:lang w:eastAsia="ru-RU"/>
              </w:rPr>
              <w:t>-1,8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76255" w:rsidRPr="00B64866" w:rsidRDefault="00476255" w:rsidP="00D13A23">
            <w:pPr>
              <w:ind w:left="-89" w:right="29"/>
              <w:jc w:val="center"/>
              <w:rPr>
                <w:rFonts w:ascii="Times New Roman" w:eastAsia="Times New Roman" w:hAnsi="Times New Roman" w:cs="Times New Roman"/>
                <w:bCs/>
                <w:color w:val="000000"/>
                <w:lang w:eastAsia="ru-RU"/>
              </w:rPr>
            </w:pPr>
            <w:r w:rsidRPr="00B64866">
              <w:rPr>
                <w:rFonts w:ascii="Times New Roman" w:eastAsia="Times New Roman" w:hAnsi="Times New Roman" w:cs="Times New Roman"/>
                <w:bCs/>
                <w:color w:val="000000"/>
                <w:lang w:eastAsia="ru-RU"/>
              </w:rPr>
              <w:t>84,7</w:t>
            </w:r>
          </w:p>
        </w:tc>
        <w:tc>
          <w:tcPr>
            <w:tcW w:w="850" w:type="dxa"/>
            <w:tcBorders>
              <w:top w:val="single" w:sz="4" w:space="0" w:color="auto"/>
              <w:left w:val="single" w:sz="4" w:space="0" w:color="auto"/>
              <w:bottom w:val="single" w:sz="4" w:space="0" w:color="auto"/>
              <w:right w:val="single" w:sz="4" w:space="0" w:color="auto"/>
            </w:tcBorders>
            <w:vAlign w:val="center"/>
          </w:tcPr>
          <w:p w:rsidR="00476255" w:rsidRPr="00B64866" w:rsidRDefault="00476255" w:rsidP="00D13A23">
            <w:pPr>
              <w:ind w:right="29"/>
              <w:jc w:val="center"/>
              <w:rPr>
                <w:rFonts w:ascii="Times New Roman" w:eastAsia="Times New Roman" w:hAnsi="Times New Roman" w:cs="Times New Roman"/>
                <w:color w:val="000000"/>
                <w:lang w:eastAsia="ru-RU"/>
              </w:rPr>
            </w:pPr>
            <w:r w:rsidRPr="00B64866">
              <w:rPr>
                <w:rFonts w:ascii="Times New Roman" w:eastAsia="Times New Roman" w:hAnsi="Times New Roman" w:cs="Times New Roman"/>
                <w:color w:val="000000"/>
                <w:lang w:eastAsia="ru-RU"/>
              </w:rPr>
              <w:t>-0,5</w:t>
            </w:r>
          </w:p>
        </w:tc>
        <w:tc>
          <w:tcPr>
            <w:tcW w:w="924" w:type="dxa"/>
            <w:tcBorders>
              <w:top w:val="single" w:sz="4" w:space="0" w:color="auto"/>
              <w:left w:val="single" w:sz="4" w:space="0" w:color="auto"/>
              <w:bottom w:val="single" w:sz="4" w:space="0" w:color="auto"/>
              <w:right w:val="single" w:sz="4" w:space="0" w:color="auto"/>
            </w:tcBorders>
            <w:vAlign w:val="center"/>
          </w:tcPr>
          <w:p w:rsidR="00476255" w:rsidRPr="00B64866" w:rsidRDefault="00476255" w:rsidP="00D13A23">
            <w:pPr>
              <w:ind w:right="29"/>
              <w:jc w:val="center"/>
              <w:rPr>
                <w:rFonts w:ascii="Times New Roman" w:eastAsia="Times New Roman" w:hAnsi="Times New Roman" w:cs="Times New Roman"/>
                <w:color w:val="000000"/>
                <w:lang w:eastAsia="ru-RU"/>
              </w:rPr>
            </w:pPr>
            <w:r w:rsidRPr="00B64866">
              <w:rPr>
                <w:rFonts w:ascii="Times New Roman" w:eastAsia="Times New Roman" w:hAnsi="Times New Roman" w:cs="Times New Roman"/>
                <w:color w:val="000000"/>
                <w:lang w:eastAsia="ru-RU"/>
              </w:rPr>
              <w:t>95,3</w:t>
            </w:r>
          </w:p>
        </w:tc>
      </w:tr>
      <w:tr w:rsidR="00476255" w:rsidRPr="00B64866" w:rsidTr="00365D6E">
        <w:tc>
          <w:tcPr>
            <w:tcW w:w="3544" w:type="dxa"/>
          </w:tcPr>
          <w:p w:rsidR="00476255" w:rsidRPr="00B64866" w:rsidRDefault="00476255" w:rsidP="00F362C7">
            <w:pPr>
              <w:ind w:right="29"/>
              <w:rPr>
                <w:rFonts w:ascii="Times New Roman" w:eastAsia="Times New Roman" w:hAnsi="Times New Roman" w:cs="Times New Roman"/>
                <w:lang w:eastAsia="ru-RU"/>
              </w:rPr>
            </w:pPr>
            <w:r w:rsidRPr="00B64866">
              <w:rPr>
                <w:rFonts w:ascii="Times New Roman" w:eastAsia="Times New Roman" w:hAnsi="Times New Roman" w:cs="Times New Roman"/>
                <w:lang w:eastAsia="ru-RU"/>
              </w:rPr>
              <w:t>Taxe și plăți pentru utilizarea mărfurilor și pentru practicarea unor genuri de activitate</w:t>
            </w:r>
          </w:p>
        </w:tc>
        <w:tc>
          <w:tcPr>
            <w:tcW w:w="1011" w:type="dxa"/>
            <w:vAlign w:val="center"/>
          </w:tcPr>
          <w:p w:rsidR="00476255" w:rsidRPr="00B64866" w:rsidRDefault="00476255" w:rsidP="00D13A23">
            <w:pPr>
              <w:ind w:right="29"/>
              <w:jc w:val="center"/>
              <w:rPr>
                <w:rFonts w:ascii="Times New Roman" w:eastAsia="Times New Roman" w:hAnsi="Times New Roman" w:cs="Times New Roman"/>
                <w:lang w:eastAsia="ru-RU"/>
              </w:rPr>
            </w:pPr>
            <w:r w:rsidRPr="00B64866">
              <w:rPr>
                <w:rFonts w:ascii="Times New Roman" w:eastAsia="Times New Roman" w:hAnsi="Times New Roman" w:cs="Times New Roman"/>
                <w:lang w:eastAsia="ru-RU"/>
              </w:rPr>
              <w:t>410,9</w:t>
            </w:r>
          </w:p>
        </w:tc>
        <w:tc>
          <w:tcPr>
            <w:tcW w:w="986" w:type="dxa"/>
            <w:tcBorders>
              <w:top w:val="single" w:sz="4" w:space="0" w:color="auto"/>
              <w:left w:val="nil"/>
              <w:bottom w:val="single" w:sz="4" w:space="0" w:color="auto"/>
              <w:right w:val="single" w:sz="4" w:space="0" w:color="auto"/>
            </w:tcBorders>
            <w:shd w:val="clear" w:color="auto" w:fill="auto"/>
            <w:vAlign w:val="center"/>
          </w:tcPr>
          <w:p w:rsidR="00476255" w:rsidRPr="00B64866" w:rsidRDefault="00476255" w:rsidP="00D13A23">
            <w:pPr>
              <w:ind w:right="29"/>
              <w:jc w:val="center"/>
              <w:rPr>
                <w:rFonts w:ascii="Times New Roman" w:eastAsia="Times New Roman" w:hAnsi="Times New Roman" w:cs="Times New Roman"/>
                <w:color w:val="000000"/>
                <w:lang w:eastAsia="ru-RU"/>
              </w:rPr>
            </w:pPr>
            <w:r w:rsidRPr="00B64866">
              <w:rPr>
                <w:rFonts w:ascii="Times New Roman" w:eastAsia="Times New Roman" w:hAnsi="Times New Roman" w:cs="Times New Roman"/>
                <w:color w:val="000000"/>
                <w:lang w:eastAsia="ru-RU"/>
              </w:rPr>
              <w:t>373,6</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476255" w:rsidRPr="00B64866" w:rsidRDefault="00476255" w:rsidP="00D13A23">
            <w:pPr>
              <w:ind w:right="29"/>
              <w:jc w:val="center"/>
              <w:rPr>
                <w:rFonts w:ascii="Times New Roman" w:eastAsia="Times New Roman" w:hAnsi="Times New Roman" w:cs="Times New Roman"/>
                <w:lang w:eastAsia="ru-RU"/>
              </w:rPr>
            </w:pPr>
            <w:r w:rsidRPr="00B64866">
              <w:rPr>
                <w:rFonts w:ascii="Times New Roman" w:eastAsia="Times New Roman" w:hAnsi="Times New Roman" w:cs="Times New Roman"/>
                <w:lang w:eastAsia="ru-RU"/>
              </w:rPr>
              <w:t>399,8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76255" w:rsidRPr="00B64866" w:rsidRDefault="00476255" w:rsidP="00D13A23">
            <w:pPr>
              <w:ind w:right="29"/>
              <w:jc w:val="center"/>
              <w:rPr>
                <w:rFonts w:ascii="Times New Roman" w:eastAsia="Times New Roman" w:hAnsi="Times New Roman" w:cs="Times New Roman"/>
                <w:bCs/>
                <w:color w:val="000000"/>
                <w:lang w:eastAsia="ru-RU"/>
              </w:rPr>
            </w:pPr>
            <w:r w:rsidRPr="00B64866">
              <w:rPr>
                <w:rFonts w:ascii="Times New Roman" w:eastAsia="Times New Roman" w:hAnsi="Times New Roman" w:cs="Times New Roman"/>
                <w:bCs/>
                <w:color w:val="000000"/>
                <w:lang w:eastAsia="ru-RU"/>
              </w:rPr>
              <w:t>-37,3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76255" w:rsidRPr="00B64866" w:rsidRDefault="00476255" w:rsidP="00D13A23">
            <w:pPr>
              <w:ind w:left="-89" w:right="29"/>
              <w:jc w:val="center"/>
              <w:rPr>
                <w:rFonts w:ascii="Times New Roman" w:eastAsia="Times New Roman" w:hAnsi="Times New Roman" w:cs="Times New Roman"/>
                <w:bCs/>
                <w:color w:val="000000"/>
                <w:lang w:eastAsia="ru-RU"/>
              </w:rPr>
            </w:pPr>
            <w:r w:rsidRPr="00B64866">
              <w:rPr>
                <w:rFonts w:ascii="Times New Roman" w:eastAsia="Times New Roman" w:hAnsi="Times New Roman" w:cs="Times New Roman"/>
                <w:bCs/>
                <w:color w:val="000000"/>
                <w:lang w:eastAsia="ru-RU"/>
              </w:rPr>
              <w:t>90,9</w:t>
            </w:r>
          </w:p>
        </w:tc>
        <w:tc>
          <w:tcPr>
            <w:tcW w:w="850" w:type="dxa"/>
            <w:tcBorders>
              <w:top w:val="single" w:sz="4" w:space="0" w:color="auto"/>
              <w:left w:val="single" w:sz="4" w:space="0" w:color="auto"/>
              <w:bottom w:val="single" w:sz="4" w:space="0" w:color="auto"/>
              <w:right w:val="single" w:sz="4" w:space="0" w:color="auto"/>
            </w:tcBorders>
            <w:vAlign w:val="center"/>
          </w:tcPr>
          <w:p w:rsidR="00476255" w:rsidRPr="00B64866" w:rsidRDefault="00476255" w:rsidP="00D13A23">
            <w:pPr>
              <w:ind w:right="29"/>
              <w:jc w:val="center"/>
              <w:rPr>
                <w:rFonts w:ascii="Times New Roman" w:eastAsia="Times New Roman" w:hAnsi="Times New Roman" w:cs="Times New Roman"/>
                <w:color w:val="000000"/>
                <w:lang w:eastAsia="ru-RU"/>
              </w:rPr>
            </w:pPr>
            <w:r w:rsidRPr="00B64866">
              <w:rPr>
                <w:rFonts w:ascii="Times New Roman" w:eastAsia="Times New Roman" w:hAnsi="Times New Roman" w:cs="Times New Roman"/>
                <w:color w:val="000000"/>
                <w:lang w:eastAsia="ru-RU"/>
              </w:rPr>
              <w:t>26,2</w:t>
            </w:r>
          </w:p>
        </w:tc>
        <w:tc>
          <w:tcPr>
            <w:tcW w:w="924" w:type="dxa"/>
            <w:tcBorders>
              <w:top w:val="single" w:sz="4" w:space="0" w:color="auto"/>
              <w:left w:val="single" w:sz="4" w:space="0" w:color="auto"/>
              <w:bottom w:val="single" w:sz="4" w:space="0" w:color="auto"/>
              <w:right w:val="single" w:sz="4" w:space="0" w:color="auto"/>
            </w:tcBorders>
            <w:vAlign w:val="center"/>
          </w:tcPr>
          <w:p w:rsidR="00476255" w:rsidRPr="00B64866" w:rsidRDefault="00476255" w:rsidP="00D13A23">
            <w:pPr>
              <w:ind w:right="29"/>
              <w:jc w:val="center"/>
              <w:rPr>
                <w:rFonts w:ascii="Times New Roman" w:eastAsia="Times New Roman" w:hAnsi="Times New Roman" w:cs="Times New Roman"/>
                <w:color w:val="000000"/>
                <w:lang w:eastAsia="ru-RU"/>
              </w:rPr>
            </w:pPr>
            <w:r w:rsidRPr="00B64866">
              <w:rPr>
                <w:rFonts w:ascii="Times New Roman" w:eastAsia="Times New Roman" w:hAnsi="Times New Roman" w:cs="Times New Roman"/>
                <w:color w:val="000000"/>
                <w:lang w:eastAsia="ru-RU"/>
              </w:rPr>
              <w:t>107,0</w:t>
            </w:r>
          </w:p>
        </w:tc>
      </w:tr>
      <w:tr w:rsidR="00476255" w:rsidRPr="00B64866" w:rsidTr="00365D6E">
        <w:tc>
          <w:tcPr>
            <w:tcW w:w="3544" w:type="dxa"/>
          </w:tcPr>
          <w:p w:rsidR="00476255" w:rsidRPr="00B64866" w:rsidRDefault="00476255" w:rsidP="00F362C7">
            <w:pPr>
              <w:ind w:right="29"/>
              <w:rPr>
                <w:rFonts w:ascii="Times New Roman" w:eastAsia="Times New Roman" w:hAnsi="Times New Roman" w:cs="Times New Roman"/>
                <w:lang w:eastAsia="ru-RU"/>
              </w:rPr>
            </w:pPr>
            <w:r w:rsidRPr="00B64866">
              <w:rPr>
                <w:rFonts w:ascii="Times New Roman" w:eastAsia="Times New Roman" w:hAnsi="Times New Roman" w:cs="Times New Roman"/>
                <w:lang w:eastAsia="ru-RU"/>
              </w:rPr>
              <w:t>Alte taxe pentru mărfuri și servicii</w:t>
            </w:r>
          </w:p>
        </w:tc>
        <w:tc>
          <w:tcPr>
            <w:tcW w:w="1011" w:type="dxa"/>
            <w:vAlign w:val="center"/>
          </w:tcPr>
          <w:p w:rsidR="00476255" w:rsidRPr="00B64866" w:rsidRDefault="00476255" w:rsidP="00D13A23">
            <w:pPr>
              <w:ind w:right="29"/>
              <w:jc w:val="center"/>
              <w:rPr>
                <w:rFonts w:ascii="Times New Roman" w:eastAsia="Times New Roman" w:hAnsi="Times New Roman" w:cs="Times New Roman"/>
                <w:lang w:eastAsia="ru-RU"/>
              </w:rPr>
            </w:pPr>
            <w:r w:rsidRPr="00B64866">
              <w:rPr>
                <w:rFonts w:ascii="Times New Roman" w:eastAsia="Times New Roman" w:hAnsi="Times New Roman" w:cs="Times New Roman"/>
                <w:lang w:eastAsia="ru-RU"/>
              </w:rPr>
              <w:t>502,7</w:t>
            </w:r>
          </w:p>
        </w:tc>
        <w:tc>
          <w:tcPr>
            <w:tcW w:w="986" w:type="dxa"/>
            <w:tcBorders>
              <w:top w:val="single" w:sz="4" w:space="0" w:color="auto"/>
              <w:left w:val="nil"/>
              <w:bottom w:val="single" w:sz="4" w:space="0" w:color="auto"/>
              <w:right w:val="single" w:sz="4" w:space="0" w:color="auto"/>
            </w:tcBorders>
            <w:shd w:val="clear" w:color="auto" w:fill="auto"/>
            <w:vAlign w:val="center"/>
          </w:tcPr>
          <w:p w:rsidR="00476255" w:rsidRPr="00B64866" w:rsidRDefault="00476255" w:rsidP="00D13A23">
            <w:pPr>
              <w:ind w:right="29"/>
              <w:jc w:val="center"/>
              <w:rPr>
                <w:rFonts w:ascii="Times New Roman" w:eastAsia="Times New Roman" w:hAnsi="Times New Roman" w:cs="Times New Roman"/>
                <w:color w:val="000000"/>
                <w:lang w:eastAsia="ru-RU"/>
              </w:rPr>
            </w:pPr>
            <w:r w:rsidRPr="00B64866">
              <w:rPr>
                <w:rFonts w:ascii="Times New Roman" w:eastAsia="Times New Roman" w:hAnsi="Times New Roman" w:cs="Times New Roman"/>
                <w:color w:val="000000"/>
                <w:lang w:eastAsia="ru-RU"/>
              </w:rPr>
              <w:t>892,7</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476255" w:rsidRPr="00B64866" w:rsidRDefault="00476255" w:rsidP="00D13A23">
            <w:pPr>
              <w:ind w:right="29"/>
              <w:jc w:val="center"/>
              <w:rPr>
                <w:rFonts w:ascii="Times New Roman" w:eastAsia="Times New Roman" w:hAnsi="Times New Roman" w:cs="Times New Roman"/>
                <w:lang w:eastAsia="ru-RU"/>
              </w:rPr>
            </w:pPr>
            <w:r w:rsidRPr="00B64866">
              <w:rPr>
                <w:rFonts w:ascii="Times New Roman" w:eastAsia="Times New Roman" w:hAnsi="Times New Roman" w:cs="Times New Roman"/>
                <w:lang w:eastAsia="ru-RU"/>
              </w:rPr>
              <w:t>878,6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76255" w:rsidRPr="00B64866" w:rsidRDefault="00476255" w:rsidP="00D13A23">
            <w:pPr>
              <w:ind w:right="29"/>
              <w:jc w:val="center"/>
              <w:rPr>
                <w:rFonts w:ascii="Times New Roman" w:eastAsia="Times New Roman" w:hAnsi="Times New Roman" w:cs="Times New Roman"/>
                <w:bCs/>
                <w:color w:val="000000"/>
                <w:lang w:eastAsia="ru-RU"/>
              </w:rPr>
            </w:pPr>
            <w:r w:rsidRPr="00B64866">
              <w:rPr>
                <w:rFonts w:ascii="Times New Roman" w:eastAsia="Times New Roman" w:hAnsi="Times New Roman" w:cs="Times New Roman"/>
                <w:bCs/>
                <w:color w:val="000000"/>
                <w:lang w:eastAsia="ru-RU"/>
              </w:rPr>
              <w:t>390,0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76255" w:rsidRPr="00B64866" w:rsidRDefault="00476255" w:rsidP="00D13A23">
            <w:pPr>
              <w:ind w:left="-89" w:right="29"/>
              <w:jc w:val="center"/>
              <w:rPr>
                <w:rFonts w:ascii="Times New Roman" w:eastAsia="Times New Roman" w:hAnsi="Times New Roman" w:cs="Times New Roman"/>
                <w:bCs/>
                <w:color w:val="000000"/>
                <w:lang w:eastAsia="ru-RU"/>
              </w:rPr>
            </w:pPr>
            <w:r w:rsidRPr="00B64866">
              <w:rPr>
                <w:rFonts w:ascii="Times New Roman" w:eastAsia="Times New Roman" w:hAnsi="Times New Roman" w:cs="Times New Roman"/>
                <w:bCs/>
                <w:color w:val="000000"/>
                <w:lang w:eastAsia="ru-RU"/>
              </w:rPr>
              <w:t>177,6</w:t>
            </w:r>
          </w:p>
        </w:tc>
        <w:tc>
          <w:tcPr>
            <w:tcW w:w="850" w:type="dxa"/>
            <w:tcBorders>
              <w:top w:val="single" w:sz="4" w:space="0" w:color="auto"/>
              <w:left w:val="single" w:sz="4" w:space="0" w:color="auto"/>
              <w:bottom w:val="single" w:sz="4" w:space="0" w:color="auto"/>
              <w:right w:val="single" w:sz="4" w:space="0" w:color="auto"/>
            </w:tcBorders>
            <w:vAlign w:val="center"/>
          </w:tcPr>
          <w:p w:rsidR="00476255" w:rsidRPr="00B64866" w:rsidRDefault="00476255" w:rsidP="00D13A23">
            <w:pPr>
              <w:ind w:right="29"/>
              <w:jc w:val="center"/>
              <w:rPr>
                <w:rFonts w:ascii="Times New Roman" w:eastAsia="Times New Roman" w:hAnsi="Times New Roman" w:cs="Times New Roman"/>
                <w:color w:val="000000"/>
                <w:lang w:eastAsia="ru-RU"/>
              </w:rPr>
            </w:pPr>
            <w:r w:rsidRPr="00B64866">
              <w:rPr>
                <w:rFonts w:ascii="Times New Roman" w:eastAsia="Times New Roman" w:hAnsi="Times New Roman" w:cs="Times New Roman"/>
                <w:color w:val="000000"/>
                <w:lang w:eastAsia="ru-RU"/>
              </w:rPr>
              <w:t>-14,2</w:t>
            </w:r>
          </w:p>
        </w:tc>
        <w:tc>
          <w:tcPr>
            <w:tcW w:w="924" w:type="dxa"/>
            <w:tcBorders>
              <w:top w:val="single" w:sz="4" w:space="0" w:color="auto"/>
              <w:left w:val="single" w:sz="4" w:space="0" w:color="auto"/>
              <w:bottom w:val="single" w:sz="4" w:space="0" w:color="auto"/>
              <w:right w:val="single" w:sz="4" w:space="0" w:color="auto"/>
            </w:tcBorders>
            <w:vAlign w:val="center"/>
          </w:tcPr>
          <w:p w:rsidR="00476255" w:rsidRPr="00B64866" w:rsidRDefault="00476255" w:rsidP="00D13A23">
            <w:pPr>
              <w:ind w:right="29"/>
              <w:jc w:val="center"/>
              <w:rPr>
                <w:rFonts w:ascii="Times New Roman" w:eastAsia="Times New Roman" w:hAnsi="Times New Roman" w:cs="Times New Roman"/>
                <w:color w:val="000000"/>
                <w:lang w:eastAsia="ru-RU"/>
              </w:rPr>
            </w:pPr>
            <w:r w:rsidRPr="00B64866">
              <w:rPr>
                <w:rFonts w:ascii="Times New Roman" w:eastAsia="Times New Roman" w:hAnsi="Times New Roman" w:cs="Times New Roman"/>
                <w:color w:val="000000"/>
                <w:lang w:eastAsia="ru-RU"/>
              </w:rPr>
              <w:t>98,4</w:t>
            </w:r>
          </w:p>
        </w:tc>
      </w:tr>
      <w:tr w:rsidR="00476255" w:rsidRPr="00B64866" w:rsidTr="00365D6E">
        <w:tc>
          <w:tcPr>
            <w:tcW w:w="3544" w:type="dxa"/>
          </w:tcPr>
          <w:p w:rsidR="00476255" w:rsidRPr="00B64866" w:rsidRDefault="00476255" w:rsidP="00F362C7">
            <w:pPr>
              <w:ind w:right="29"/>
              <w:rPr>
                <w:rFonts w:ascii="Times New Roman" w:eastAsia="Times New Roman" w:hAnsi="Times New Roman" w:cs="Times New Roman"/>
                <w:b/>
                <w:lang w:eastAsia="ru-RU"/>
              </w:rPr>
            </w:pPr>
            <w:r w:rsidRPr="00B64866">
              <w:rPr>
                <w:rFonts w:ascii="Times New Roman" w:eastAsia="Times New Roman" w:hAnsi="Times New Roman" w:cs="Times New Roman"/>
                <w:b/>
                <w:lang w:eastAsia="ru-RU"/>
              </w:rPr>
              <w:t>Taxa asupra comerțului exterior și operațiunilor externe</w:t>
            </w:r>
          </w:p>
        </w:tc>
        <w:tc>
          <w:tcPr>
            <w:tcW w:w="1011" w:type="dxa"/>
            <w:vAlign w:val="center"/>
          </w:tcPr>
          <w:p w:rsidR="00476255" w:rsidRPr="00B64866" w:rsidRDefault="00476255" w:rsidP="00D13A23">
            <w:pPr>
              <w:ind w:right="29"/>
              <w:jc w:val="center"/>
              <w:rPr>
                <w:rFonts w:ascii="Times New Roman" w:eastAsia="Times New Roman" w:hAnsi="Times New Roman" w:cs="Times New Roman"/>
                <w:b/>
                <w:lang w:eastAsia="ru-RU"/>
              </w:rPr>
            </w:pPr>
            <w:r w:rsidRPr="00B64866">
              <w:rPr>
                <w:rFonts w:ascii="Times New Roman" w:eastAsia="Times New Roman" w:hAnsi="Times New Roman" w:cs="Times New Roman"/>
                <w:b/>
                <w:lang w:eastAsia="ru-RU"/>
              </w:rPr>
              <w:t>1265,5</w:t>
            </w:r>
          </w:p>
        </w:tc>
        <w:tc>
          <w:tcPr>
            <w:tcW w:w="986" w:type="dxa"/>
            <w:tcBorders>
              <w:top w:val="single" w:sz="4" w:space="0" w:color="auto"/>
              <w:left w:val="nil"/>
              <w:bottom w:val="single" w:sz="4" w:space="0" w:color="auto"/>
              <w:right w:val="single" w:sz="4" w:space="0" w:color="auto"/>
            </w:tcBorders>
            <w:shd w:val="clear" w:color="auto" w:fill="auto"/>
            <w:vAlign w:val="center"/>
          </w:tcPr>
          <w:p w:rsidR="00476255" w:rsidRPr="00B64866" w:rsidRDefault="00476255" w:rsidP="00D13A23">
            <w:pPr>
              <w:ind w:right="29"/>
              <w:jc w:val="center"/>
              <w:rPr>
                <w:rFonts w:ascii="Times New Roman" w:eastAsia="Times New Roman" w:hAnsi="Times New Roman" w:cs="Times New Roman"/>
                <w:b/>
                <w:color w:val="000000"/>
                <w:lang w:eastAsia="ru-RU"/>
              </w:rPr>
            </w:pPr>
            <w:r w:rsidRPr="00B64866">
              <w:rPr>
                <w:rFonts w:ascii="Times New Roman" w:eastAsia="Times New Roman" w:hAnsi="Times New Roman" w:cs="Times New Roman"/>
                <w:b/>
                <w:color w:val="000000"/>
                <w:lang w:eastAsia="ru-RU"/>
              </w:rPr>
              <w:t>1478,7</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476255" w:rsidRPr="00B64866" w:rsidRDefault="00476255" w:rsidP="00D13A23">
            <w:pPr>
              <w:ind w:right="29"/>
              <w:jc w:val="center"/>
              <w:rPr>
                <w:rFonts w:ascii="Times New Roman" w:eastAsia="Times New Roman" w:hAnsi="Times New Roman" w:cs="Times New Roman"/>
                <w:b/>
                <w:lang w:eastAsia="ru-RU"/>
              </w:rPr>
            </w:pPr>
            <w:r w:rsidRPr="00B64866">
              <w:rPr>
                <w:rFonts w:ascii="Times New Roman" w:eastAsia="Times New Roman" w:hAnsi="Times New Roman" w:cs="Times New Roman"/>
                <w:b/>
                <w:lang w:eastAsia="ru-RU"/>
              </w:rPr>
              <w:t>1591,1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76255" w:rsidRPr="00B64866" w:rsidRDefault="00476255" w:rsidP="00D13A23">
            <w:pPr>
              <w:ind w:right="29"/>
              <w:jc w:val="center"/>
              <w:rPr>
                <w:rFonts w:ascii="Times New Roman" w:eastAsia="Times New Roman" w:hAnsi="Times New Roman" w:cs="Times New Roman"/>
                <w:b/>
                <w:bCs/>
                <w:color w:val="000000"/>
                <w:lang w:eastAsia="ru-RU"/>
              </w:rPr>
            </w:pPr>
            <w:r w:rsidRPr="00B64866">
              <w:rPr>
                <w:rFonts w:ascii="Times New Roman" w:eastAsia="Times New Roman" w:hAnsi="Times New Roman" w:cs="Times New Roman"/>
                <w:b/>
                <w:bCs/>
                <w:color w:val="000000"/>
                <w:lang w:eastAsia="ru-RU"/>
              </w:rPr>
              <w:t>213,2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76255" w:rsidRPr="00B64866" w:rsidRDefault="00476255" w:rsidP="00D13A23">
            <w:pPr>
              <w:ind w:left="-89" w:right="29"/>
              <w:jc w:val="center"/>
              <w:rPr>
                <w:rFonts w:ascii="Times New Roman" w:eastAsia="Times New Roman" w:hAnsi="Times New Roman" w:cs="Times New Roman"/>
                <w:b/>
                <w:bCs/>
                <w:color w:val="000000"/>
                <w:lang w:eastAsia="ru-RU"/>
              </w:rPr>
            </w:pPr>
            <w:r w:rsidRPr="00B64866">
              <w:rPr>
                <w:rFonts w:ascii="Times New Roman" w:eastAsia="Times New Roman" w:hAnsi="Times New Roman" w:cs="Times New Roman"/>
                <w:b/>
                <w:bCs/>
                <w:color w:val="000000"/>
                <w:lang w:eastAsia="ru-RU"/>
              </w:rPr>
              <w:t>116,8</w:t>
            </w:r>
          </w:p>
        </w:tc>
        <w:tc>
          <w:tcPr>
            <w:tcW w:w="850" w:type="dxa"/>
            <w:tcBorders>
              <w:top w:val="single" w:sz="4" w:space="0" w:color="auto"/>
              <w:left w:val="single" w:sz="4" w:space="0" w:color="auto"/>
              <w:bottom w:val="single" w:sz="4" w:space="0" w:color="auto"/>
              <w:right w:val="single" w:sz="4" w:space="0" w:color="auto"/>
            </w:tcBorders>
            <w:vAlign w:val="center"/>
          </w:tcPr>
          <w:p w:rsidR="00476255" w:rsidRPr="00B64866" w:rsidRDefault="00476255" w:rsidP="00D13A23">
            <w:pPr>
              <w:ind w:right="29"/>
              <w:jc w:val="center"/>
              <w:rPr>
                <w:rFonts w:ascii="Times New Roman" w:eastAsia="Times New Roman" w:hAnsi="Times New Roman" w:cs="Times New Roman"/>
                <w:b/>
                <w:color w:val="000000"/>
                <w:lang w:eastAsia="ru-RU"/>
              </w:rPr>
            </w:pPr>
            <w:r w:rsidRPr="00B64866">
              <w:rPr>
                <w:rFonts w:ascii="Times New Roman" w:eastAsia="Times New Roman" w:hAnsi="Times New Roman" w:cs="Times New Roman"/>
                <w:b/>
                <w:color w:val="000000"/>
                <w:lang w:eastAsia="ru-RU"/>
              </w:rPr>
              <w:t>112,4</w:t>
            </w:r>
          </w:p>
        </w:tc>
        <w:tc>
          <w:tcPr>
            <w:tcW w:w="924" w:type="dxa"/>
            <w:tcBorders>
              <w:top w:val="single" w:sz="4" w:space="0" w:color="auto"/>
              <w:left w:val="single" w:sz="4" w:space="0" w:color="auto"/>
              <w:bottom w:val="single" w:sz="4" w:space="0" w:color="auto"/>
              <w:right w:val="single" w:sz="4" w:space="0" w:color="auto"/>
            </w:tcBorders>
            <w:vAlign w:val="center"/>
          </w:tcPr>
          <w:p w:rsidR="00476255" w:rsidRPr="00B64866" w:rsidRDefault="00476255" w:rsidP="00D13A23">
            <w:pPr>
              <w:ind w:right="29"/>
              <w:jc w:val="center"/>
              <w:rPr>
                <w:rFonts w:ascii="Times New Roman" w:eastAsia="Times New Roman" w:hAnsi="Times New Roman" w:cs="Times New Roman"/>
                <w:b/>
                <w:color w:val="000000"/>
                <w:lang w:eastAsia="ru-RU"/>
              </w:rPr>
            </w:pPr>
            <w:r w:rsidRPr="00B64866">
              <w:rPr>
                <w:rFonts w:ascii="Times New Roman" w:eastAsia="Times New Roman" w:hAnsi="Times New Roman" w:cs="Times New Roman"/>
                <w:b/>
                <w:color w:val="000000"/>
                <w:lang w:eastAsia="ru-RU"/>
              </w:rPr>
              <w:t>107,6</w:t>
            </w:r>
          </w:p>
        </w:tc>
      </w:tr>
      <w:tr w:rsidR="00476255" w:rsidRPr="00B64866" w:rsidTr="00365D6E">
        <w:tc>
          <w:tcPr>
            <w:tcW w:w="3544" w:type="dxa"/>
          </w:tcPr>
          <w:p w:rsidR="00476255" w:rsidRPr="00B64866" w:rsidRDefault="00476255" w:rsidP="00F362C7">
            <w:pPr>
              <w:ind w:right="29"/>
              <w:rPr>
                <w:rFonts w:ascii="Times New Roman" w:eastAsia="Times New Roman" w:hAnsi="Times New Roman" w:cs="Times New Roman"/>
                <w:lang w:eastAsia="ru-RU"/>
              </w:rPr>
            </w:pPr>
            <w:r w:rsidRPr="00B64866">
              <w:rPr>
                <w:rFonts w:ascii="Times New Roman" w:eastAsia="Times New Roman" w:hAnsi="Times New Roman" w:cs="Times New Roman"/>
                <w:lang w:eastAsia="ru-RU"/>
              </w:rPr>
              <w:t>Taxe vamale și alte taxe de import</w:t>
            </w:r>
          </w:p>
        </w:tc>
        <w:tc>
          <w:tcPr>
            <w:tcW w:w="1011" w:type="dxa"/>
            <w:vAlign w:val="center"/>
          </w:tcPr>
          <w:p w:rsidR="00476255" w:rsidRPr="00B64866" w:rsidRDefault="00476255" w:rsidP="00D13A23">
            <w:pPr>
              <w:ind w:right="29"/>
              <w:jc w:val="center"/>
              <w:rPr>
                <w:rFonts w:ascii="Times New Roman" w:eastAsia="Times New Roman" w:hAnsi="Times New Roman" w:cs="Times New Roman"/>
                <w:lang w:eastAsia="ru-RU"/>
              </w:rPr>
            </w:pPr>
            <w:r w:rsidRPr="00B64866">
              <w:rPr>
                <w:rFonts w:ascii="Times New Roman" w:eastAsia="Times New Roman" w:hAnsi="Times New Roman" w:cs="Times New Roman"/>
                <w:lang w:eastAsia="ru-RU"/>
              </w:rPr>
              <w:t>931,5</w:t>
            </w:r>
          </w:p>
        </w:tc>
        <w:tc>
          <w:tcPr>
            <w:tcW w:w="986" w:type="dxa"/>
            <w:tcBorders>
              <w:top w:val="single" w:sz="4" w:space="0" w:color="auto"/>
              <w:left w:val="nil"/>
              <w:bottom w:val="single" w:sz="4" w:space="0" w:color="auto"/>
              <w:right w:val="single" w:sz="4" w:space="0" w:color="auto"/>
            </w:tcBorders>
            <w:shd w:val="clear" w:color="auto" w:fill="auto"/>
            <w:vAlign w:val="center"/>
          </w:tcPr>
          <w:p w:rsidR="00476255" w:rsidRPr="00B64866" w:rsidRDefault="00476255" w:rsidP="00D13A23">
            <w:pPr>
              <w:ind w:right="29"/>
              <w:jc w:val="center"/>
              <w:rPr>
                <w:rFonts w:ascii="Times New Roman" w:eastAsia="Times New Roman" w:hAnsi="Times New Roman" w:cs="Times New Roman"/>
                <w:color w:val="000000"/>
                <w:lang w:eastAsia="ru-RU"/>
              </w:rPr>
            </w:pPr>
            <w:r w:rsidRPr="00B64866">
              <w:rPr>
                <w:rFonts w:ascii="Times New Roman" w:eastAsia="Times New Roman" w:hAnsi="Times New Roman" w:cs="Times New Roman"/>
                <w:color w:val="000000"/>
                <w:lang w:eastAsia="ru-RU"/>
              </w:rPr>
              <w:t>993,1</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476255" w:rsidRPr="00B64866" w:rsidRDefault="00476255" w:rsidP="00D13A23">
            <w:pPr>
              <w:ind w:right="29"/>
              <w:jc w:val="center"/>
              <w:rPr>
                <w:rFonts w:ascii="Times New Roman" w:eastAsia="Times New Roman" w:hAnsi="Times New Roman" w:cs="Times New Roman"/>
                <w:lang w:eastAsia="ru-RU"/>
              </w:rPr>
            </w:pPr>
            <w:r w:rsidRPr="00B64866">
              <w:rPr>
                <w:rFonts w:ascii="Times New Roman" w:eastAsia="Times New Roman" w:hAnsi="Times New Roman" w:cs="Times New Roman"/>
                <w:lang w:eastAsia="ru-RU"/>
              </w:rPr>
              <w:t>1068,1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76255" w:rsidRPr="00B64866" w:rsidRDefault="00476255" w:rsidP="00D13A23">
            <w:pPr>
              <w:ind w:right="29"/>
              <w:jc w:val="center"/>
              <w:rPr>
                <w:rFonts w:ascii="Times New Roman" w:eastAsia="Times New Roman" w:hAnsi="Times New Roman" w:cs="Times New Roman"/>
                <w:bCs/>
                <w:color w:val="000000"/>
                <w:lang w:eastAsia="ru-RU"/>
              </w:rPr>
            </w:pPr>
            <w:r w:rsidRPr="00B64866">
              <w:rPr>
                <w:rFonts w:ascii="Times New Roman" w:eastAsia="Times New Roman" w:hAnsi="Times New Roman" w:cs="Times New Roman"/>
                <w:bCs/>
                <w:color w:val="000000"/>
                <w:lang w:eastAsia="ru-RU"/>
              </w:rPr>
              <w:t>61,6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76255" w:rsidRPr="00B64866" w:rsidRDefault="00476255" w:rsidP="00D13A23">
            <w:pPr>
              <w:ind w:left="-89" w:right="29"/>
              <w:jc w:val="center"/>
              <w:rPr>
                <w:rFonts w:ascii="Times New Roman" w:eastAsia="Times New Roman" w:hAnsi="Times New Roman" w:cs="Times New Roman"/>
                <w:bCs/>
                <w:color w:val="000000"/>
                <w:lang w:eastAsia="ru-RU"/>
              </w:rPr>
            </w:pPr>
            <w:r w:rsidRPr="00B64866">
              <w:rPr>
                <w:rFonts w:ascii="Times New Roman" w:eastAsia="Times New Roman" w:hAnsi="Times New Roman" w:cs="Times New Roman"/>
                <w:bCs/>
                <w:color w:val="000000"/>
                <w:lang w:eastAsia="ru-RU"/>
              </w:rPr>
              <w:t>106,6</w:t>
            </w:r>
          </w:p>
        </w:tc>
        <w:tc>
          <w:tcPr>
            <w:tcW w:w="850" w:type="dxa"/>
            <w:tcBorders>
              <w:top w:val="single" w:sz="4" w:space="0" w:color="auto"/>
              <w:left w:val="single" w:sz="4" w:space="0" w:color="auto"/>
              <w:bottom w:val="single" w:sz="4" w:space="0" w:color="auto"/>
              <w:right w:val="single" w:sz="4" w:space="0" w:color="auto"/>
            </w:tcBorders>
            <w:vAlign w:val="center"/>
          </w:tcPr>
          <w:p w:rsidR="00476255" w:rsidRPr="00B64866" w:rsidRDefault="00476255" w:rsidP="00D13A23">
            <w:pPr>
              <w:ind w:right="29"/>
              <w:jc w:val="center"/>
              <w:rPr>
                <w:rFonts w:ascii="Times New Roman" w:eastAsia="Times New Roman" w:hAnsi="Times New Roman" w:cs="Times New Roman"/>
                <w:color w:val="000000"/>
                <w:lang w:eastAsia="ru-RU"/>
              </w:rPr>
            </w:pPr>
            <w:r w:rsidRPr="00B64866">
              <w:rPr>
                <w:rFonts w:ascii="Times New Roman" w:eastAsia="Times New Roman" w:hAnsi="Times New Roman" w:cs="Times New Roman"/>
                <w:color w:val="000000"/>
                <w:lang w:eastAsia="ru-RU"/>
              </w:rPr>
              <w:t>75,0</w:t>
            </w:r>
          </w:p>
        </w:tc>
        <w:tc>
          <w:tcPr>
            <w:tcW w:w="924" w:type="dxa"/>
            <w:tcBorders>
              <w:top w:val="single" w:sz="4" w:space="0" w:color="auto"/>
              <w:left w:val="single" w:sz="4" w:space="0" w:color="auto"/>
              <w:bottom w:val="single" w:sz="4" w:space="0" w:color="auto"/>
              <w:right w:val="single" w:sz="4" w:space="0" w:color="auto"/>
            </w:tcBorders>
            <w:vAlign w:val="center"/>
          </w:tcPr>
          <w:p w:rsidR="00476255" w:rsidRPr="00B64866" w:rsidRDefault="00476255" w:rsidP="00D13A23">
            <w:pPr>
              <w:ind w:right="29"/>
              <w:jc w:val="center"/>
              <w:rPr>
                <w:rFonts w:ascii="Times New Roman" w:eastAsia="Times New Roman" w:hAnsi="Times New Roman" w:cs="Times New Roman"/>
                <w:color w:val="000000"/>
                <w:lang w:eastAsia="ru-RU"/>
              </w:rPr>
            </w:pPr>
            <w:r w:rsidRPr="00B64866">
              <w:rPr>
                <w:rFonts w:ascii="Times New Roman" w:eastAsia="Times New Roman" w:hAnsi="Times New Roman" w:cs="Times New Roman"/>
                <w:color w:val="000000"/>
                <w:lang w:eastAsia="ru-RU"/>
              </w:rPr>
              <w:t>107,6</w:t>
            </w:r>
          </w:p>
        </w:tc>
      </w:tr>
      <w:tr w:rsidR="00476255" w:rsidRPr="00B64866" w:rsidTr="00365D6E">
        <w:tc>
          <w:tcPr>
            <w:tcW w:w="3544" w:type="dxa"/>
          </w:tcPr>
          <w:p w:rsidR="00476255" w:rsidRPr="00B64866" w:rsidRDefault="00476255" w:rsidP="00F362C7">
            <w:pPr>
              <w:ind w:right="29"/>
              <w:rPr>
                <w:rFonts w:ascii="Times New Roman" w:eastAsia="Times New Roman" w:hAnsi="Times New Roman" w:cs="Times New Roman"/>
                <w:lang w:eastAsia="ru-RU"/>
              </w:rPr>
            </w:pPr>
            <w:r w:rsidRPr="00B64866">
              <w:rPr>
                <w:rFonts w:ascii="Times New Roman" w:eastAsia="Times New Roman" w:hAnsi="Times New Roman" w:cs="Times New Roman"/>
                <w:lang w:eastAsia="ru-RU"/>
              </w:rPr>
              <w:t>Alte taxe asupra comerțului exterior și operațiunilor externe</w:t>
            </w:r>
          </w:p>
        </w:tc>
        <w:tc>
          <w:tcPr>
            <w:tcW w:w="1011" w:type="dxa"/>
            <w:vAlign w:val="center"/>
          </w:tcPr>
          <w:p w:rsidR="00476255" w:rsidRPr="00B64866" w:rsidRDefault="00476255" w:rsidP="00D13A23">
            <w:pPr>
              <w:ind w:right="29"/>
              <w:jc w:val="center"/>
              <w:rPr>
                <w:rFonts w:ascii="Times New Roman" w:eastAsia="Times New Roman" w:hAnsi="Times New Roman" w:cs="Times New Roman"/>
                <w:lang w:eastAsia="ru-RU"/>
              </w:rPr>
            </w:pPr>
            <w:r w:rsidRPr="00B64866">
              <w:rPr>
                <w:rFonts w:ascii="Times New Roman" w:eastAsia="Times New Roman" w:hAnsi="Times New Roman" w:cs="Times New Roman"/>
                <w:lang w:eastAsia="ru-RU"/>
              </w:rPr>
              <w:t>334,0</w:t>
            </w:r>
          </w:p>
        </w:tc>
        <w:tc>
          <w:tcPr>
            <w:tcW w:w="986" w:type="dxa"/>
            <w:tcBorders>
              <w:top w:val="single" w:sz="4" w:space="0" w:color="auto"/>
              <w:left w:val="nil"/>
              <w:bottom w:val="single" w:sz="4" w:space="0" w:color="auto"/>
              <w:right w:val="single" w:sz="4" w:space="0" w:color="auto"/>
            </w:tcBorders>
            <w:shd w:val="clear" w:color="auto" w:fill="auto"/>
            <w:vAlign w:val="center"/>
          </w:tcPr>
          <w:p w:rsidR="00476255" w:rsidRPr="00B64866" w:rsidRDefault="00476255" w:rsidP="00D13A23">
            <w:pPr>
              <w:ind w:right="29"/>
              <w:jc w:val="center"/>
              <w:rPr>
                <w:rFonts w:ascii="Times New Roman" w:eastAsia="Times New Roman" w:hAnsi="Times New Roman" w:cs="Times New Roman"/>
                <w:color w:val="000000"/>
                <w:lang w:eastAsia="ru-RU"/>
              </w:rPr>
            </w:pPr>
            <w:r w:rsidRPr="00B64866">
              <w:rPr>
                <w:rFonts w:ascii="Times New Roman" w:eastAsia="Times New Roman" w:hAnsi="Times New Roman" w:cs="Times New Roman"/>
                <w:color w:val="000000"/>
                <w:lang w:eastAsia="ru-RU"/>
              </w:rPr>
              <w:t>485,6</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476255" w:rsidRPr="00B64866" w:rsidRDefault="00476255" w:rsidP="00D13A23">
            <w:pPr>
              <w:ind w:right="29"/>
              <w:jc w:val="center"/>
              <w:rPr>
                <w:rFonts w:ascii="Times New Roman" w:eastAsia="Times New Roman" w:hAnsi="Times New Roman" w:cs="Times New Roman"/>
                <w:lang w:eastAsia="ru-RU"/>
              </w:rPr>
            </w:pPr>
            <w:r w:rsidRPr="00B64866">
              <w:rPr>
                <w:rFonts w:ascii="Times New Roman" w:eastAsia="Times New Roman" w:hAnsi="Times New Roman" w:cs="Times New Roman"/>
                <w:lang w:eastAsia="ru-RU"/>
              </w:rPr>
              <w:t>523,0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76255" w:rsidRPr="00B64866" w:rsidRDefault="00476255" w:rsidP="00D13A23">
            <w:pPr>
              <w:ind w:right="29"/>
              <w:jc w:val="center"/>
              <w:rPr>
                <w:rFonts w:ascii="Times New Roman" w:eastAsia="Times New Roman" w:hAnsi="Times New Roman" w:cs="Times New Roman"/>
                <w:bCs/>
                <w:color w:val="000000"/>
                <w:lang w:eastAsia="ru-RU"/>
              </w:rPr>
            </w:pPr>
            <w:r w:rsidRPr="00B64866">
              <w:rPr>
                <w:rFonts w:ascii="Times New Roman" w:eastAsia="Times New Roman" w:hAnsi="Times New Roman" w:cs="Times New Roman"/>
                <w:bCs/>
                <w:color w:val="000000"/>
                <w:lang w:eastAsia="ru-RU"/>
              </w:rPr>
              <w:t>151,6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76255" w:rsidRPr="00B64866" w:rsidRDefault="00476255" w:rsidP="00D13A23">
            <w:pPr>
              <w:ind w:left="-89" w:right="29"/>
              <w:jc w:val="center"/>
              <w:rPr>
                <w:rFonts w:ascii="Times New Roman" w:eastAsia="Times New Roman" w:hAnsi="Times New Roman" w:cs="Times New Roman"/>
                <w:bCs/>
                <w:color w:val="000000"/>
                <w:lang w:eastAsia="ru-RU"/>
              </w:rPr>
            </w:pPr>
            <w:r w:rsidRPr="00B64866">
              <w:rPr>
                <w:rFonts w:ascii="Times New Roman" w:eastAsia="Times New Roman" w:hAnsi="Times New Roman" w:cs="Times New Roman"/>
                <w:bCs/>
                <w:color w:val="000000"/>
                <w:lang w:eastAsia="ru-RU"/>
              </w:rPr>
              <w:t>145,4</w:t>
            </w:r>
          </w:p>
        </w:tc>
        <w:tc>
          <w:tcPr>
            <w:tcW w:w="850" w:type="dxa"/>
            <w:tcBorders>
              <w:top w:val="single" w:sz="4" w:space="0" w:color="auto"/>
              <w:left w:val="single" w:sz="4" w:space="0" w:color="auto"/>
              <w:bottom w:val="single" w:sz="4" w:space="0" w:color="auto"/>
              <w:right w:val="single" w:sz="4" w:space="0" w:color="auto"/>
            </w:tcBorders>
            <w:vAlign w:val="center"/>
          </w:tcPr>
          <w:p w:rsidR="00476255" w:rsidRPr="00B64866" w:rsidRDefault="00476255" w:rsidP="00D13A23">
            <w:pPr>
              <w:ind w:right="29"/>
              <w:jc w:val="center"/>
              <w:rPr>
                <w:rFonts w:ascii="Times New Roman" w:eastAsia="Times New Roman" w:hAnsi="Times New Roman" w:cs="Times New Roman"/>
                <w:color w:val="000000"/>
                <w:lang w:eastAsia="ru-RU"/>
              </w:rPr>
            </w:pPr>
            <w:r w:rsidRPr="00B64866">
              <w:rPr>
                <w:rFonts w:ascii="Times New Roman" w:eastAsia="Times New Roman" w:hAnsi="Times New Roman" w:cs="Times New Roman"/>
                <w:color w:val="000000"/>
                <w:lang w:eastAsia="ru-RU"/>
              </w:rPr>
              <w:t>37,4</w:t>
            </w:r>
          </w:p>
        </w:tc>
        <w:tc>
          <w:tcPr>
            <w:tcW w:w="924" w:type="dxa"/>
            <w:tcBorders>
              <w:top w:val="single" w:sz="4" w:space="0" w:color="auto"/>
              <w:left w:val="single" w:sz="4" w:space="0" w:color="auto"/>
              <w:bottom w:val="single" w:sz="4" w:space="0" w:color="auto"/>
              <w:right w:val="single" w:sz="4" w:space="0" w:color="auto"/>
            </w:tcBorders>
            <w:vAlign w:val="center"/>
          </w:tcPr>
          <w:p w:rsidR="00476255" w:rsidRPr="00B64866" w:rsidRDefault="00476255" w:rsidP="00D13A23">
            <w:pPr>
              <w:ind w:right="29"/>
              <w:jc w:val="center"/>
              <w:rPr>
                <w:rFonts w:ascii="Times New Roman" w:eastAsia="Times New Roman" w:hAnsi="Times New Roman" w:cs="Times New Roman"/>
                <w:color w:val="000000"/>
                <w:lang w:eastAsia="ru-RU"/>
              </w:rPr>
            </w:pPr>
            <w:r w:rsidRPr="00B64866">
              <w:rPr>
                <w:rFonts w:ascii="Times New Roman" w:eastAsia="Times New Roman" w:hAnsi="Times New Roman" w:cs="Times New Roman"/>
                <w:color w:val="000000"/>
                <w:lang w:eastAsia="ru-RU"/>
              </w:rPr>
              <w:t>107,7</w:t>
            </w:r>
          </w:p>
        </w:tc>
      </w:tr>
      <w:tr w:rsidR="00476255" w:rsidRPr="00B64866" w:rsidTr="00365D6E">
        <w:tc>
          <w:tcPr>
            <w:tcW w:w="3544" w:type="dxa"/>
          </w:tcPr>
          <w:p w:rsidR="00476255" w:rsidRPr="00B64866" w:rsidRDefault="00476255" w:rsidP="00F362C7">
            <w:pPr>
              <w:ind w:right="29"/>
              <w:rPr>
                <w:rFonts w:ascii="Times New Roman" w:eastAsia="Times New Roman" w:hAnsi="Times New Roman" w:cs="Times New Roman"/>
                <w:b/>
                <w:lang w:eastAsia="ru-RU"/>
              </w:rPr>
            </w:pPr>
            <w:r w:rsidRPr="00B64866">
              <w:rPr>
                <w:rFonts w:ascii="Times New Roman" w:eastAsia="Times New Roman" w:hAnsi="Times New Roman" w:cs="Times New Roman"/>
                <w:b/>
                <w:lang w:eastAsia="ru-RU"/>
              </w:rPr>
              <w:t>Granturi primite</w:t>
            </w:r>
          </w:p>
        </w:tc>
        <w:tc>
          <w:tcPr>
            <w:tcW w:w="1011" w:type="dxa"/>
            <w:vAlign w:val="center"/>
          </w:tcPr>
          <w:p w:rsidR="00476255" w:rsidRPr="00B64866" w:rsidRDefault="00476255" w:rsidP="00D13A23">
            <w:pPr>
              <w:ind w:right="29"/>
              <w:jc w:val="center"/>
              <w:rPr>
                <w:rFonts w:ascii="Times New Roman" w:eastAsia="Times New Roman" w:hAnsi="Times New Roman" w:cs="Times New Roman"/>
                <w:b/>
                <w:lang w:eastAsia="ru-RU"/>
              </w:rPr>
            </w:pPr>
            <w:r w:rsidRPr="00B64866">
              <w:rPr>
                <w:rFonts w:ascii="Times New Roman" w:eastAsia="Times New Roman" w:hAnsi="Times New Roman" w:cs="Times New Roman"/>
                <w:b/>
                <w:lang w:eastAsia="ru-RU"/>
              </w:rPr>
              <w:t>3025,7</w:t>
            </w:r>
          </w:p>
        </w:tc>
        <w:tc>
          <w:tcPr>
            <w:tcW w:w="986" w:type="dxa"/>
            <w:tcBorders>
              <w:top w:val="single" w:sz="4" w:space="0" w:color="auto"/>
              <w:left w:val="nil"/>
              <w:bottom w:val="single" w:sz="4" w:space="0" w:color="auto"/>
              <w:right w:val="single" w:sz="4" w:space="0" w:color="auto"/>
            </w:tcBorders>
            <w:shd w:val="clear" w:color="auto" w:fill="auto"/>
            <w:vAlign w:val="center"/>
          </w:tcPr>
          <w:p w:rsidR="00476255" w:rsidRPr="00B64866" w:rsidRDefault="00476255" w:rsidP="00D13A23">
            <w:pPr>
              <w:ind w:right="29"/>
              <w:jc w:val="center"/>
              <w:rPr>
                <w:rFonts w:ascii="Times New Roman" w:eastAsia="Times New Roman" w:hAnsi="Times New Roman" w:cs="Times New Roman"/>
                <w:b/>
                <w:color w:val="000000"/>
                <w:lang w:eastAsia="ru-RU"/>
              </w:rPr>
            </w:pPr>
            <w:r w:rsidRPr="00B64866">
              <w:rPr>
                <w:rFonts w:ascii="Times New Roman" w:eastAsia="Times New Roman" w:hAnsi="Times New Roman" w:cs="Times New Roman"/>
                <w:b/>
                <w:color w:val="000000"/>
                <w:lang w:eastAsia="ru-RU"/>
              </w:rPr>
              <w:t>1181,9</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476255" w:rsidRPr="00B64866" w:rsidRDefault="00476255" w:rsidP="00D13A23">
            <w:pPr>
              <w:ind w:right="29"/>
              <w:jc w:val="center"/>
              <w:rPr>
                <w:rFonts w:ascii="Times New Roman" w:eastAsia="Times New Roman" w:hAnsi="Times New Roman" w:cs="Times New Roman"/>
                <w:b/>
                <w:lang w:eastAsia="ru-RU"/>
              </w:rPr>
            </w:pPr>
            <w:r w:rsidRPr="00B64866">
              <w:rPr>
                <w:rFonts w:ascii="Times New Roman" w:eastAsia="Times New Roman" w:hAnsi="Times New Roman" w:cs="Times New Roman"/>
                <w:b/>
                <w:lang w:eastAsia="ru-RU"/>
              </w:rPr>
              <w:t>992,9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76255" w:rsidRPr="00B64866" w:rsidRDefault="00476255" w:rsidP="00D13A23">
            <w:pPr>
              <w:ind w:left="-100" w:right="29"/>
              <w:jc w:val="center"/>
              <w:rPr>
                <w:rFonts w:ascii="Times New Roman" w:eastAsia="Times New Roman" w:hAnsi="Times New Roman" w:cs="Times New Roman"/>
                <w:b/>
                <w:bCs/>
                <w:color w:val="000000"/>
                <w:lang w:eastAsia="ru-RU"/>
              </w:rPr>
            </w:pPr>
            <w:r w:rsidRPr="00B64866">
              <w:rPr>
                <w:rFonts w:ascii="Times New Roman" w:eastAsia="Times New Roman" w:hAnsi="Times New Roman" w:cs="Times New Roman"/>
                <w:b/>
                <w:bCs/>
                <w:color w:val="000000"/>
                <w:lang w:eastAsia="ru-RU"/>
              </w:rPr>
              <w:t>-1843,8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76255" w:rsidRPr="00B64866" w:rsidRDefault="00476255" w:rsidP="00D13A23">
            <w:pPr>
              <w:ind w:left="-89" w:right="29"/>
              <w:jc w:val="center"/>
              <w:rPr>
                <w:rFonts w:ascii="Times New Roman" w:eastAsia="Times New Roman" w:hAnsi="Times New Roman" w:cs="Times New Roman"/>
                <w:b/>
                <w:bCs/>
                <w:color w:val="000000"/>
                <w:lang w:eastAsia="ru-RU"/>
              </w:rPr>
            </w:pPr>
            <w:r w:rsidRPr="00B64866">
              <w:rPr>
                <w:rFonts w:ascii="Times New Roman" w:eastAsia="Times New Roman" w:hAnsi="Times New Roman" w:cs="Times New Roman"/>
                <w:b/>
                <w:bCs/>
                <w:color w:val="000000"/>
                <w:lang w:eastAsia="ru-RU"/>
              </w:rPr>
              <w:t>39,1</w:t>
            </w:r>
          </w:p>
        </w:tc>
        <w:tc>
          <w:tcPr>
            <w:tcW w:w="850" w:type="dxa"/>
            <w:tcBorders>
              <w:top w:val="single" w:sz="4" w:space="0" w:color="auto"/>
              <w:left w:val="single" w:sz="4" w:space="0" w:color="auto"/>
              <w:bottom w:val="single" w:sz="4" w:space="0" w:color="auto"/>
              <w:right w:val="single" w:sz="4" w:space="0" w:color="auto"/>
            </w:tcBorders>
            <w:vAlign w:val="center"/>
          </w:tcPr>
          <w:p w:rsidR="00476255" w:rsidRPr="00B64866" w:rsidRDefault="00476255" w:rsidP="00D13A23">
            <w:pPr>
              <w:ind w:right="29"/>
              <w:jc w:val="center"/>
              <w:rPr>
                <w:rFonts w:ascii="Times New Roman" w:eastAsia="Times New Roman" w:hAnsi="Times New Roman" w:cs="Times New Roman"/>
                <w:b/>
                <w:color w:val="000000"/>
                <w:lang w:eastAsia="ru-RU"/>
              </w:rPr>
            </w:pPr>
            <w:r w:rsidRPr="00B64866">
              <w:rPr>
                <w:rFonts w:ascii="Times New Roman" w:eastAsia="Times New Roman" w:hAnsi="Times New Roman" w:cs="Times New Roman"/>
                <w:b/>
                <w:color w:val="000000"/>
                <w:lang w:eastAsia="ru-RU"/>
              </w:rPr>
              <w:t>-188,9</w:t>
            </w:r>
          </w:p>
        </w:tc>
        <w:tc>
          <w:tcPr>
            <w:tcW w:w="924" w:type="dxa"/>
            <w:tcBorders>
              <w:top w:val="single" w:sz="4" w:space="0" w:color="auto"/>
              <w:left w:val="single" w:sz="4" w:space="0" w:color="auto"/>
              <w:bottom w:val="single" w:sz="4" w:space="0" w:color="auto"/>
              <w:right w:val="single" w:sz="4" w:space="0" w:color="auto"/>
            </w:tcBorders>
            <w:vAlign w:val="center"/>
          </w:tcPr>
          <w:p w:rsidR="00476255" w:rsidRPr="00B64866" w:rsidRDefault="00476255" w:rsidP="00D13A23">
            <w:pPr>
              <w:ind w:right="29"/>
              <w:jc w:val="center"/>
              <w:rPr>
                <w:rFonts w:ascii="Times New Roman" w:eastAsia="Times New Roman" w:hAnsi="Times New Roman" w:cs="Times New Roman"/>
                <w:b/>
                <w:color w:val="000000"/>
                <w:lang w:eastAsia="ru-RU"/>
              </w:rPr>
            </w:pPr>
            <w:r w:rsidRPr="00B64866">
              <w:rPr>
                <w:rFonts w:ascii="Times New Roman" w:eastAsia="Times New Roman" w:hAnsi="Times New Roman" w:cs="Times New Roman"/>
                <w:b/>
                <w:color w:val="000000"/>
                <w:lang w:eastAsia="ru-RU"/>
              </w:rPr>
              <w:t>84,0</w:t>
            </w:r>
          </w:p>
        </w:tc>
      </w:tr>
      <w:tr w:rsidR="00476255" w:rsidRPr="00B64866" w:rsidTr="00365D6E">
        <w:tc>
          <w:tcPr>
            <w:tcW w:w="3544" w:type="dxa"/>
          </w:tcPr>
          <w:p w:rsidR="00476255" w:rsidRPr="00B64866" w:rsidRDefault="00476255" w:rsidP="00F362C7">
            <w:pPr>
              <w:ind w:right="29"/>
              <w:rPr>
                <w:rFonts w:ascii="Times New Roman" w:eastAsia="Times New Roman" w:hAnsi="Times New Roman" w:cs="Times New Roman"/>
                <w:b/>
                <w:lang w:eastAsia="ru-RU"/>
              </w:rPr>
            </w:pPr>
            <w:r w:rsidRPr="00B64866">
              <w:rPr>
                <w:rFonts w:ascii="Times New Roman" w:eastAsia="Times New Roman" w:hAnsi="Times New Roman" w:cs="Times New Roman"/>
                <w:b/>
                <w:lang w:eastAsia="ru-RU"/>
              </w:rPr>
              <w:t>Granturi primite de la guvernele altor state</w:t>
            </w:r>
          </w:p>
        </w:tc>
        <w:tc>
          <w:tcPr>
            <w:tcW w:w="1011" w:type="dxa"/>
            <w:vAlign w:val="center"/>
          </w:tcPr>
          <w:p w:rsidR="00476255" w:rsidRPr="00B64866" w:rsidRDefault="00476255" w:rsidP="00D13A23">
            <w:pPr>
              <w:ind w:right="29"/>
              <w:jc w:val="center"/>
              <w:rPr>
                <w:rFonts w:ascii="Times New Roman" w:eastAsia="Times New Roman" w:hAnsi="Times New Roman" w:cs="Times New Roman"/>
                <w:b/>
                <w:lang w:eastAsia="ru-RU"/>
              </w:rPr>
            </w:pPr>
            <w:r w:rsidRPr="00B64866">
              <w:rPr>
                <w:rFonts w:ascii="Times New Roman" w:eastAsia="Times New Roman" w:hAnsi="Times New Roman" w:cs="Times New Roman"/>
                <w:b/>
                <w:lang w:eastAsia="ru-RU"/>
              </w:rPr>
              <w:t>124,6</w:t>
            </w:r>
          </w:p>
        </w:tc>
        <w:tc>
          <w:tcPr>
            <w:tcW w:w="986" w:type="dxa"/>
            <w:tcBorders>
              <w:top w:val="single" w:sz="4" w:space="0" w:color="auto"/>
              <w:left w:val="nil"/>
              <w:bottom w:val="single" w:sz="4" w:space="0" w:color="auto"/>
              <w:right w:val="single" w:sz="4" w:space="0" w:color="auto"/>
            </w:tcBorders>
            <w:shd w:val="clear" w:color="auto" w:fill="auto"/>
            <w:vAlign w:val="center"/>
          </w:tcPr>
          <w:p w:rsidR="00476255" w:rsidRPr="00B64866" w:rsidRDefault="00476255" w:rsidP="00D13A23">
            <w:pPr>
              <w:ind w:right="29"/>
              <w:jc w:val="center"/>
              <w:rPr>
                <w:rFonts w:ascii="Times New Roman" w:eastAsia="Times New Roman" w:hAnsi="Times New Roman" w:cs="Times New Roman"/>
                <w:b/>
                <w:color w:val="000000"/>
                <w:lang w:eastAsia="ru-RU"/>
              </w:rPr>
            </w:pPr>
            <w:r w:rsidRPr="00B64866">
              <w:rPr>
                <w:rFonts w:ascii="Times New Roman" w:eastAsia="Times New Roman" w:hAnsi="Times New Roman" w:cs="Times New Roman"/>
                <w:b/>
                <w:color w:val="000000"/>
                <w:lang w:eastAsia="ru-RU"/>
              </w:rPr>
              <w:t>163,8</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476255" w:rsidRPr="00B64866" w:rsidRDefault="00476255" w:rsidP="00D13A23">
            <w:pPr>
              <w:ind w:right="29"/>
              <w:jc w:val="center"/>
              <w:rPr>
                <w:rFonts w:ascii="Times New Roman" w:eastAsia="Times New Roman" w:hAnsi="Times New Roman" w:cs="Times New Roman"/>
                <w:b/>
                <w:lang w:eastAsia="ru-RU"/>
              </w:rPr>
            </w:pPr>
            <w:r w:rsidRPr="00B64866">
              <w:rPr>
                <w:rFonts w:ascii="Times New Roman" w:eastAsia="Times New Roman" w:hAnsi="Times New Roman" w:cs="Times New Roman"/>
                <w:b/>
                <w:lang w:eastAsia="ru-RU"/>
              </w:rPr>
              <w:t>61,2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76255" w:rsidRPr="00B64866" w:rsidRDefault="00476255" w:rsidP="00D13A23">
            <w:pPr>
              <w:ind w:right="29"/>
              <w:jc w:val="center"/>
              <w:rPr>
                <w:rFonts w:ascii="Times New Roman" w:eastAsia="Times New Roman" w:hAnsi="Times New Roman" w:cs="Times New Roman"/>
                <w:b/>
                <w:bCs/>
                <w:color w:val="000000"/>
                <w:lang w:eastAsia="ru-RU"/>
              </w:rPr>
            </w:pPr>
            <w:r w:rsidRPr="00B64866">
              <w:rPr>
                <w:rFonts w:ascii="Times New Roman" w:eastAsia="Times New Roman" w:hAnsi="Times New Roman" w:cs="Times New Roman"/>
                <w:b/>
                <w:bCs/>
                <w:color w:val="000000"/>
                <w:lang w:eastAsia="ru-RU"/>
              </w:rPr>
              <w:t>39,2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76255" w:rsidRPr="00B64866" w:rsidRDefault="00476255" w:rsidP="00D13A23">
            <w:pPr>
              <w:ind w:left="-89" w:right="29"/>
              <w:jc w:val="center"/>
              <w:rPr>
                <w:rFonts w:ascii="Times New Roman" w:eastAsia="Times New Roman" w:hAnsi="Times New Roman" w:cs="Times New Roman"/>
                <w:b/>
                <w:bCs/>
                <w:color w:val="000000"/>
                <w:lang w:eastAsia="ru-RU"/>
              </w:rPr>
            </w:pPr>
            <w:r w:rsidRPr="00B64866">
              <w:rPr>
                <w:rFonts w:ascii="Times New Roman" w:eastAsia="Times New Roman" w:hAnsi="Times New Roman" w:cs="Times New Roman"/>
                <w:b/>
                <w:bCs/>
                <w:color w:val="000000"/>
                <w:lang w:eastAsia="ru-RU"/>
              </w:rPr>
              <w:t>131,5</w:t>
            </w:r>
          </w:p>
        </w:tc>
        <w:tc>
          <w:tcPr>
            <w:tcW w:w="850" w:type="dxa"/>
            <w:tcBorders>
              <w:top w:val="single" w:sz="4" w:space="0" w:color="auto"/>
              <w:left w:val="single" w:sz="4" w:space="0" w:color="auto"/>
              <w:bottom w:val="single" w:sz="4" w:space="0" w:color="auto"/>
              <w:right w:val="single" w:sz="4" w:space="0" w:color="auto"/>
            </w:tcBorders>
            <w:vAlign w:val="center"/>
          </w:tcPr>
          <w:p w:rsidR="00476255" w:rsidRPr="00B64866" w:rsidRDefault="00476255" w:rsidP="00D13A23">
            <w:pPr>
              <w:ind w:right="29"/>
              <w:jc w:val="center"/>
              <w:rPr>
                <w:rFonts w:ascii="Times New Roman" w:eastAsia="Times New Roman" w:hAnsi="Times New Roman" w:cs="Times New Roman"/>
                <w:b/>
                <w:color w:val="000000"/>
                <w:lang w:eastAsia="ru-RU"/>
              </w:rPr>
            </w:pPr>
            <w:r w:rsidRPr="00B64866">
              <w:rPr>
                <w:rFonts w:ascii="Times New Roman" w:eastAsia="Times New Roman" w:hAnsi="Times New Roman" w:cs="Times New Roman"/>
                <w:b/>
                <w:color w:val="000000"/>
                <w:lang w:eastAsia="ru-RU"/>
              </w:rPr>
              <w:t>-102,6</w:t>
            </w:r>
          </w:p>
        </w:tc>
        <w:tc>
          <w:tcPr>
            <w:tcW w:w="924" w:type="dxa"/>
            <w:tcBorders>
              <w:top w:val="single" w:sz="4" w:space="0" w:color="auto"/>
              <w:left w:val="single" w:sz="4" w:space="0" w:color="auto"/>
              <w:bottom w:val="single" w:sz="4" w:space="0" w:color="auto"/>
              <w:right w:val="single" w:sz="4" w:space="0" w:color="auto"/>
            </w:tcBorders>
            <w:vAlign w:val="center"/>
          </w:tcPr>
          <w:p w:rsidR="00476255" w:rsidRPr="00B64866" w:rsidRDefault="00476255" w:rsidP="00D13A23">
            <w:pPr>
              <w:ind w:right="29"/>
              <w:jc w:val="center"/>
              <w:rPr>
                <w:rFonts w:ascii="Times New Roman" w:eastAsia="Times New Roman" w:hAnsi="Times New Roman" w:cs="Times New Roman"/>
                <w:b/>
                <w:color w:val="000000"/>
                <w:lang w:eastAsia="ru-RU"/>
              </w:rPr>
            </w:pPr>
            <w:r w:rsidRPr="00B64866">
              <w:rPr>
                <w:rFonts w:ascii="Times New Roman" w:eastAsia="Times New Roman" w:hAnsi="Times New Roman" w:cs="Times New Roman"/>
                <w:b/>
                <w:color w:val="000000"/>
                <w:lang w:eastAsia="ru-RU"/>
              </w:rPr>
              <w:t>37,4</w:t>
            </w:r>
          </w:p>
        </w:tc>
      </w:tr>
      <w:tr w:rsidR="00476255" w:rsidRPr="00B64866" w:rsidTr="00365D6E">
        <w:tc>
          <w:tcPr>
            <w:tcW w:w="3544" w:type="dxa"/>
          </w:tcPr>
          <w:p w:rsidR="00476255" w:rsidRPr="00B64866" w:rsidRDefault="00476255" w:rsidP="00F362C7">
            <w:pPr>
              <w:ind w:right="29"/>
              <w:rPr>
                <w:rFonts w:ascii="Times New Roman" w:eastAsia="Times New Roman" w:hAnsi="Times New Roman" w:cs="Times New Roman"/>
                <w:i/>
                <w:lang w:eastAsia="ru-RU"/>
              </w:rPr>
            </w:pPr>
            <w:r w:rsidRPr="00B64866">
              <w:rPr>
                <w:rFonts w:ascii="Times New Roman" w:eastAsia="Times New Roman" w:hAnsi="Times New Roman" w:cs="Times New Roman"/>
                <w:i/>
                <w:lang w:eastAsia="ru-RU"/>
              </w:rPr>
              <w:t>Pentru proiecte finanțate din surse externe</w:t>
            </w:r>
          </w:p>
        </w:tc>
        <w:tc>
          <w:tcPr>
            <w:tcW w:w="1011" w:type="dxa"/>
            <w:vAlign w:val="center"/>
          </w:tcPr>
          <w:p w:rsidR="00476255" w:rsidRPr="00B64866" w:rsidRDefault="00476255" w:rsidP="00D13A23">
            <w:pPr>
              <w:ind w:right="29"/>
              <w:jc w:val="center"/>
              <w:rPr>
                <w:rFonts w:ascii="Times New Roman" w:eastAsia="Times New Roman" w:hAnsi="Times New Roman" w:cs="Times New Roman"/>
                <w:i/>
                <w:lang w:eastAsia="ru-RU"/>
              </w:rPr>
            </w:pPr>
            <w:r w:rsidRPr="00B64866">
              <w:rPr>
                <w:rFonts w:ascii="Times New Roman" w:eastAsia="Times New Roman" w:hAnsi="Times New Roman" w:cs="Times New Roman"/>
                <w:i/>
                <w:lang w:eastAsia="ru-RU"/>
              </w:rPr>
              <w:t>124,6</w:t>
            </w:r>
          </w:p>
        </w:tc>
        <w:tc>
          <w:tcPr>
            <w:tcW w:w="986" w:type="dxa"/>
            <w:tcBorders>
              <w:top w:val="single" w:sz="4" w:space="0" w:color="auto"/>
              <w:left w:val="nil"/>
              <w:bottom w:val="single" w:sz="4" w:space="0" w:color="auto"/>
              <w:right w:val="single" w:sz="4" w:space="0" w:color="auto"/>
            </w:tcBorders>
            <w:shd w:val="clear" w:color="auto" w:fill="auto"/>
            <w:vAlign w:val="center"/>
          </w:tcPr>
          <w:p w:rsidR="00476255" w:rsidRPr="00B64866" w:rsidRDefault="00476255" w:rsidP="00D13A23">
            <w:pPr>
              <w:ind w:right="29"/>
              <w:jc w:val="center"/>
              <w:rPr>
                <w:rFonts w:ascii="Times New Roman" w:eastAsia="Times New Roman" w:hAnsi="Times New Roman" w:cs="Times New Roman"/>
                <w:i/>
                <w:color w:val="000000"/>
                <w:lang w:eastAsia="ru-RU"/>
              </w:rPr>
            </w:pPr>
            <w:r w:rsidRPr="00B64866">
              <w:rPr>
                <w:rFonts w:ascii="Times New Roman" w:eastAsia="Times New Roman" w:hAnsi="Times New Roman" w:cs="Times New Roman"/>
                <w:i/>
                <w:color w:val="000000"/>
                <w:lang w:eastAsia="ru-RU"/>
              </w:rPr>
              <w:t>163,8</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476255" w:rsidRPr="00B64866" w:rsidRDefault="00476255" w:rsidP="00D13A23">
            <w:pPr>
              <w:ind w:right="29"/>
              <w:jc w:val="center"/>
              <w:rPr>
                <w:rFonts w:ascii="Times New Roman" w:eastAsia="Times New Roman" w:hAnsi="Times New Roman" w:cs="Times New Roman"/>
                <w:i/>
                <w:lang w:eastAsia="ru-RU"/>
              </w:rPr>
            </w:pPr>
            <w:r w:rsidRPr="00B64866">
              <w:rPr>
                <w:rFonts w:ascii="Times New Roman" w:eastAsia="Times New Roman" w:hAnsi="Times New Roman" w:cs="Times New Roman"/>
                <w:i/>
                <w:lang w:eastAsia="ru-RU"/>
              </w:rPr>
              <w:t>61,2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76255" w:rsidRPr="00B64866" w:rsidRDefault="00476255" w:rsidP="00D13A23">
            <w:pPr>
              <w:ind w:right="29"/>
              <w:jc w:val="center"/>
              <w:rPr>
                <w:rFonts w:ascii="Times New Roman" w:eastAsia="Times New Roman" w:hAnsi="Times New Roman" w:cs="Times New Roman"/>
                <w:bCs/>
                <w:i/>
                <w:color w:val="000000"/>
                <w:lang w:eastAsia="ru-RU"/>
              </w:rPr>
            </w:pPr>
            <w:r w:rsidRPr="00B64866">
              <w:rPr>
                <w:rFonts w:ascii="Times New Roman" w:eastAsia="Times New Roman" w:hAnsi="Times New Roman" w:cs="Times New Roman"/>
                <w:bCs/>
                <w:i/>
                <w:color w:val="000000"/>
                <w:lang w:eastAsia="ru-RU"/>
              </w:rPr>
              <w:t>39,2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76255" w:rsidRPr="00B64866" w:rsidRDefault="00476255" w:rsidP="00D13A23">
            <w:pPr>
              <w:ind w:left="-89" w:right="29"/>
              <w:jc w:val="center"/>
              <w:rPr>
                <w:rFonts w:ascii="Times New Roman" w:eastAsia="Times New Roman" w:hAnsi="Times New Roman" w:cs="Times New Roman"/>
                <w:bCs/>
                <w:i/>
                <w:color w:val="000000"/>
                <w:lang w:eastAsia="ru-RU"/>
              </w:rPr>
            </w:pPr>
            <w:r w:rsidRPr="00B64866">
              <w:rPr>
                <w:rFonts w:ascii="Times New Roman" w:eastAsia="Times New Roman" w:hAnsi="Times New Roman" w:cs="Times New Roman"/>
                <w:bCs/>
                <w:i/>
                <w:color w:val="000000"/>
                <w:lang w:eastAsia="ru-RU"/>
              </w:rPr>
              <w:t>131,5</w:t>
            </w:r>
          </w:p>
        </w:tc>
        <w:tc>
          <w:tcPr>
            <w:tcW w:w="850" w:type="dxa"/>
            <w:tcBorders>
              <w:top w:val="single" w:sz="4" w:space="0" w:color="auto"/>
              <w:left w:val="single" w:sz="4" w:space="0" w:color="auto"/>
              <w:bottom w:val="single" w:sz="4" w:space="0" w:color="auto"/>
              <w:right w:val="single" w:sz="4" w:space="0" w:color="auto"/>
            </w:tcBorders>
            <w:vAlign w:val="center"/>
          </w:tcPr>
          <w:p w:rsidR="00476255" w:rsidRPr="00B64866" w:rsidRDefault="00476255" w:rsidP="00D13A23">
            <w:pPr>
              <w:ind w:right="29"/>
              <w:jc w:val="center"/>
              <w:rPr>
                <w:rFonts w:ascii="Times New Roman" w:eastAsia="Times New Roman" w:hAnsi="Times New Roman" w:cs="Times New Roman"/>
                <w:i/>
                <w:color w:val="000000"/>
                <w:lang w:eastAsia="ru-RU"/>
              </w:rPr>
            </w:pPr>
            <w:r w:rsidRPr="00B64866">
              <w:rPr>
                <w:rFonts w:ascii="Times New Roman" w:eastAsia="Times New Roman" w:hAnsi="Times New Roman" w:cs="Times New Roman"/>
                <w:i/>
                <w:color w:val="000000"/>
                <w:lang w:eastAsia="ru-RU"/>
              </w:rPr>
              <w:t>-102,6</w:t>
            </w:r>
          </w:p>
        </w:tc>
        <w:tc>
          <w:tcPr>
            <w:tcW w:w="924" w:type="dxa"/>
            <w:tcBorders>
              <w:top w:val="single" w:sz="4" w:space="0" w:color="auto"/>
              <w:left w:val="single" w:sz="4" w:space="0" w:color="auto"/>
              <w:bottom w:val="single" w:sz="4" w:space="0" w:color="auto"/>
              <w:right w:val="single" w:sz="4" w:space="0" w:color="auto"/>
            </w:tcBorders>
            <w:vAlign w:val="center"/>
          </w:tcPr>
          <w:p w:rsidR="00476255" w:rsidRPr="00B64866" w:rsidRDefault="00476255" w:rsidP="00D13A23">
            <w:pPr>
              <w:ind w:right="29"/>
              <w:jc w:val="center"/>
              <w:rPr>
                <w:rFonts w:ascii="Times New Roman" w:eastAsia="Times New Roman" w:hAnsi="Times New Roman" w:cs="Times New Roman"/>
                <w:i/>
                <w:color w:val="000000"/>
                <w:lang w:eastAsia="ru-RU"/>
              </w:rPr>
            </w:pPr>
            <w:r w:rsidRPr="00B64866">
              <w:rPr>
                <w:rFonts w:ascii="Times New Roman" w:eastAsia="Times New Roman" w:hAnsi="Times New Roman" w:cs="Times New Roman"/>
                <w:i/>
                <w:color w:val="000000"/>
                <w:lang w:eastAsia="ru-RU"/>
              </w:rPr>
              <w:t>37,4</w:t>
            </w:r>
          </w:p>
        </w:tc>
      </w:tr>
      <w:tr w:rsidR="00476255" w:rsidRPr="00B64866" w:rsidTr="00365D6E">
        <w:tc>
          <w:tcPr>
            <w:tcW w:w="3544" w:type="dxa"/>
          </w:tcPr>
          <w:p w:rsidR="00476255" w:rsidRPr="00B64866" w:rsidRDefault="00476255" w:rsidP="00F362C7">
            <w:pPr>
              <w:ind w:right="29"/>
              <w:rPr>
                <w:rFonts w:ascii="Times New Roman" w:eastAsia="Times New Roman" w:hAnsi="Times New Roman" w:cs="Times New Roman"/>
                <w:b/>
                <w:lang w:eastAsia="ru-RU"/>
              </w:rPr>
            </w:pPr>
            <w:r w:rsidRPr="00B64866">
              <w:rPr>
                <w:rFonts w:ascii="Times New Roman" w:eastAsia="Times New Roman" w:hAnsi="Times New Roman" w:cs="Times New Roman"/>
                <w:b/>
                <w:lang w:eastAsia="ru-RU"/>
              </w:rPr>
              <w:t>Granturi primite de la organizațiile internaționale</w:t>
            </w:r>
          </w:p>
        </w:tc>
        <w:tc>
          <w:tcPr>
            <w:tcW w:w="1011" w:type="dxa"/>
            <w:vAlign w:val="center"/>
          </w:tcPr>
          <w:p w:rsidR="00476255" w:rsidRPr="00B64866" w:rsidRDefault="00476255" w:rsidP="00D13A23">
            <w:pPr>
              <w:ind w:right="29"/>
              <w:jc w:val="center"/>
              <w:rPr>
                <w:rFonts w:ascii="Times New Roman" w:eastAsia="Times New Roman" w:hAnsi="Times New Roman" w:cs="Times New Roman"/>
                <w:b/>
                <w:lang w:eastAsia="ru-RU"/>
              </w:rPr>
            </w:pPr>
            <w:r w:rsidRPr="00B64866">
              <w:rPr>
                <w:rFonts w:ascii="Times New Roman" w:eastAsia="Times New Roman" w:hAnsi="Times New Roman" w:cs="Times New Roman"/>
                <w:b/>
                <w:lang w:eastAsia="ru-RU"/>
              </w:rPr>
              <w:t>2901,1</w:t>
            </w:r>
          </w:p>
        </w:tc>
        <w:tc>
          <w:tcPr>
            <w:tcW w:w="986" w:type="dxa"/>
            <w:tcBorders>
              <w:top w:val="single" w:sz="4" w:space="0" w:color="auto"/>
              <w:left w:val="nil"/>
              <w:bottom w:val="single" w:sz="4" w:space="0" w:color="auto"/>
              <w:right w:val="single" w:sz="4" w:space="0" w:color="auto"/>
            </w:tcBorders>
            <w:shd w:val="clear" w:color="auto" w:fill="auto"/>
            <w:vAlign w:val="center"/>
          </w:tcPr>
          <w:p w:rsidR="00476255" w:rsidRPr="00B64866" w:rsidRDefault="00476255" w:rsidP="00D13A23">
            <w:pPr>
              <w:ind w:right="29"/>
              <w:jc w:val="center"/>
              <w:rPr>
                <w:rFonts w:ascii="Times New Roman" w:eastAsia="Times New Roman" w:hAnsi="Times New Roman" w:cs="Times New Roman"/>
                <w:b/>
                <w:color w:val="000000"/>
                <w:lang w:eastAsia="ru-RU"/>
              </w:rPr>
            </w:pPr>
            <w:r w:rsidRPr="00B64866">
              <w:rPr>
                <w:rFonts w:ascii="Times New Roman" w:eastAsia="Times New Roman" w:hAnsi="Times New Roman" w:cs="Times New Roman"/>
                <w:b/>
                <w:color w:val="000000"/>
                <w:lang w:eastAsia="ru-RU"/>
              </w:rPr>
              <w:t>1018,1</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476255" w:rsidRPr="00B64866" w:rsidRDefault="00476255" w:rsidP="00D13A23">
            <w:pPr>
              <w:ind w:right="29"/>
              <w:jc w:val="center"/>
              <w:rPr>
                <w:rFonts w:ascii="Times New Roman" w:eastAsia="Times New Roman" w:hAnsi="Times New Roman" w:cs="Times New Roman"/>
                <w:b/>
                <w:lang w:eastAsia="ru-RU"/>
              </w:rPr>
            </w:pPr>
            <w:r w:rsidRPr="00B64866">
              <w:rPr>
                <w:rFonts w:ascii="Times New Roman" w:eastAsia="Times New Roman" w:hAnsi="Times New Roman" w:cs="Times New Roman"/>
                <w:b/>
                <w:lang w:eastAsia="ru-RU"/>
              </w:rPr>
              <w:t>931,7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76255" w:rsidRPr="00B64866" w:rsidRDefault="00476255" w:rsidP="00D13A23">
            <w:pPr>
              <w:ind w:left="-100" w:right="29"/>
              <w:jc w:val="center"/>
              <w:rPr>
                <w:rFonts w:ascii="Times New Roman" w:eastAsia="Times New Roman" w:hAnsi="Times New Roman" w:cs="Times New Roman"/>
                <w:b/>
                <w:bCs/>
                <w:color w:val="000000"/>
                <w:lang w:eastAsia="ru-RU"/>
              </w:rPr>
            </w:pPr>
            <w:r w:rsidRPr="00B64866">
              <w:rPr>
                <w:rFonts w:ascii="Times New Roman" w:eastAsia="Times New Roman" w:hAnsi="Times New Roman" w:cs="Times New Roman"/>
                <w:b/>
                <w:bCs/>
                <w:color w:val="000000"/>
                <w:lang w:eastAsia="ru-RU"/>
              </w:rPr>
              <w:t>-1883,0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76255" w:rsidRPr="00B64866" w:rsidRDefault="00476255" w:rsidP="00D13A23">
            <w:pPr>
              <w:ind w:left="-89" w:right="29"/>
              <w:jc w:val="center"/>
              <w:rPr>
                <w:rFonts w:ascii="Times New Roman" w:eastAsia="Times New Roman" w:hAnsi="Times New Roman" w:cs="Times New Roman"/>
                <w:b/>
                <w:bCs/>
                <w:color w:val="000000"/>
                <w:lang w:eastAsia="ru-RU"/>
              </w:rPr>
            </w:pPr>
            <w:r w:rsidRPr="00B64866">
              <w:rPr>
                <w:rFonts w:ascii="Times New Roman" w:eastAsia="Times New Roman" w:hAnsi="Times New Roman" w:cs="Times New Roman"/>
                <w:b/>
                <w:bCs/>
                <w:color w:val="000000"/>
                <w:lang w:eastAsia="ru-RU"/>
              </w:rPr>
              <w:t>35,1</w:t>
            </w:r>
          </w:p>
        </w:tc>
        <w:tc>
          <w:tcPr>
            <w:tcW w:w="850" w:type="dxa"/>
            <w:tcBorders>
              <w:top w:val="single" w:sz="4" w:space="0" w:color="auto"/>
              <w:left w:val="single" w:sz="4" w:space="0" w:color="auto"/>
              <w:bottom w:val="single" w:sz="4" w:space="0" w:color="auto"/>
              <w:right w:val="single" w:sz="4" w:space="0" w:color="auto"/>
            </w:tcBorders>
            <w:vAlign w:val="center"/>
          </w:tcPr>
          <w:p w:rsidR="00476255" w:rsidRPr="00B64866" w:rsidRDefault="00476255" w:rsidP="00D13A23">
            <w:pPr>
              <w:ind w:right="29"/>
              <w:jc w:val="center"/>
              <w:rPr>
                <w:rFonts w:ascii="Times New Roman" w:eastAsia="Times New Roman" w:hAnsi="Times New Roman" w:cs="Times New Roman"/>
                <w:b/>
                <w:color w:val="000000"/>
                <w:lang w:eastAsia="ru-RU"/>
              </w:rPr>
            </w:pPr>
            <w:r w:rsidRPr="00B64866">
              <w:rPr>
                <w:rFonts w:ascii="Times New Roman" w:eastAsia="Times New Roman" w:hAnsi="Times New Roman" w:cs="Times New Roman"/>
                <w:b/>
                <w:color w:val="000000"/>
                <w:lang w:eastAsia="ru-RU"/>
              </w:rPr>
              <w:t>-86,3</w:t>
            </w:r>
          </w:p>
        </w:tc>
        <w:tc>
          <w:tcPr>
            <w:tcW w:w="924" w:type="dxa"/>
            <w:tcBorders>
              <w:top w:val="single" w:sz="4" w:space="0" w:color="auto"/>
              <w:left w:val="single" w:sz="4" w:space="0" w:color="auto"/>
              <w:bottom w:val="single" w:sz="4" w:space="0" w:color="auto"/>
              <w:right w:val="single" w:sz="4" w:space="0" w:color="auto"/>
            </w:tcBorders>
            <w:vAlign w:val="center"/>
          </w:tcPr>
          <w:p w:rsidR="00476255" w:rsidRPr="00B64866" w:rsidRDefault="00476255" w:rsidP="00D13A23">
            <w:pPr>
              <w:ind w:right="29"/>
              <w:jc w:val="center"/>
              <w:rPr>
                <w:rFonts w:ascii="Times New Roman" w:eastAsia="Times New Roman" w:hAnsi="Times New Roman" w:cs="Times New Roman"/>
                <w:b/>
                <w:color w:val="000000"/>
                <w:lang w:eastAsia="ru-RU"/>
              </w:rPr>
            </w:pPr>
            <w:r w:rsidRPr="00B64866">
              <w:rPr>
                <w:rFonts w:ascii="Times New Roman" w:eastAsia="Times New Roman" w:hAnsi="Times New Roman" w:cs="Times New Roman"/>
                <w:b/>
                <w:color w:val="000000"/>
                <w:lang w:eastAsia="ru-RU"/>
              </w:rPr>
              <w:t>91,5</w:t>
            </w:r>
          </w:p>
        </w:tc>
      </w:tr>
      <w:tr w:rsidR="00476255" w:rsidRPr="00B64866" w:rsidTr="00365D6E">
        <w:tc>
          <w:tcPr>
            <w:tcW w:w="3544" w:type="dxa"/>
          </w:tcPr>
          <w:p w:rsidR="00476255" w:rsidRPr="00B64866" w:rsidRDefault="00476255" w:rsidP="00F362C7">
            <w:pPr>
              <w:ind w:right="29"/>
              <w:rPr>
                <w:rFonts w:ascii="Times New Roman" w:eastAsia="Times New Roman" w:hAnsi="Times New Roman" w:cs="Times New Roman"/>
                <w:i/>
                <w:lang w:eastAsia="ru-RU"/>
              </w:rPr>
            </w:pPr>
            <w:r w:rsidRPr="00B64866">
              <w:rPr>
                <w:rFonts w:ascii="Times New Roman" w:eastAsia="Times New Roman" w:hAnsi="Times New Roman" w:cs="Times New Roman"/>
                <w:i/>
                <w:lang w:eastAsia="ru-RU"/>
              </w:rPr>
              <w:t>Pentru susținerea bugetului</w:t>
            </w:r>
          </w:p>
        </w:tc>
        <w:tc>
          <w:tcPr>
            <w:tcW w:w="1011" w:type="dxa"/>
            <w:vAlign w:val="center"/>
          </w:tcPr>
          <w:p w:rsidR="00476255" w:rsidRPr="00B64866" w:rsidRDefault="00476255" w:rsidP="00D13A23">
            <w:pPr>
              <w:ind w:right="29"/>
              <w:jc w:val="center"/>
              <w:rPr>
                <w:rFonts w:ascii="Times New Roman" w:eastAsia="Times New Roman" w:hAnsi="Times New Roman" w:cs="Times New Roman"/>
                <w:i/>
                <w:lang w:eastAsia="ru-RU"/>
              </w:rPr>
            </w:pPr>
            <w:r w:rsidRPr="00B64866">
              <w:rPr>
                <w:rFonts w:ascii="Times New Roman" w:eastAsia="Times New Roman" w:hAnsi="Times New Roman" w:cs="Times New Roman"/>
                <w:i/>
                <w:lang w:eastAsia="ru-RU"/>
              </w:rPr>
              <w:t>2051,3</w:t>
            </w:r>
          </w:p>
        </w:tc>
        <w:tc>
          <w:tcPr>
            <w:tcW w:w="986" w:type="dxa"/>
            <w:tcBorders>
              <w:top w:val="single" w:sz="4" w:space="0" w:color="auto"/>
              <w:left w:val="nil"/>
              <w:bottom w:val="single" w:sz="4" w:space="0" w:color="auto"/>
              <w:right w:val="single" w:sz="4" w:space="0" w:color="auto"/>
            </w:tcBorders>
            <w:shd w:val="clear" w:color="auto" w:fill="auto"/>
            <w:vAlign w:val="center"/>
          </w:tcPr>
          <w:p w:rsidR="00476255" w:rsidRPr="00B64866" w:rsidRDefault="00476255" w:rsidP="00D13A23">
            <w:pPr>
              <w:ind w:right="29"/>
              <w:jc w:val="center"/>
              <w:rPr>
                <w:rFonts w:ascii="Times New Roman" w:eastAsia="Times New Roman" w:hAnsi="Times New Roman" w:cs="Times New Roman"/>
                <w:i/>
                <w:color w:val="000000"/>
                <w:lang w:eastAsia="ru-RU"/>
              </w:rPr>
            </w:pPr>
            <w:r w:rsidRPr="00B64866">
              <w:rPr>
                <w:rFonts w:ascii="Times New Roman" w:eastAsia="Times New Roman" w:hAnsi="Times New Roman" w:cs="Times New Roman"/>
                <w:i/>
                <w:color w:val="000000"/>
                <w:lang w:eastAsia="ru-RU"/>
              </w:rPr>
              <w:t>462,0</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476255" w:rsidRPr="00B64866" w:rsidRDefault="00476255" w:rsidP="00D13A23">
            <w:pPr>
              <w:ind w:right="29"/>
              <w:jc w:val="center"/>
              <w:rPr>
                <w:rFonts w:ascii="Times New Roman" w:eastAsia="Times New Roman" w:hAnsi="Times New Roman" w:cs="Times New Roman"/>
                <w:i/>
                <w:lang w:eastAsia="ru-RU"/>
              </w:rPr>
            </w:pPr>
            <w:r w:rsidRPr="00B64866">
              <w:rPr>
                <w:rFonts w:ascii="Times New Roman" w:eastAsia="Times New Roman" w:hAnsi="Times New Roman" w:cs="Times New Roman"/>
                <w:i/>
                <w:lang w:eastAsia="ru-RU"/>
              </w:rPr>
              <w:t>739,6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76255" w:rsidRPr="00B64866" w:rsidRDefault="00476255" w:rsidP="00D13A23">
            <w:pPr>
              <w:ind w:left="-100" w:right="29"/>
              <w:jc w:val="center"/>
              <w:rPr>
                <w:rFonts w:ascii="Times New Roman" w:eastAsia="Times New Roman" w:hAnsi="Times New Roman" w:cs="Times New Roman"/>
                <w:bCs/>
                <w:i/>
                <w:color w:val="000000"/>
                <w:lang w:eastAsia="ru-RU"/>
              </w:rPr>
            </w:pPr>
            <w:r w:rsidRPr="00B64866">
              <w:rPr>
                <w:rFonts w:ascii="Times New Roman" w:eastAsia="Times New Roman" w:hAnsi="Times New Roman" w:cs="Times New Roman"/>
                <w:bCs/>
                <w:i/>
                <w:color w:val="000000"/>
                <w:lang w:eastAsia="ru-RU"/>
              </w:rPr>
              <w:t>-1589,3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76255" w:rsidRPr="00B64866" w:rsidRDefault="00476255" w:rsidP="00D13A23">
            <w:pPr>
              <w:ind w:left="-89" w:right="29"/>
              <w:jc w:val="center"/>
              <w:rPr>
                <w:rFonts w:ascii="Times New Roman" w:eastAsia="Times New Roman" w:hAnsi="Times New Roman" w:cs="Times New Roman"/>
                <w:bCs/>
                <w:i/>
                <w:color w:val="000000"/>
                <w:lang w:eastAsia="ru-RU"/>
              </w:rPr>
            </w:pPr>
            <w:r w:rsidRPr="00B64866">
              <w:rPr>
                <w:rFonts w:ascii="Times New Roman" w:eastAsia="Times New Roman" w:hAnsi="Times New Roman" w:cs="Times New Roman"/>
                <w:bCs/>
                <w:i/>
                <w:color w:val="000000"/>
                <w:lang w:eastAsia="ru-RU"/>
              </w:rPr>
              <w:t>22,5</w:t>
            </w:r>
          </w:p>
        </w:tc>
        <w:tc>
          <w:tcPr>
            <w:tcW w:w="850" w:type="dxa"/>
            <w:tcBorders>
              <w:top w:val="single" w:sz="4" w:space="0" w:color="auto"/>
              <w:left w:val="single" w:sz="4" w:space="0" w:color="auto"/>
              <w:bottom w:val="single" w:sz="4" w:space="0" w:color="auto"/>
              <w:right w:val="single" w:sz="4" w:space="0" w:color="auto"/>
            </w:tcBorders>
            <w:vAlign w:val="center"/>
          </w:tcPr>
          <w:p w:rsidR="00476255" w:rsidRPr="00B64866" w:rsidRDefault="00476255" w:rsidP="00D13A23">
            <w:pPr>
              <w:ind w:right="29"/>
              <w:jc w:val="center"/>
              <w:rPr>
                <w:rFonts w:ascii="Times New Roman" w:eastAsia="Times New Roman" w:hAnsi="Times New Roman" w:cs="Times New Roman"/>
                <w:i/>
                <w:color w:val="000000"/>
                <w:lang w:eastAsia="ru-RU"/>
              </w:rPr>
            </w:pPr>
            <w:r w:rsidRPr="00B64866">
              <w:rPr>
                <w:rFonts w:ascii="Times New Roman" w:eastAsia="Times New Roman" w:hAnsi="Times New Roman" w:cs="Times New Roman"/>
                <w:i/>
                <w:color w:val="000000"/>
                <w:lang w:eastAsia="ru-RU"/>
              </w:rPr>
              <w:t>277,6</w:t>
            </w:r>
          </w:p>
        </w:tc>
        <w:tc>
          <w:tcPr>
            <w:tcW w:w="924" w:type="dxa"/>
            <w:tcBorders>
              <w:top w:val="single" w:sz="4" w:space="0" w:color="auto"/>
              <w:left w:val="single" w:sz="4" w:space="0" w:color="auto"/>
              <w:bottom w:val="single" w:sz="4" w:space="0" w:color="auto"/>
              <w:right w:val="single" w:sz="4" w:space="0" w:color="auto"/>
            </w:tcBorders>
            <w:vAlign w:val="center"/>
          </w:tcPr>
          <w:p w:rsidR="00476255" w:rsidRPr="00B64866" w:rsidRDefault="00476255" w:rsidP="00D13A23">
            <w:pPr>
              <w:ind w:right="29"/>
              <w:jc w:val="center"/>
              <w:rPr>
                <w:rFonts w:ascii="Times New Roman" w:eastAsia="Times New Roman" w:hAnsi="Times New Roman" w:cs="Times New Roman"/>
                <w:i/>
                <w:color w:val="000000"/>
                <w:lang w:eastAsia="ru-RU"/>
              </w:rPr>
            </w:pPr>
            <w:r w:rsidRPr="00B64866">
              <w:rPr>
                <w:rFonts w:ascii="Times New Roman" w:eastAsia="Times New Roman" w:hAnsi="Times New Roman" w:cs="Times New Roman"/>
                <w:i/>
                <w:color w:val="000000"/>
                <w:lang w:eastAsia="ru-RU"/>
              </w:rPr>
              <w:t>160,1</w:t>
            </w:r>
          </w:p>
        </w:tc>
      </w:tr>
      <w:tr w:rsidR="00476255" w:rsidRPr="00B64866" w:rsidTr="00365D6E">
        <w:tc>
          <w:tcPr>
            <w:tcW w:w="3544" w:type="dxa"/>
          </w:tcPr>
          <w:p w:rsidR="00476255" w:rsidRPr="00B64866" w:rsidRDefault="00476255" w:rsidP="00F362C7">
            <w:pPr>
              <w:ind w:right="29"/>
              <w:rPr>
                <w:rFonts w:ascii="Times New Roman" w:eastAsia="Times New Roman" w:hAnsi="Times New Roman" w:cs="Times New Roman"/>
                <w:i/>
                <w:lang w:eastAsia="ru-RU"/>
              </w:rPr>
            </w:pPr>
            <w:r w:rsidRPr="00B64866">
              <w:rPr>
                <w:rFonts w:ascii="Times New Roman" w:eastAsia="Times New Roman" w:hAnsi="Times New Roman" w:cs="Times New Roman"/>
                <w:i/>
                <w:lang w:eastAsia="ru-RU"/>
              </w:rPr>
              <w:t>Pentru proiecte finanțate din surse externe</w:t>
            </w:r>
          </w:p>
        </w:tc>
        <w:tc>
          <w:tcPr>
            <w:tcW w:w="1011" w:type="dxa"/>
            <w:vAlign w:val="center"/>
          </w:tcPr>
          <w:p w:rsidR="00476255" w:rsidRPr="00B64866" w:rsidRDefault="00476255" w:rsidP="00D13A23">
            <w:pPr>
              <w:ind w:right="29"/>
              <w:jc w:val="center"/>
              <w:rPr>
                <w:rFonts w:ascii="Times New Roman" w:eastAsia="Times New Roman" w:hAnsi="Times New Roman" w:cs="Times New Roman"/>
                <w:i/>
                <w:lang w:eastAsia="ru-RU"/>
              </w:rPr>
            </w:pPr>
            <w:r w:rsidRPr="00B64866">
              <w:rPr>
                <w:rFonts w:ascii="Times New Roman" w:eastAsia="Times New Roman" w:hAnsi="Times New Roman" w:cs="Times New Roman"/>
                <w:i/>
                <w:lang w:eastAsia="ru-RU"/>
              </w:rPr>
              <w:t>849,8</w:t>
            </w:r>
          </w:p>
        </w:tc>
        <w:tc>
          <w:tcPr>
            <w:tcW w:w="986" w:type="dxa"/>
            <w:tcBorders>
              <w:top w:val="single" w:sz="4" w:space="0" w:color="auto"/>
              <w:left w:val="nil"/>
              <w:bottom w:val="single" w:sz="4" w:space="0" w:color="auto"/>
              <w:right w:val="single" w:sz="4" w:space="0" w:color="auto"/>
            </w:tcBorders>
            <w:shd w:val="clear" w:color="auto" w:fill="auto"/>
            <w:vAlign w:val="center"/>
          </w:tcPr>
          <w:p w:rsidR="00476255" w:rsidRPr="00B64866" w:rsidRDefault="00476255" w:rsidP="00D13A23">
            <w:pPr>
              <w:ind w:right="29"/>
              <w:jc w:val="center"/>
              <w:rPr>
                <w:rFonts w:ascii="Times New Roman" w:eastAsia="Times New Roman" w:hAnsi="Times New Roman" w:cs="Times New Roman"/>
                <w:i/>
                <w:color w:val="000000"/>
                <w:lang w:eastAsia="ru-RU"/>
              </w:rPr>
            </w:pPr>
            <w:r w:rsidRPr="00B64866">
              <w:rPr>
                <w:rFonts w:ascii="Times New Roman" w:eastAsia="Times New Roman" w:hAnsi="Times New Roman" w:cs="Times New Roman"/>
                <w:i/>
                <w:color w:val="000000"/>
                <w:lang w:eastAsia="ru-RU"/>
              </w:rPr>
              <w:t>556,1</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476255" w:rsidRPr="00B64866" w:rsidRDefault="00476255" w:rsidP="00D13A23">
            <w:pPr>
              <w:ind w:right="29"/>
              <w:jc w:val="center"/>
              <w:rPr>
                <w:rFonts w:ascii="Times New Roman" w:eastAsia="Times New Roman" w:hAnsi="Times New Roman" w:cs="Times New Roman"/>
                <w:i/>
                <w:lang w:eastAsia="ru-RU"/>
              </w:rPr>
            </w:pPr>
            <w:r w:rsidRPr="00B64866">
              <w:rPr>
                <w:rFonts w:ascii="Times New Roman" w:eastAsia="Times New Roman" w:hAnsi="Times New Roman" w:cs="Times New Roman"/>
                <w:i/>
                <w:lang w:eastAsia="ru-RU"/>
              </w:rPr>
              <w:t>192,1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76255" w:rsidRPr="00B64866" w:rsidRDefault="00476255" w:rsidP="00D13A23">
            <w:pPr>
              <w:ind w:right="29"/>
              <w:jc w:val="center"/>
              <w:rPr>
                <w:rFonts w:ascii="Times New Roman" w:eastAsia="Times New Roman" w:hAnsi="Times New Roman" w:cs="Times New Roman"/>
                <w:bCs/>
                <w:i/>
                <w:color w:val="000000"/>
                <w:lang w:eastAsia="ru-RU"/>
              </w:rPr>
            </w:pPr>
            <w:r w:rsidRPr="00B64866">
              <w:rPr>
                <w:rFonts w:ascii="Times New Roman" w:eastAsia="Times New Roman" w:hAnsi="Times New Roman" w:cs="Times New Roman"/>
                <w:bCs/>
                <w:i/>
                <w:color w:val="000000"/>
                <w:lang w:eastAsia="ru-RU"/>
              </w:rPr>
              <w:t>-293,7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76255" w:rsidRPr="00B64866" w:rsidRDefault="00476255" w:rsidP="00D13A23">
            <w:pPr>
              <w:ind w:left="-89" w:right="29"/>
              <w:jc w:val="center"/>
              <w:rPr>
                <w:rFonts w:ascii="Times New Roman" w:eastAsia="Times New Roman" w:hAnsi="Times New Roman" w:cs="Times New Roman"/>
                <w:bCs/>
                <w:i/>
                <w:color w:val="000000"/>
                <w:lang w:eastAsia="ru-RU"/>
              </w:rPr>
            </w:pPr>
            <w:r w:rsidRPr="00B64866">
              <w:rPr>
                <w:rFonts w:ascii="Times New Roman" w:eastAsia="Times New Roman" w:hAnsi="Times New Roman" w:cs="Times New Roman"/>
                <w:bCs/>
                <w:i/>
                <w:color w:val="000000"/>
                <w:lang w:eastAsia="ru-RU"/>
              </w:rPr>
              <w:t>65,4</w:t>
            </w:r>
          </w:p>
        </w:tc>
        <w:tc>
          <w:tcPr>
            <w:tcW w:w="850" w:type="dxa"/>
            <w:tcBorders>
              <w:top w:val="single" w:sz="4" w:space="0" w:color="auto"/>
              <w:left w:val="single" w:sz="4" w:space="0" w:color="auto"/>
              <w:bottom w:val="single" w:sz="4" w:space="0" w:color="auto"/>
              <w:right w:val="single" w:sz="4" w:space="0" w:color="auto"/>
            </w:tcBorders>
            <w:vAlign w:val="center"/>
          </w:tcPr>
          <w:p w:rsidR="00476255" w:rsidRPr="00B64866" w:rsidRDefault="00476255" w:rsidP="00D13A23">
            <w:pPr>
              <w:ind w:right="29"/>
              <w:jc w:val="center"/>
              <w:rPr>
                <w:rFonts w:ascii="Times New Roman" w:eastAsia="Times New Roman" w:hAnsi="Times New Roman" w:cs="Times New Roman"/>
                <w:i/>
                <w:color w:val="000000"/>
                <w:lang w:eastAsia="ru-RU"/>
              </w:rPr>
            </w:pPr>
            <w:r w:rsidRPr="00B64866">
              <w:rPr>
                <w:rFonts w:ascii="Times New Roman" w:eastAsia="Times New Roman" w:hAnsi="Times New Roman" w:cs="Times New Roman"/>
                <w:i/>
                <w:color w:val="000000"/>
                <w:lang w:eastAsia="ru-RU"/>
              </w:rPr>
              <w:t>-363,9</w:t>
            </w:r>
          </w:p>
        </w:tc>
        <w:tc>
          <w:tcPr>
            <w:tcW w:w="924" w:type="dxa"/>
            <w:tcBorders>
              <w:top w:val="single" w:sz="4" w:space="0" w:color="auto"/>
              <w:left w:val="single" w:sz="4" w:space="0" w:color="auto"/>
              <w:bottom w:val="single" w:sz="4" w:space="0" w:color="auto"/>
              <w:right w:val="single" w:sz="4" w:space="0" w:color="auto"/>
            </w:tcBorders>
            <w:vAlign w:val="center"/>
          </w:tcPr>
          <w:p w:rsidR="00476255" w:rsidRPr="00B64866" w:rsidRDefault="00476255" w:rsidP="00D13A23">
            <w:pPr>
              <w:ind w:right="29"/>
              <w:jc w:val="center"/>
              <w:rPr>
                <w:rFonts w:ascii="Times New Roman" w:eastAsia="Times New Roman" w:hAnsi="Times New Roman" w:cs="Times New Roman"/>
                <w:i/>
                <w:color w:val="000000"/>
                <w:lang w:eastAsia="ru-RU"/>
              </w:rPr>
            </w:pPr>
            <w:r w:rsidRPr="00B64866">
              <w:rPr>
                <w:rFonts w:ascii="Times New Roman" w:eastAsia="Times New Roman" w:hAnsi="Times New Roman" w:cs="Times New Roman"/>
                <w:i/>
                <w:color w:val="000000"/>
                <w:lang w:eastAsia="ru-RU"/>
              </w:rPr>
              <w:t>34,6</w:t>
            </w:r>
          </w:p>
        </w:tc>
      </w:tr>
      <w:tr w:rsidR="00476255" w:rsidRPr="00B64866" w:rsidTr="00365D6E">
        <w:tc>
          <w:tcPr>
            <w:tcW w:w="3544" w:type="dxa"/>
          </w:tcPr>
          <w:p w:rsidR="00476255" w:rsidRPr="00B64866" w:rsidRDefault="00476255" w:rsidP="00F362C7">
            <w:pPr>
              <w:ind w:right="29"/>
              <w:rPr>
                <w:rFonts w:ascii="Times New Roman" w:eastAsia="Times New Roman" w:hAnsi="Times New Roman" w:cs="Times New Roman"/>
                <w:b/>
                <w:lang w:eastAsia="ru-RU"/>
              </w:rPr>
            </w:pPr>
            <w:r w:rsidRPr="00B64866">
              <w:rPr>
                <w:rFonts w:ascii="Times New Roman" w:eastAsia="Times New Roman" w:hAnsi="Times New Roman" w:cs="Times New Roman"/>
                <w:b/>
                <w:lang w:eastAsia="ru-RU"/>
              </w:rPr>
              <w:t>Alte venituri</w:t>
            </w:r>
          </w:p>
        </w:tc>
        <w:tc>
          <w:tcPr>
            <w:tcW w:w="1011" w:type="dxa"/>
            <w:vAlign w:val="center"/>
          </w:tcPr>
          <w:p w:rsidR="00476255" w:rsidRPr="00B64866" w:rsidRDefault="00476255" w:rsidP="00D13A23">
            <w:pPr>
              <w:ind w:right="29"/>
              <w:jc w:val="center"/>
              <w:rPr>
                <w:rFonts w:ascii="Times New Roman" w:eastAsia="Times New Roman" w:hAnsi="Times New Roman" w:cs="Times New Roman"/>
                <w:b/>
                <w:lang w:eastAsia="ru-RU"/>
              </w:rPr>
            </w:pPr>
            <w:r w:rsidRPr="00B64866">
              <w:rPr>
                <w:rFonts w:ascii="Times New Roman" w:eastAsia="Times New Roman" w:hAnsi="Times New Roman" w:cs="Times New Roman"/>
                <w:b/>
                <w:lang w:eastAsia="ru-RU"/>
              </w:rPr>
              <w:t>1526,0</w:t>
            </w:r>
          </w:p>
        </w:tc>
        <w:tc>
          <w:tcPr>
            <w:tcW w:w="986" w:type="dxa"/>
            <w:tcBorders>
              <w:top w:val="single" w:sz="4" w:space="0" w:color="auto"/>
              <w:left w:val="nil"/>
              <w:bottom w:val="single" w:sz="4" w:space="0" w:color="auto"/>
              <w:right w:val="single" w:sz="4" w:space="0" w:color="auto"/>
            </w:tcBorders>
            <w:shd w:val="clear" w:color="auto" w:fill="auto"/>
            <w:vAlign w:val="center"/>
          </w:tcPr>
          <w:p w:rsidR="00476255" w:rsidRPr="00B64866" w:rsidRDefault="00476255" w:rsidP="00D13A23">
            <w:pPr>
              <w:ind w:right="29"/>
              <w:jc w:val="center"/>
              <w:rPr>
                <w:rFonts w:ascii="Times New Roman" w:eastAsia="Times New Roman" w:hAnsi="Times New Roman" w:cs="Times New Roman"/>
                <w:b/>
                <w:color w:val="000000"/>
                <w:lang w:eastAsia="ru-RU"/>
              </w:rPr>
            </w:pPr>
            <w:r w:rsidRPr="00B64866">
              <w:rPr>
                <w:rFonts w:ascii="Times New Roman" w:eastAsia="Times New Roman" w:hAnsi="Times New Roman" w:cs="Times New Roman"/>
                <w:b/>
                <w:color w:val="000000"/>
                <w:lang w:eastAsia="ru-RU"/>
              </w:rPr>
              <w:t>1773,5</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476255" w:rsidRPr="00B64866" w:rsidRDefault="00476255" w:rsidP="00D13A23">
            <w:pPr>
              <w:ind w:right="29"/>
              <w:jc w:val="center"/>
              <w:rPr>
                <w:rFonts w:ascii="Times New Roman" w:eastAsia="Times New Roman" w:hAnsi="Times New Roman" w:cs="Times New Roman"/>
                <w:b/>
                <w:lang w:eastAsia="ru-RU"/>
              </w:rPr>
            </w:pPr>
            <w:r w:rsidRPr="00B64866">
              <w:rPr>
                <w:rFonts w:ascii="Times New Roman" w:eastAsia="Times New Roman" w:hAnsi="Times New Roman" w:cs="Times New Roman"/>
                <w:b/>
                <w:lang w:eastAsia="ru-RU"/>
              </w:rPr>
              <w:t>1740,2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76255" w:rsidRPr="00B64866" w:rsidRDefault="00476255" w:rsidP="00D13A23">
            <w:pPr>
              <w:ind w:right="29"/>
              <w:jc w:val="center"/>
              <w:rPr>
                <w:rFonts w:ascii="Times New Roman" w:eastAsia="Times New Roman" w:hAnsi="Times New Roman" w:cs="Times New Roman"/>
                <w:b/>
                <w:bCs/>
                <w:color w:val="000000"/>
                <w:lang w:eastAsia="ru-RU"/>
              </w:rPr>
            </w:pPr>
            <w:r w:rsidRPr="00B64866">
              <w:rPr>
                <w:rFonts w:ascii="Times New Roman" w:eastAsia="Times New Roman" w:hAnsi="Times New Roman" w:cs="Times New Roman"/>
                <w:b/>
                <w:bCs/>
                <w:color w:val="000000"/>
                <w:lang w:eastAsia="ru-RU"/>
              </w:rPr>
              <w:t>247,5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76255" w:rsidRPr="00B64866" w:rsidRDefault="00476255" w:rsidP="00D13A23">
            <w:pPr>
              <w:ind w:left="-89" w:right="29"/>
              <w:jc w:val="center"/>
              <w:rPr>
                <w:rFonts w:ascii="Times New Roman" w:eastAsia="Times New Roman" w:hAnsi="Times New Roman" w:cs="Times New Roman"/>
                <w:b/>
                <w:bCs/>
                <w:color w:val="000000"/>
                <w:lang w:eastAsia="ru-RU"/>
              </w:rPr>
            </w:pPr>
            <w:r w:rsidRPr="00B64866">
              <w:rPr>
                <w:rFonts w:ascii="Times New Roman" w:eastAsia="Times New Roman" w:hAnsi="Times New Roman" w:cs="Times New Roman"/>
                <w:b/>
                <w:bCs/>
                <w:color w:val="000000"/>
                <w:lang w:eastAsia="ru-RU"/>
              </w:rPr>
              <w:t>116,2</w:t>
            </w:r>
          </w:p>
        </w:tc>
        <w:tc>
          <w:tcPr>
            <w:tcW w:w="850" w:type="dxa"/>
            <w:tcBorders>
              <w:top w:val="single" w:sz="4" w:space="0" w:color="auto"/>
              <w:left w:val="single" w:sz="4" w:space="0" w:color="auto"/>
              <w:bottom w:val="single" w:sz="4" w:space="0" w:color="auto"/>
              <w:right w:val="single" w:sz="4" w:space="0" w:color="auto"/>
            </w:tcBorders>
            <w:vAlign w:val="center"/>
          </w:tcPr>
          <w:p w:rsidR="00476255" w:rsidRPr="00B64866" w:rsidRDefault="00476255" w:rsidP="00D13A23">
            <w:pPr>
              <w:ind w:right="29"/>
              <w:jc w:val="center"/>
              <w:rPr>
                <w:rFonts w:ascii="Times New Roman" w:eastAsia="Times New Roman" w:hAnsi="Times New Roman" w:cs="Times New Roman"/>
                <w:b/>
                <w:color w:val="000000"/>
                <w:lang w:eastAsia="ru-RU"/>
              </w:rPr>
            </w:pPr>
            <w:r w:rsidRPr="00B64866">
              <w:rPr>
                <w:rFonts w:ascii="Times New Roman" w:eastAsia="Times New Roman" w:hAnsi="Times New Roman" w:cs="Times New Roman"/>
                <w:b/>
                <w:color w:val="000000"/>
                <w:lang w:eastAsia="ru-RU"/>
              </w:rPr>
              <w:t>-33,3</w:t>
            </w:r>
          </w:p>
        </w:tc>
        <w:tc>
          <w:tcPr>
            <w:tcW w:w="924" w:type="dxa"/>
            <w:tcBorders>
              <w:top w:val="single" w:sz="4" w:space="0" w:color="auto"/>
              <w:left w:val="single" w:sz="4" w:space="0" w:color="auto"/>
              <w:bottom w:val="single" w:sz="4" w:space="0" w:color="auto"/>
              <w:right w:val="single" w:sz="4" w:space="0" w:color="auto"/>
            </w:tcBorders>
            <w:vAlign w:val="center"/>
          </w:tcPr>
          <w:p w:rsidR="00476255" w:rsidRPr="00B64866" w:rsidRDefault="00476255" w:rsidP="00D13A23">
            <w:pPr>
              <w:ind w:right="29"/>
              <w:jc w:val="center"/>
              <w:rPr>
                <w:rFonts w:ascii="Times New Roman" w:eastAsia="Times New Roman" w:hAnsi="Times New Roman" w:cs="Times New Roman"/>
                <w:b/>
                <w:color w:val="000000"/>
                <w:lang w:eastAsia="ru-RU"/>
              </w:rPr>
            </w:pPr>
            <w:r w:rsidRPr="00B64866">
              <w:rPr>
                <w:rFonts w:ascii="Times New Roman" w:eastAsia="Times New Roman" w:hAnsi="Times New Roman" w:cs="Times New Roman"/>
                <w:b/>
                <w:color w:val="000000"/>
                <w:lang w:eastAsia="ru-RU"/>
              </w:rPr>
              <w:t>98,1</w:t>
            </w:r>
          </w:p>
        </w:tc>
      </w:tr>
      <w:tr w:rsidR="00476255" w:rsidRPr="00B64866" w:rsidTr="00365D6E">
        <w:tc>
          <w:tcPr>
            <w:tcW w:w="3544" w:type="dxa"/>
          </w:tcPr>
          <w:p w:rsidR="00476255" w:rsidRPr="00B64866" w:rsidRDefault="00476255" w:rsidP="00F362C7">
            <w:pPr>
              <w:ind w:right="29"/>
              <w:rPr>
                <w:rFonts w:ascii="Times New Roman" w:eastAsia="Times New Roman" w:hAnsi="Times New Roman" w:cs="Times New Roman"/>
                <w:b/>
                <w:lang w:eastAsia="ru-RU"/>
              </w:rPr>
            </w:pPr>
            <w:r w:rsidRPr="00B64866">
              <w:rPr>
                <w:rFonts w:ascii="Times New Roman" w:eastAsia="Times New Roman" w:hAnsi="Times New Roman" w:cs="Times New Roman"/>
                <w:b/>
                <w:lang w:eastAsia="ru-RU"/>
              </w:rPr>
              <w:t>Venituri din proprietate</w:t>
            </w:r>
          </w:p>
        </w:tc>
        <w:tc>
          <w:tcPr>
            <w:tcW w:w="1011" w:type="dxa"/>
            <w:vAlign w:val="center"/>
          </w:tcPr>
          <w:p w:rsidR="00476255" w:rsidRPr="00B64866" w:rsidRDefault="00476255" w:rsidP="00D13A23">
            <w:pPr>
              <w:ind w:right="29"/>
              <w:jc w:val="center"/>
              <w:rPr>
                <w:rFonts w:ascii="Times New Roman" w:eastAsia="Times New Roman" w:hAnsi="Times New Roman" w:cs="Times New Roman"/>
                <w:b/>
                <w:lang w:eastAsia="ru-RU"/>
              </w:rPr>
            </w:pPr>
            <w:r w:rsidRPr="00B64866">
              <w:rPr>
                <w:rFonts w:ascii="Times New Roman" w:eastAsia="Times New Roman" w:hAnsi="Times New Roman" w:cs="Times New Roman"/>
                <w:b/>
                <w:lang w:eastAsia="ru-RU"/>
              </w:rPr>
              <w:t>191,2</w:t>
            </w:r>
          </w:p>
        </w:tc>
        <w:tc>
          <w:tcPr>
            <w:tcW w:w="986" w:type="dxa"/>
            <w:tcBorders>
              <w:top w:val="single" w:sz="4" w:space="0" w:color="auto"/>
              <w:left w:val="nil"/>
              <w:bottom w:val="single" w:sz="4" w:space="0" w:color="auto"/>
              <w:right w:val="single" w:sz="4" w:space="0" w:color="auto"/>
            </w:tcBorders>
            <w:shd w:val="clear" w:color="auto" w:fill="auto"/>
            <w:vAlign w:val="center"/>
          </w:tcPr>
          <w:p w:rsidR="00476255" w:rsidRPr="00B64866" w:rsidRDefault="00476255" w:rsidP="00D13A23">
            <w:pPr>
              <w:ind w:right="29"/>
              <w:jc w:val="center"/>
              <w:rPr>
                <w:rFonts w:ascii="Times New Roman" w:eastAsia="Times New Roman" w:hAnsi="Times New Roman" w:cs="Times New Roman"/>
                <w:b/>
                <w:color w:val="000000"/>
                <w:lang w:eastAsia="ru-RU"/>
              </w:rPr>
            </w:pPr>
            <w:r w:rsidRPr="00B64866">
              <w:rPr>
                <w:rFonts w:ascii="Times New Roman" w:eastAsia="Times New Roman" w:hAnsi="Times New Roman" w:cs="Times New Roman"/>
                <w:b/>
                <w:color w:val="000000"/>
                <w:lang w:eastAsia="ru-RU"/>
              </w:rPr>
              <w:t>314,1</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476255" w:rsidRPr="00B64866" w:rsidRDefault="00476255" w:rsidP="00D13A23">
            <w:pPr>
              <w:ind w:right="29"/>
              <w:jc w:val="center"/>
              <w:rPr>
                <w:rFonts w:ascii="Times New Roman" w:eastAsia="Times New Roman" w:hAnsi="Times New Roman" w:cs="Times New Roman"/>
                <w:b/>
                <w:lang w:eastAsia="ru-RU"/>
              </w:rPr>
            </w:pPr>
            <w:r w:rsidRPr="00B64866">
              <w:rPr>
                <w:rFonts w:ascii="Times New Roman" w:eastAsia="Times New Roman" w:hAnsi="Times New Roman" w:cs="Times New Roman"/>
                <w:b/>
                <w:lang w:eastAsia="ru-RU"/>
              </w:rPr>
              <w:t>321,2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76255" w:rsidRPr="00B64866" w:rsidRDefault="00476255" w:rsidP="00D13A23">
            <w:pPr>
              <w:ind w:right="29"/>
              <w:jc w:val="center"/>
              <w:rPr>
                <w:rFonts w:ascii="Times New Roman" w:eastAsia="Times New Roman" w:hAnsi="Times New Roman" w:cs="Times New Roman"/>
                <w:b/>
                <w:bCs/>
                <w:color w:val="000000"/>
                <w:lang w:eastAsia="ru-RU"/>
              </w:rPr>
            </w:pPr>
            <w:r w:rsidRPr="00B64866">
              <w:rPr>
                <w:rFonts w:ascii="Times New Roman" w:eastAsia="Times New Roman" w:hAnsi="Times New Roman" w:cs="Times New Roman"/>
                <w:b/>
                <w:bCs/>
                <w:color w:val="000000"/>
                <w:lang w:eastAsia="ru-RU"/>
              </w:rPr>
              <w:t>122,9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76255" w:rsidRPr="00B64866" w:rsidRDefault="00476255" w:rsidP="00D13A23">
            <w:pPr>
              <w:ind w:left="-89" w:right="29"/>
              <w:jc w:val="center"/>
              <w:rPr>
                <w:rFonts w:ascii="Times New Roman" w:eastAsia="Times New Roman" w:hAnsi="Times New Roman" w:cs="Times New Roman"/>
                <w:b/>
                <w:bCs/>
                <w:color w:val="000000"/>
                <w:lang w:eastAsia="ru-RU"/>
              </w:rPr>
            </w:pPr>
            <w:r w:rsidRPr="00B64866">
              <w:rPr>
                <w:rFonts w:ascii="Times New Roman" w:eastAsia="Times New Roman" w:hAnsi="Times New Roman" w:cs="Times New Roman"/>
                <w:b/>
                <w:bCs/>
                <w:color w:val="000000"/>
                <w:lang w:eastAsia="ru-RU"/>
              </w:rPr>
              <w:t>164,3</w:t>
            </w:r>
          </w:p>
        </w:tc>
        <w:tc>
          <w:tcPr>
            <w:tcW w:w="850" w:type="dxa"/>
            <w:tcBorders>
              <w:top w:val="single" w:sz="4" w:space="0" w:color="auto"/>
              <w:left w:val="single" w:sz="4" w:space="0" w:color="auto"/>
              <w:bottom w:val="single" w:sz="4" w:space="0" w:color="auto"/>
              <w:right w:val="single" w:sz="4" w:space="0" w:color="auto"/>
            </w:tcBorders>
            <w:vAlign w:val="center"/>
          </w:tcPr>
          <w:p w:rsidR="00476255" w:rsidRPr="00B64866" w:rsidRDefault="00476255" w:rsidP="00D13A23">
            <w:pPr>
              <w:ind w:right="29"/>
              <w:jc w:val="center"/>
              <w:rPr>
                <w:rFonts w:ascii="Times New Roman" w:eastAsia="Times New Roman" w:hAnsi="Times New Roman" w:cs="Times New Roman"/>
                <w:b/>
                <w:color w:val="000000"/>
                <w:lang w:eastAsia="ru-RU"/>
              </w:rPr>
            </w:pPr>
            <w:r w:rsidRPr="00B64866">
              <w:rPr>
                <w:rFonts w:ascii="Times New Roman" w:eastAsia="Times New Roman" w:hAnsi="Times New Roman" w:cs="Times New Roman"/>
                <w:b/>
                <w:color w:val="000000"/>
                <w:lang w:eastAsia="ru-RU"/>
              </w:rPr>
              <w:t>7,2</w:t>
            </w:r>
          </w:p>
        </w:tc>
        <w:tc>
          <w:tcPr>
            <w:tcW w:w="924" w:type="dxa"/>
            <w:tcBorders>
              <w:top w:val="single" w:sz="4" w:space="0" w:color="auto"/>
              <w:left w:val="single" w:sz="4" w:space="0" w:color="auto"/>
              <w:bottom w:val="single" w:sz="4" w:space="0" w:color="auto"/>
              <w:right w:val="single" w:sz="4" w:space="0" w:color="auto"/>
            </w:tcBorders>
            <w:vAlign w:val="center"/>
          </w:tcPr>
          <w:p w:rsidR="00476255" w:rsidRPr="00B64866" w:rsidRDefault="00476255" w:rsidP="00D13A23">
            <w:pPr>
              <w:ind w:right="29"/>
              <w:jc w:val="center"/>
              <w:rPr>
                <w:rFonts w:ascii="Times New Roman" w:eastAsia="Times New Roman" w:hAnsi="Times New Roman" w:cs="Times New Roman"/>
                <w:b/>
                <w:color w:val="000000"/>
                <w:lang w:eastAsia="ru-RU"/>
              </w:rPr>
            </w:pPr>
            <w:r w:rsidRPr="00B64866">
              <w:rPr>
                <w:rFonts w:ascii="Times New Roman" w:eastAsia="Times New Roman" w:hAnsi="Times New Roman" w:cs="Times New Roman"/>
                <w:b/>
                <w:color w:val="000000"/>
                <w:lang w:eastAsia="ru-RU"/>
              </w:rPr>
              <w:t>102,3</w:t>
            </w:r>
          </w:p>
        </w:tc>
      </w:tr>
      <w:tr w:rsidR="00476255" w:rsidRPr="00B64866" w:rsidTr="00365D6E">
        <w:tc>
          <w:tcPr>
            <w:tcW w:w="3544" w:type="dxa"/>
          </w:tcPr>
          <w:p w:rsidR="00476255" w:rsidRPr="00B64866" w:rsidRDefault="00476255" w:rsidP="00F362C7">
            <w:pPr>
              <w:ind w:right="29"/>
              <w:rPr>
                <w:rFonts w:ascii="Times New Roman" w:eastAsia="Times New Roman" w:hAnsi="Times New Roman" w:cs="Times New Roman"/>
                <w:lang w:eastAsia="ru-RU"/>
              </w:rPr>
            </w:pPr>
            <w:r w:rsidRPr="00B64866">
              <w:rPr>
                <w:rFonts w:ascii="Times New Roman" w:eastAsia="Times New Roman" w:hAnsi="Times New Roman" w:cs="Times New Roman"/>
                <w:lang w:eastAsia="ru-RU"/>
              </w:rPr>
              <w:t>Dobânzi încasate</w:t>
            </w:r>
          </w:p>
        </w:tc>
        <w:tc>
          <w:tcPr>
            <w:tcW w:w="1011" w:type="dxa"/>
            <w:vAlign w:val="center"/>
          </w:tcPr>
          <w:p w:rsidR="00476255" w:rsidRPr="00B64866" w:rsidRDefault="00476255" w:rsidP="00D13A23">
            <w:pPr>
              <w:ind w:right="29"/>
              <w:jc w:val="center"/>
              <w:rPr>
                <w:rFonts w:ascii="Times New Roman" w:eastAsia="Times New Roman" w:hAnsi="Times New Roman" w:cs="Times New Roman"/>
                <w:lang w:eastAsia="ru-RU"/>
              </w:rPr>
            </w:pPr>
            <w:r w:rsidRPr="00B64866">
              <w:rPr>
                <w:rFonts w:ascii="Times New Roman" w:eastAsia="Times New Roman" w:hAnsi="Times New Roman" w:cs="Times New Roman"/>
                <w:lang w:eastAsia="ru-RU"/>
              </w:rPr>
              <w:t>82,2</w:t>
            </w:r>
          </w:p>
        </w:tc>
        <w:tc>
          <w:tcPr>
            <w:tcW w:w="986" w:type="dxa"/>
            <w:tcBorders>
              <w:top w:val="single" w:sz="4" w:space="0" w:color="auto"/>
              <w:left w:val="nil"/>
              <w:bottom w:val="single" w:sz="4" w:space="0" w:color="auto"/>
              <w:right w:val="single" w:sz="4" w:space="0" w:color="auto"/>
            </w:tcBorders>
            <w:shd w:val="clear" w:color="auto" w:fill="auto"/>
            <w:vAlign w:val="center"/>
          </w:tcPr>
          <w:p w:rsidR="00476255" w:rsidRPr="00B64866" w:rsidRDefault="00476255" w:rsidP="00D13A23">
            <w:pPr>
              <w:ind w:right="29"/>
              <w:jc w:val="center"/>
              <w:rPr>
                <w:rFonts w:ascii="Times New Roman" w:eastAsia="Times New Roman" w:hAnsi="Times New Roman" w:cs="Times New Roman"/>
                <w:color w:val="000000"/>
                <w:lang w:eastAsia="ru-RU"/>
              </w:rPr>
            </w:pPr>
            <w:r w:rsidRPr="00B64866">
              <w:rPr>
                <w:rFonts w:ascii="Times New Roman" w:eastAsia="Times New Roman" w:hAnsi="Times New Roman" w:cs="Times New Roman"/>
                <w:color w:val="000000"/>
                <w:lang w:eastAsia="ru-RU"/>
              </w:rPr>
              <w:t>150,8</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476255" w:rsidRPr="00B64866" w:rsidRDefault="00476255" w:rsidP="00D13A23">
            <w:pPr>
              <w:ind w:right="29"/>
              <w:jc w:val="center"/>
              <w:rPr>
                <w:rFonts w:ascii="Times New Roman" w:eastAsia="Times New Roman" w:hAnsi="Times New Roman" w:cs="Times New Roman"/>
                <w:lang w:eastAsia="ru-RU"/>
              </w:rPr>
            </w:pPr>
            <w:r w:rsidRPr="00B64866">
              <w:rPr>
                <w:rFonts w:ascii="Times New Roman" w:eastAsia="Times New Roman" w:hAnsi="Times New Roman" w:cs="Times New Roman"/>
                <w:lang w:eastAsia="ru-RU"/>
              </w:rPr>
              <w:t>154,0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76255" w:rsidRPr="00B64866" w:rsidRDefault="00476255" w:rsidP="00D13A23">
            <w:pPr>
              <w:ind w:right="29"/>
              <w:jc w:val="center"/>
              <w:rPr>
                <w:rFonts w:ascii="Times New Roman" w:eastAsia="Times New Roman" w:hAnsi="Times New Roman" w:cs="Times New Roman"/>
                <w:bCs/>
                <w:color w:val="000000"/>
                <w:lang w:eastAsia="ru-RU"/>
              </w:rPr>
            </w:pPr>
            <w:r w:rsidRPr="00B64866">
              <w:rPr>
                <w:rFonts w:ascii="Times New Roman" w:eastAsia="Times New Roman" w:hAnsi="Times New Roman" w:cs="Times New Roman"/>
                <w:bCs/>
                <w:color w:val="000000"/>
                <w:lang w:eastAsia="ru-RU"/>
              </w:rPr>
              <w:t>68,6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76255" w:rsidRPr="00B64866" w:rsidRDefault="00476255" w:rsidP="00D13A23">
            <w:pPr>
              <w:ind w:left="-89" w:right="29"/>
              <w:jc w:val="center"/>
              <w:rPr>
                <w:rFonts w:ascii="Times New Roman" w:eastAsia="Times New Roman" w:hAnsi="Times New Roman" w:cs="Times New Roman"/>
                <w:bCs/>
                <w:color w:val="000000"/>
                <w:lang w:eastAsia="ru-RU"/>
              </w:rPr>
            </w:pPr>
            <w:r w:rsidRPr="00B64866">
              <w:rPr>
                <w:rFonts w:ascii="Times New Roman" w:eastAsia="Times New Roman" w:hAnsi="Times New Roman" w:cs="Times New Roman"/>
                <w:bCs/>
                <w:color w:val="000000"/>
                <w:lang w:eastAsia="ru-RU"/>
              </w:rPr>
              <w:t>183,5</w:t>
            </w:r>
          </w:p>
        </w:tc>
        <w:tc>
          <w:tcPr>
            <w:tcW w:w="850" w:type="dxa"/>
            <w:tcBorders>
              <w:top w:val="single" w:sz="4" w:space="0" w:color="auto"/>
              <w:left w:val="single" w:sz="4" w:space="0" w:color="auto"/>
              <w:bottom w:val="single" w:sz="4" w:space="0" w:color="auto"/>
              <w:right w:val="single" w:sz="4" w:space="0" w:color="auto"/>
            </w:tcBorders>
            <w:vAlign w:val="center"/>
          </w:tcPr>
          <w:p w:rsidR="00476255" w:rsidRPr="00B64866" w:rsidRDefault="00476255" w:rsidP="00D13A23">
            <w:pPr>
              <w:ind w:right="29"/>
              <w:jc w:val="center"/>
              <w:rPr>
                <w:rFonts w:ascii="Times New Roman" w:eastAsia="Times New Roman" w:hAnsi="Times New Roman" w:cs="Times New Roman"/>
                <w:color w:val="000000"/>
                <w:lang w:eastAsia="ru-RU"/>
              </w:rPr>
            </w:pPr>
            <w:r w:rsidRPr="00B64866">
              <w:rPr>
                <w:rFonts w:ascii="Times New Roman" w:eastAsia="Times New Roman" w:hAnsi="Times New Roman" w:cs="Times New Roman"/>
                <w:color w:val="000000"/>
                <w:lang w:eastAsia="ru-RU"/>
              </w:rPr>
              <w:t>3,2</w:t>
            </w:r>
          </w:p>
        </w:tc>
        <w:tc>
          <w:tcPr>
            <w:tcW w:w="924" w:type="dxa"/>
            <w:tcBorders>
              <w:top w:val="single" w:sz="4" w:space="0" w:color="auto"/>
              <w:left w:val="single" w:sz="4" w:space="0" w:color="auto"/>
              <w:bottom w:val="single" w:sz="4" w:space="0" w:color="auto"/>
              <w:right w:val="single" w:sz="4" w:space="0" w:color="auto"/>
            </w:tcBorders>
            <w:vAlign w:val="center"/>
          </w:tcPr>
          <w:p w:rsidR="00476255" w:rsidRPr="00B64866" w:rsidRDefault="00476255" w:rsidP="00D13A23">
            <w:pPr>
              <w:ind w:right="29"/>
              <w:jc w:val="center"/>
              <w:rPr>
                <w:rFonts w:ascii="Times New Roman" w:eastAsia="Times New Roman" w:hAnsi="Times New Roman" w:cs="Times New Roman"/>
                <w:color w:val="000000"/>
                <w:lang w:eastAsia="ru-RU"/>
              </w:rPr>
            </w:pPr>
            <w:r w:rsidRPr="00B64866">
              <w:rPr>
                <w:rFonts w:ascii="Times New Roman" w:eastAsia="Times New Roman" w:hAnsi="Times New Roman" w:cs="Times New Roman"/>
                <w:color w:val="000000"/>
                <w:lang w:eastAsia="ru-RU"/>
              </w:rPr>
              <w:t>102,1</w:t>
            </w:r>
          </w:p>
        </w:tc>
      </w:tr>
      <w:tr w:rsidR="00476255" w:rsidRPr="00B64866" w:rsidTr="00365D6E">
        <w:tc>
          <w:tcPr>
            <w:tcW w:w="3544" w:type="dxa"/>
          </w:tcPr>
          <w:p w:rsidR="00476255" w:rsidRPr="00B64866" w:rsidRDefault="00476255" w:rsidP="00F362C7">
            <w:pPr>
              <w:ind w:right="29"/>
              <w:rPr>
                <w:rFonts w:ascii="Times New Roman" w:eastAsia="Times New Roman" w:hAnsi="Times New Roman" w:cs="Times New Roman"/>
                <w:lang w:eastAsia="ru-RU"/>
              </w:rPr>
            </w:pPr>
            <w:r w:rsidRPr="00B64866">
              <w:rPr>
                <w:rFonts w:ascii="Times New Roman" w:eastAsia="Times New Roman" w:hAnsi="Times New Roman" w:cs="Times New Roman"/>
                <w:lang w:eastAsia="ru-RU"/>
              </w:rPr>
              <w:t>Dividende primite</w:t>
            </w:r>
          </w:p>
        </w:tc>
        <w:tc>
          <w:tcPr>
            <w:tcW w:w="1011" w:type="dxa"/>
            <w:vAlign w:val="center"/>
          </w:tcPr>
          <w:p w:rsidR="00476255" w:rsidRPr="00B64866" w:rsidRDefault="00476255" w:rsidP="00D13A23">
            <w:pPr>
              <w:ind w:right="29"/>
              <w:jc w:val="center"/>
              <w:rPr>
                <w:rFonts w:ascii="Times New Roman" w:eastAsia="Times New Roman" w:hAnsi="Times New Roman" w:cs="Times New Roman"/>
                <w:lang w:eastAsia="ru-RU"/>
              </w:rPr>
            </w:pPr>
            <w:r w:rsidRPr="00B64866">
              <w:rPr>
                <w:rFonts w:ascii="Times New Roman" w:eastAsia="Times New Roman" w:hAnsi="Times New Roman" w:cs="Times New Roman"/>
                <w:lang w:eastAsia="ru-RU"/>
              </w:rPr>
              <w:t>109,0</w:t>
            </w:r>
          </w:p>
        </w:tc>
        <w:tc>
          <w:tcPr>
            <w:tcW w:w="986" w:type="dxa"/>
            <w:tcBorders>
              <w:top w:val="single" w:sz="4" w:space="0" w:color="auto"/>
              <w:left w:val="nil"/>
              <w:bottom w:val="single" w:sz="4" w:space="0" w:color="auto"/>
              <w:right w:val="single" w:sz="4" w:space="0" w:color="auto"/>
            </w:tcBorders>
            <w:shd w:val="clear" w:color="auto" w:fill="auto"/>
            <w:vAlign w:val="center"/>
          </w:tcPr>
          <w:p w:rsidR="00476255" w:rsidRPr="00B64866" w:rsidRDefault="00476255" w:rsidP="00D13A23">
            <w:pPr>
              <w:ind w:right="29"/>
              <w:jc w:val="center"/>
              <w:rPr>
                <w:rFonts w:ascii="Times New Roman" w:eastAsia="Times New Roman" w:hAnsi="Times New Roman" w:cs="Times New Roman"/>
                <w:color w:val="000000"/>
                <w:lang w:eastAsia="ru-RU"/>
              </w:rPr>
            </w:pPr>
            <w:r w:rsidRPr="00B64866">
              <w:rPr>
                <w:rFonts w:ascii="Times New Roman" w:eastAsia="Times New Roman" w:hAnsi="Times New Roman" w:cs="Times New Roman"/>
                <w:color w:val="000000"/>
                <w:lang w:eastAsia="ru-RU"/>
              </w:rPr>
              <w:t>163,3</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476255" w:rsidRPr="00B64866" w:rsidRDefault="00476255" w:rsidP="00D13A23">
            <w:pPr>
              <w:ind w:right="29"/>
              <w:jc w:val="center"/>
              <w:rPr>
                <w:rFonts w:ascii="Times New Roman" w:eastAsia="Times New Roman" w:hAnsi="Times New Roman" w:cs="Times New Roman"/>
                <w:lang w:eastAsia="ru-RU"/>
              </w:rPr>
            </w:pPr>
            <w:r w:rsidRPr="00B64866">
              <w:rPr>
                <w:rFonts w:ascii="Times New Roman" w:eastAsia="Times New Roman" w:hAnsi="Times New Roman" w:cs="Times New Roman"/>
                <w:lang w:eastAsia="ru-RU"/>
              </w:rPr>
              <w:t>167,1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76255" w:rsidRPr="00B64866" w:rsidRDefault="00476255" w:rsidP="00D13A23">
            <w:pPr>
              <w:ind w:right="29"/>
              <w:jc w:val="center"/>
              <w:rPr>
                <w:rFonts w:ascii="Times New Roman" w:eastAsia="Times New Roman" w:hAnsi="Times New Roman" w:cs="Times New Roman"/>
                <w:bCs/>
                <w:color w:val="000000"/>
                <w:lang w:eastAsia="ru-RU"/>
              </w:rPr>
            </w:pPr>
            <w:r w:rsidRPr="00B64866">
              <w:rPr>
                <w:rFonts w:ascii="Times New Roman" w:eastAsia="Times New Roman" w:hAnsi="Times New Roman" w:cs="Times New Roman"/>
                <w:bCs/>
                <w:color w:val="000000"/>
                <w:lang w:eastAsia="ru-RU"/>
              </w:rPr>
              <w:t>54,3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76255" w:rsidRPr="00B64866" w:rsidRDefault="00476255" w:rsidP="00D13A23">
            <w:pPr>
              <w:ind w:left="-89" w:right="29"/>
              <w:jc w:val="center"/>
              <w:rPr>
                <w:rFonts w:ascii="Times New Roman" w:eastAsia="Times New Roman" w:hAnsi="Times New Roman" w:cs="Times New Roman"/>
                <w:bCs/>
                <w:color w:val="000000"/>
                <w:lang w:eastAsia="ru-RU"/>
              </w:rPr>
            </w:pPr>
            <w:r w:rsidRPr="00B64866">
              <w:rPr>
                <w:rFonts w:ascii="Times New Roman" w:eastAsia="Times New Roman" w:hAnsi="Times New Roman" w:cs="Times New Roman"/>
                <w:bCs/>
                <w:color w:val="000000"/>
                <w:lang w:eastAsia="ru-RU"/>
              </w:rPr>
              <w:t>149,8</w:t>
            </w:r>
          </w:p>
        </w:tc>
        <w:tc>
          <w:tcPr>
            <w:tcW w:w="850" w:type="dxa"/>
            <w:tcBorders>
              <w:top w:val="single" w:sz="4" w:space="0" w:color="auto"/>
              <w:left w:val="single" w:sz="4" w:space="0" w:color="auto"/>
              <w:bottom w:val="single" w:sz="4" w:space="0" w:color="auto"/>
              <w:right w:val="single" w:sz="4" w:space="0" w:color="auto"/>
            </w:tcBorders>
            <w:vAlign w:val="center"/>
          </w:tcPr>
          <w:p w:rsidR="00476255" w:rsidRPr="00B64866" w:rsidRDefault="00476255" w:rsidP="00D13A23">
            <w:pPr>
              <w:ind w:right="29"/>
              <w:jc w:val="center"/>
              <w:rPr>
                <w:rFonts w:ascii="Times New Roman" w:eastAsia="Times New Roman" w:hAnsi="Times New Roman" w:cs="Times New Roman"/>
                <w:color w:val="000000"/>
                <w:lang w:eastAsia="ru-RU"/>
              </w:rPr>
            </w:pPr>
            <w:r w:rsidRPr="00B64866">
              <w:rPr>
                <w:rFonts w:ascii="Times New Roman" w:eastAsia="Times New Roman" w:hAnsi="Times New Roman" w:cs="Times New Roman"/>
                <w:color w:val="000000"/>
                <w:lang w:eastAsia="ru-RU"/>
              </w:rPr>
              <w:t>3,8</w:t>
            </w:r>
          </w:p>
        </w:tc>
        <w:tc>
          <w:tcPr>
            <w:tcW w:w="924" w:type="dxa"/>
            <w:tcBorders>
              <w:top w:val="single" w:sz="4" w:space="0" w:color="auto"/>
              <w:left w:val="single" w:sz="4" w:space="0" w:color="auto"/>
              <w:bottom w:val="single" w:sz="4" w:space="0" w:color="auto"/>
              <w:right w:val="single" w:sz="4" w:space="0" w:color="auto"/>
            </w:tcBorders>
            <w:vAlign w:val="center"/>
          </w:tcPr>
          <w:p w:rsidR="00476255" w:rsidRPr="00B64866" w:rsidRDefault="00476255" w:rsidP="00D13A23">
            <w:pPr>
              <w:ind w:right="29"/>
              <w:jc w:val="center"/>
              <w:rPr>
                <w:rFonts w:ascii="Times New Roman" w:eastAsia="Times New Roman" w:hAnsi="Times New Roman" w:cs="Times New Roman"/>
                <w:color w:val="000000"/>
                <w:lang w:eastAsia="ru-RU"/>
              </w:rPr>
            </w:pPr>
            <w:r w:rsidRPr="00B64866">
              <w:rPr>
                <w:rFonts w:ascii="Times New Roman" w:eastAsia="Times New Roman" w:hAnsi="Times New Roman" w:cs="Times New Roman"/>
                <w:color w:val="000000"/>
                <w:lang w:eastAsia="ru-RU"/>
              </w:rPr>
              <w:t>102,3</w:t>
            </w:r>
          </w:p>
        </w:tc>
      </w:tr>
      <w:tr w:rsidR="00476255" w:rsidRPr="00B64866" w:rsidTr="00365D6E">
        <w:tc>
          <w:tcPr>
            <w:tcW w:w="3544" w:type="dxa"/>
          </w:tcPr>
          <w:p w:rsidR="00476255" w:rsidRPr="00B64866" w:rsidRDefault="00476255" w:rsidP="00F362C7">
            <w:pPr>
              <w:ind w:right="29"/>
              <w:rPr>
                <w:rFonts w:ascii="Times New Roman" w:eastAsia="Times New Roman" w:hAnsi="Times New Roman" w:cs="Times New Roman"/>
                <w:lang w:eastAsia="ru-RU"/>
              </w:rPr>
            </w:pPr>
            <w:r w:rsidRPr="00B64866">
              <w:rPr>
                <w:rFonts w:ascii="Times New Roman" w:eastAsia="Times New Roman" w:hAnsi="Times New Roman" w:cs="Times New Roman"/>
                <w:lang w:eastAsia="ru-RU"/>
              </w:rPr>
              <w:t>Renta</w:t>
            </w:r>
          </w:p>
        </w:tc>
        <w:tc>
          <w:tcPr>
            <w:tcW w:w="1011" w:type="dxa"/>
            <w:vAlign w:val="center"/>
          </w:tcPr>
          <w:p w:rsidR="00476255" w:rsidRPr="00B64866" w:rsidRDefault="00476255" w:rsidP="00D13A23">
            <w:pPr>
              <w:ind w:right="29"/>
              <w:jc w:val="center"/>
              <w:rPr>
                <w:rFonts w:ascii="Times New Roman" w:eastAsia="Times New Roman" w:hAnsi="Times New Roman" w:cs="Times New Roman"/>
                <w:lang w:eastAsia="ru-RU"/>
              </w:rPr>
            </w:pPr>
          </w:p>
        </w:tc>
        <w:tc>
          <w:tcPr>
            <w:tcW w:w="986" w:type="dxa"/>
            <w:tcBorders>
              <w:top w:val="single" w:sz="4" w:space="0" w:color="auto"/>
              <w:left w:val="nil"/>
              <w:bottom w:val="single" w:sz="4" w:space="0" w:color="auto"/>
              <w:right w:val="single" w:sz="4" w:space="0" w:color="auto"/>
            </w:tcBorders>
            <w:shd w:val="clear" w:color="auto" w:fill="auto"/>
            <w:vAlign w:val="center"/>
          </w:tcPr>
          <w:p w:rsidR="00476255" w:rsidRPr="00B64866" w:rsidRDefault="00476255" w:rsidP="00D13A23">
            <w:pPr>
              <w:ind w:right="29"/>
              <w:jc w:val="center"/>
              <w:rPr>
                <w:rFonts w:ascii="Times New Roman" w:eastAsia="Times New Roman" w:hAnsi="Times New Roman" w:cs="Times New Roman"/>
                <w:color w:val="000000"/>
                <w:lang w:eastAsia="ru-RU"/>
              </w:rPr>
            </w:pP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476255" w:rsidRPr="00B64866" w:rsidRDefault="00476255" w:rsidP="00D13A23">
            <w:pPr>
              <w:ind w:right="29"/>
              <w:jc w:val="center"/>
              <w:rPr>
                <w:rFonts w:ascii="Times New Roman" w:eastAsia="Times New Roman" w:hAnsi="Times New Roman" w:cs="Times New Roman"/>
                <w:lang w:eastAsia="ru-RU"/>
              </w:rPr>
            </w:pPr>
            <w:r w:rsidRPr="00B64866">
              <w:rPr>
                <w:rFonts w:ascii="Times New Roman" w:eastAsia="Times New Roman" w:hAnsi="Times New Roman" w:cs="Times New Roman"/>
                <w:lang w:eastAsia="ru-RU"/>
              </w:rPr>
              <w:t>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76255" w:rsidRPr="00B64866" w:rsidRDefault="00476255" w:rsidP="00D13A23">
            <w:pPr>
              <w:ind w:right="29"/>
              <w:jc w:val="center"/>
              <w:rPr>
                <w:rFonts w:ascii="Times New Roman" w:eastAsia="Times New Roman" w:hAnsi="Times New Roman" w:cs="Times New Roman"/>
                <w:bCs/>
                <w:color w:val="000000"/>
                <w:lang w:eastAsia="ru-RU"/>
              </w:rPr>
            </w:pPr>
            <w:r w:rsidRPr="00B64866">
              <w:rPr>
                <w:rFonts w:ascii="Times New Roman" w:eastAsia="Times New Roman" w:hAnsi="Times New Roman" w:cs="Times New Roman"/>
                <w:bCs/>
                <w:color w:val="000000"/>
                <w:lang w:eastAsia="ru-RU"/>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76255" w:rsidRPr="00B64866" w:rsidRDefault="00476255" w:rsidP="00D13A23">
            <w:pPr>
              <w:ind w:left="-89" w:right="29"/>
              <w:jc w:val="center"/>
              <w:rPr>
                <w:rFonts w:ascii="Times New Roman" w:eastAsia="Times New Roman" w:hAnsi="Times New Roman" w:cs="Times New Roman"/>
                <w:b/>
                <w:bCs/>
                <w:color w:val="000000"/>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476255" w:rsidRPr="00B64866" w:rsidRDefault="00476255" w:rsidP="00D13A23">
            <w:pPr>
              <w:ind w:right="29"/>
              <w:jc w:val="center"/>
              <w:rPr>
                <w:rFonts w:ascii="Times New Roman" w:eastAsia="Times New Roman" w:hAnsi="Times New Roman" w:cs="Times New Roman"/>
                <w:color w:val="000000"/>
                <w:lang w:eastAsia="ru-RU"/>
              </w:rPr>
            </w:pPr>
            <w:r w:rsidRPr="00B64866">
              <w:rPr>
                <w:rFonts w:ascii="Times New Roman" w:eastAsia="Times New Roman" w:hAnsi="Times New Roman" w:cs="Times New Roman"/>
                <w:color w:val="000000"/>
                <w:lang w:eastAsia="ru-RU"/>
              </w:rPr>
              <w:t>0,1</w:t>
            </w:r>
          </w:p>
        </w:tc>
        <w:tc>
          <w:tcPr>
            <w:tcW w:w="924" w:type="dxa"/>
            <w:tcBorders>
              <w:top w:val="single" w:sz="4" w:space="0" w:color="auto"/>
              <w:left w:val="single" w:sz="4" w:space="0" w:color="auto"/>
              <w:bottom w:val="single" w:sz="4" w:space="0" w:color="auto"/>
              <w:right w:val="single" w:sz="4" w:space="0" w:color="auto"/>
            </w:tcBorders>
            <w:vAlign w:val="center"/>
          </w:tcPr>
          <w:p w:rsidR="00476255" w:rsidRPr="00B64866" w:rsidRDefault="00476255" w:rsidP="00D13A23">
            <w:pPr>
              <w:ind w:right="29"/>
              <w:jc w:val="center"/>
              <w:rPr>
                <w:rFonts w:ascii="Times New Roman" w:eastAsia="Times New Roman" w:hAnsi="Times New Roman" w:cs="Times New Roman"/>
                <w:color w:val="000000"/>
                <w:lang w:eastAsia="ru-RU"/>
              </w:rPr>
            </w:pPr>
          </w:p>
        </w:tc>
      </w:tr>
      <w:tr w:rsidR="00476255" w:rsidRPr="00B64866" w:rsidTr="00365D6E">
        <w:tc>
          <w:tcPr>
            <w:tcW w:w="3544" w:type="dxa"/>
          </w:tcPr>
          <w:p w:rsidR="00476255" w:rsidRPr="00B64866" w:rsidRDefault="00476255" w:rsidP="00F362C7">
            <w:pPr>
              <w:ind w:right="29"/>
              <w:rPr>
                <w:rFonts w:ascii="Times New Roman" w:eastAsia="Times New Roman" w:hAnsi="Times New Roman" w:cs="Times New Roman"/>
                <w:b/>
                <w:lang w:eastAsia="ru-RU"/>
              </w:rPr>
            </w:pPr>
            <w:r w:rsidRPr="00B64866">
              <w:rPr>
                <w:rFonts w:ascii="Times New Roman" w:eastAsia="Times New Roman" w:hAnsi="Times New Roman" w:cs="Times New Roman"/>
                <w:b/>
                <w:lang w:eastAsia="ru-RU"/>
              </w:rPr>
              <w:t>Venituri din vânzarea mărfurilor și serviciilor</w:t>
            </w:r>
          </w:p>
        </w:tc>
        <w:tc>
          <w:tcPr>
            <w:tcW w:w="1011" w:type="dxa"/>
            <w:vAlign w:val="center"/>
          </w:tcPr>
          <w:p w:rsidR="00476255" w:rsidRPr="00B64866" w:rsidRDefault="00476255" w:rsidP="00D13A23">
            <w:pPr>
              <w:ind w:right="29"/>
              <w:jc w:val="center"/>
              <w:rPr>
                <w:rFonts w:ascii="Times New Roman" w:eastAsia="Times New Roman" w:hAnsi="Times New Roman" w:cs="Times New Roman"/>
                <w:b/>
                <w:lang w:eastAsia="ru-RU"/>
              </w:rPr>
            </w:pPr>
            <w:r w:rsidRPr="00B64866">
              <w:rPr>
                <w:rFonts w:ascii="Times New Roman" w:eastAsia="Times New Roman" w:hAnsi="Times New Roman" w:cs="Times New Roman"/>
                <w:b/>
                <w:lang w:eastAsia="ru-RU"/>
              </w:rPr>
              <w:t>1040,7</w:t>
            </w:r>
          </w:p>
        </w:tc>
        <w:tc>
          <w:tcPr>
            <w:tcW w:w="986" w:type="dxa"/>
            <w:tcBorders>
              <w:top w:val="single" w:sz="4" w:space="0" w:color="auto"/>
              <w:left w:val="nil"/>
              <w:bottom w:val="single" w:sz="4" w:space="0" w:color="auto"/>
              <w:right w:val="single" w:sz="4" w:space="0" w:color="auto"/>
            </w:tcBorders>
            <w:shd w:val="clear" w:color="auto" w:fill="auto"/>
            <w:vAlign w:val="center"/>
          </w:tcPr>
          <w:p w:rsidR="00476255" w:rsidRPr="00B64866" w:rsidRDefault="00476255" w:rsidP="00D13A23">
            <w:pPr>
              <w:ind w:right="29"/>
              <w:jc w:val="center"/>
              <w:rPr>
                <w:rFonts w:ascii="Times New Roman" w:eastAsia="Times New Roman" w:hAnsi="Times New Roman" w:cs="Times New Roman"/>
                <w:b/>
                <w:color w:val="000000"/>
                <w:lang w:eastAsia="ru-RU"/>
              </w:rPr>
            </w:pPr>
            <w:r w:rsidRPr="00B64866">
              <w:rPr>
                <w:rFonts w:ascii="Times New Roman" w:eastAsia="Times New Roman" w:hAnsi="Times New Roman" w:cs="Times New Roman"/>
                <w:b/>
                <w:color w:val="000000"/>
                <w:lang w:eastAsia="ru-RU"/>
              </w:rPr>
              <w:t>1057,9</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476255" w:rsidRPr="00B64866" w:rsidRDefault="00476255" w:rsidP="00D13A23">
            <w:pPr>
              <w:ind w:right="29"/>
              <w:jc w:val="center"/>
              <w:rPr>
                <w:rFonts w:ascii="Times New Roman" w:eastAsia="Times New Roman" w:hAnsi="Times New Roman" w:cs="Times New Roman"/>
                <w:b/>
                <w:lang w:eastAsia="ru-RU"/>
              </w:rPr>
            </w:pPr>
            <w:r w:rsidRPr="00B64866">
              <w:rPr>
                <w:rFonts w:ascii="Times New Roman" w:eastAsia="Times New Roman" w:hAnsi="Times New Roman" w:cs="Times New Roman"/>
                <w:b/>
                <w:lang w:eastAsia="ru-RU"/>
              </w:rPr>
              <w:t>1014,1</w:t>
            </w:r>
          </w:p>
        </w:tc>
        <w:tc>
          <w:tcPr>
            <w:tcW w:w="850" w:type="dxa"/>
            <w:tcBorders>
              <w:top w:val="single" w:sz="4" w:space="0" w:color="auto"/>
              <w:left w:val="nil"/>
              <w:bottom w:val="single" w:sz="4" w:space="0" w:color="auto"/>
              <w:right w:val="single" w:sz="4" w:space="0" w:color="auto"/>
            </w:tcBorders>
            <w:shd w:val="clear" w:color="auto" w:fill="auto"/>
            <w:vAlign w:val="center"/>
          </w:tcPr>
          <w:p w:rsidR="00476255" w:rsidRPr="00B64866" w:rsidRDefault="00476255" w:rsidP="00D13A23">
            <w:pPr>
              <w:ind w:right="29"/>
              <w:jc w:val="center"/>
              <w:rPr>
                <w:rFonts w:ascii="Times New Roman" w:eastAsia="Times New Roman" w:hAnsi="Times New Roman" w:cs="Times New Roman"/>
                <w:b/>
                <w:bCs/>
                <w:color w:val="000000"/>
                <w:lang w:eastAsia="ru-RU"/>
              </w:rPr>
            </w:pPr>
            <w:r w:rsidRPr="00B64866">
              <w:rPr>
                <w:rFonts w:ascii="Times New Roman" w:eastAsia="Times New Roman" w:hAnsi="Times New Roman" w:cs="Times New Roman"/>
                <w:b/>
                <w:bCs/>
                <w:color w:val="000000"/>
                <w:lang w:eastAsia="ru-RU"/>
              </w:rPr>
              <w:t>17,2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76255" w:rsidRPr="00B64866" w:rsidRDefault="00476255" w:rsidP="00D13A23">
            <w:pPr>
              <w:ind w:left="-89" w:right="29"/>
              <w:jc w:val="center"/>
              <w:rPr>
                <w:rFonts w:ascii="Times New Roman" w:eastAsia="Times New Roman" w:hAnsi="Times New Roman" w:cs="Times New Roman"/>
                <w:b/>
                <w:bCs/>
                <w:color w:val="000000"/>
                <w:lang w:eastAsia="ru-RU"/>
              </w:rPr>
            </w:pPr>
            <w:r w:rsidRPr="00B64866">
              <w:rPr>
                <w:rFonts w:ascii="Times New Roman" w:eastAsia="Times New Roman" w:hAnsi="Times New Roman" w:cs="Times New Roman"/>
                <w:b/>
                <w:bCs/>
                <w:color w:val="000000"/>
                <w:lang w:eastAsia="ru-RU"/>
              </w:rPr>
              <w:t>101,7</w:t>
            </w:r>
          </w:p>
        </w:tc>
        <w:tc>
          <w:tcPr>
            <w:tcW w:w="850" w:type="dxa"/>
            <w:tcBorders>
              <w:top w:val="single" w:sz="4" w:space="0" w:color="auto"/>
              <w:left w:val="single" w:sz="4" w:space="0" w:color="auto"/>
              <w:bottom w:val="single" w:sz="4" w:space="0" w:color="auto"/>
              <w:right w:val="single" w:sz="4" w:space="0" w:color="auto"/>
            </w:tcBorders>
            <w:vAlign w:val="center"/>
          </w:tcPr>
          <w:p w:rsidR="00476255" w:rsidRPr="00B64866" w:rsidRDefault="00476255" w:rsidP="00D13A23">
            <w:pPr>
              <w:ind w:right="29"/>
              <w:jc w:val="center"/>
              <w:rPr>
                <w:rFonts w:ascii="Times New Roman" w:eastAsia="Times New Roman" w:hAnsi="Times New Roman" w:cs="Times New Roman"/>
                <w:b/>
                <w:color w:val="000000"/>
                <w:lang w:eastAsia="ru-RU"/>
              </w:rPr>
            </w:pPr>
            <w:r w:rsidRPr="00B64866">
              <w:rPr>
                <w:rFonts w:ascii="Times New Roman" w:eastAsia="Times New Roman" w:hAnsi="Times New Roman" w:cs="Times New Roman"/>
                <w:b/>
                <w:color w:val="000000"/>
                <w:lang w:eastAsia="ru-RU"/>
              </w:rPr>
              <w:t>-43,9</w:t>
            </w:r>
          </w:p>
        </w:tc>
        <w:tc>
          <w:tcPr>
            <w:tcW w:w="924" w:type="dxa"/>
            <w:tcBorders>
              <w:top w:val="single" w:sz="4" w:space="0" w:color="auto"/>
              <w:left w:val="single" w:sz="4" w:space="0" w:color="auto"/>
              <w:bottom w:val="single" w:sz="4" w:space="0" w:color="auto"/>
              <w:right w:val="single" w:sz="4" w:space="0" w:color="auto"/>
            </w:tcBorders>
            <w:vAlign w:val="center"/>
          </w:tcPr>
          <w:p w:rsidR="00476255" w:rsidRPr="00B64866" w:rsidRDefault="00476255" w:rsidP="00D13A23">
            <w:pPr>
              <w:ind w:right="29"/>
              <w:jc w:val="center"/>
              <w:rPr>
                <w:rFonts w:ascii="Times New Roman" w:eastAsia="Times New Roman" w:hAnsi="Times New Roman" w:cs="Times New Roman"/>
                <w:b/>
                <w:color w:val="000000"/>
                <w:lang w:eastAsia="ru-RU"/>
              </w:rPr>
            </w:pPr>
            <w:r w:rsidRPr="00B64866">
              <w:rPr>
                <w:rFonts w:ascii="Times New Roman" w:eastAsia="Times New Roman" w:hAnsi="Times New Roman" w:cs="Times New Roman"/>
                <w:b/>
                <w:color w:val="000000"/>
                <w:lang w:eastAsia="ru-RU"/>
              </w:rPr>
              <w:t>95,9</w:t>
            </w:r>
          </w:p>
        </w:tc>
      </w:tr>
      <w:tr w:rsidR="00476255" w:rsidRPr="00B64866" w:rsidTr="00365D6E">
        <w:tc>
          <w:tcPr>
            <w:tcW w:w="3544" w:type="dxa"/>
          </w:tcPr>
          <w:p w:rsidR="00476255" w:rsidRPr="00B64866" w:rsidRDefault="00476255" w:rsidP="00F362C7">
            <w:pPr>
              <w:ind w:right="29"/>
              <w:rPr>
                <w:rFonts w:ascii="Times New Roman" w:eastAsia="Times New Roman" w:hAnsi="Times New Roman" w:cs="Times New Roman"/>
                <w:lang w:eastAsia="ru-RU"/>
              </w:rPr>
            </w:pPr>
            <w:r w:rsidRPr="00B64866">
              <w:rPr>
                <w:rFonts w:ascii="Times New Roman" w:eastAsia="Times New Roman" w:hAnsi="Times New Roman" w:cs="Times New Roman"/>
                <w:lang w:eastAsia="ru-RU"/>
              </w:rPr>
              <w:lastRenderedPageBreak/>
              <w:t>Taxe și plăți administrative</w:t>
            </w:r>
          </w:p>
        </w:tc>
        <w:tc>
          <w:tcPr>
            <w:tcW w:w="1011" w:type="dxa"/>
            <w:vAlign w:val="center"/>
          </w:tcPr>
          <w:p w:rsidR="00476255" w:rsidRPr="00B64866" w:rsidRDefault="00476255" w:rsidP="00D13A23">
            <w:pPr>
              <w:ind w:right="29"/>
              <w:jc w:val="center"/>
              <w:rPr>
                <w:rFonts w:ascii="Times New Roman" w:eastAsia="Times New Roman" w:hAnsi="Times New Roman" w:cs="Times New Roman"/>
                <w:lang w:eastAsia="ru-RU"/>
              </w:rPr>
            </w:pPr>
            <w:r w:rsidRPr="00B64866">
              <w:rPr>
                <w:rFonts w:ascii="Times New Roman" w:eastAsia="Times New Roman" w:hAnsi="Times New Roman" w:cs="Times New Roman"/>
                <w:lang w:eastAsia="ru-RU"/>
              </w:rPr>
              <w:t>272,4</w:t>
            </w:r>
          </w:p>
        </w:tc>
        <w:tc>
          <w:tcPr>
            <w:tcW w:w="986" w:type="dxa"/>
            <w:tcBorders>
              <w:top w:val="single" w:sz="4" w:space="0" w:color="auto"/>
              <w:left w:val="nil"/>
              <w:bottom w:val="single" w:sz="4" w:space="0" w:color="auto"/>
              <w:right w:val="single" w:sz="4" w:space="0" w:color="auto"/>
            </w:tcBorders>
            <w:shd w:val="clear" w:color="auto" w:fill="auto"/>
            <w:vAlign w:val="center"/>
          </w:tcPr>
          <w:p w:rsidR="00476255" w:rsidRPr="00B64866" w:rsidRDefault="00476255" w:rsidP="00D13A23">
            <w:pPr>
              <w:ind w:right="29"/>
              <w:jc w:val="center"/>
              <w:rPr>
                <w:rFonts w:ascii="Times New Roman" w:eastAsia="Times New Roman" w:hAnsi="Times New Roman" w:cs="Times New Roman"/>
                <w:color w:val="000000"/>
                <w:lang w:eastAsia="ru-RU"/>
              </w:rPr>
            </w:pPr>
            <w:r w:rsidRPr="00B64866">
              <w:rPr>
                <w:rFonts w:ascii="Times New Roman" w:eastAsia="Times New Roman" w:hAnsi="Times New Roman" w:cs="Times New Roman"/>
                <w:color w:val="000000"/>
                <w:lang w:eastAsia="ru-RU"/>
              </w:rPr>
              <w:t>289,9</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476255" w:rsidRPr="00B64866" w:rsidRDefault="00476255" w:rsidP="00D13A23">
            <w:pPr>
              <w:ind w:right="29"/>
              <w:jc w:val="center"/>
              <w:rPr>
                <w:rFonts w:ascii="Times New Roman" w:eastAsia="Times New Roman" w:hAnsi="Times New Roman" w:cs="Times New Roman"/>
                <w:lang w:eastAsia="ru-RU"/>
              </w:rPr>
            </w:pPr>
            <w:r w:rsidRPr="00B64866">
              <w:rPr>
                <w:rFonts w:ascii="Times New Roman" w:eastAsia="Times New Roman" w:hAnsi="Times New Roman" w:cs="Times New Roman"/>
                <w:lang w:eastAsia="ru-RU"/>
              </w:rPr>
              <w:t>294,6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76255" w:rsidRPr="00B64866" w:rsidRDefault="00476255" w:rsidP="00D13A23">
            <w:pPr>
              <w:ind w:right="29"/>
              <w:jc w:val="center"/>
              <w:rPr>
                <w:rFonts w:ascii="Times New Roman" w:eastAsia="Times New Roman" w:hAnsi="Times New Roman" w:cs="Times New Roman"/>
                <w:bCs/>
                <w:color w:val="000000"/>
                <w:lang w:eastAsia="ru-RU"/>
              </w:rPr>
            </w:pPr>
            <w:r w:rsidRPr="00B64866">
              <w:rPr>
                <w:rFonts w:ascii="Times New Roman" w:eastAsia="Times New Roman" w:hAnsi="Times New Roman" w:cs="Times New Roman"/>
                <w:bCs/>
                <w:color w:val="000000"/>
                <w:lang w:eastAsia="ru-RU"/>
              </w:rPr>
              <w:t>17,5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76255" w:rsidRPr="00B64866" w:rsidRDefault="00476255" w:rsidP="00D13A23">
            <w:pPr>
              <w:ind w:left="-89" w:right="29"/>
              <w:jc w:val="center"/>
              <w:rPr>
                <w:rFonts w:ascii="Times New Roman" w:eastAsia="Times New Roman" w:hAnsi="Times New Roman" w:cs="Times New Roman"/>
                <w:bCs/>
                <w:color w:val="000000"/>
                <w:lang w:eastAsia="ru-RU"/>
              </w:rPr>
            </w:pPr>
            <w:r w:rsidRPr="00B64866">
              <w:rPr>
                <w:rFonts w:ascii="Times New Roman" w:eastAsia="Times New Roman" w:hAnsi="Times New Roman" w:cs="Times New Roman"/>
                <w:bCs/>
                <w:color w:val="000000"/>
                <w:lang w:eastAsia="ru-RU"/>
              </w:rPr>
              <w:t>106,4</w:t>
            </w:r>
          </w:p>
        </w:tc>
        <w:tc>
          <w:tcPr>
            <w:tcW w:w="850" w:type="dxa"/>
            <w:tcBorders>
              <w:top w:val="single" w:sz="4" w:space="0" w:color="auto"/>
              <w:left w:val="single" w:sz="4" w:space="0" w:color="auto"/>
              <w:bottom w:val="single" w:sz="4" w:space="0" w:color="auto"/>
              <w:right w:val="single" w:sz="4" w:space="0" w:color="auto"/>
            </w:tcBorders>
            <w:vAlign w:val="center"/>
          </w:tcPr>
          <w:p w:rsidR="00476255" w:rsidRPr="00B64866" w:rsidRDefault="00476255" w:rsidP="00D13A23">
            <w:pPr>
              <w:ind w:right="29"/>
              <w:jc w:val="center"/>
              <w:rPr>
                <w:rFonts w:ascii="Times New Roman" w:eastAsia="Times New Roman" w:hAnsi="Times New Roman" w:cs="Times New Roman"/>
                <w:color w:val="000000"/>
                <w:lang w:eastAsia="ru-RU"/>
              </w:rPr>
            </w:pPr>
            <w:r w:rsidRPr="00B64866">
              <w:rPr>
                <w:rFonts w:ascii="Times New Roman" w:eastAsia="Times New Roman" w:hAnsi="Times New Roman" w:cs="Times New Roman"/>
                <w:color w:val="000000"/>
                <w:lang w:eastAsia="ru-RU"/>
              </w:rPr>
              <w:t>4,6</w:t>
            </w:r>
          </w:p>
        </w:tc>
        <w:tc>
          <w:tcPr>
            <w:tcW w:w="924" w:type="dxa"/>
            <w:tcBorders>
              <w:top w:val="single" w:sz="4" w:space="0" w:color="auto"/>
              <w:left w:val="single" w:sz="4" w:space="0" w:color="auto"/>
              <w:bottom w:val="single" w:sz="4" w:space="0" w:color="auto"/>
              <w:right w:val="single" w:sz="4" w:space="0" w:color="auto"/>
            </w:tcBorders>
            <w:vAlign w:val="center"/>
          </w:tcPr>
          <w:p w:rsidR="00476255" w:rsidRPr="00B64866" w:rsidRDefault="00476255" w:rsidP="00D13A23">
            <w:pPr>
              <w:ind w:right="29"/>
              <w:jc w:val="center"/>
              <w:rPr>
                <w:rFonts w:ascii="Times New Roman" w:eastAsia="Times New Roman" w:hAnsi="Times New Roman" w:cs="Times New Roman"/>
                <w:color w:val="000000"/>
                <w:lang w:eastAsia="ru-RU"/>
              </w:rPr>
            </w:pPr>
            <w:r w:rsidRPr="00B64866">
              <w:rPr>
                <w:rFonts w:ascii="Times New Roman" w:eastAsia="Times New Roman" w:hAnsi="Times New Roman" w:cs="Times New Roman"/>
                <w:color w:val="000000"/>
                <w:lang w:eastAsia="ru-RU"/>
              </w:rPr>
              <w:t>101,6</w:t>
            </w:r>
          </w:p>
        </w:tc>
      </w:tr>
      <w:tr w:rsidR="00476255" w:rsidRPr="00B64866" w:rsidTr="00365D6E">
        <w:tc>
          <w:tcPr>
            <w:tcW w:w="3544" w:type="dxa"/>
          </w:tcPr>
          <w:p w:rsidR="00476255" w:rsidRPr="00B64866" w:rsidRDefault="00476255" w:rsidP="00F362C7">
            <w:pPr>
              <w:ind w:right="29"/>
              <w:rPr>
                <w:rFonts w:ascii="Times New Roman" w:eastAsia="Times New Roman" w:hAnsi="Times New Roman" w:cs="Times New Roman"/>
                <w:lang w:eastAsia="ru-RU"/>
              </w:rPr>
            </w:pPr>
            <w:r w:rsidRPr="00B64866">
              <w:rPr>
                <w:rFonts w:ascii="Times New Roman" w:eastAsia="Times New Roman" w:hAnsi="Times New Roman" w:cs="Times New Roman"/>
                <w:lang w:eastAsia="ru-RU"/>
              </w:rPr>
              <w:t>Comercializarea mărfurilor și serviciilor de către instituțiile bugetare</w:t>
            </w:r>
          </w:p>
        </w:tc>
        <w:tc>
          <w:tcPr>
            <w:tcW w:w="1011" w:type="dxa"/>
            <w:vAlign w:val="center"/>
          </w:tcPr>
          <w:p w:rsidR="00476255" w:rsidRPr="00B64866" w:rsidRDefault="00476255" w:rsidP="00D13A23">
            <w:pPr>
              <w:ind w:right="29"/>
              <w:jc w:val="center"/>
              <w:rPr>
                <w:rFonts w:ascii="Times New Roman" w:eastAsia="Times New Roman" w:hAnsi="Times New Roman" w:cs="Times New Roman"/>
                <w:lang w:eastAsia="ru-RU"/>
              </w:rPr>
            </w:pPr>
            <w:r w:rsidRPr="00B64866">
              <w:rPr>
                <w:rFonts w:ascii="Times New Roman" w:eastAsia="Times New Roman" w:hAnsi="Times New Roman" w:cs="Times New Roman"/>
                <w:lang w:eastAsia="ru-RU"/>
              </w:rPr>
              <w:t>768,2</w:t>
            </w:r>
          </w:p>
        </w:tc>
        <w:tc>
          <w:tcPr>
            <w:tcW w:w="986" w:type="dxa"/>
            <w:tcBorders>
              <w:top w:val="single" w:sz="4" w:space="0" w:color="auto"/>
              <w:left w:val="nil"/>
              <w:bottom w:val="single" w:sz="4" w:space="0" w:color="auto"/>
              <w:right w:val="single" w:sz="4" w:space="0" w:color="auto"/>
            </w:tcBorders>
            <w:shd w:val="clear" w:color="auto" w:fill="auto"/>
            <w:vAlign w:val="center"/>
          </w:tcPr>
          <w:p w:rsidR="00476255" w:rsidRPr="00B64866" w:rsidRDefault="00476255" w:rsidP="00D13A23">
            <w:pPr>
              <w:ind w:right="29"/>
              <w:jc w:val="center"/>
              <w:rPr>
                <w:rFonts w:ascii="Times New Roman" w:eastAsia="Times New Roman" w:hAnsi="Times New Roman" w:cs="Times New Roman"/>
                <w:color w:val="000000"/>
                <w:lang w:eastAsia="ru-RU"/>
              </w:rPr>
            </w:pPr>
            <w:r w:rsidRPr="00B64866">
              <w:rPr>
                <w:rFonts w:ascii="Times New Roman" w:eastAsia="Times New Roman" w:hAnsi="Times New Roman" w:cs="Times New Roman"/>
                <w:color w:val="000000"/>
                <w:lang w:eastAsia="ru-RU"/>
              </w:rPr>
              <w:t>768,0</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476255" w:rsidRPr="00B64866" w:rsidRDefault="00476255" w:rsidP="00D13A23">
            <w:pPr>
              <w:ind w:right="29"/>
              <w:jc w:val="center"/>
              <w:rPr>
                <w:rFonts w:ascii="Times New Roman" w:eastAsia="Times New Roman" w:hAnsi="Times New Roman" w:cs="Times New Roman"/>
                <w:lang w:eastAsia="ru-RU"/>
              </w:rPr>
            </w:pPr>
            <w:r w:rsidRPr="00B64866">
              <w:rPr>
                <w:rFonts w:ascii="Times New Roman" w:eastAsia="Times New Roman" w:hAnsi="Times New Roman" w:cs="Times New Roman"/>
                <w:lang w:eastAsia="ru-RU"/>
              </w:rPr>
              <w:t>719,5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76255" w:rsidRPr="00B64866" w:rsidRDefault="00476255" w:rsidP="00D13A23">
            <w:pPr>
              <w:ind w:right="29"/>
              <w:jc w:val="center"/>
              <w:rPr>
                <w:rFonts w:ascii="Times New Roman" w:eastAsia="Times New Roman" w:hAnsi="Times New Roman" w:cs="Times New Roman"/>
                <w:bCs/>
                <w:color w:val="000000"/>
                <w:lang w:eastAsia="ru-RU"/>
              </w:rPr>
            </w:pPr>
            <w:r w:rsidRPr="00B64866">
              <w:rPr>
                <w:rFonts w:ascii="Times New Roman" w:eastAsia="Times New Roman" w:hAnsi="Times New Roman" w:cs="Times New Roman"/>
                <w:bCs/>
                <w:color w:val="000000"/>
                <w:lang w:eastAsia="ru-RU"/>
              </w:rPr>
              <w:t>-0,2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76255" w:rsidRPr="00B64866" w:rsidRDefault="00476255" w:rsidP="00D13A23">
            <w:pPr>
              <w:ind w:left="-89" w:right="29"/>
              <w:jc w:val="center"/>
              <w:rPr>
                <w:rFonts w:ascii="Times New Roman" w:eastAsia="Times New Roman" w:hAnsi="Times New Roman" w:cs="Times New Roman"/>
                <w:bCs/>
                <w:color w:val="000000"/>
                <w:lang w:eastAsia="ru-RU"/>
              </w:rPr>
            </w:pPr>
            <w:r w:rsidRPr="00B64866">
              <w:rPr>
                <w:rFonts w:ascii="Times New Roman" w:eastAsia="Times New Roman" w:hAnsi="Times New Roman" w:cs="Times New Roman"/>
                <w:bCs/>
                <w:color w:val="000000"/>
                <w:lang w:eastAsia="ru-RU"/>
              </w:rPr>
              <w:t>100,0</w:t>
            </w:r>
          </w:p>
        </w:tc>
        <w:tc>
          <w:tcPr>
            <w:tcW w:w="850" w:type="dxa"/>
            <w:tcBorders>
              <w:top w:val="single" w:sz="4" w:space="0" w:color="auto"/>
              <w:left w:val="single" w:sz="4" w:space="0" w:color="auto"/>
              <w:bottom w:val="single" w:sz="4" w:space="0" w:color="auto"/>
              <w:right w:val="single" w:sz="4" w:space="0" w:color="auto"/>
            </w:tcBorders>
            <w:vAlign w:val="center"/>
          </w:tcPr>
          <w:p w:rsidR="00476255" w:rsidRPr="00B64866" w:rsidRDefault="00476255" w:rsidP="00D13A23">
            <w:pPr>
              <w:ind w:right="29"/>
              <w:jc w:val="center"/>
              <w:rPr>
                <w:rFonts w:ascii="Times New Roman" w:eastAsia="Times New Roman" w:hAnsi="Times New Roman" w:cs="Times New Roman"/>
                <w:color w:val="000000"/>
                <w:lang w:eastAsia="ru-RU"/>
              </w:rPr>
            </w:pPr>
            <w:r w:rsidRPr="00B64866">
              <w:rPr>
                <w:rFonts w:ascii="Times New Roman" w:eastAsia="Times New Roman" w:hAnsi="Times New Roman" w:cs="Times New Roman"/>
                <w:color w:val="000000"/>
                <w:lang w:eastAsia="ru-RU"/>
              </w:rPr>
              <w:t>-48,5</w:t>
            </w:r>
          </w:p>
        </w:tc>
        <w:tc>
          <w:tcPr>
            <w:tcW w:w="924" w:type="dxa"/>
            <w:tcBorders>
              <w:top w:val="single" w:sz="4" w:space="0" w:color="auto"/>
              <w:left w:val="single" w:sz="4" w:space="0" w:color="auto"/>
              <w:bottom w:val="single" w:sz="4" w:space="0" w:color="auto"/>
              <w:right w:val="single" w:sz="4" w:space="0" w:color="auto"/>
            </w:tcBorders>
            <w:vAlign w:val="center"/>
          </w:tcPr>
          <w:p w:rsidR="00476255" w:rsidRPr="00B64866" w:rsidRDefault="00476255" w:rsidP="00D13A23">
            <w:pPr>
              <w:ind w:right="29"/>
              <w:jc w:val="center"/>
              <w:rPr>
                <w:rFonts w:ascii="Times New Roman" w:eastAsia="Times New Roman" w:hAnsi="Times New Roman" w:cs="Times New Roman"/>
                <w:color w:val="000000"/>
                <w:lang w:eastAsia="ru-RU"/>
              </w:rPr>
            </w:pPr>
            <w:r w:rsidRPr="00B64866">
              <w:rPr>
                <w:rFonts w:ascii="Times New Roman" w:eastAsia="Times New Roman" w:hAnsi="Times New Roman" w:cs="Times New Roman"/>
                <w:color w:val="000000"/>
                <w:lang w:eastAsia="ru-RU"/>
              </w:rPr>
              <w:t>93,7</w:t>
            </w:r>
          </w:p>
        </w:tc>
      </w:tr>
      <w:tr w:rsidR="00476255" w:rsidRPr="00B64866" w:rsidTr="00365D6E">
        <w:tc>
          <w:tcPr>
            <w:tcW w:w="3544" w:type="dxa"/>
          </w:tcPr>
          <w:p w:rsidR="00476255" w:rsidRPr="00B64866" w:rsidRDefault="00476255" w:rsidP="00F362C7">
            <w:pPr>
              <w:ind w:right="29"/>
              <w:rPr>
                <w:rFonts w:ascii="Times New Roman" w:eastAsia="Times New Roman" w:hAnsi="Times New Roman" w:cs="Times New Roman"/>
                <w:b/>
                <w:lang w:eastAsia="ru-RU"/>
              </w:rPr>
            </w:pPr>
            <w:r w:rsidRPr="00B64866">
              <w:rPr>
                <w:rFonts w:ascii="Times New Roman" w:eastAsia="Times New Roman" w:hAnsi="Times New Roman" w:cs="Times New Roman"/>
                <w:b/>
                <w:lang w:eastAsia="ru-RU"/>
              </w:rPr>
              <w:t>Amenzi și sancțiuni</w:t>
            </w:r>
          </w:p>
        </w:tc>
        <w:tc>
          <w:tcPr>
            <w:tcW w:w="1011" w:type="dxa"/>
            <w:vAlign w:val="center"/>
          </w:tcPr>
          <w:p w:rsidR="00476255" w:rsidRPr="00B64866" w:rsidRDefault="00476255" w:rsidP="00D13A23">
            <w:pPr>
              <w:ind w:right="29"/>
              <w:jc w:val="center"/>
              <w:rPr>
                <w:rFonts w:ascii="Times New Roman" w:eastAsia="Times New Roman" w:hAnsi="Times New Roman" w:cs="Times New Roman"/>
                <w:b/>
                <w:lang w:eastAsia="ru-RU"/>
              </w:rPr>
            </w:pPr>
            <w:r w:rsidRPr="00B64866">
              <w:rPr>
                <w:rFonts w:ascii="Times New Roman" w:eastAsia="Times New Roman" w:hAnsi="Times New Roman" w:cs="Times New Roman"/>
                <w:b/>
                <w:lang w:eastAsia="ru-RU"/>
              </w:rPr>
              <w:t>205,0</w:t>
            </w:r>
          </w:p>
        </w:tc>
        <w:tc>
          <w:tcPr>
            <w:tcW w:w="986" w:type="dxa"/>
            <w:tcBorders>
              <w:top w:val="single" w:sz="4" w:space="0" w:color="auto"/>
              <w:left w:val="nil"/>
              <w:bottom w:val="single" w:sz="4" w:space="0" w:color="auto"/>
              <w:right w:val="single" w:sz="4" w:space="0" w:color="auto"/>
            </w:tcBorders>
            <w:shd w:val="clear" w:color="auto" w:fill="auto"/>
            <w:vAlign w:val="center"/>
          </w:tcPr>
          <w:p w:rsidR="00476255" w:rsidRPr="00B64866" w:rsidRDefault="00476255" w:rsidP="00D13A23">
            <w:pPr>
              <w:ind w:right="29"/>
              <w:jc w:val="center"/>
              <w:rPr>
                <w:rFonts w:ascii="Times New Roman" w:eastAsia="Times New Roman" w:hAnsi="Times New Roman" w:cs="Times New Roman"/>
                <w:b/>
                <w:color w:val="000000"/>
                <w:lang w:eastAsia="ru-RU"/>
              </w:rPr>
            </w:pPr>
            <w:r w:rsidRPr="00B64866">
              <w:rPr>
                <w:rFonts w:ascii="Times New Roman" w:eastAsia="Times New Roman" w:hAnsi="Times New Roman" w:cs="Times New Roman"/>
                <w:b/>
                <w:color w:val="000000"/>
                <w:lang w:eastAsia="ru-RU"/>
              </w:rPr>
              <w:t>307,9</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476255" w:rsidRPr="00B64866" w:rsidRDefault="00476255" w:rsidP="00D13A23">
            <w:pPr>
              <w:ind w:right="29"/>
              <w:jc w:val="center"/>
              <w:rPr>
                <w:rFonts w:ascii="Times New Roman" w:eastAsia="Times New Roman" w:hAnsi="Times New Roman" w:cs="Times New Roman"/>
                <w:b/>
                <w:lang w:eastAsia="ru-RU"/>
              </w:rPr>
            </w:pPr>
            <w:r w:rsidRPr="00B64866">
              <w:rPr>
                <w:rFonts w:ascii="Times New Roman" w:eastAsia="Times New Roman" w:hAnsi="Times New Roman" w:cs="Times New Roman"/>
                <w:b/>
                <w:lang w:eastAsia="ru-RU"/>
              </w:rPr>
              <w:t>344,9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76255" w:rsidRPr="00B64866" w:rsidRDefault="00476255" w:rsidP="00D13A23">
            <w:pPr>
              <w:ind w:right="29"/>
              <w:jc w:val="center"/>
              <w:rPr>
                <w:rFonts w:ascii="Times New Roman" w:eastAsia="Times New Roman" w:hAnsi="Times New Roman" w:cs="Times New Roman"/>
                <w:b/>
                <w:bCs/>
                <w:color w:val="000000"/>
                <w:lang w:eastAsia="ru-RU"/>
              </w:rPr>
            </w:pPr>
            <w:r w:rsidRPr="00B64866">
              <w:rPr>
                <w:rFonts w:ascii="Times New Roman" w:eastAsia="Times New Roman" w:hAnsi="Times New Roman" w:cs="Times New Roman"/>
                <w:b/>
                <w:bCs/>
                <w:color w:val="000000"/>
                <w:lang w:eastAsia="ru-RU"/>
              </w:rPr>
              <w:t>102,9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76255" w:rsidRPr="00B64866" w:rsidRDefault="00476255" w:rsidP="00D13A23">
            <w:pPr>
              <w:ind w:left="-89" w:right="29"/>
              <w:jc w:val="center"/>
              <w:rPr>
                <w:rFonts w:ascii="Times New Roman" w:eastAsia="Times New Roman" w:hAnsi="Times New Roman" w:cs="Times New Roman"/>
                <w:b/>
                <w:bCs/>
                <w:color w:val="000000"/>
                <w:lang w:eastAsia="ru-RU"/>
              </w:rPr>
            </w:pPr>
            <w:r w:rsidRPr="00B64866">
              <w:rPr>
                <w:rFonts w:ascii="Times New Roman" w:eastAsia="Times New Roman" w:hAnsi="Times New Roman" w:cs="Times New Roman"/>
                <w:b/>
                <w:bCs/>
                <w:color w:val="000000"/>
                <w:lang w:eastAsia="ru-RU"/>
              </w:rPr>
              <w:t>150,2</w:t>
            </w:r>
          </w:p>
        </w:tc>
        <w:tc>
          <w:tcPr>
            <w:tcW w:w="850" w:type="dxa"/>
            <w:tcBorders>
              <w:top w:val="single" w:sz="4" w:space="0" w:color="auto"/>
              <w:left w:val="single" w:sz="4" w:space="0" w:color="auto"/>
              <w:bottom w:val="single" w:sz="4" w:space="0" w:color="auto"/>
              <w:right w:val="single" w:sz="4" w:space="0" w:color="auto"/>
            </w:tcBorders>
            <w:vAlign w:val="center"/>
          </w:tcPr>
          <w:p w:rsidR="00476255" w:rsidRPr="00B64866" w:rsidRDefault="00476255" w:rsidP="00D13A23">
            <w:pPr>
              <w:ind w:right="29"/>
              <w:jc w:val="center"/>
              <w:rPr>
                <w:rFonts w:ascii="Times New Roman" w:eastAsia="Times New Roman" w:hAnsi="Times New Roman" w:cs="Times New Roman"/>
                <w:b/>
                <w:color w:val="000000"/>
                <w:lang w:eastAsia="ru-RU"/>
              </w:rPr>
            </w:pPr>
            <w:r w:rsidRPr="00B64866">
              <w:rPr>
                <w:rFonts w:ascii="Times New Roman" w:eastAsia="Times New Roman" w:hAnsi="Times New Roman" w:cs="Times New Roman"/>
                <w:b/>
                <w:color w:val="000000"/>
                <w:lang w:eastAsia="ru-RU"/>
              </w:rPr>
              <w:t>37,0</w:t>
            </w:r>
          </w:p>
        </w:tc>
        <w:tc>
          <w:tcPr>
            <w:tcW w:w="924" w:type="dxa"/>
            <w:tcBorders>
              <w:top w:val="single" w:sz="4" w:space="0" w:color="auto"/>
              <w:left w:val="single" w:sz="4" w:space="0" w:color="auto"/>
              <w:bottom w:val="single" w:sz="4" w:space="0" w:color="auto"/>
              <w:right w:val="single" w:sz="4" w:space="0" w:color="auto"/>
            </w:tcBorders>
            <w:vAlign w:val="center"/>
          </w:tcPr>
          <w:p w:rsidR="00476255" w:rsidRPr="00B64866" w:rsidRDefault="00476255" w:rsidP="00D13A23">
            <w:pPr>
              <w:ind w:right="29"/>
              <w:jc w:val="center"/>
              <w:rPr>
                <w:rFonts w:ascii="Times New Roman" w:eastAsia="Times New Roman" w:hAnsi="Times New Roman" w:cs="Times New Roman"/>
                <w:b/>
                <w:color w:val="000000"/>
                <w:lang w:eastAsia="ru-RU"/>
              </w:rPr>
            </w:pPr>
            <w:r w:rsidRPr="00B64866">
              <w:rPr>
                <w:rFonts w:ascii="Times New Roman" w:eastAsia="Times New Roman" w:hAnsi="Times New Roman" w:cs="Times New Roman"/>
                <w:b/>
                <w:color w:val="000000"/>
                <w:lang w:eastAsia="ru-RU"/>
              </w:rPr>
              <w:t>112,0</w:t>
            </w:r>
          </w:p>
        </w:tc>
      </w:tr>
      <w:tr w:rsidR="00476255" w:rsidRPr="00B64866" w:rsidTr="00365D6E">
        <w:tc>
          <w:tcPr>
            <w:tcW w:w="3544" w:type="dxa"/>
          </w:tcPr>
          <w:p w:rsidR="00476255" w:rsidRPr="00B64866" w:rsidRDefault="00476255" w:rsidP="00F362C7">
            <w:pPr>
              <w:ind w:right="29"/>
              <w:rPr>
                <w:rFonts w:ascii="Times New Roman" w:eastAsia="Times New Roman" w:hAnsi="Times New Roman" w:cs="Times New Roman"/>
                <w:b/>
                <w:lang w:eastAsia="ru-RU"/>
              </w:rPr>
            </w:pPr>
            <w:r w:rsidRPr="00B64866">
              <w:rPr>
                <w:rFonts w:ascii="Times New Roman" w:eastAsia="Times New Roman" w:hAnsi="Times New Roman" w:cs="Times New Roman"/>
                <w:b/>
                <w:lang w:eastAsia="ru-RU"/>
              </w:rPr>
              <w:t>Donații voluntare</w:t>
            </w:r>
          </w:p>
        </w:tc>
        <w:tc>
          <w:tcPr>
            <w:tcW w:w="1011" w:type="dxa"/>
            <w:vAlign w:val="center"/>
          </w:tcPr>
          <w:p w:rsidR="00476255" w:rsidRPr="00B64866" w:rsidRDefault="00476255" w:rsidP="00D13A23">
            <w:pPr>
              <w:ind w:right="29"/>
              <w:jc w:val="center"/>
              <w:rPr>
                <w:rFonts w:ascii="Times New Roman" w:eastAsia="Times New Roman" w:hAnsi="Times New Roman" w:cs="Times New Roman"/>
                <w:b/>
                <w:lang w:eastAsia="ru-RU"/>
              </w:rPr>
            </w:pPr>
            <w:r w:rsidRPr="00B64866">
              <w:rPr>
                <w:rFonts w:ascii="Times New Roman" w:eastAsia="Times New Roman" w:hAnsi="Times New Roman" w:cs="Times New Roman"/>
                <w:b/>
                <w:lang w:eastAsia="ru-RU"/>
              </w:rPr>
              <w:t>16,8</w:t>
            </w:r>
          </w:p>
        </w:tc>
        <w:tc>
          <w:tcPr>
            <w:tcW w:w="986" w:type="dxa"/>
            <w:tcBorders>
              <w:top w:val="single" w:sz="4" w:space="0" w:color="auto"/>
              <w:left w:val="nil"/>
              <w:bottom w:val="single" w:sz="4" w:space="0" w:color="auto"/>
              <w:right w:val="single" w:sz="4" w:space="0" w:color="auto"/>
            </w:tcBorders>
            <w:shd w:val="clear" w:color="auto" w:fill="auto"/>
            <w:vAlign w:val="center"/>
          </w:tcPr>
          <w:p w:rsidR="00476255" w:rsidRPr="00B64866" w:rsidRDefault="00476255" w:rsidP="00D13A23">
            <w:pPr>
              <w:ind w:right="29"/>
              <w:jc w:val="center"/>
              <w:rPr>
                <w:rFonts w:ascii="Times New Roman" w:eastAsia="Times New Roman" w:hAnsi="Times New Roman" w:cs="Times New Roman"/>
                <w:b/>
                <w:color w:val="000000"/>
                <w:lang w:eastAsia="ru-RU"/>
              </w:rPr>
            </w:pPr>
            <w:r w:rsidRPr="00B64866">
              <w:rPr>
                <w:rFonts w:ascii="Times New Roman" w:eastAsia="Times New Roman" w:hAnsi="Times New Roman" w:cs="Times New Roman"/>
                <w:b/>
                <w:color w:val="000000"/>
                <w:lang w:eastAsia="ru-RU"/>
              </w:rPr>
              <w:t>43,9</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476255" w:rsidRPr="00B64866" w:rsidRDefault="00476255" w:rsidP="00D13A23">
            <w:pPr>
              <w:ind w:right="29"/>
              <w:jc w:val="center"/>
              <w:rPr>
                <w:rFonts w:ascii="Times New Roman" w:eastAsia="Times New Roman" w:hAnsi="Times New Roman" w:cs="Times New Roman"/>
                <w:b/>
                <w:lang w:eastAsia="ru-RU"/>
              </w:rPr>
            </w:pPr>
            <w:r w:rsidRPr="00B64866">
              <w:rPr>
                <w:rFonts w:ascii="Times New Roman" w:eastAsia="Times New Roman" w:hAnsi="Times New Roman" w:cs="Times New Roman"/>
                <w:b/>
                <w:lang w:eastAsia="ru-RU"/>
              </w:rPr>
              <w:t>36,0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76255" w:rsidRPr="00B64866" w:rsidRDefault="00476255" w:rsidP="00D13A23">
            <w:pPr>
              <w:ind w:right="29"/>
              <w:jc w:val="center"/>
              <w:rPr>
                <w:rFonts w:ascii="Times New Roman" w:eastAsia="Times New Roman" w:hAnsi="Times New Roman" w:cs="Times New Roman"/>
                <w:b/>
                <w:bCs/>
                <w:color w:val="000000"/>
                <w:lang w:eastAsia="ru-RU"/>
              </w:rPr>
            </w:pPr>
            <w:r w:rsidRPr="00B64866">
              <w:rPr>
                <w:rFonts w:ascii="Times New Roman" w:eastAsia="Times New Roman" w:hAnsi="Times New Roman" w:cs="Times New Roman"/>
                <w:b/>
                <w:bCs/>
                <w:color w:val="000000"/>
                <w:lang w:eastAsia="ru-RU"/>
              </w:rPr>
              <w:t>27,1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76255" w:rsidRPr="00B64866" w:rsidRDefault="00476255" w:rsidP="00D13A23">
            <w:pPr>
              <w:ind w:left="-89" w:right="29"/>
              <w:jc w:val="center"/>
              <w:rPr>
                <w:rFonts w:ascii="Times New Roman" w:eastAsia="Times New Roman" w:hAnsi="Times New Roman" w:cs="Times New Roman"/>
                <w:b/>
                <w:bCs/>
                <w:color w:val="000000"/>
                <w:lang w:eastAsia="ru-RU"/>
              </w:rPr>
            </w:pPr>
            <w:r w:rsidRPr="00B64866">
              <w:rPr>
                <w:rFonts w:ascii="Times New Roman" w:eastAsia="Times New Roman" w:hAnsi="Times New Roman" w:cs="Times New Roman"/>
                <w:b/>
                <w:bCs/>
                <w:color w:val="000000"/>
                <w:lang w:eastAsia="ru-RU"/>
              </w:rPr>
              <w:t>261,3</w:t>
            </w:r>
          </w:p>
        </w:tc>
        <w:tc>
          <w:tcPr>
            <w:tcW w:w="850" w:type="dxa"/>
            <w:tcBorders>
              <w:top w:val="single" w:sz="4" w:space="0" w:color="auto"/>
              <w:left w:val="single" w:sz="4" w:space="0" w:color="auto"/>
              <w:bottom w:val="single" w:sz="4" w:space="0" w:color="auto"/>
              <w:right w:val="single" w:sz="4" w:space="0" w:color="auto"/>
            </w:tcBorders>
            <w:vAlign w:val="center"/>
          </w:tcPr>
          <w:p w:rsidR="00476255" w:rsidRPr="00B64866" w:rsidRDefault="00476255" w:rsidP="00D13A23">
            <w:pPr>
              <w:ind w:right="29"/>
              <w:jc w:val="center"/>
              <w:rPr>
                <w:rFonts w:ascii="Times New Roman" w:eastAsia="Times New Roman" w:hAnsi="Times New Roman" w:cs="Times New Roman"/>
                <w:b/>
                <w:color w:val="000000"/>
                <w:lang w:eastAsia="ru-RU"/>
              </w:rPr>
            </w:pPr>
            <w:r w:rsidRPr="00B64866">
              <w:rPr>
                <w:rFonts w:ascii="Times New Roman" w:eastAsia="Times New Roman" w:hAnsi="Times New Roman" w:cs="Times New Roman"/>
                <w:b/>
                <w:color w:val="000000"/>
                <w:lang w:eastAsia="ru-RU"/>
              </w:rPr>
              <w:t>-8,0</w:t>
            </w:r>
          </w:p>
        </w:tc>
        <w:tc>
          <w:tcPr>
            <w:tcW w:w="924" w:type="dxa"/>
            <w:tcBorders>
              <w:top w:val="single" w:sz="4" w:space="0" w:color="auto"/>
              <w:left w:val="single" w:sz="4" w:space="0" w:color="auto"/>
              <w:bottom w:val="single" w:sz="4" w:space="0" w:color="auto"/>
              <w:right w:val="single" w:sz="4" w:space="0" w:color="auto"/>
            </w:tcBorders>
            <w:vAlign w:val="center"/>
          </w:tcPr>
          <w:p w:rsidR="00476255" w:rsidRPr="00B64866" w:rsidRDefault="00476255" w:rsidP="00D13A23">
            <w:pPr>
              <w:ind w:right="29"/>
              <w:jc w:val="center"/>
              <w:rPr>
                <w:rFonts w:ascii="Times New Roman" w:eastAsia="Times New Roman" w:hAnsi="Times New Roman" w:cs="Times New Roman"/>
                <w:b/>
                <w:color w:val="000000"/>
                <w:lang w:eastAsia="ru-RU"/>
              </w:rPr>
            </w:pPr>
            <w:r w:rsidRPr="00B64866">
              <w:rPr>
                <w:rFonts w:ascii="Times New Roman" w:eastAsia="Times New Roman" w:hAnsi="Times New Roman" w:cs="Times New Roman"/>
                <w:b/>
                <w:color w:val="000000"/>
                <w:lang w:eastAsia="ru-RU"/>
              </w:rPr>
              <w:t>81,9</w:t>
            </w:r>
          </w:p>
        </w:tc>
      </w:tr>
      <w:tr w:rsidR="00476255" w:rsidRPr="00B64866" w:rsidTr="00365D6E">
        <w:tc>
          <w:tcPr>
            <w:tcW w:w="3544" w:type="dxa"/>
          </w:tcPr>
          <w:p w:rsidR="00476255" w:rsidRPr="00B64866" w:rsidRDefault="00476255" w:rsidP="00F362C7">
            <w:pPr>
              <w:ind w:right="29"/>
              <w:rPr>
                <w:rFonts w:ascii="Times New Roman" w:eastAsia="Times New Roman" w:hAnsi="Times New Roman" w:cs="Times New Roman"/>
                <w:b/>
                <w:lang w:eastAsia="ru-RU"/>
              </w:rPr>
            </w:pPr>
            <w:r w:rsidRPr="00B64866">
              <w:rPr>
                <w:rFonts w:ascii="Times New Roman" w:eastAsia="Times New Roman" w:hAnsi="Times New Roman" w:cs="Times New Roman"/>
                <w:b/>
                <w:lang w:eastAsia="ru-RU"/>
              </w:rPr>
              <w:t>Alte venituri și venituri neidentificate</w:t>
            </w:r>
          </w:p>
        </w:tc>
        <w:tc>
          <w:tcPr>
            <w:tcW w:w="1011" w:type="dxa"/>
            <w:vAlign w:val="center"/>
          </w:tcPr>
          <w:p w:rsidR="00476255" w:rsidRPr="00B64866" w:rsidRDefault="00476255" w:rsidP="00D13A23">
            <w:pPr>
              <w:ind w:right="29"/>
              <w:jc w:val="center"/>
              <w:rPr>
                <w:rFonts w:ascii="Times New Roman" w:eastAsia="Times New Roman" w:hAnsi="Times New Roman" w:cs="Times New Roman"/>
                <w:b/>
                <w:lang w:eastAsia="ru-RU"/>
              </w:rPr>
            </w:pPr>
            <w:r w:rsidRPr="00B64866">
              <w:rPr>
                <w:rFonts w:ascii="Times New Roman" w:eastAsia="Times New Roman" w:hAnsi="Times New Roman" w:cs="Times New Roman"/>
                <w:b/>
                <w:lang w:eastAsia="ru-RU"/>
              </w:rPr>
              <w:t>72,3</w:t>
            </w:r>
          </w:p>
        </w:tc>
        <w:tc>
          <w:tcPr>
            <w:tcW w:w="986" w:type="dxa"/>
            <w:tcBorders>
              <w:top w:val="single" w:sz="4" w:space="0" w:color="auto"/>
              <w:left w:val="nil"/>
              <w:bottom w:val="single" w:sz="4" w:space="0" w:color="auto"/>
              <w:right w:val="single" w:sz="4" w:space="0" w:color="auto"/>
            </w:tcBorders>
            <w:shd w:val="clear" w:color="auto" w:fill="auto"/>
            <w:vAlign w:val="center"/>
          </w:tcPr>
          <w:p w:rsidR="00476255" w:rsidRPr="00B64866" w:rsidRDefault="00476255" w:rsidP="00D13A23">
            <w:pPr>
              <w:ind w:right="29"/>
              <w:jc w:val="center"/>
              <w:rPr>
                <w:rFonts w:ascii="Times New Roman" w:eastAsia="Times New Roman" w:hAnsi="Times New Roman" w:cs="Times New Roman"/>
                <w:b/>
                <w:color w:val="000000"/>
                <w:lang w:eastAsia="ru-RU"/>
              </w:rPr>
            </w:pPr>
            <w:r w:rsidRPr="00B64866">
              <w:rPr>
                <w:rFonts w:ascii="Times New Roman" w:eastAsia="Times New Roman" w:hAnsi="Times New Roman" w:cs="Times New Roman"/>
                <w:b/>
                <w:color w:val="000000"/>
                <w:lang w:eastAsia="ru-RU"/>
              </w:rPr>
              <w:t>49,8</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476255" w:rsidRPr="00B64866" w:rsidRDefault="00476255" w:rsidP="00D13A23">
            <w:pPr>
              <w:ind w:right="29"/>
              <w:jc w:val="center"/>
              <w:rPr>
                <w:rFonts w:ascii="Times New Roman" w:eastAsia="Times New Roman" w:hAnsi="Times New Roman" w:cs="Times New Roman"/>
                <w:b/>
                <w:lang w:eastAsia="ru-RU"/>
              </w:rPr>
            </w:pPr>
            <w:r w:rsidRPr="00B64866">
              <w:rPr>
                <w:rFonts w:ascii="Times New Roman" w:eastAsia="Times New Roman" w:hAnsi="Times New Roman" w:cs="Times New Roman"/>
                <w:b/>
                <w:lang w:eastAsia="ru-RU"/>
              </w:rPr>
              <w:t>24,1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76255" w:rsidRPr="00B64866" w:rsidRDefault="00476255" w:rsidP="00D13A23">
            <w:pPr>
              <w:ind w:right="29"/>
              <w:jc w:val="center"/>
              <w:rPr>
                <w:rFonts w:ascii="Times New Roman" w:eastAsia="Times New Roman" w:hAnsi="Times New Roman" w:cs="Times New Roman"/>
                <w:b/>
                <w:bCs/>
                <w:color w:val="000000"/>
                <w:lang w:eastAsia="ru-RU"/>
              </w:rPr>
            </w:pPr>
            <w:r w:rsidRPr="00B64866">
              <w:rPr>
                <w:rFonts w:ascii="Times New Roman" w:eastAsia="Times New Roman" w:hAnsi="Times New Roman" w:cs="Times New Roman"/>
                <w:b/>
                <w:bCs/>
                <w:color w:val="000000"/>
                <w:lang w:eastAsia="ru-RU"/>
              </w:rPr>
              <w:t>-22,5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76255" w:rsidRPr="00B64866" w:rsidRDefault="00476255" w:rsidP="00D13A23">
            <w:pPr>
              <w:ind w:left="-89" w:right="29"/>
              <w:jc w:val="center"/>
              <w:rPr>
                <w:rFonts w:ascii="Times New Roman" w:eastAsia="Times New Roman" w:hAnsi="Times New Roman" w:cs="Times New Roman"/>
                <w:b/>
                <w:bCs/>
                <w:color w:val="000000"/>
                <w:lang w:eastAsia="ru-RU"/>
              </w:rPr>
            </w:pPr>
            <w:r w:rsidRPr="00B64866">
              <w:rPr>
                <w:rFonts w:ascii="Times New Roman" w:eastAsia="Times New Roman" w:hAnsi="Times New Roman" w:cs="Times New Roman"/>
                <w:b/>
                <w:bCs/>
                <w:color w:val="000000"/>
                <w:lang w:eastAsia="ru-RU"/>
              </w:rPr>
              <w:t>68,9</w:t>
            </w:r>
          </w:p>
        </w:tc>
        <w:tc>
          <w:tcPr>
            <w:tcW w:w="850" w:type="dxa"/>
            <w:tcBorders>
              <w:top w:val="single" w:sz="4" w:space="0" w:color="auto"/>
              <w:left w:val="single" w:sz="4" w:space="0" w:color="auto"/>
              <w:bottom w:val="single" w:sz="4" w:space="0" w:color="auto"/>
              <w:right w:val="single" w:sz="4" w:space="0" w:color="auto"/>
            </w:tcBorders>
            <w:vAlign w:val="center"/>
          </w:tcPr>
          <w:p w:rsidR="00476255" w:rsidRPr="00B64866" w:rsidRDefault="00476255" w:rsidP="00D13A23">
            <w:pPr>
              <w:ind w:right="29"/>
              <w:jc w:val="center"/>
              <w:rPr>
                <w:rFonts w:ascii="Times New Roman" w:eastAsia="Times New Roman" w:hAnsi="Times New Roman" w:cs="Times New Roman"/>
                <w:b/>
                <w:color w:val="000000"/>
                <w:lang w:eastAsia="ru-RU"/>
              </w:rPr>
            </w:pPr>
            <w:r w:rsidRPr="00B64866">
              <w:rPr>
                <w:rFonts w:ascii="Times New Roman" w:eastAsia="Times New Roman" w:hAnsi="Times New Roman" w:cs="Times New Roman"/>
                <w:b/>
                <w:color w:val="000000"/>
                <w:lang w:eastAsia="ru-RU"/>
              </w:rPr>
              <w:t>-25,6</w:t>
            </w:r>
          </w:p>
        </w:tc>
        <w:tc>
          <w:tcPr>
            <w:tcW w:w="924" w:type="dxa"/>
            <w:tcBorders>
              <w:top w:val="single" w:sz="4" w:space="0" w:color="auto"/>
              <w:left w:val="single" w:sz="4" w:space="0" w:color="auto"/>
              <w:bottom w:val="single" w:sz="4" w:space="0" w:color="auto"/>
              <w:right w:val="single" w:sz="4" w:space="0" w:color="auto"/>
            </w:tcBorders>
            <w:vAlign w:val="center"/>
          </w:tcPr>
          <w:p w:rsidR="00476255" w:rsidRPr="00B64866" w:rsidRDefault="00476255" w:rsidP="00D13A23">
            <w:pPr>
              <w:ind w:right="29"/>
              <w:jc w:val="center"/>
              <w:rPr>
                <w:rFonts w:ascii="Times New Roman" w:eastAsia="Times New Roman" w:hAnsi="Times New Roman" w:cs="Times New Roman"/>
                <w:b/>
                <w:color w:val="000000"/>
                <w:lang w:eastAsia="ru-RU"/>
              </w:rPr>
            </w:pPr>
            <w:r w:rsidRPr="00B64866">
              <w:rPr>
                <w:rFonts w:ascii="Times New Roman" w:eastAsia="Times New Roman" w:hAnsi="Times New Roman" w:cs="Times New Roman"/>
                <w:b/>
                <w:color w:val="000000"/>
                <w:lang w:eastAsia="ru-RU"/>
              </w:rPr>
              <w:t>48,5</w:t>
            </w:r>
          </w:p>
        </w:tc>
      </w:tr>
      <w:tr w:rsidR="00476255" w:rsidRPr="00B64866" w:rsidTr="00365D6E">
        <w:tc>
          <w:tcPr>
            <w:tcW w:w="3544" w:type="dxa"/>
          </w:tcPr>
          <w:p w:rsidR="00476255" w:rsidRPr="00B64866" w:rsidRDefault="00476255" w:rsidP="00F362C7">
            <w:pPr>
              <w:ind w:right="29"/>
              <w:rPr>
                <w:rFonts w:ascii="Times New Roman" w:eastAsia="Times New Roman" w:hAnsi="Times New Roman" w:cs="Times New Roman"/>
                <w:b/>
                <w:lang w:eastAsia="ru-RU"/>
              </w:rPr>
            </w:pPr>
            <w:r w:rsidRPr="00B64866">
              <w:rPr>
                <w:rFonts w:ascii="Times New Roman" w:eastAsia="Times New Roman" w:hAnsi="Times New Roman" w:cs="Times New Roman"/>
                <w:b/>
                <w:lang w:eastAsia="ru-RU"/>
              </w:rPr>
              <w:t>Transferuri primite în cadrul bugetului public național</w:t>
            </w:r>
          </w:p>
        </w:tc>
        <w:tc>
          <w:tcPr>
            <w:tcW w:w="1011" w:type="dxa"/>
            <w:vAlign w:val="center"/>
          </w:tcPr>
          <w:p w:rsidR="00476255" w:rsidRPr="00B64866" w:rsidRDefault="00476255" w:rsidP="00D13A23">
            <w:pPr>
              <w:ind w:right="29"/>
              <w:jc w:val="center"/>
              <w:rPr>
                <w:rFonts w:ascii="Times New Roman" w:eastAsia="Times New Roman" w:hAnsi="Times New Roman" w:cs="Times New Roman"/>
                <w:b/>
                <w:lang w:eastAsia="ru-RU"/>
              </w:rPr>
            </w:pPr>
            <w:r w:rsidRPr="00B64866">
              <w:rPr>
                <w:rFonts w:ascii="Times New Roman" w:eastAsia="Times New Roman" w:hAnsi="Times New Roman" w:cs="Times New Roman"/>
                <w:b/>
                <w:lang w:eastAsia="ru-RU"/>
              </w:rPr>
              <w:t>19,0</w:t>
            </w:r>
          </w:p>
        </w:tc>
        <w:tc>
          <w:tcPr>
            <w:tcW w:w="986" w:type="dxa"/>
            <w:tcBorders>
              <w:top w:val="single" w:sz="4" w:space="0" w:color="auto"/>
              <w:left w:val="nil"/>
              <w:bottom w:val="single" w:sz="4" w:space="0" w:color="auto"/>
              <w:right w:val="single" w:sz="4" w:space="0" w:color="auto"/>
            </w:tcBorders>
            <w:shd w:val="clear" w:color="auto" w:fill="auto"/>
            <w:vAlign w:val="center"/>
          </w:tcPr>
          <w:p w:rsidR="00476255" w:rsidRPr="00B64866" w:rsidRDefault="00476255" w:rsidP="00D13A23">
            <w:pPr>
              <w:ind w:right="29"/>
              <w:jc w:val="center"/>
              <w:rPr>
                <w:rFonts w:ascii="Times New Roman" w:eastAsia="Times New Roman" w:hAnsi="Times New Roman" w:cs="Times New Roman"/>
                <w:b/>
                <w:color w:val="000000"/>
                <w:lang w:eastAsia="ru-RU"/>
              </w:rPr>
            </w:pPr>
            <w:r w:rsidRPr="00B64866">
              <w:rPr>
                <w:rFonts w:ascii="Times New Roman" w:eastAsia="Times New Roman" w:hAnsi="Times New Roman" w:cs="Times New Roman"/>
                <w:b/>
                <w:color w:val="000000"/>
                <w:lang w:eastAsia="ru-RU"/>
              </w:rPr>
              <w:t>19,0</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476255" w:rsidRPr="00B64866" w:rsidRDefault="00476255" w:rsidP="00D13A23">
            <w:pPr>
              <w:ind w:right="29"/>
              <w:jc w:val="center"/>
              <w:rPr>
                <w:rFonts w:ascii="Times New Roman" w:eastAsia="Times New Roman" w:hAnsi="Times New Roman" w:cs="Times New Roman"/>
                <w:b/>
                <w:lang w:eastAsia="ru-RU"/>
              </w:rPr>
            </w:pPr>
            <w:r w:rsidRPr="00B64866">
              <w:rPr>
                <w:rFonts w:ascii="Times New Roman" w:eastAsia="Times New Roman" w:hAnsi="Times New Roman" w:cs="Times New Roman"/>
                <w:b/>
                <w:lang w:eastAsia="ru-RU"/>
              </w:rPr>
              <w:t>12,8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76255" w:rsidRPr="00B64866" w:rsidRDefault="00476255" w:rsidP="00D13A23">
            <w:pPr>
              <w:ind w:right="29"/>
              <w:jc w:val="center"/>
              <w:rPr>
                <w:rFonts w:ascii="Times New Roman" w:eastAsia="Times New Roman" w:hAnsi="Times New Roman" w:cs="Times New Roman"/>
                <w:b/>
                <w:bCs/>
                <w:color w:val="000000"/>
                <w:lang w:eastAsia="ru-RU"/>
              </w:rPr>
            </w:pPr>
            <w:r w:rsidRPr="00B64866">
              <w:rPr>
                <w:rFonts w:ascii="Times New Roman" w:eastAsia="Times New Roman" w:hAnsi="Times New Roman" w:cs="Times New Roman"/>
                <w:b/>
                <w:bCs/>
                <w:color w:val="000000"/>
                <w:lang w:eastAsia="ru-RU"/>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76255" w:rsidRPr="00B64866" w:rsidRDefault="00476255" w:rsidP="00D13A23">
            <w:pPr>
              <w:ind w:left="-89" w:right="29"/>
              <w:jc w:val="center"/>
              <w:rPr>
                <w:rFonts w:ascii="Times New Roman" w:eastAsia="Times New Roman" w:hAnsi="Times New Roman" w:cs="Times New Roman"/>
                <w:b/>
                <w:bCs/>
                <w:color w:val="000000"/>
                <w:lang w:eastAsia="ru-RU"/>
              </w:rPr>
            </w:pPr>
            <w:r w:rsidRPr="00B64866">
              <w:rPr>
                <w:rFonts w:ascii="Times New Roman" w:eastAsia="Times New Roman" w:hAnsi="Times New Roman" w:cs="Times New Roman"/>
                <w:b/>
                <w:bCs/>
                <w:color w:val="000000"/>
                <w:lang w:eastAsia="ru-RU"/>
              </w:rPr>
              <w:t>100,0</w:t>
            </w:r>
          </w:p>
        </w:tc>
        <w:tc>
          <w:tcPr>
            <w:tcW w:w="850" w:type="dxa"/>
            <w:tcBorders>
              <w:top w:val="single" w:sz="4" w:space="0" w:color="auto"/>
              <w:left w:val="single" w:sz="4" w:space="0" w:color="auto"/>
              <w:bottom w:val="single" w:sz="4" w:space="0" w:color="auto"/>
              <w:right w:val="single" w:sz="4" w:space="0" w:color="auto"/>
            </w:tcBorders>
            <w:vAlign w:val="center"/>
          </w:tcPr>
          <w:p w:rsidR="00476255" w:rsidRPr="00B64866" w:rsidRDefault="00476255" w:rsidP="00D13A23">
            <w:pPr>
              <w:ind w:right="29"/>
              <w:jc w:val="center"/>
              <w:rPr>
                <w:rFonts w:ascii="Times New Roman" w:eastAsia="Times New Roman" w:hAnsi="Times New Roman" w:cs="Times New Roman"/>
                <w:b/>
                <w:color w:val="000000"/>
                <w:lang w:eastAsia="ru-RU"/>
              </w:rPr>
            </w:pPr>
            <w:r w:rsidRPr="00B64866">
              <w:rPr>
                <w:rFonts w:ascii="Times New Roman" w:eastAsia="Times New Roman" w:hAnsi="Times New Roman" w:cs="Times New Roman"/>
                <w:b/>
                <w:color w:val="000000"/>
                <w:lang w:eastAsia="ru-RU"/>
              </w:rPr>
              <w:t>-6,2</w:t>
            </w:r>
          </w:p>
        </w:tc>
        <w:tc>
          <w:tcPr>
            <w:tcW w:w="924" w:type="dxa"/>
            <w:tcBorders>
              <w:top w:val="single" w:sz="4" w:space="0" w:color="auto"/>
              <w:left w:val="single" w:sz="4" w:space="0" w:color="auto"/>
              <w:bottom w:val="single" w:sz="4" w:space="0" w:color="auto"/>
              <w:right w:val="single" w:sz="4" w:space="0" w:color="auto"/>
            </w:tcBorders>
            <w:vAlign w:val="center"/>
          </w:tcPr>
          <w:p w:rsidR="00476255" w:rsidRPr="00B64866" w:rsidRDefault="00476255" w:rsidP="00D13A23">
            <w:pPr>
              <w:ind w:right="29"/>
              <w:jc w:val="center"/>
              <w:rPr>
                <w:rFonts w:ascii="Times New Roman" w:eastAsia="Times New Roman" w:hAnsi="Times New Roman" w:cs="Times New Roman"/>
                <w:b/>
                <w:color w:val="000000"/>
                <w:lang w:eastAsia="ru-RU"/>
              </w:rPr>
            </w:pPr>
            <w:r w:rsidRPr="00B64866">
              <w:rPr>
                <w:rFonts w:ascii="Times New Roman" w:eastAsia="Times New Roman" w:hAnsi="Times New Roman" w:cs="Times New Roman"/>
                <w:b/>
                <w:color w:val="000000"/>
                <w:lang w:eastAsia="ru-RU"/>
              </w:rPr>
              <w:t>67,2</w:t>
            </w:r>
          </w:p>
        </w:tc>
      </w:tr>
      <w:tr w:rsidR="00476255" w:rsidRPr="00B64866" w:rsidTr="00365D6E">
        <w:tc>
          <w:tcPr>
            <w:tcW w:w="3544" w:type="dxa"/>
          </w:tcPr>
          <w:p w:rsidR="00476255" w:rsidRPr="00B64866" w:rsidRDefault="00476255" w:rsidP="00F362C7">
            <w:pPr>
              <w:ind w:right="29"/>
              <w:rPr>
                <w:rFonts w:ascii="Times New Roman" w:eastAsia="Times New Roman" w:hAnsi="Times New Roman" w:cs="Times New Roman"/>
                <w:b/>
                <w:lang w:eastAsia="ru-RU"/>
              </w:rPr>
            </w:pPr>
            <w:r w:rsidRPr="00B64866">
              <w:rPr>
                <w:rFonts w:ascii="Times New Roman" w:eastAsia="Times New Roman" w:hAnsi="Times New Roman" w:cs="Times New Roman"/>
                <w:b/>
                <w:lang w:eastAsia="ru-RU"/>
              </w:rPr>
              <w:t>Transferuri primite între bugetul de stat și bugetele locale</w:t>
            </w:r>
          </w:p>
        </w:tc>
        <w:tc>
          <w:tcPr>
            <w:tcW w:w="1011" w:type="dxa"/>
            <w:vAlign w:val="center"/>
          </w:tcPr>
          <w:p w:rsidR="00476255" w:rsidRPr="00B64866" w:rsidRDefault="00476255" w:rsidP="00D13A23">
            <w:pPr>
              <w:ind w:right="29"/>
              <w:jc w:val="center"/>
              <w:rPr>
                <w:rFonts w:ascii="Times New Roman" w:eastAsia="Times New Roman" w:hAnsi="Times New Roman" w:cs="Times New Roman"/>
                <w:b/>
                <w:lang w:eastAsia="ru-RU"/>
              </w:rPr>
            </w:pPr>
            <w:r w:rsidRPr="00B64866">
              <w:rPr>
                <w:rFonts w:ascii="Times New Roman" w:eastAsia="Times New Roman" w:hAnsi="Times New Roman" w:cs="Times New Roman"/>
                <w:b/>
                <w:lang w:eastAsia="ru-RU"/>
              </w:rPr>
              <w:t>19,0</w:t>
            </w:r>
          </w:p>
        </w:tc>
        <w:tc>
          <w:tcPr>
            <w:tcW w:w="986" w:type="dxa"/>
            <w:tcBorders>
              <w:top w:val="single" w:sz="4" w:space="0" w:color="auto"/>
              <w:left w:val="nil"/>
              <w:bottom w:val="single" w:sz="4" w:space="0" w:color="auto"/>
              <w:right w:val="single" w:sz="4" w:space="0" w:color="auto"/>
            </w:tcBorders>
            <w:shd w:val="clear" w:color="auto" w:fill="auto"/>
            <w:vAlign w:val="center"/>
          </w:tcPr>
          <w:p w:rsidR="00476255" w:rsidRPr="00B64866" w:rsidRDefault="00476255" w:rsidP="00D13A23">
            <w:pPr>
              <w:ind w:right="29"/>
              <w:jc w:val="center"/>
              <w:rPr>
                <w:rFonts w:ascii="Times New Roman" w:eastAsia="Times New Roman" w:hAnsi="Times New Roman" w:cs="Times New Roman"/>
                <w:b/>
                <w:color w:val="000000"/>
                <w:lang w:eastAsia="ru-RU"/>
              </w:rPr>
            </w:pPr>
            <w:r w:rsidRPr="00B64866">
              <w:rPr>
                <w:rFonts w:ascii="Times New Roman" w:eastAsia="Times New Roman" w:hAnsi="Times New Roman" w:cs="Times New Roman"/>
                <w:b/>
                <w:color w:val="000000"/>
                <w:lang w:eastAsia="ru-RU"/>
              </w:rPr>
              <w:t>19,0</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476255" w:rsidRPr="00B64866" w:rsidRDefault="00476255" w:rsidP="00D13A23">
            <w:pPr>
              <w:ind w:right="29"/>
              <w:jc w:val="center"/>
              <w:rPr>
                <w:rFonts w:ascii="Times New Roman" w:eastAsia="Times New Roman" w:hAnsi="Times New Roman" w:cs="Times New Roman"/>
                <w:b/>
                <w:lang w:eastAsia="ru-RU"/>
              </w:rPr>
            </w:pPr>
            <w:r w:rsidRPr="00B64866">
              <w:rPr>
                <w:rFonts w:ascii="Times New Roman" w:eastAsia="Times New Roman" w:hAnsi="Times New Roman" w:cs="Times New Roman"/>
                <w:b/>
                <w:lang w:eastAsia="ru-RU"/>
              </w:rPr>
              <w:t>12,8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76255" w:rsidRPr="00B64866" w:rsidRDefault="00476255" w:rsidP="00D13A23">
            <w:pPr>
              <w:ind w:right="29"/>
              <w:jc w:val="center"/>
              <w:rPr>
                <w:rFonts w:ascii="Times New Roman" w:eastAsia="Times New Roman" w:hAnsi="Times New Roman" w:cs="Times New Roman"/>
                <w:b/>
                <w:bCs/>
                <w:color w:val="000000"/>
                <w:lang w:eastAsia="ru-RU"/>
              </w:rPr>
            </w:pPr>
            <w:r w:rsidRPr="00B64866">
              <w:rPr>
                <w:rFonts w:ascii="Times New Roman" w:eastAsia="Times New Roman" w:hAnsi="Times New Roman" w:cs="Times New Roman"/>
                <w:b/>
                <w:bCs/>
                <w:color w:val="000000"/>
                <w:lang w:eastAsia="ru-RU"/>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76255" w:rsidRPr="00B64866" w:rsidRDefault="00476255" w:rsidP="00D13A23">
            <w:pPr>
              <w:ind w:left="-89" w:right="29"/>
              <w:jc w:val="center"/>
              <w:rPr>
                <w:rFonts w:ascii="Times New Roman" w:eastAsia="Times New Roman" w:hAnsi="Times New Roman" w:cs="Times New Roman"/>
                <w:b/>
                <w:bCs/>
                <w:color w:val="000000"/>
                <w:lang w:eastAsia="ru-RU"/>
              </w:rPr>
            </w:pPr>
            <w:r w:rsidRPr="00B64866">
              <w:rPr>
                <w:rFonts w:ascii="Times New Roman" w:eastAsia="Times New Roman" w:hAnsi="Times New Roman" w:cs="Times New Roman"/>
                <w:b/>
                <w:bCs/>
                <w:color w:val="000000"/>
                <w:lang w:eastAsia="ru-RU"/>
              </w:rPr>
              <w:t>100,0</w:t>
            </w:r>
          </w:p>
        </w:tc>
        <w:tc>
          <w:tcPr>
            <w:tcW w:w="850" w:type="dxa"/>
            <w:tcBorders>
              <w:top w:val="single" w:sz="4" w:space="0" w:color="auto"/>
              <w:left w:val="single" w:sz="4" w:space="0" w:color="auto"/>
              <w:bottom w:val="single" w:sz="4" w:space="0" w:color="auto"/>
              <w:right w:val="single" w:sz="4" w:space="0" w:color="auto"/>
            </w:tcBorders>
            <w:vAlign w:val="center"/>
          </w:tcPr>
          <w:p w:rsidR="00476255" w:rsidRPr="00B64866" w:rsidRDefault="00476255" w:rsidP="00D13A23">
            <w:pPr>
              <w:ind w:right="29"/>
              <w:jc w:val="center"/>
              <w:rPr>
                <w:rFonts w:ascii="Times New Roman" w:eastAsia="Times New Roman" w:hAnsi="Times New Roman" w:cs="Times New Roman"/>
                <w:b/>
                <w:color w:val="000000"/>
                <w:lang w:eastAsia="ru-RU"/>
              </w:rPr>
            </w:pPr>
            <w:r w:rsidRPr="00B64866">
              <w:rPr>
                <w:rFonts w:ascii="Times New Roman" w:eastAsia="Times New Roman" w:hAnsi="Times New Roman" w:cs="Times New Roman"/>
                <w:b/>
                <w:color w:val="000000"/>
                <w:lang w:eastAsia="ru-RU"/>
              </w:rPr>
              <w:t>-6,2</w:t>
            </w:r>
          </w:p>
        </w:tc>
        <w:tc>
          <w:tcPr>
            <w:tcW w:w="924" w:type="dxa"/>
            <w:tcBorders>
              <w:top w:val="single" w:sz="4" w:space="0" w:color="auto"/>
              <w:left w:val="single" w:sz="4" w:space="0" w:color="auto"/>
              <w:bottom w:val="single" w:sz="4" w:space="0" w:color="auto"/>
              <w:right w:val="single" w:sz="4" w:space="0" w:color="auto"/>
            </w:tcBorders>
            <w:vAlign w:val="center"/>
          </w:tcPr>
          <w:p w:rsidR="00476255" w:rsidRPr="00B64866" w:rsidRDefault="00476255" w:rsidP="00D13A23">
            <w:pPr>
              <w:ind w:right="29"/>
              <w:jc w:val="center"/>
              <w:rPr>
                <w:rFonts w:ascii="Times New Roman" w:eastAsia="Times New Roman" w:hAnsi="Times New Roman" w:cs="Times New Roman"/>
                <w:b/>
                <w:color w:val="000000"/>
                <w:lang w:eastAsia="ru-RU"/>
              </w:rPr>
            </w:pPr>
            <w:r w:rsidRPr="00B64866">
              <w:rPr>
                <w:rFonts w:ascii="Times New Roman" w:eastAsia="Times New Roman" w:hAnsi="Times New Roman" w:cs="Times New Roman"/>
                <w:b/>
                <w:color w:val="000000"/>
                <w:lang w:eastAsia="ru-RU"/>
              </w:rPr>
              <w:t>67,2</w:t>
            </w:r>
          </w:p>
        </w:tc>
      </w:tr>
    </w:tbl>
    <w:p w:rsidR="00476255" w:rsidRDefault="00476255" w:rsidP="00721AFE">
      <w:pPr>
        <w:spacing w:after="0" w:line="240" w:lineRule="auto"/>
        <w:jc w:val="both"/>
        <w:rPr>
          <w:rFonts w:ascii="Times New Roman" w:eastAsia="Times New Roman" w:hAnsi="Times New Roman" w:cs="Times New Roman"/>
          <w:i/>
          <w:lang w:eastAsia="ru-RU"/>
        </w:rPr>
      </w:pPr>
      <w:r w:rsidRPr="004B4661">
        <w:rPr>
          <w:rFonts w:ascii="Times New Roman" w:eastAsia="Times New Roman" w:hAnsi="Times New Roman" w:cs="Times New Roman"/>
          <w:b/>
          <w:i/>
          <w:lang w:eastAsia="ru-RU"/>
        </w:rPr>
        <w:t>Surs</w:t>
      </w:r>
      <w:r w:rsidR="008C2674">
        <w:rPr>
          <w:rFonts w:ascii="Times New Roman" w:eastAsia="Times New Roman" w:hAnsi="Times New Roman" w:cs="Times New Roman"/>
          <w:b/>
          <w:i/>
          <w:lang w:eastAsia="ru-RU"/>
        </w:rPr>
        <w:t>ă</w:t>
      </w:r>
      <w:r w:rsidRPr="004B4661">
        <w:rPr>
          <w:rFonts w:ascii="Times New Roman" w:eastAsia="Times New Roman" w:hAnsi="Times New Roman" w:cs="Times New Roman"/>
          <w:b/>
          <w:i/>
          <w:lang w:eastAsia="ru-RU"/>
        </w:rPr>
        <w:t>:</w:t>
      </w:r>
      <w:r>
        <w:rPr>
          <w:rFonts w:ascii="Times New Roman" w:eastAsia="Times New Roman" w:hAnsi="Times New Roman" w:cs="Times New Roman"/>
          <w:i/>
          <w:lang w:eastAsia="ru-RU"/>
        </w:rPr>
        <w:t xml:space="preserve"> Date generalizate de echipa de audit conform Raportului privind executarea bugetului de stat pe anul 2017.</w:t>
      </w:r>
    </w:p>
    <w:p w:rsidR="00775930" w:rsidRPr="00775930" w:rsidRDefault="00775930" w:rsidP="00721AFE">
      <w:pPr>
        <w:spacing w:after="0" w:line="240" w:lineRule="auto"/>
        <w:jc w:val="both"/>
        <w:rPr>
          <w:rFonts w:ascii="Times New Roman" w:eastAsia="Times New Roman" w:hAnsi="Times New Roman" w:cs="Times New Roman"/>
          <w:i/>
          <w:sz w:val="28"/>
          <w:szCs w:val="28"/>
          <w:lang w:eastAsia="ru-RU"/>
        </w:rPr>
      </w:pPr>
    </w:p>
    <w:p w:rsidR="00775930" w:rsidRPr="00775930" w:rsidRDefault="00775930" w:rsidP="00721AFE">
      <w:pPr>
        <w:spacing w:after="0" w:line="240" w:lineRule="auto"/>
        <w:jc w:val="both"/>
        <w:rPr>
          <w:rFonts w:ascii="Times New Roman" w:eastAsia="Times New Roman" w:hAnsi="Times New Roman" w:cs="Times New Roman"/>
          <w:i/>
          <w:sz w:val="28"/>
          <w:szCs w:val="28"/>
          <w:lang w:eastAsia="ru-RU"/>
        </w:rPr>
      </w:pPr>
    </w:p>
    <w:p w:rsidR="00775930" w:rsidRPr="00775930" w:rsidRDefault="00775930" w:rsidP="00721AFE">
      <w:pPr>
        <w:spacing w:after="0" w:line="240" w:lineRule="auto"/>
        <w:jc w:val="both"/>
        <w:rPr>
          <w:rFonts w:ascii="Times New Roman" w:eastAsia="Times New Roman" w:hAnsi="Times New Roman" w:cs="Times New Roman"/>
          <w:i/>
          <w:sz w:val="28"/>
          <w:szCs w:val="28"/>
          <w:lang w:eastAsia="ru-RU"/>
        </w:rPr>
      </w:pPr>
    </w:p>
    <w:p w:rsidR="00775930" w:rsidRPr="00775930" w:rsidRDefault="00775930" w:rsidP="00721AFE">
      <w:pPr>
        <w:spacing w:after="0" w:line="240" w:lineRule="auto"/>
        <w:jc w:val="both"/>
        <w:rPr>
          <w:rFonts w:ascii="Times New Roman" w:eastAsia="Times New Roman" w:hAnsi="Times New Roman" w:cs="Times New Roman"/>
          <w:i/>
          <w:sz w:val="28"/>
          <w:szCs w:val="28"/>
          <w:lang w:eastAsia="ru-RU"/>
        </w:rPr>
      </w:pPr>
    </w:p>
    <w:p w:rsidR="00775930" w:rsidRDefault="00775930" w:rsidP="00721AFE">
      <w:pPr>
        <w:spacing w:after="0" w:line="240" w:lineRule="auto"/>
        <w:jc w:val="both"/>
        <w:rPr>
          <w:rFonts w:ascii="Times New Roman" w:eastAsia="Times New Roman" w:hAnsi="Times New Roman" w:cs="Times New Roman"/>
          <w:i/>
          <w:sz w:val="28"/>
          <w:szCs w:val="28"/>
          <w:lang w:eastAsia="ru-RU"/>
        </w:rPr>
      </w:pPr>
    </w:p>
    <w:p w:rsidR="00775930" w:rsidRDefault="00775930" w:rsidP="00721AFE">
      <w:pPr>
        <w:spacing w:after="0" w:line="240" w:lineRule="auto"/>
        <w:jc w:val="both"/>
        <w:rPr>
          <w:rFonts w:ascii="Times New Roman" w:eastAsia="Times New Roman" w:hAnsi="Times New Roman" w:cs="Times New Roman"/>
          <w:i/>
          <w:sz w:val="28"/>
          <w:szCs w:val="28"/>
          <w:lang w:eastAsia="ru-RU"/>
        </w:rPr>
      </w:pPr>
    </w:p>
    <w:p w:rsidR="00775930" w:rsidRDefault="00775930" w:rsidP="00721AFE">
      <w:pPr>
        <w:spacing w:after="0" w:line="240" w:lineRule="auto"/>
        <w:jc w:val="both"/>
        <w:rPr>
          <w:rFonts w:ascii="Times New Roman" w:eastAsia="Times New Roman" w:hAnsi="Times New Roman" w:cs="Times New Roman"/>
          <w:i/>
          <w:sz w:val="28"/>
          <w:szCs w:val="28"/>
          <w:lang w:eastAsia="ru-RU"/>
        </w:rPr>
      </w:pPr>
    </w:p>
    <w:p w:rsidR="00775930" w:rsidRDefault="00775930" w:rsidP="00721AFE">
      <w:pPr>
        <w:spacing w:after="0" w:line="240" w:lineRule="auto"/>
        <w:jc w:val="both"/>
        <w:rPr>
          <w:rFonts w:ascii="Times New Roman" w:eastAsia="Times New Roman" w:hAnsi="Times New Roman" w:cs="Times New Roman"/>
          <w:i/>
          <w:sz w:val="28"/>
          <w:szCs w:val="28"/>
          <w:lang w:eastAsia="ru-RU"/>
        </w:rPr>
      </w:pPr>
    </w:p>
    <w:p w:rsidR="00775930" w:rsidRDefault="00775930" w:rsidP="00721AFE">
      <w:pPr>
        <w:spacing w:after="0" w:line="240" w:lineRule="auto"/>
        <w:jc w:val="both"/>
        <w:rPr>
          <w:rFonts w:ascii="Times New Roman" w:eastAsia="Times New Roman" w:hAnsi="Times New Roman" w:cs="Times New Roman"/>
          <w:i/>
          <w:sz w:val="28"/>
          <w:szCs w:val="28"/>
          <w:lang w:eastAsia="ru-RU"/>
        </w:rPr>
      </w:pPr>
    </w:p>
    <w:p w:rsidR="00775930" w:rsidRDefault="00775930" w:rsidP="00721AFE">
      <w:pPr>
        <w:spacing w:after="0" w:line="240" w:lineRule="auto"/>
        <w:jc w:val="both"/>
        <w:rPr>
          <w:rFonts w:ascii="Times New Roman" w:eastAsia="Times New Roman" w:hAnsi="Times New Roman" w:cs="Times New Roman"/>
          <w:i/>
          <w:sz w:val="28"/>
          <w:szCs w:val="28"/>
          <w:lang w:eastAsia="ru-RU"/>
        </w:rPr>
      </w:pPr>
    </w:p>
    <w:p w:rsidR="00775930" w:rsidRDefault="00775930" w:rsidP="00721AFE">
      <w:pPr>
        <w:spacing w:after="0" w:line="240" w:lineRule="auto"/>
        <w:jc w:val="both"/>
        <w:rPr>
          <w:rFonts w:ascii="Times New Roman" w:eastAsia="Times New Roman" w:hAnsi="Times New Roman" w:cs="Times New Roman"/>
          <w:i/>
          <w:sz w:val="28"/>
          <w:szCs w:val="28"/>
          <w:lang w:eastAsia="ru-RU"/>
        </w:rPr>
      </w:pPr>
    </w:p>
    <w:p w:rsidR="00775930" w:rsidRDefault="00775930" w:rsidP="00721AFE">
      <w:pPr>
        <w:spacing w:after="0" w:line="240" w:lineRule="auto"/>
        <w:jc w:val="both"/>
        <w:rPr>
          <w:rFonts w:ascii="Times New Roman" w:eastAsia="Times New Roman" w:hAnsi="Times New Roman" w:cs="Times New Roman"/>
          <w:i/>
          <w:sz w:val="28"/>
          <w:szCs w:val="28"/>
          <w:lang w:eastAsia="ru-RU"/>
        </w:rPr>
      </w:pPr>
    </w:p>
    <w:p w:rsidR="00775930" w:rsidRDefault="00775930" w:rsidP="00721AFE">
      <w:pPr>
        <w:spacing w:after="0" w:line="240" w:lineRule="auto"/>
        <w:jc w:val="both"/>
        <w:rPr>
          <w:rFonts w:ascii="Times New Roman" w:eastAsia="Times New Roman" w:hAnsi="Times New Roman" w:cs="Times New Roman"/>
          <w:i/>
          <w:sz w:val="28"/>
          <w:szCs w:val="28"/>
          <w:lang w:eastAsia="ru-RU"/>
        </w:rPr>
      </w:pPr>
    </w:p>
    <w:p w:rsidR="00775930" w:rsidRDefault="00775930" w:rsidP="00721AFE">
      <w:pPr>
        <w:spacing w:after="0" w:line="240" w:lineRule="auto"/>
        <w:jc w:val="both"/>
        <w:rPr>
          <w:rFonts w:ascii="Times New Roman" w:eastAsia="Times New Roman" w:hAnsi="Times New Roman" w:cs="Times New Roman"/>
          <w:i/>
          <w:sz w:val="28"/>
          <w:szCs w:val="28"/>
          <w:lang w:eastAsia="ru-RU"/>
        </w:rPr>
      </w:pPr>
    </w:p>
    <w:p w:rsidR="00775930" w:rsidRDefault="00775930" w:rsidP="00721AFE">
      <w:pPr>
        <w:spacing w:after="0" w:line="240" w:lineRule="auto"/>
        <w:jc w:val="both"/>
        <w:rPr>
          <w:rFonts w:ascii="Times New Roman" w:eastAsia="Times New Roman" w:hAnsi="Times New Roman" w:cs="Times New Roman"/>
          <w:i/>
          <w:sz w:val="28"/>
          <w:szCs w:val="28"/>
          <w:lang w:eastAsia="ru-RU"/>
        </w:rPr>
      </w:pPr>
    </w:p>
    <w:p w:rsidR="00775930" w:rsidRDefault="00775930" w:rsidP="00721AFE">
      <w:pPr>
        <w:spacing w:after="0" w:line="240" w:lineRule="auto"/>
        <w:jc w:val="both"/>
        <w:rPr>
          <w:rFonts w:ascii="Times New Roman" w:eastAsia="Times New Roman" w:hAnsi="Times New Roman" w:cs="Times New Roman"/>
          <w:i/>
          <w:sz w:val="28"/>
          <w:szCs w:val="28"/>
          <w:lang w:eastAsia="ru-RU"/>
        </w:rPr>
      </w:pPr>
    </w:p>
    <w:p w:rsidR="00775930" w:rsidRDefault="00775930" w:rsidP="00721AFE">
      <w:pPr>
        <w:spacing w:after="0" w:line="240" w:lineRule="auto"/>
        <w:jc w:val="both"/>
        <w:rPr>
          <w:rFonts w:ascii="Times New Roman" w:eastAsia="Times New Roman" w:hAnsi="Times New Roman" w:cs="Times New Roman"/>
          <w:i/>
          <w:sz w:val="28"/>
          <w:szCs w:val="28"/>
          <w:lang w:eastAsia="ru-RU"/>
        </w:rPr>
      </w:pPr>
    </w:p>
    <w:p w:rsidR="00775930" w:rsidRDefault="00775930" w:rsidP="00721AFE">
      <w:pPr>
        <w:spacing w:after="0" w:line="240" w:lineRule="auto"/>
        <w:jc w:val="both"/>
        <w:rPr>
          <w:rFonts w:ascii="Times New Roman" w:eastAsia="Times New Roman" w:hAnsi="Times New Roman" w:cs="Times New Roman"/>
          <w:i/>
          <w:sz w:val="28"/>
          <w:szCs w:val="28"/>
          <w:lang w:eastAsia="ru-RU"/>
        </w:rPr>
      </w:pPr>
    </w:p>
    <w:p w:rsidR="00775930" w:rsidRDefault="00775930" w:rsidP="00721AFE">
      <w:pPr>
        <w:spacing w:after="0" w:line="240" w:lineRule="auto"/>
        <w:jc w:val="both"/>
        <w:rPr>
          <w:rFonts w:ascii="Times New Roman" w:eastAsia="Times New Roman" w:hAnsi="Times New Roman" w:cs="Times New Roman"/>
          <w:i/>
          <w:sz w:val="28"/>
          <w:szCs w:val="28"/>
          <w:lang w:eastAsia="ru-RU"/>
        </w:rPr>
      </w:pPr>
    </w:p>
    <w:p w:rsidR="00775930" w:rsidRDefault="00775930" w:rsidP="00721AFE">
      <w:pPr>
        <w:spacing w:after="0" w:line="240" w:lineRule="auto"/>
        <w:jc w:val="both"/>
        <w:rPr>
          <w:rFonts w:ascii="Times New Roman" w:eastAsia="Times New Roman" w:hAnsi="Times New Roman" w:cs="Times New Roman"/>
          <w:i/>
          <w:sz w:val="28"/>
          <w:szCs w:val="28"/>
          <w:lang w:eastAsia="ru-RU"/>
        </w:rPr>
      </w:pPr>
    </w:p>
    <w:p w:rsidR="00775930" w:rsidRDefault="00775930" w:rsidP="00721AFE">
      <w:pPr>
        <w:spacing w:after="0" w:line="240" w:lineRule="auto"/>
        <w:jc w:val="both"/>
        <w:rPr>
          <w:rFonts w:ascii="Times New Roman" w:eastAsia="Times New Roman" w:hAnsi="Times New Roman" w:cs="Times New Roman"/>
          <w:i/>
          <w:sz w:val="28"/>
          <w:szCs w:val="28"/>
          <w:lang w:eastAsia="ru-RU"/>
        </w:rPr>
      </w:pPr>
    </w:p>
    <w:p w:rsidR="00775930" w:rsidRDefault="00775930" w:rsidP="00721AFE">
      <w:pPr>
        <w:spacing w:after="0" w:line="240" w:lineRule="auto"/>
        <w:jc w:val="both"/>
        <w:rPr>
          <w:rFonts w:ascii="Times New Roman" w:eastAsia="Times New Roman" w:hAnsi="Times New Roman" w:cs="Times New Roman"/>
          <w:i/>
          <w:sz w:val="28"/>
          <w:szCs w:val="28"/>
          <w:lang w:eastAsia="ru-RU"/>
        </w:rPr>
      </w:pPr>
    </w:p>
    <w:p w:rsidR="00775930" w:rsidRDefault="00775930" w:rsidP="00721AFE">
      <w:pPr>
        <w:spacing w:after="0" w:line="240" w:lineRule="auto"/>
        <w:jc w:val="both"/>
        <w:rPr>
          <w:rFonts w:ascii="Times New Roman" w:eastAsia="Times New Roman" w:hAnsi="Times New Roman" w:cs="Times New Roman"/>
          <w:i/>
          <w:sz w:val="28"/>
          <w:szCs w:val="28"/>
          <w:lang w:eastAsia="ru-RU"/>
        </w:rPr>
      </w:pPr>
    </w:p>
    <w:p w:rsidR="00365D6E" w:rsidRDefault="00365D6E" w:rsidP="00721AFE">
      <w:pPr>
        <w:spacing w:after="0" w:line="240" w:lineRule="auto"/>
        <w:jc w:val="both"/>
        <w:rPr>
          <w:rFonts w:ascii="Times New Roman" w:eastAsia="Times New Roman" w:hAnsi="Times New Roman" w:cs="Times New Roman"/>
          <w:i/>
          <w:sz w:val="28"/>
          <w:szCs w:val="28"/>
          <w:lang w:eastAsia="ru-RU"/>
        </w:rPr>
      </w:pPr>
    </w:p>
    <w:p w:rsidR="00365D6E" w:rsidRDefault="00365D6E" w:rsidP="00721AFE">
      <w:pPr>
        <w:spacing w:after="0" w:line="240" w:lineRule="auto"/>
        <w:jc w:val="both"/>
        <w:rPr>
          <w:rFonts w:ascii="Times New Roman" w:eastAsia="Times New Roman" w:hAnsi="Times New Roman" w:cs="Times New Roman"/>
          <w:i/>
          <w:sz w:val="28"/>
          <w:szCs w:val="28"/>
          <w:lang w:eastAsia="ru-RU"/>
        </w:rPr>
      </w:pPr>
    </w:p>
    <w:p w:rsidR="00775930" w:rsidRDefault="00775930" w:rsidP="00721AFE">
      <w:pPr>
        <w:spacing w:after="0" w:line="240" w:lineRule="auto"/>
        <w:jc w:val="both"/>
        <w:rPr>
          <w:rFonts w:ascii="Times New Roman" w:eastAsia="Times New Roman" w:hAnsi="Times New Roman" w:cs="Times New Roman"/>
          <w:i/>
          <w:sz w:val="28"/>
          <w:szCs w:val="28"/>
          <w:lang w:eastAsia="ru-RU"/>
        </w:rPr>
      </w:pPr>
    </w:p>
    <w:p w:rsidR="00775930" w:rsidRDefault="00775930" w:rsidP="00721AFE">
      <w:pPr>
        <w:spacing w:after="0" w:line="240" w:lineRule="auto"/>
        <w:jc w:val="both"/>
        <w:rPr>
          <w:rFonts w:ascii="Times New Roman" w:eastAsia="Times New Roman" w:hAnsi="Times New Roman" w:cs="Times New Roman"/>
          <w:i/>
          <w:sz w:val="28"/>
          <w:szCs w:val="28"/>
          <w:lang w:eastAsia="ru-RU"/>
        </w:rPr>
      </w:pPr>
    </w:p>
    <w:p w:rsidR="00775930" w:rsidRDefault="00775930" w:rsidP="00721AFE">
      <w:pPr>
        <w:spacing w:after="0" w:line="240" w:lineRule="auto"/>
        <w:jc w:val="both"/>
        <w:rPr>
          <w:rFonts w:ascii="Times New Roman" w:eastAsia="Times New Roman" w:hAnsi="Times New Roman" w:cs="Times New Roman"/>
          <w:i/>
          <w:sz w:val="28"/>
          <w:szCs w:val="28"/>
          <w:lang w:eastAsia="ru-RU"/>
        </w:rPr>
      </w:pPr>
    </w:p>
    <w:p w:rsidR="00775930" w:rsidRDefault="00775930" w:rsidP="00721AFE">
      <w:pPr>
        <w:spacing w:after="0" w:line="240" w:lineRule="auto"/>
        <w:jc w:val="both"/>
        <w:rPr>
          <w:rFonts w:ascii="Times New Roman" w:eastAsia="Times New Roman" w:hAnsi="Times New Roman" w:cs="Times New Roman"/>
          <w:i/>
          <w:sz w:val="28"/>
          <w:szCs w:val="28"/>
          <w:lang w:eastAsia="ru-RU"/>
        </w:rPr>
      </w:pPr>
    </w:p>
    <w:p w:rsidR="00775930" w:rsidRPr="00775930" w:rsidRDefault="00775930" w:rsidP="00721AFE">
      <w:pPr>
        <w:spacing w:after="0" w:line="240" w:lineRule="auto"/>
        <w:jc w:val="both"/>
        <w:rPr>
          <w:rFonts w:ascii="Times New Roman" w:eastAsia="Times New Roman" w:hAnsi="Times New Roman" w:cs="Times New Roman"/>
          <w:i/>
          <w:sz w:val="28"/>
          <w:szCs w:val="28"/>
          <w:lang w:eastAsia="ru-RU"/>
        </w:rPr>
      </w:pPr>
    </w:p>
    <w:p w:rsidR="001952A6" w:rsidRPr="001B21DB" w:rsidRDefault="001952A6" w:rsidP="001952A6">
      <w:pPr>
        <w:pStyle w:val="2"/>
        <w:spacing w:line="276" w:lineRule="auto"/>
        <w:jc w:val="right"/>
        <w:rPr>
          <w:rFonts w:ascii="Times New Roman" w:eastAsia="Times New Roman" w:hAnsi="Times New Roman" w:cs="Times New Roman"/>
          <w:b/>
          <w:bCs/>
          <w:i/>
          <w:iCs/>
          <w:color w:val="auto"/>
          <w:sz w:val="28"/>
          <w:szCs w:val="28"/>
          <w:lang w:eastAsia="ru-RU"/>
        </w:rPr>
      </w:pPr>
      <w:bookmarkStart w:id="44" w:name="_Toc515440059"/>
      <w:bookmarkStart w:id="45" w:name="_Toc515444930"/>
      <w:bookmarkStart w:id="46" w:name="_Toc515519008"/>
      <w:r w:rsidRPr="001B21DB">
        <w:rPr>
          <w:rFonts w:ascii="Times New Roman" w:eastAsia="Times New Roman" w:hAnsi="Times New Roman" w:cs="Times New Roman"/>
          <w:b/>
          <w:bCs/>
          <w:i/>
          <w:iCs/>
          <w:color w:val="auto"/>
          <w:sz w:val="28"/>
          <w:szCs w:val="28"/>
          <w:lang w:eastAsia="ru-RU"/>
        </w:rPr>
        <w:lastRenderedPageBreak/>
        <w:t>Anexa nr.</w:t>
      </w:r>
      <w:r w:rsidR="00BC0611">
        <w:rPr>
          <w:rFonts w:ascii="Times New Roman" w:eastAsia="Times New Roman" w:hAnsi="Times New Roman" w:cs="Times New Roman"/>
          <w:b/>
          <w:bCs/>
          <w:i/>
          <w:iCs/>
          <w:color w:val="auto"/>
          <w:sz w:val="28"/>
          <w:szCs w:val="28"/>
          <w:lang w:eastAsia="ru-RU"/>
        </w:rPr>
        <w:t>4</w:t>
      </w:r>
      <w:bookmarkEnd w:id="44"/>
      <w:bookmarkEnd w:id="45"/>
      <w:bookmarkEnd w:id="46"/>
    </w:p>
    <w:p w:rsidR="007974EB" w:rsidRDefault="007974EB" w:rsidP="007974EB">
      <w:pPr>
        <w:spacing w:line="276" w:lineRule="auto"/>
        <w:ind w:right="49"/>
        <w:contextualSpacing/>
        <w:jc w:val="right"/>
        <w:rPr>
          <w:rFonts w:ascii="Times New Roman" w:eastAsiaTheme="minorEastAsia" w:hAnsi="Times New Roman" w:cs="Times New Roman"/>
          <w:bCs/>
          <w:i/>
          <w:iCs/>
          <w:sz w:val="28"/>
          <w:szCs w:val="28"/>
          <w:lang w:eastAsia="ru-RU"/>
        </w:rPr>
      </w:pPr>
      <w:r>
        <w:rPr>
          <w:rFonts w:ascii="Times New Roman" w:eastAsiaTheme="minorEastAsia" w:hAnsi="Times New Roman" w:cs="Times New Roman"/>
          <w:bCs/>
          <w:i/>
          <w:iCs/>
          <w:sz w:val="28"/>
          <w:szCs w:val="28"/>
          <w:lang w:eastAsia="ru-RU"/>
        </w:rPr>
        <w:t>Diagrama nr.</w:t>
      </w:r>
      <w:r w:rsidR="008E7A98">
        <w:rPr>
          <w:rFonts w:ascii="Times New Roman" w:eastAsiaTheme="minorEastAsia" w:hAnsi="Times New Roman" w:cs="Times New Roman"/>
          <w:bCs/>
          <w:i/>
          <w:iCs/>
          <w:sz w:val="28"/>
          <w:szCs w:val="28"/>
          <w:lang w:eastAsia="ru-RU"/>
        </w:rPr>
        <w:t>1</w:t>
      </w:r>
    </w:p>
    <w:p w:rsidR="008C2674" w:rsidRPr="00A071F0" w:rsidRDefault="007974EB" w:rsidP="008C2674">
      <w:pPr>
        <w:spacing w:line="276" w:lineRule="auto"/>
        <w:ind w:right="49"/>
        <w:contextualSpacing/>
        <w:jc w:val="right"/>
        <w:rPr>
          <w:rFonts w:ascii="Times New Roman" w:eastAsiaTheme="minorEastAsia" w:hAnsi="Times New Roman" w:cs="Times New Roman"/>
          <w:bCs/>
          <w:i/>
          <w:iCs/>
          <w:szCs w:val="28"/>
          <w:lang w:eastAsia="ru-RU"/>
        </w:rPr>
      </w:pPr>
      <w:r w:rsidRPr="00A071F0">
        <w:rPr>
          <w:rFonts w:ascii="proiecte  investiționale" w:hAnsi="proiecte  investiționale" w:cs="Times New Roman"/>
          <w:b/>
          <w:bCs/>
          <w:sz w:val="24"/>
          <w:szCs w:val="24"/>
          <w:shd w:val="clear" w:color="auto" w:fill="FFFFFF" w:themeFill="background1"/>
        </w:rPr>
        <w:t>Restanțele față de bugetul de stat administrate de SFS și SV la situația din 31.12.2017</w:t>
      </w:r>
    </w:p>
    <w:p w:rsidR="008C2674" w:rsidRPr="00A071F0" w:rsidRDefault="008C2674" w:rsidP="008C2674">
      <w:pPr>
        <w:spacing w:line="276" w:lineRule="auto"/>
        <w:ind w:right="49"/>
        <w:contextualSpacing/>
        <w:jc w:val="right"/>
        <w:rPr>
          <w:rFonts w:ascii="Times New Roman" w:eastAsiaTheme="minorEastAsia" w:hAnsi="Times New Roman" w:cs="Times New Roman"/>
          <w:bCs/>
          <w:i/>
          <w:iCs/>
          <w:szCs w:val="28"/>
          <w:lang w:eastAsia="ru-RU"/>
        </w:rPr>
      </w:pPr>
      <w:r w:rsidRPr="00A071F0">
        <w:rPr>
          <w:rFonts w:ascii="Times New Roman" w:eastAsiaTheme="minorEastAsia" w:hAnsi="Times New Roman" w:cs="Times New Roman"/>
          <w:bCs/>
          <w:i/>
          <w:iCs/>
          <w:sz w:val="24"/>
          <w:szCs w:val="28"/>
          <w:lang w:eastAsia="ru-RU"/>
        </w:rPr>
        <w:t>(mil.lei)</w:t>
      </w:r>
    </w:p>
    <w:p w:rsidR="007974EB" w:rsidRPr="00A071F0" w:rsidRDefault="007974EB" w:rsidP="007974EB">
      <w:pPr>
        <w:spacing w:line="276" w:lineRule="auto"/>
        <w:ind w:right="49"/>
        <w:contextualSpacing/>
        <w:jc w:val="center"/>
        <w:rPr>
          <w:rFonts w:ascii="Times New Roman" w:eastAsiaTheme="minorEastAsia" w:hAnsi="Times New Roman" w:cs="Times New Roman"/>
          <w:bCs/>
          <w:i/>
          <w:iCs/>
          <w:sz w:val="24"/>
          <w:szCs w:val="24"/>
          <w:lang w:eastAsia="ru-RU"/>
        </w:rPr>
      </w:pPr>
    </w:p>
    <w:p w:rsidR="007974EB" w:rsidRDefault="007974EB" w:rsidP="007974EB">
      <w:pPr>
        <w:spacing w:line="276" w:lineRule="auto"/>
        <w:contextualSpacing/>
        <w:jc w:val="center"/>
        <w:rPr>
          <w:rFonts w:ascii="Times New Roman" w:eastAsiaTheme="minorEastAsia" w:hAnsi="Times New Roman" w:cs="Times New Roman"/>
          <w:bCs/>
          <w:iCs/>
          <w:sz w:val="28"/>
          <w:szCs w:val="28"/>
          <w:lang w:eastAsia="ru-RU"/>
        </w:rPr>
      </w:pPr>
      <w:r>
        <w:rPr>
          <w:rFonts w:ascii="Times New Roman" w:eastAsiaTheme="minorEastAsia" w:hAnsi="Times New Roman" w:cs="Times New Roman"/>
          <w:bCs/>
          <w:iCs/>
          <w:noProof/>
          <w:sz w:val="28"/>
          <w:szCs w:val="28"/>
          <w:lang w:val="ru-RU" w:eastAsia="ru-RU"/>
        </w:rPr>
        <w:drawing>
          <wp:inline distT="0" distB="0" distL="0" distR="0" wp14:anchorId="756DECF8" wp14:editId="1528DBA9">
            <wp:extent cx="4438650" cy="2314575"/>
            <wp:effectExtent l="0" t="0" r="0" b="952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7974EB" w:rsidRPr="00521135" w:rsidRDefault="007974EB" w:rsidP="00721AFE">
      <w:pPr>
        <w:shd w:val="clear" w:color="auto" w:fill="FFFFFF" w:themeFill="background1"/>
        <w:spacing w:after="120" w:line="240" w:lineRule="auto"/>
        <w:ind w:left="1276" w:right="1275"/>
        <w:jc w:val="both"/>
        <w:rPr>
          <w:rFonts w:ascii="Times New Roman" w:eastAsiaTheme="minorEastAsia" w:hAnsi="Times New Roman" w:cs="Times New Roman"/>
          <w:bCs/>
          <w:i/>
          <w:iCs/>
          <w:sz w:val="28"/>
          <w:szCs w:val="28"/>
          <w:lang w:eastAsia="ru-RU"/>
        </w:rPr>
      </w:pPr>
      <w:r w:rsidRPr="00521135">
        <w:rPr>
          <w:rFonts w:ascii="Times New Roman" w:eastAsiaTheme="minorEastAsia" w:hAnsi="Times New Roman" w:cs="Times New Roman"/>
          <w:b/>
          <w:bCs/>
          <w:i/>
          <w:iCs/>
          <w:sz w:val="20"/>
          <w:szCs w:val="28"/>
          <w:lang w:eastAsia="ru-RU"/>
        </w:rPr>
        <w:t>Surs</w:t>
      </w:r>
      <w:r w:rsidR="008C2674">
        <w:rPr>
          <w:rFonts w:ascii="Times New Roman" w:eastAsiaTheme="minorEastAsia" w:hAnsi="Times New Roman" w:cs="Times New Roman"/>
          <w:b/>
          <w:bCs/>
          <w:i/>
          <w:iCs/>
          <w:sz w:val="20"/>
          <w:szCs w:val="28"/>
          <w:lang w:eastAsia="ru-RU"/>
        </w:rPr>
        <w:t>ă</w:t>
      </w:r>
      <w:r w:rsidRPr="00521135">
        <w:rPr>
          <w:rFonts w:ascii="Times New Roman" w:eastAsiaTheme="minorEastAsia" w:hAnsi="Times New Roman" w:cs="Times New Roman"/>
          <w:b/>
          <w:bCs/>
          <w:i/>
          <w:iCs/>
          <w:sz w:val="20"/>
          <w:szCs w:val="28"/>
          <w:lang w:eastAsia="ru-RU"/>
        </w:rPr>
        <w:t xml:space="preserve">: </w:t>
      </w:r>
      <w:r w:rsidRPr="00521135">
        <w:rPr>
          <w:rFonts w:ascii="Times New Roman" w:eastAsiaTheme="minorEastAsia" w:hAnsi="Times New Roman" w:cs="Times New Roman"/>
          <w:bCs/>
          <w:i/>
          <w:iCs/>
          <w:sz w:val="20"/>
          <w:szCs w:val="28"/>
          <w:lang w:eastAsia="ru-RU"/>
        </w:rPr>
        <w:t>Date generalizate de echipa de audit conform</w:t>
      </w:r>
      <w:r w:rsidRPr="00521135">
        <w:rPr>
          <w:rFonts w:ascii="Times New Roman" w:eastAsiaTheme="minorEastAsia" w:hAnsi="Times New Roman" w:cs="Times New Roman"/>
          <w:b/>
          <w:bCs/>
          <w:i/>
          <w:iCs/>
          <w:sz w:val="20"/>
          <w:szCs w:val="28"/>
          <w:lang w:eastAsia="ru-RU"/>
        </w:rPr>
        <w:t xml:space="preserve"> </w:t>
      </w:r>
      <w:r w:rsidRPr="008D1E61">
        <w:rPr>
          <w:rFonts w:ascii="Times New Roman" w:eastAsiaTheme="minorEastAsia" w:hAnsi="Times New Roman" w:cs="Times New Roman"/>
          <w:bCs/>
          <w:i/>
          <w:iCs/>
          <w:sz w:val="20"/>
          <w:szCs w:val="28"/>
          <w:lang w:eastAsia="ru-RU"/>
        </w:rPr>
        <w:t>i</w:t>
      </w:r>
      <w:r w:rsidRPr="00521135">
        <w:rPr>
          <w:rFonts w:ascii="Times New Roman" w:eastAsiaTheme="minorEastAsia" w:hAnsi="Times New Roman" w:cs="Times New Roman"/>
          <w:bCs/>
          <w:i/>
          <w:iCs/>
          <w:sz w:val="20"/>
          <w:szCs w:val="28"/>
          <w:lang w:eastAsia="ru-RU"/>
        </w:rPr>
        <w:t>nformațiilor privind restanțele la plata obligațiilor fiscale/vamale prezentate de SFS și SV</w:t>
      </w:r>
      <w:r w:rsidR="008C2674">
        <w:rPr>
          <w:rFonts w:ascii="Times New Roman" w:eastAsiaTheme="minorEastAsia" w:hAnsi="Times New Roman" w:cs="Times New Roman"/>
          <w:bCs/>
          <w:i/>
          <w:iCs/>
          <w:sz w:val="20"/>
          <w:szCs w:val="28"/>
          <w:lang w:eastAsia="ru-RU"/>
        </w:rPr>
        <w:t>.</w:t>
      </w:r>
    </w:p>
    <w:p w:rsidR="007974EB" w:rsidRDefault="007974EB" w:rsidP="007974EB">
      <w:pPr>
        <w:spacing w:after="0" w:line="276" w:lineRule="auto"/>
        <w:jc w:val="both"/>
        <w:rPr>
          <w:rFonts w:ascii="Times New Roman" w:eastAsia="Times New Roman" w:hAnsi="Times New Roman" w:cs="Times New Roman"/>
          <w:b/>
          <w:bCs/>
          <w:i/>
          <w:iCs/>
          <w:sz w:val="28"/>
          <w:szCs w:val="28"/>
          <w:lang w:eastAsia="ru-RU"/>
        </w:rPr>
      </w:pPr>
    </w:p>
    <w:p w:rsidR="007974EB" w:rsidRDefault="007974EB" w:rsidP="007974EB">
      <w:pPr>
        <w:spacing w:line="276" w:lineRule="auto"/>
        <w:contextualSpacing/>
        <w:jc w:val="right"/>
        <w:rPr>
          <w:rFonts w:ascii="Times New Roman" w:eastAsiaTheme="minorEastAsia" w:hAnsi="Times New Roman" w:cs="Times New Roman"/>
          <w:bCs/>
          <w:i/>
          <w:iCs/>
          <w:sz w:val="28"/>
          <w:szCs w:val="28"/>
          <w:lang w:eastAsia="ru-RU"/>
        </w:rPr>
      </w:pPr>
      <w:r>
        <w:rPr>
          <w:rFonts w:ascii="Times New Roman" w:eastAsiaTheme="minorEastAsia" w:hAnsi="Times New Roman" w:cs="Times New Roman"/>
          <w:bCs/>
          <w:i/>
          <w:iCs/>
          <w:sz w:val="28"/>
          <w:szCs w:val="28"/>
          <w:lang w:eastAsia="ru-RU"/>
        </w:rPr>
        <w:t>Diagrama nr.</w:t>
      </w:r>
      <w:r w:rsidR="008E7A98">
        <w:rPr>
          <w:rFonts w:ascii="Times New Roman" w:eastAsiaTheme="minorEastAsia" w:hAnsi="Times New Roman" w:cs="Times New Roman"/>
          <w:bCs/>
          <w:i/>
          <w:iCs/>
          <w:sz w:val="28"/>
          <w:szCs w:val="28"/>
          <w:lang w:eastAsia="ru-RU"/>
        </w:rPr>
        <w:t>2</w:t>
      </w:r>
    </w:p>
    <w:p w:rsidR="007974EB" w:rsidRDefault="007974EB" w:rsidP="007974EB">
      <w:pPr>
        <w:spacing w:line="276" w:lineRule="auto"/>
        <w:contextualSpacing/>
        <w:jc w:val="right"/>
        <w:rPr>
          <w:rFonts w:ascii="Times New Roman" w:eastAsiaTheme="minorEastAsia" w:hAnsi="Times New Roman" w:cs="Times New Roman"/>
          <w:bCs/>
          <w:i/>
          <w:iCs/>
          <w:sz w:val="24"/>
          <w:szCs w:val="28"/>
          <w:lang w:eastAsia="ru-RU"/>
        </w:rPr>
      </w:pPr>
      <w:r w:rsidRPr="00A40787">
        <w:rPr>
          <w:rFonts w:ascii="Times New Roman" w:eastAsiaTheme="minorEastAsia" w:hAnsi="Times New Roman" w:cs="Times New Roman"/>
          <w:bCs/>
          <w:i/>
          <w:iCs/>
          <w:sz w:val="24"/>
          <w:szCs w:val="28"/>
          <w:lang w:eastAsia="ru-RU"/>
        </w:rPr>
        <w:t>(mil.lei)</w:t>
      </w:r>
    </w:p>
    <w:p w:rsidR="007974EB" w:rsidRDefault="00211455" w:rsidP="007974EB">
      <w:pPr>
        <w:spacing w:line="276" w:lineRule="auto"/>
        <w:contextualSpacing/>
        <w:jc w:val="center"/>
        <w:rPr>
          <w:rFonts w:ascii="Times New Roman" w:eastAsiaTheme="minorEastAsia" w:hAnsi="Times New Roman" w:cs="Times New Roman"/>
          <w:bCs/>
          <w:iCs/>
          <w:sz w:val="28"/>
          <w:szCs w:val="28"/>
          <w:lang w:eastAsia="ru-RU"/>
        </w:rPr>
      </w:pPr>
      <w:r>
        <w:rPr>
          <w:rFonts w:ascii="Times New Roman" w:eastAsiaTheme="minorEastAsia" w:hAnsi="Times New Roman" w:cs="Times New Roman"/>
          <w:bCs/>
          <w:i/>
          <w:iCs/>
          <w:noProof/>
          <w:sz w:val="24"/>
          <w:szCs w:val="28"/>
          <w:lang w:val="ru-RU" w:eastAsia="ru-RU"/>
        </w:rPr>
        <w:drawing>
          <wp:inline distT="0" distB="0" distL="0" distR="0" wp14:anchorId="26DF5551" wp14:editId="60D8D19A">
            <wp:extent cx="6107502" cy="2623820"/>
            <wp:effectExtent l="0" t="0" r="7620" b="508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7974EB" w:rsidRPr="00521135" w:rsidRDefault="007974EB" w:rsidP="00211455">
      <w:pPr>
        <w:spacing w:after="120" w:line="276" w:lineRule="auto"/>
        <w:jc w:val="both"/>
        <w:rPr>
          <w:rFonts w:ascii="Times New Roman" w:eastAsiaTheme="minorEastAsia" w:hAnsi="Times New Roman" w:cs="Times New Roman"/>
          <w:bCs/>
          <w:i/>
          <w:iCs/>
          <w:sz w:val="28"/>
          <w:szCs w:val="28"/>
          <w:lang w:eastAsia="ru-RU"/>
        </w:rPr>
      </w:pPr>
      <w:r w:rsidRPr="00521135">
        <w:rPr>
          <w:rFonts w:ascii="Times New Roman" w:eastAsiaTheme="minorEastAsia" w:hAnsi="Times New Roman" w:cs="Times New Roman"/>
          <w:b/>
          <w:bCs/>
          <w:i/>
          <w:iCs/>
          <w:sz w:val="20"/>
          <w:szCs w:val="28"/>
          <w:lang w:eastAsia="ru-RU"/>
        </w:rPr>
        <w:t>Surs</w:t>
      </w:r>
      <w:r w:rsidR="00CC4A87">
        <w:rPr>
          <w:rFonts w:ascii="Times New Roman" w:eastAsiaTheme="minorEastAsia" w:hAnsi="Times New Roman" w:cs="Times New Roman"/>
          <w:b/>
          <w:bCs/>
          <w:i/>
          <w:iCs/>
          <w:sz w:val="20"/>
          <w:szCs w:val="28"/>
          <w:lang w:eastAsia="ru-RU"/>
        </w:rPr>
        <w:t>ă</w:t>
      </w:r>
      <w:r w:rsidRPr="00521135">
        <w:rPr>
          <w:rFonts w:ascii="Times New Roman" w:eastAsiaTheme="minorEastAsia" w:hAnsi="Times New Roman" w:cs="Times New Roman"/>
          <w:b/>
          <w:bCs/>
          <w:i/>
          <w:iCs/>
          <w:sz w:val="20"/>
          <w:szCs w:val="28"/>
          <w:lang w:eastAsia="ru-RU"/>
        </w:rPr>
        <w:t>:</w:t>
      </w:r>
      <w:r w:rsidRPr="00521135">
        <w:rPr>
          <w:rFonts w:ascii="Times New Roman" w:eastAsiaTheme="minorEastAsia" w:hAnsi="Times New Roman" w:cs="Times New Roman"/>
          <w:bCs/>
          <w:i/>
          <w:iCs/>
          <w:sz w:val="20"/>
          <w:szCs w:val="28"/>
          <w:lang w:eastAsia="ru-RU"/>
        </w:rPr>
        <w:t xml:space="preserve"> Informații generalizate de echipa de audit conform datelor privind restanța față de bugetul de stat la situația din 31.12.2017</w:t>
      </w:r>
      <w:r w:rsidR="00CC4A87">
        <w:rPr>
          <w:rFonts w:ascii="Times New Roman" w:eastAsiaTheme="minorEastAsia" w:hAnsi="Times New Roman" w:cs="Times New Roman"/>
          <w:bCs/>
          <w:i/>
          <w:iCs/>
          <w:sz w:val="20"/>
          <w:szCs w:val="28"/>
          <w:lang w:eastAsia="ru-RU"/>
        </w:rPr>
        <w:t>,</w:t>
      </w:r>
      <w:r w:rsidRPr="00521135">
        <w:rPr>
          <w:rFonts w:ascii="Times New Roman" w:eastAsiaTheme="minorEastAsia" w:hAnsi="Times New Roman" w:cs="Times New Roman"/>
          <w:bCs/>
          <w:i/>
          <w:iCs/>
          <w:sz w:val="20"/>
          <w:szCs w:val="28"/>
          <w:lang w:eastAsia="ru-RU"/>
        </w:rPr>
        <w:t xml:space="preserve"> prezentate de M</w:t>
      </w:r>
      <w:r w:rsidR="00CC4A87">
        <w:rPr>
          <w:rFonts w:ascii="Times New Roman" w:eastAsiaTheme="minorEastAsia" w:hAnsi="Times New Roman" w:cs="Times New Roman"/>
          <w:bCs/>
          <w:i/>
          <w:iCs/>
          <w:sz w:val="20"/>
          <w:szCs w:val="28"/>
          <w:lang w:eastAsia="ru-RU"/>
        </w:rPr>
        <w:t xml:space="preserve">inisterul </w:t>
      </w:r>
      <w:r w:rsidRPr="00521135">
        <w:rPr>
          <w:rFonts w:ascii="Times New Roman" w:eastAsiaTheme="minorEastAsia" w:hAnsi="Times New Roman" w:cs="Times New Roman"/>
          <w:bCs/>
          <w:i/>
          <w:iCs/>
          <w:sz w:val="20"/>
          <w:szCs w:val="28"/>
          <w:lang w:eastAsia="ru-RU"/>
        </w:rPr>
        <w:t>F</w:t>
      </w:r>
      <w:r w:rsidR="00CC4A87">
        <w:rPr>
          <w:rFonts w:ascii="Times New Roman" w:eastAsiaTheme="minorEastAsia" w:hAnsi="Times New Roman" w:cs="Times New Roman"/>
          <w:bCs/>
          <w:i/>
          <w:iCs/>
          <w:sz w:val="20"/>
          <w:szCs w:val="28"/>
          <w:lang w:eastAsia="ru-RU"/>
        </w:rPr>
        <w:t>inanțelor</w:t>
      </w:r>
      <w:r w:rsidRPr="00521135">
        <w:rPr>
          <w:rFonts w:ascii="Times New Roman" w:eastAsiaTheme="minorEastAsia" w:hAnsi="Times New Roman" w:cs="Times New Roman"/>
          <w:bCs/>
          <w:i/>
          <w:iCs/>
          <w:sz w:val="20"/>
          <w:szCs w:val="28"/>
          <w:lang w:eastAsia="ru-RU"/>
        </w:rPr>
        <w:t>.</w:t>
      </w:r>
    </w:p>
    <w:p w:rsidR="00775930" w:rsidRDefault="00775930" w:rsidP="00786B36">
      <w:pPr>
        <w:spacing w:after="0" w:line="276" w:lineRule="auto"/>
        <w:ind w:right="51"/>
        <w:jc w:val="right"/>
        <w:rPr>
          <w:rFonts w:ascii="Times New Roman" w:hAnsi="Times New Roman" w:cs="Times New Roman"/>
          <w:i/>
          <w:sz w:val="28"/>
          <w:szCs w:val="28"/>
        </w:rPr>
      </w:pPr>
    </w:p>
    <w:p w:rsidR="00775930" w:rsidRDefault="00775930" w:rsidP="00786B36">
      <w:pPr>
        <w:spacing w:after="0" w:line="276" w:lineRule="auto"/>
        <w:ind w:right="51"/>
        <w:jc w:val="right"/>
        <w:rPr>
          <w:rFonts w:ascii="Times New Roman" w:hAnsi="Times New Roman" w:cs="Times New Roman"/>
          <w:i/>
          <w:sz w:val="28"/>
          <w:szCs w:val="28"/>
        </w:rPr>
      </w:pPr>
    </w:p>
    <w:p w:rsidR="00775930" w:rsidRDefault="00775930" w:rsidP="00786B36">
      <w:pPr>
        <w:spacing w:after="0" w:line="276" w:lineRule="auto"/>
        <w:ind w:right="51"/>
        <w:jc w:val="right"/>
        <w:rPr>
          <w:rFonts w:ascii="Times New Roman" w:hAnsi="Times New Roman" w:cs="Times New Roman"/>
          <w:i/>
          <w:sz w:val="28"/>
          <w:szCs w:val="28"/>
        </w:rPr>
      </w:pPr>
    </w:p>
    <w:p w:rsidR="00775930" w:rsidRDefault="00775930" w:rsidP="00786B36">
      <w:pPr>
        <w:spacing w:after="0" w:line="276" w:lineRule="auto"/>
        <w:ind w:right="51"/>
        <w:jc w:val="right"/>
        <w:rPr>
          <w:rFonts w:ascii="Times New Roman" w:hAnsi="Times New Roman" w:cs="Times New Roman"/>
          <w:i/>
          <w:sz w:val="28"/>
          <w:szCs w:val="28"/>
        </w:rPr>
      </w:pPr>
    </w:p>
    <w:p w:rsidR="00775930" w:rsidRDefault="00775930" w:rsidP="00786B36">
      <w:pPr>
        <w:spacing w:after="0" w:line="276" w:lineRule="auto"/>
        <w:ind w:right="51"/>
        <w:jc w:val="right"/>
        <w:rPr>
          <w:rFonts w:ascii="Times New Roman" w:hAnsi="Times New Roman" w:cs="Times New Roman"/>
          <w:i/>
          <w:sz w:val="28"/>
          <w:szCs w:val="28"/>
        </w:rPr>
      </w:pPr>
    </w:p>
    <w:p w:rsidR="00786B36" w:rsidRDefault="00786B36" w:rsidP="00786B36">
      <w:pPr>
        <w:spacing w:after="0" w:line="276" w:lineRule="auto"/>
        <w:ind w:right="51"/>
        <w:jc w:val="right"/>
        <w:rPr>
          <w:rFonts w:ascii="Times New Roman" w:hAnsi="Times New Roman" w:cs="Times New Roman"/>
          <w:i/>
          <w:sz w:val="28"/>
          <w:szCs w:val="28"/>
        </w:rPr>
      </w:pPr>
      <w:r>
        <w:rPr>
          <w:rFonts w:ascii="Times New Roman" w:hAnsi="Times New Roman" w:cs="Times New Roman"/>
          <w:i/>
          <w:sz w:val="28"/>
          <w:szCs w:val="28"/>
        </w:rPr>
        <w:lastRenderedPageBreak/>
        <w:t>Diagram</w:t>
      </w:r>
      <w:r w:rsidRPr="004035D8">
        <w:rPr>
          <w:rFonts w:ascii="Times New Roman" w:hAnsi="Times New Roman" w:cs="Times New Roman"/>
          <w:i/>
          <w:sz w:val="28"/>
          <w:szCs w:val="28"/>
        </w:rPr>
        <w:t>a nr.</w:t>
      </w:r>
      <w:r>
        <w:rPr>
          <w:rFonts w:ascii="Times New Roman" w:hAnsi="Times New Roman" w:cs="Times New Roman"/>
          <w:i/>
          <w:sz w:val="28"/>
          <w:szCs w:val="28"/>
        </w:rPr>
        <w:t>3</w:t>
      </w:r>
      <w:r w:rsidRPr="004035D8">
        <w:rPr>
          <w:rFonts w:ascii="Times New Roman" w:hAnsi="Times New Roman" w:cs="Times New Roman"/>
          <w:i/>
          <w:sz w:val="28"/>
          <w:szCs w:val="28"/>
        </w:rPr>
        <w:t>.</w:t>
      </w:r>
    </w:p>
    <w:p w:rsidR="00786B36" w:rsidRDefault="00786B36" w:rsidP="000F7305">
      <w:pPr>
        <w:spacing w:after="0" w:line="276" w:lineRule="auto"/>
        <w:ind w:right="51"/>
        <w:jc w:val="center"/>
        <w:rPr>
          <w:rFonts w:ascii="Times New Roman" w:eastAsia="Times New Roman" w:hAnsi="Times New Roman" w:cs="Times New Roman"/>
          <w:b/>
          <w:color w:val="000000"/>
          <w:sz w:val="24"/>
          <w:lang w:eastAsia="ru-RU"/>
        </w:rPr>
      </w:pPr>
      <w:r w:rsidRPr="004035D8">
        <w:rPr>
          <w:rFonts w:ascii="Times New Roman" w:eastAsia="Times New Roman" w:hAnsi="Times New Roman" w:cs="Times New Roman"/>
          <w:b/>
          <w:color w:val="000000"/>
          <w:sz w:val="24"/>
          <w:lang w:eastAsia="ru-RU"/>
        </w:rPr>
        <w:t>Nivelul de executare a cheltuielilor pentru investiții capitale conform clasificației funcționale</w:t>
      </w:r>
      <w:r w:rsidR="00CC4A87">
        <w:rPr>
          <w:rFonts w:ascii="Times New Roman" w:eastAsia="Times New Roman" w:hAnsi="Times New Roman" w:cs="Times New Roman"/>
          <w:b/>
          <w:color w:val="000000"/>
          <w:sz w:val="24"/>
          <w:lang w:eastAsia="ru-RU"/>
        </w:rPr>
        <w:t>,</w:t>
      </w:r>
      <w:r>
        <w:rPr>
          <w:rFonts w:ascii="Times New Roman" w:eastAsia="Times New Roman" w:hAnsi="Times New Roman" w:cs="Times New Roman"/>
          <w:b/>
          <w:color w:val="000000"/>
          <w:sz w:val="24"/>
          <w:lang w:eastAsia="ru-RU"/>
        </w:rPr>
        <w:t xml:space="preserve"> în anul 2017</w:t>
      </w:r>
    </w:p>
    <w:p w:rsidR="00786B36" w:rsidRDefault="00CC4A87" w:rsidP="000F7305">
      <w:pPr>
        <w:spacing w:after="0" w:line="276" w:lineRule="auto"/>
        <w:ind w:right="51"/>
        <w:jc w:val="right"/>
      </w:pPr>
      <w:r w:rsidRPr="00A071F0">
        <w:rPr>
          <w:rFonts w:ascii="Times New Roman" w:eastAsiaTheme="minorEastAsia" w:hAnsi="Times New Roman" w:cs="Times New Roman"/>
          <w:bCs/>
          <w:i/>
          <w:iCs/>
          <w:sz w:val="24"/>
          <w:szCs w:val="28"/>
          <w:lang w:eastAsia="ru-RU"/>
        </w:rPr>
        <w:t>(mil.lei)</w:t>
      </w:r>
      <w:r w:rsidR="00786B36">
        <w:rPr>
          <w:rFonts w:ascii="Times New Roman" w:eastAsia="Times New Roman" w:hAnsi="Times New Roman" w:cs="Times New Roman"/>
          <w:b/>
          <w:noProof/>
          <w:sz w:val="20"/>
          <w:szCs w:val="20"/>
          <w:lang w:val="ru-RU" w:eastAsia="ru-RU"/>
        </w:rPr>
        <w:drawing>
          <wp:inline distT="0" distB="0" distL="0" distR="0" wp14:anchorId="2FF3D423" wp14:editId="381E0507">
            <wp:extent cx="6153150" cy="3552825"/>
            <wp:effectExtent l="0" t="0" r="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786B36" w:rsidRDefault="00786B36" w:rsidP="00786B36">
      <w:pPr>
        <w:ind w:right="49"/>
        <w:rPr>
          <w:rFonts w:ascii="Times New Roman" w:hAnsi="Times New Roman" w:cs="Times New Roman"/>
          <w:sz w:val="28"/>
          <w:szCs w:val="28"/>
        </w:rPr>
      </w:pPr>
      <w:r w:rsidRPr="00B37A48">
        <w:rPr>
          <w:rFonts w:ascii="Times New Roman" w:hAnsi="Times New Roman" w:cs="Times New Roman"/>
          <w:b/>
          <w:i/>
          <w:sz w:val="20"/>
        </w:rPr>
        <w:t>Surs</w:t>
      </w:r>
      <w:r w:rsidR="00CC4A87">
        <w:rPr>
          <w:rFonts w:ascii="Times New Roman" w:hAnsi="Times New Roman" w:cs="Times New Roman"/>
          <w:b/>
          <w:i/>
          <w:sz w:val="20"/>
        </w:rPr>
        <w:t>ă</w:t>
      </w:r>
      <w:r w:rsidRPr="00B37A48">
        <w:rPr>
          <w:rFonts w:ascii="Times New Roman" w:hAnsi="Times New Roman" w:cs="Times New Roman"/>
          <w:b/>
          <w:i/>
          <w:sz w:val="20"/>
        </w:rPr>
        <w:t xml:space="preserve">: </w:t>
      </w:r>
      <w:r w:rsidRPr="00F27F14">
        <w:rPr>
          <w:rFonts w:ascii="Times New Roman" w:hAnsi="Times New Roman" w:cs="Times New Roman"/>
          <w:i/>
          <w:sz w:val="20"/>
        </w:rPr>
        <w:t>Informații generalizate de echipa de audit din</w:t>
      </w:r>
      <w:r>
        <w:rPr>
          <w:rFonts w:ascii="Times New Roman" w:hAnsi="Times New Roman" w:cs="Times New Roman"/>
          <w:b/>
          <w:i/>
          <w:sz w:val="20"/>
        </w:rPr>
        <w:t xml:space="preserve"> </w:t>
      </w:r>
      <w:r w:rsidRPr="00B37A48">
        <w:rPr>
          <w:rFonts w:ascii="Times New Roman" w:hAnsi="Times New Roman" w:cs="Times New Roman"/>
          <w:i/>
          <w:sz w:val="20"/>
        </w:rPr>
        <w:t>Raportul privind executarea bugetului de stat pe anul 2017, Formularul nr.4.</w:t>
      </w:r>
    </w:p>
    <w:p w:rsidR="00786B36" w:rsidRPr="00786B36" w:rsidRDefault="00786B36" w:rsidP="00C02768">
      <w:pPr>
        <w:spacing w:after="0" w:line="276" w:lineRule="auto"/>
        <w:jc w:val="both"/>
        <w:rPr>
          <w:rFonts w:ascii="Times New Roman" w:eastAsia="Times New Roman" w:hAnsi="Times New Roman" w:cs="Times New Roman"/>
          <w:b/>
          <w:bCs/>
          <w:i/>
          <w:iCs/>
          <w:sz w:val="28"/>
          <w:szCs w:val="28"/>
          <w:lang w:eastAsia="ru-RU"/>
        </w:rPr>
      </w:pPr>
    </w:p>
    <w:p w:rsidR="000D4219" w:rsidRDefault="000D4219" w:rsidP="000D4219">
      <w:pPr>
        <w:spacing w:after="0" w:line="276" w:lineRule="auto"/>
        <w:jc w:val="right"/>
        <w:rPr>
          <w:rFonts w:ascii="Times New Roman" w:eastAsia="Times New Roman" w:hAnsi="Times New Roman" w:cs="Times New Roman"/>
          <w:i/>
          <w:sz w:val="28"/>
          <w:szCs w:val="24"/>
          <w:lang w:eastAsia="ru-RU"/>
        </w:rPr>
      </w:pPr>
      <w:r w:rsidRPr="00D04954">
        <w:rPr>
          <w:rFonts w:ascii="Times New Roman" w:eastAsia="Times New Roman" w:hAnsi="Times New Roman" w:cs="Times New Roman"/>
          <w:i/>
          <w:sz w:val="28"/>
          <w:szCs w:val="24"/>
          <w:lang w:eastAsia="ru-RU"/>
        </w:rPr>
        <w:t>Diagrama nr.</w:t>
      </w:r>
      <w:r w:rsidR="00786B36">
        <w:rPr>
          <w:rFonts w:ascii="Times New Roman" w:eastAsia="Times New Roman" w:hAnsi="Times New Roman" w:cs="Times New Roman"/>
          <w:i/>
          <w:sz w:val="28"/>
          <w:szCs w:val="24"/>
          <w:lang w:eastAsia="ru-RU"/>
        </w:rPr>
        <w:t>4</w:t>
      </w:r>
    </w:p>
    <w:p w:rsidR="00CC4A87" w:rsidRPr="00A071F0" w:rsidRDefault="000D4219" w:rsidP="00CC4A87">
      <w:pPr>
        <w:spacing w:line="276" w:lineRule="auto"/>
        <w:ind w:right="49"/>
        <w:contextualSpacing/>
        <w:jc w:val="right"/>
        <w:rPr>
          <w:rFonts w:ascii="Times New Roman" w:eastAsiaTheme="minorEastAsia" w:hAnsi="Times New Roman" w:cs="Times New Roman"/>
          <w:bCs/>
          <w:i/>
          <w:iCs/>
          <w:szCs w:val="28"/>
          <w:lang w:eastAsia="ru-RU"/>
        </w:rPr>
      </w:pPr>
      <w:r w:rsidRPr="00D04954">
        <w:rPr>
          <w:rFonts w:ascii="Times New Roman" w:eastAsia="Times New Roman" w:hAnsi="Times New Roman" w:cs="Times New Roman"/>
          <w:b/>
          <w:sz w:val="24"/>
          <w:szCs w:val="24"/>
          <w:lang w:eastAsia="ru-RU"/>
        </w:rPr>
        <w:t xml:space="preserve">Sinteza executării mijloacelor financiare din fondurile de </w:t>
      </w:r>
      <w:r>
        <w:rPr>
          <w:rFonts w:ascii="Times New Roman" w:eastAsia="Times New Roman" w:hAnsi="Times New Roman" w:cs="Times New Roman"/>
          <w:b/>
          <w:sz w:val="24"/>
          <w:szCs w:val="24"/>
          <w:lang w:eastAsia="ru-RU"/>
        </w:rPr>
        <w:t>rezervă și de intervenție ale Guvernului în anul 2017</w:t>
      </w:r>
      <w:r w:rsidR="00CC4A87" w:rsidRPr="00A071F0">
        <w:rPr>
          <w:rFonts w:ascii="Times New Roman" w:eastAsiaTheme="minorEastAsia" w:hAnsi="Times New Roman" w:cs="Times New Roman"/>
          <w:bCs/>
          <w:i/>
          <w:iCs/>
          <w:sz w:val="24"/>
          <w:szCs w:val="28"/>
          <w:lang w:eastAsia="ru-RU"/>
        </w:rPr>
        <w:t>(mil.lei)</w:t>
      </w:r>
    </w:p>
    <w:p w:rsidR="00CC4A87" w:rsidRPr="00D13A23" w:rsidRDefault="00CC4A87" w:rsidP="00D13A23">
      <w:pPr>
        <w:spacing w:after="120" w:line="276" w:lineRule="auto"/>
        <w:jc w:val="center"/>
        <w:rPr>
          <w:rFonts w:ascii="Times New Roman" w:eastAsia="Times New Roman" w:hAnsi="Times New Roman" w:cs="Times New Roman"/>
          <w:b/>
          <w:sz w:val="24"/>
          <w:szCs w:val="24"/>
          <w:lang w:eastAsia="ru-RU"/>
        </w:rPr>
      </w:pPr>
    </w:p>
    <w:p w:rsidR="000D4219" w:rsidRDefault="000D4219" w:rsidP="00D13A23">
      <w:pPr>
        <w:spacing w:after="120" w:line="276" w:lineRule="auto"/>
        <w:jc w:val="center"/>
        <w:rPr>
          <w:rFonts w:ascii="Times New Roman" w:eastAsia="Times New Roman" w:hAnsi="Times New Roman" w:cs="Times New Roman"/>
          <w:i/>
          <w:sz w:val="20"/>
          <w:szCs w:val="20"/>
          <w:lang w:eastAsia="ru-RU"/>
        </w:rPr>
      </w:pPr>
      <w:r w:rsidRPr="00D04954">
        <w:rPr>
          <w:rFonts w:ascii="Times New Roman" w:eastAsia="Times New Roman" w:hAnsi="Times New Roman" w:cs="Times New Roman"/>
          <w:noProof/>
          <w:sz w:val="28"/>
          <w:szCs w:val="28"/>
          <w:lang w:val="ru-RU" w:eastAsia="ru-RU"/>
        </w:rPr>
        <w:drawing>
          <wp:inline distT="0" distB="0" distL="0" distR="0" wp14:anchorId="2ED18DA0" wp14:editId="3832FA62">
            <wp:extent cx="5940425" cy="1849120"/>
            <wp:effectExtent l="0" t="19050" r="3175" b="1778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Pr="000D4219">
        <w:rPr>
          <w:rFonts w:ascii="Times New Roman" w:eastAsia="Times New Roman" w:hAnsi="Times New Roman" w:cs="Times New Roman"/>
          <w:b/>
          <w:i/>
          <w:sz w:val="20"/>
          <w:szCs w:val="20"/>
          <w:lang w:eastAsia="ru-RU"/>
        </w:rPr>
        <w:t>Surs</w:t>
      </w:r>
      <w:r w:rsidR="00CC4A87">
        <w:rPr>
          <w:rFonts w:ascii="Times New Roman" w:eastAsia="Times New Roman" w:hAnsi="Times New Roman" w:cs="Times New Roman"/>
          <w:b/>
          <w:i/>
          <w:sz w:val="20"/>
          <w:szCs w:val="20"/>
          <w:lang w:eastAsia="ru-RU"/>
        </w:rPr>
        <w:t>ă</w:t>
      </w:r>
      <w:r w:rsidRPr="000D4219">
        <w:rPr>
          <w:rFonts w:ascii="Times New Roman" w:eastAsia="Times New Roman" w:hAnsi="Times New Roman" w:cs="Times New Roman"/>
          <w:b/>
          <w:i/>
          <w:sz w:val="20"/>
          <w:szCs w:val="20"/>
          <w:lang w:eastAsia="ru-RU"/>
        </w:rPr>
        <w:t xml:space="preserve">: </w:t>
      </w:r>
      <w:r w:rsidRPr="000D4219">
        <w:rPr>
          <w:rFonts w:ascii="Times New Roman" w:eastAsia="Times New Roman" w:hAnsi="Times New Roman" w:cs="Times New Roman"/>
          <w:i/>
          <w:sz w:val="20"/>
          <w:szCs w:val="20"/>
          <w:lang w:eastAsia="ru-RU"/>
        </w:rPr>
        <w:t>Date generalizate de echipa de audit conform informațiilor prezentate de M</w:t>
      </w:r>
      <w:r w:rsidR="00CC4A87">
        <w:rPr>
          <w:rFonts w:ascii="Times New Roman" w:eastAsia="Times New Roman" w:hAnsi="Times New Roman" w:cs="Times New Roman"/>
          <w:i/>
          <w:sz w:val="20"/>
          <w:szCs w:val="20"/>
          <w:lang w:eastAsia="ru-RU"/>
        </w:rPr>
        <w:t xml:space="preserve">inisterul </w:t>
      </w:r>
      <w:r w:rsidRPr="000D4219">
        <w:rPr>
          <w:rFonts w:ascii="Times New Roman" w:eastAsia="Times New Roman" w:hAnsi="Times New Roman" w:cs="Times New Roman"/>
          <w:i/>
          <w:sz w:val="20"/>
          <w:szCs w:val="20"/>
          <w:lang w:eastAsia="ru-RU"/>
        </w:rPr>
        <w:t>F</w:t>
      </w:r>
      <w:r w:rsidR="00CC4A87">
        <w:rPr>
          <w:rFonts w:ascii="Times New Roman" w:eastAsia="Times New Roman" w:hAnsi="Times New Roman" w:cs="Times New Roman"/>
          <w:i/>
          <w:sz w:val="20"/>
          <w:szCs w:val="20"/>
          <w:lang w:eastAsia="ru-RU"/>
        </w:rPr>
        <w:t>inanțelor</w:t>
      </w:r>
      <w:r w:rsidRPr="000D4219">
        <w:rPr>
          <w:rFonts w:ascii="Times New Roman" w:eastAsia="Times New Roman" w:hAnsi="Times New Roman" w:cs="Times New Roman"/>
          <w:i/>
          <w:sz w:val="20"/>
          <w:szCs w:val="20"/>
          <w:lang w:eastAsia="ru-RU"/>
        </w:rPr>
        <w:t>.</w:t>
      </w:r>
    </w:p>
    <w:p w:rsidR="000A2656" w:rsidRDefault="000A2656" w:rsidP="000A2656">
      <w:pPr>
        <w:keepNext/>
        <w:spacing w:after="0" w:line="240" w:lineRule="auto"/>
        <w:ind w:right="-180"/>
        <w:jc w:val="right"/>
        <w:outlineLvl w:val="1"/>
        <w:rPr>
          <w:rFonts w:ascii="Times New Roman" w:eastAsia="Times New Roman" w:hAnsi="Times New Roman" w:cs="Times New Roman"/>
          <w:b/>
          <w:bCs/>
          <w:i/>
          <w:iCs/>
          <w:sz w:val="28"/>
          <w:szCs w:val="28"/>
          <w:lang w:eastAsia="lv-LV"/>
        </w:rPr>
        <w:sectPr w:rsidR="000A2656" w:rsidSect="00A64899">
          <w:footerReference w:type="default" r:id="rId30"/>
          <w:pgSz w:w="12240" w:h="15840"/>
          <w:pgMar w:top="851" w:right="900" w:bottom="851" w:left="1701" w:header="709" w:footer="709" w:gutter="0"/>
          <w:cols w:space="708"/>
          <w:docGrid w:linePitch="360"/>
        </w:sectPr>
      </w:pPr>
      <w:bookmarkStart w:id="47" w:name="_Toc218068996"/>
    </w:p>
    <w:p w:rsidR="000A2656" w:rsidRPr="00F2022E" w:rsidRDefault="000A2656" w:rsidP="000A2656">
      <w:pPr>
        <w:keepNext/>
        <w:spacing w:after="0" w:line="240" w:lineRule="auto"/>
        <w:ind w:right="-180"/>
        <w:jc w:val="right"/>
        <w:outlineLvl w:val="1"/>
        <w:rPr>
          <w:rFonts w:ascii="Times New Roman" w:eastAsia="Times New Roman" w:hAnsi="Times New Roman" w:cs="Times New Roman"/>
          <w:b/>
          <w:bCs/>
          <w:i/>
          <w:iCs/>
          <w:sz w:val="28"/>
          <w:szCs w:val="28"/>
          <w:lang w:eastAsia="lv-LV"/>
        </w:rPr>
      </w:pPr>
      <w:bookmarkStart w:id="48" w:name="_Toc515440060"/>
      <w:bookmarkStart w:id="49" w:name="_Toc515519009"/>
      <w:r w:rsidRPr="00F2022E">
        <w:rPr>
          <w:rFonts w:ascii="Times New Roman" w:eastAsia="Times New Roman" w:hAnsi="Times New Roman" w:cs="Times New Roman"/>
          <w:b/>
          <w:bCs/>
          <w:i/>
          <w:iCs/>
          <w:sz w:val="28"/>
          <w:szCs w:val="28"/>
          <w:lang w:eastAsia="lv-LV"/>
        </w:rPr>
        <w:lastRenderedPageBreak/>
        <w:t>Anexa nr.</w:t>
      </w:r>
      <w:bookmarkEnd w:id="47"/>
      <w:r>
        <w:rPr>
          <w:rFonts w:ascii="Times New Roman" w:eastAsia="Times New Roman" w:hAnsi="Times New Roman" w:cs="Times New Roman"/>
          <w:b/>
          <w:bCs/>
          <w:i/>
          <w:iCs/>
          <w:sz w:val="28"/>
          <w:szCs w:val="28"/>
          <w:lang w:eastAsia="lv-LV"/>
        </w:rPr>
        <w:t>5</w:t>
      </w:r>
      <w:bookmarkEnd w:id="48"/>
      <w:bookmarkEnd w:id="49"/>
    </w:p>
    <w:p w:rsidR="000A2656" w:rsidRPr="00E74E3B" w:rsidRDefault="000A2656" w:rsidP="000A2656">
      <w:pPr>
        <w:tabs>
          <w:tab w:val="left" w:pos="708"/>
          <w:tab w:val="left" w:pos="1416"/>
          <w:tab w:val="left" w:pos="2124"/>
          <w:tab w:val="left" w:pos="2832"/>
          <w:tab w:val="left" w:pos="3860"/>
        </w:tabs>
        <w:spacing w:after="0" w:line="240" w:lineRule="auto"/>
        <w:jc w:val="both"/>
        <w:rPr>
          <w:rFonts w:ascii="Times New Roman" w:eastAsia="Times New Roman" w:hAnsi="Times New Roman" w:cs="Times New Roman"/>
          <w:bCs/>
          <w:iCs/>
          <w:sz w:val="28"/>
          <w:szCs w:val="28"/>
          <w:lang w:eastAsia="ru-RU"/>
        </w:rPr>
      </w:pPr>
    </w:p>
    <w:p w:rsidR="000A2656" w:rsidRPr="00E74E3B" w:rsidRDefault="000A2656" w:rsidP="000A2656">
      <w:pPr>
        <w:jc w:val="center"/>
        <w:rPr>
          <w:rFonts w:ascii="Times New Roman" w:eastAsia="Times New Roman" w:hAnsi="Times New Roman" w:cs="Times New Roman"/>
          <w:b/>
          <w:bCs/>
          <w:i/>
          <w:iCs/>
          <w:sz w:val="28"/>
          <w:szCs w:val="28"/>
          <w:lang w:eastAsia="ru-RU"/>
        </w:rPr>
      </w:pPr>
      <w:r w:rsidRPr="00F2022E">
        <w:rPr>
          <w:rFonts w:ascii="Times New Roman" w:eastAsia="Times New Roman" w:hAnsi="Times New Roman" w:cs="Times New Roman"/>
          <w:b/>
          <w:bCs/>
          <w:i/>
          <w:iCs/>
          <w:sz w:val="28"/>
          <w:szCs w:val="28"/>
          <w:lang w:eastAsia="ru-RU"/>
        </w:rPr>
        <w:t>Implementarea cerințelor și recomandărilor expuse în</w:t>
      </w:r>
      <w:r>
        <w:rPr>
          <w:rFonts w:ascii="Times New Roman" w:eastAsia="Times New Roman" w:hAnsi="Times New Roman" w:cs="Times New Roman"/>
          <w:b/>
          <w:bCs/>
          <w:i/>
          <w:iCs/>
          <w:sz w:val="28"/>
          <w:szCs w:val="28"/>
          <w:lang w:eastAsia="ru-RU"/>
        </w:rPr>
        <w:t xml:space="preserve"> </w:t>
      </w:r>
      <w:r w:rsidRPr="00F2022E">
        <w:rPr>
          <w:rFonts w:ascii="Times New Roman" w:eastAsia="Times New Roman" w:hAnsi="Times New Roman" w:cs="Times New Roman"/>
          <w:b/>
          <w:bCs/>
          <w:i/>
          <w:iCs/>
          <w:sz w:val="28"/>
          <w:szCs w:val="28"/>
          <w:lang w:eastAsia="ru-RU"/>
        </w:rPr>
        <w:t xml:space="preserve">Hotărârile </w:t>
      </w:r>
      <w:r w:rsidR="00CC4A87">
        <w:rPr>
          <w:rFonts w:ascii="Times New Roman" w:eastAsia="Times New Roman" w:hAnsi="Times New Roman" w:cs="Times New Roman"/>
          <w:b/>
          <w:bCs/>
          <w:i/>
          <w:iCs/>
          <w:sz w:val="28"/>
          <w:szCs w:val="28"/>
          <w:lang w:eastAsia="ru-RU"/>
        </w:rPr>
        <w:t xml:space="preserve">anterioare ale </w:t>
      </w:r>
      <w:r w:rsidRPr="00F2022E">
        <w:rPr>
          <w:rFonts w:ascii="Times New Roman" w:eastAsia="Times New Roman" w:hAnsi="Times New Roman" w:cs="Times New Roman"/>
          <w:b/>
          <w:bCs/>
          <w:i/>
          <w:iCs/>
          <w:sz w:val="28"/>
          <w:szCs w:val="28"/>
          <w:lang w:eastAsia="ru-RU"/>
        </w:rPr>
        <w:t>Curții de Conturi</w:t>
      </w:r>
    </w:p>
    <w:tbl>
      <w:tblPr>
        <w:tblW w:w="140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52"/>
        <w:gridCol w:w="7230"/>
        <w:gridCol w:w="992"/>
        <w:gridCol w:w="992"/>
        <w:gridCol w:w="997"/>
        <w:gridCol w:w="13"/>
        <w:gridCol w:w="6"/>
      </w:tblGrid>
      <w:tr w:rsidR="000A2656" w:rsidRPr="00E74E3B" w:rsidTr="00554099">
        <w:trPr>
          <w:gridAfter w:val="1"/>
          <w:wAfter w:w="6" w:type="dxa"/>
          <w:trHeight w:val="390"/>
        </w:trPr>
        <w:tc>
          <w:tcPr>
            <w:tcW w:w="3852" w:type="dxa"/>
            <w:vMerge w:val="restart"/>
            <w:shd w:val="clear" w:color="auto" w:fill="auto"/>
            <w:vAlign w:val="center"/>
          </w:tcPr>
          <w:p w:rsidR="000A2656" w:rsidRPr="006938D5" w:rsidRDefault="000A2656" w:rsidP="00CC4A87">
            <w:pPr>
              <w:tabs>
                <w:tab w:val="left" w:pos="720"/>
              </w:tabs>
              <w:jc w:val="center"/>
              <w:rPr>
                <w:rFonts w:ascii="Times New Roman" w:hAnsi="Times New Roman" w:cs="Times New Roman"/>
                <w:b/>
                <w:i/>
                <w:sz w:val="24"/>
                <w:szCs w:val="20"/>
              </w:rPr>
            </w:pPr>
            <w:r w:rsidRPr="006938D5">
              <w:rPr>
                <w:rFonts w:ascii="Times New Roman" w:hAnsi="Times New Roman" w:cs="Times New Roman"/>
                <w:b/>
                <w:i/>
                <w:sz w:val="24"/>
                <w:szCs w:val="20"/>
              </w:rPr>
              <w:t>Cerința/</w:t>
            </w:r>
            <w:r w:rsidR="00CC4A87">
              <w:rPr>
                <w:rFonts w:ascii="Times New Roman" w:hAnsi="Times New Roman" w:cs="Times New Roman"/>
                <w:b/>
                <w:i/>
                <w:sz w:val="24"/>
                <w:szCs w:val="20"/>
              </w:rPr>
              <w:t>r</w:t>
            </w:r>
            <w:r w:rsidRPr="006938D5">
              <w:rPr>
                <w:rFonts w:ascii="Times New Roman" w:hAnsi="Times New Roman" w:cs="Times New Roman"/>
                <w:b/>
                <w:i/>
                <w:sz w:val="24"/>
                <w:szCs w:val="20"/>
              </w:rPr>
              <w:t>ecomandarea</w:t>
            </w:r>
          </w:p>
        </w:tc>
        <w:tc>
          <w:tcPr>
            <w:tcW w:w="7230" w:type="dxa"/>
            <w:vMerge w:val="restart"/>
            <w:shd w:val="clear" w:color="auto" w:fill="auto"/>
            <w:vAlign w:val="center"/>
          </w:tcPr>
          <w:p w:rsidR="000A2656" w:rsidRPr="006938D5" w:rsidRDefault="000A2656" w:rsidP="00C627EE">
            <w:pPr>
              <w:tabs>
                <w:tab w:val="left" w:pos="720"/>
              </w:tabs>
              <w:jc w:val="center"/>
              <w:rPr>
                <w:rFonts w:ascii="Times New Roman" w:hAnsi="Times New Roman" w:cs="Times New Roman"/>
                <w:b/>
                <w:i/>
                <w:sz w:val="24"/>
                <w:szCs w:val="20"/>
              </w:rPr>
            </w:pPr>
            <w:r w:rsidRPr="006938D5">
              <w:rPr>
                <w:rFonts w:ascii="Times New Roman" w:hAnsi="Times New Roman" w:cs="Times New Roman"/>
                <w:b/>
                <w:i/>
                <w:sz w:val="24"/>
                <w:szCs w:val="20"/>
              </w:rPr>
              <w:t>Măsurile întreprinse</w:t>
            </w:r>
          </w:p>
        </w:tc>
        <w:tc>
          <w:tcPr>
            <w:tcW w:w="2994" w:type="dxa"/>
            <w:gridSpan w:val="4"/>
            <w:shd w:val="clear" w:color="auto" w:fill="auto"/>
            <w:vAlign w:val="center"/>
          </w:tcPr>
          <w:p w:rsidR="000A2656" w:rsidRPr="006938D5" w:rsidRDefault="000A2656" w:rsidP="00CC4A87">
            <w:pPr>
              <w:spacing w:line="240" w:lineRule="auto"/>
              <w:ind w:left="-106" w:right="-111"/>
              <w:jc w:val="center"/>
              <w:rPr>
                <w:rFonts w:ascii="Times New Roman" w:hAnsi="Times New Roman" w:cs="Times New Roman"/>
                <w:b/>
                <w:i/>
                <w:sz w:val="24"/>
              </w:rPr>
            </w:pPr>
            <w:r w:rsidRPr="006938D5">
              <w:rPr>
                <w:rFonts w:ascii="Times New Roman" w:hAnsi="Times New Roman" w:cs="Times New Roman"/>
                <w:b/>
                <w:i/>
                <w:sz w:val="24"/>
                <w:szCs w:val="20"/>
              </w:rPr>
              <w:t>Statutul implementării cerinței/recomandării</w:t>
            </w:r>
          </w:p>
        </w:tc>
      </w:tr>
      <w:tr w:rsidR="000A2656" w:rsidRPr="00E74E3B" w:rsidTr="00554099">
        <w:trPr>
          <w:gridAfter w:val="2"/>
          <w:wAfter w:w="19" w:type="dxa"/>
          <w:trHeight w:val="565"/>
        </w:trPr>
        <w:tc>
          <w:tcPr>
            <w:tcW w:w="3852" w:type="dxa"/>
            <w:vMerge/>
            <w:shd w:val="clear" w:color="auto" w:fill="auto"/>
            <w:vAlign w:val="center"/>
          </w:tcPr>
          <w:p w:rsidR="000A2656" w:rsidRPr="007E4EF0" w:rsidRDefault="000A2656" w:rsidP="00C627EE">
            <w:pPr>
              <w:tabs>
                <w:tab w:val="left" w:pos="720"/>
              </w:tabs>
              <w:jc w:val="center"/>
              <w:rPr>
                <w:rFonts w:ascii="Times New Roman" w:hAnsi="Times New Roman" w:cs="Times New Roman"/>
                <w:b/>
                <w:i/>
                <w:sz w:val="20"/>
                <w:szCs w:val="20"/>
              </w:rPr>
            </w:pPr>
          </w:p>
        </w:tc>
        <w:tc>
          <w:tcPr>
            <w:tcW w:w="7230" w:type="dxa"/>
            <w:vMerge/>
            <w:shd w:val="clear" w:color="auto" w:fill="auto"/>
            <w:vAlign w:val="center"/>
          </w:tcPr>
          <w:p w:rsidR="000A2656" w:rsidRPr="007E4EF0" w:rsidRDefault="000A2656" w:rsidP="00C627EE">
            <w:pPr>
              <w:tabs>
                <w:tab w:val="left" w:pos="720"/>
              </w:tabs>
              <w:jc w:val="center"/>
              <w:rPr>
                <w:rFonts w:ascii="Times New Roman" w:hAnsi="Times New Roman" w:cs="Times New Roman"/>
                <w:b/>
                <w:i/>
                <w:sz w:val="20"/>
                <w:szCs w:val="20"/>
              </w:rPr>
            </w:pPr>
          </w:p>
        </w:tc>
        <w:tc>
          <w:tcPr>
            <w:tcW w:w="992" w:type="dxa"/>
            <w:shd w:val="clear" w:color="auto" w:fill="auto"/>
            <w:vAlign w:val="center"/>
          </w:tcPr>
          <w:p w:rsidR="000A2656" w:rsidRPr="006938D5" w:rsidRDefault="000A2656" w:rsidP="00C627EE">
            <w:pPr>
              <w:tabs>
                <w:tab w:val="left" w:pos="720"/>
              </w:tabs>
              <w:jc w:val="center"/>
              <w:rPr>
                <w:rFonts w:ascii="Times New Roman" w:hAnsi="Times New Roman" w:cs="Times New Roman"/>
                <w:b/>
                <w:i/>
                <w:sz w:val="24"/>
                <w:szCs w:val="20"/>
              </w:rPr>
            </w:pPr>
            <w:r w:rsidRPr="006938D5">
              <w:rPr>
                <w:rFonts w:ascii="Times New Roman" w:hAnsi="Times New Roman" w:cs="Times New Roman"/>
                <w:b/>
                <w:i/>
                <w:sz w:val="24"/>
                <w:szCs w:val="20"/>
              </w:rPr>
              <w:t>realizat</w:t>
            </w:r>
          </w:p>
        </w:tc>
        <w:tc>
          <w:tcPr>
            <w:tcW w:w="992" w:type="dxa"/>
            <w:shd w:val="clear" w:color="auto" w:fill="auto"/>
            <w:vAlign w:val="center"/>
          </w:tcPr>
          <w:p w:rsidR="000A2656" w:rsidRPr="006938D5" w:rsidRDefault="000A2656" w:rsidP="00C627EE">
            <w:pPr>
              <w:tabs>
                <w:tab w:val="left" w:pos="720"/>
              </w:tabs>
              <w:spacing w:after="0"/>
              <w:jc w:val="center"/>
              <w:rPr>
                <w:rFonts w:ascii="Times New Roman" w:hAnsi="Times New Roman" w:cs="Times New Roman"/>
                <w:b/>
                <w:i/>
                <w:sz w:val="24"/>
                <w:szCs w:val="20"/>
              </w:rPr>
            </w:pPr>
            <w:r w:rsidRPr="006938D5">
              <w:rPr>
                <w:rFonts w:ascii="Times New Roman" w:hAnsi="Times New Roman" w:cs="Times New Roman"/>
                <w:b/>
                <w:i/>
                <w:sz w:val="24"/>
                <w:szCs w:val="20"/>
              </w:rPr>
              <w:t>parțial realizat</w:t>
            </w:r>
          </w:p>
        </w:tc>
        <w:tc>
          <w:tcPr>
            <w:tcW w:w="997" w:type="dxa"/>
            <w:shd w:val="clear" w:color="auto" w:fill="auto"/>
            <w:vAlign w:val="center"/>
          </w:tcPr>
          <w:p w:rsidR="000A2656" w:rsidRPr="006938D5" w:rsidRDefault="000A2656" w:rsidP="00C627EE">
            <w:pPr>
              <w:tabs>
                <w:tab w:val="left" w:pos="720"/>
              </w:tabs>
              <w:ind w:left="-145" w:right="-105" w:firstLine="39"/>
              <w:jc w:val="center"/>
              <w:rPr>
                <w:rFonts w:ascii="Times New Roman" w:hAnsi="Times New Roman" w:cs="Times New Roman"/>
                <w:b/>
                <w:i/>
                <w:sz w:val="24"/>
                <w:szCs w:val="20"/>
              </w:rPr>
            </w:pPr>
            <w:r w:rsidRPr="006938D5">
              <w:rPr>
                <w:rFonts w:ascii="Times New Roman" w:hAnsi="Times New Roman" w:cs="Times New Roman"/>
                <w:b/>
                <w:i/>
                <w:sz w:val="24"/>
                <w:szCs w:val="20"/>
              </w:rPr>
              <w:t>nerealizat</w:t>
            </w:r>
          </w:p>
        </w:tc>
      </w:tr>
      <w:tr w:rsidR="000A2656" w:rsidRPr="00E74E3B" w:rsidTr="00554099">
        <w:trPr>
          <w:gridAfter w:val="2"/>
          <w:wAfter w:w="19" w:type="dxa"/>
        </w:trPr>
        <w:tc>
          <w:tcPr>
            <w:tcW w:w="3852" w:type="dxa"/>
          </w:tcPr>
          <w:p w:rsidR="000A2656" w:rsidRPr="00E74E3B" w:rsidRDefault="000A2656" w:rsidP="00C627EE">
            <w:pPr>
              <w:spacing w:after="0" w:line="240" w:lineRule="auto"/>
              <w:jc w:val="both"/>
              <w:rPr>
                <w:rFonts w:ascii="Times New Roman" w:hAnsi="Times New Roman"/>
                <w:b/>
              </w:rPr>
            </w:pPr>
            <w:r w:rsidRPr="00E74E3B">
              <w:rPr>
                <w:rFonts w:ascii="Times New Roman" w:hAnsi="Times New Roman"/>
                <w:b/>
                <w:i/>
              </w:rPr>
              <w:t xml:space="preserve">Cerința nr. </w:t>
            </w:r>
            <w:r w:rsidRPr="00E74E3B">
              <w:rPr>
                <w:rFonts w:ascii="Times New Roman" w:eastAsia="Times New Roman" w:hAnsi="Times New Roman" w:cs="Times New Roman"/>
                <w:b/>
                <w:i/>
                <w:iCs/>
              </w:rPr>
              <w:t>2.1.1</w:t>
            </w:r>
            <w:r>
              <w:rPr>
                <w:rFonts w:ascii="Times New Roman" w:eastAsia="Times New Roman" w:hAnsi="Times New Roman" w:cs="Times New Roman"/>
                <w:b/>
                <w:i/>
                <w:iCs/>
              </w:rPr>
              <w:t>.</w:t>
            </w:r>
            <w:r w:rsidRPr="00E74E3B">
              <w:rPr>
                <w:rFonts w:ascii="Times New Roman" w:eastAsia="Times New Roman" w:hAnsi="Times New Roman" w:cs="Times New Roman"/>
                <w:i/>
                <w:iCs/>
              </w:rPr>
              <w:t xml:space="preserve"> </w:t>
            </w:r>
            <w:r w:rsidRPr="00E74E3B">
              <w:rPr>
                <w:rFonts w:ascii="Times New Roman" w:eastAsia="Times New Roman" w:hAnsi="Times New Roman" w:cs="Times New Roman"/>
                <w:iCs/>
              </w:rPr>
              <w:t xml:space="preserve">examinarea rezultatelor auditurilor în cadrul Colegiului ministerial, cu aprobarea unui plan de măsuri de remediere a lacunelor în conformitate cu recomandările </w:t>
            </w:r>
            <w:r>
              <w:rPr>
                <w:rFonts w:ascii="Times New Roman" w:eastAsia="Times New Roman" w:hAnsi="Times New Roman" w:cs="Times New Roman"/>
                <w:iCs/>
              </w:rPr>
              <w:t>cuprinse în Rapoartele de audit</w:t>
            </w:r>
          </w:p>
        </w:tc>
        <w:tc>
          <w:tcPr>
            <w:tcW w:w="7230" w:type="dxa"/>
          </w:tcPr>
          <w:p w:rsidR="000A2656" w:rsidRDefault="000A2656" w:rsidP="00C627EE">
            <w:pPr>
              <w:pStyle w:val="a5"/>
              <w:tabs>
                <w:tab w:val="left" w:pos="317"/>
              </w:tabs>
              <w:spacing w:after="0" w:line="240" w:lineRule="auto"/>
              <w:ind w:left="34" w:firstLine="285"/>
              <w:jc w:val="both"/>
              <w:rPr>
                <w:rFonts w:ascii="Times New Roman" w:eastAsia="Times New Roman" w:hAnsi="Times New Roman" w:cs="Times New Roman"/>
                <w:lang w:eastAsia="ru-RU"/>
              </w:rPr>
            </w:pPr>
            <w:r>
              <w:rPr>
                <w:rFonts w:ascii="Times New Roman" w:eastAsia="Times New Roman" w:hAnsi="Times New Roman" w:cs="Times New Roman"/>
                <w:lang w:eastAsia="ru-RU"/>
              </w:rPr>
              <w:t>A fost elaborat și aprobat Planul de măsuri privind implementarea recomandărilor Curții de Conturi privind executarea bugetului de stat pe anul 2016.</w:t>
            </w:r>
          </w:p>
          <w:p w:rsidR="000A2656" w:rsidRDefault="000A2656" w:rsidP="00C627EE">
            <w:pPr>
              <w:pStyle w:val="a5"/>
              <w:tabs>
                <w:tab w:val="left" w:pos="317"/>
              </w:tabs>
              <w:spacing w:after="0" w:line="240" w:lineRule="auto"/>
              <w:ind w:left="34" w:firstLine="285"/>
              <w:jc w:val="both"/>
              <w:rPr>
                <w:rFonts w:ascii="Times New Roman" w:eastAsia="Times New Roman" w:hAnsi="Times New Roman" w:cs="Times New Roman"/>
                <w:lang w:eastAsia="ru-RU"/>
              </w:rPr>
            </w:pPr>
            <w:r>
              <w:rPr>
                <w:rFonts w:ascii="Times New Roman" w:eastAsia="Times New Roman" w:hAnsi="Times New Roman" w:cs="Times New Roman"/>
                <w:lang w:eastAsia="ru-RU"/>
              </w:rPr>
              <w:t>La 26.09.2017 au fost examinate constatările din Raportul de audit în cadrul Colegiului Ministerului Finanțelor.</w:t>
            </w:r>
          </w:p>
          <w:p w:rsidR="000A2656" w:rsidRPr="00044C88" w:rsidRDefault="000A2656" w:rsidP="00CC4A87">
            <w:pPr>
              <w:pStyle w:val="a5"/>
              <w:tabs>
                <w:tab w:val="left" w:pos="317"/>
              </w:tabs>
              <w:spacing w:after="0" w:line="240" w:lineRule="auto"/>
              <w:ind w:left="34" w:firstLine="285"/>
              <w:jc w:val="both"/>
              <w:rPr>
                <w:rFonts w:ascii="Times New Roman" w:eastAsia="Times New Roman" w:hAnsi="Times New Roman" w:cs="Times New Roman"/>
                <w:lang w:eastAsia="ru-RU"/>
              </w:rPr>
            </w:pPr>
            <w:r>
              <w:rPr>
                <w:rFonts w:ascii="Times New Roman" w:eastAsia="Times New Roman" w:hAnsi="Times New Roman" w:cs="Times New Roman"/>
                <w:lang w:eastAsia="ru-RU"/>
              </w:rPr>
              <w:t>A fost elaborat și aprobat Planul de acțiuni și termen</w:t>
            </w:r>
            <w:r w:rsidR="00CC4A87">
              <w:rPr>
                <w:rFonts w:ascii="Times New Roman" w:eastAsia="Times New Roman" w:hAnsi="Times New Roman" w:cs="Times New Roman"/>
                <w:lang w:eastAsia="ru-RU"/>
              </w:rPr>
              <w:t>ele</w:t>
            </w:r>
            <w:r>
              <w:rPr>
                <w:rFonts w:ascii="Times New Roman" w:eastAsia="Times New Roman" w:hAnsi="Times New Roman" w:cs="Times New Roman"/>
                <w:lang w:eastAsia="ru-RU"/>
              </w:rPr>
              <w:t xml:space="preserve"> de implementare a recomandărilor misiunii de audit incluse în HCC</w:t>
            </w:r>
          </w:p>
        </w:tc>
        <w:tc>
          <w:tcPr>
            <w:tcW w:w="992" w:type="dxa"/>
          </w:tcPr>
          <w:p w:rsidR="000A2656" w:rsidRPr="00F2022E" w:rsidRDefault="000A2656" w:rsidP="003F12B5">
            <w:pPr>
              <w:pStyle w:val="a5"/>
              <w:numPr>
                <w:ilvl w:val="0"/>
                <w:numId w:val="10"/>
              </w:numPr>
              <w:tabs>
                <w:tab w:val="left" w:pos="138"/>
                <w:tab w:val="left" w:pos="280"/>
              </w:tabs>
              <w:spacing w:after="0"/>
              <w:ind w:left="-3" w:right="-108" w:firstLine="0"/>
              <w:jc w:val="center"/>
              <w:rPr>
                <w:rFonts w:ascii="Times New Roman" w:hAnsi="Times New Roman" w:cs="Times New Roman"/>
                <w:b/>
                <w:color w:val="000000"/>
              </w:rPr>
            </w:pPr>
          </w:p>
        </w:tc>
        <w:tc>
          <w:tcPr>
            <w:tcW w:w="992" w:type="dxa"/>
          </w:tcPr>
          <w:p w:rsidR="000A2656" w:rsidRDefault="000A2656" w:rsidP="00C627EE">
            <w:pPr>
              <w:spacing w:after="0"/>
              <w:ind w:right="-108"/>
              <w:rPr>
                <w:rFonts w:ascii="Times New Roman" w:hAnsi="Times New Roman" w:cs="Times New Roman"/>
                <w:b/>
                <w:color w:val="000000"/>
              </w:rPr>
            </w:pPr>
          </w:p>
        </w:tc>
        <w:tc>
          <w:tcPr>
            <w:tcW w:w="997" w:type="dxa"/>
          </w:tcPr>
          <w:p w:rsidR="000A2656" w:rsidRPr="00F2022E" w:rsidRDefault="000A2656" w:rsidP="00C627EE">
            <w:pPr>
              <w:pStyle w:val="a5"/>
              <w:tabs>
                <w:tab w:val="left" w:pos="138"/>
                <w:tab w:val="left" w:pos="280"/>
              </w:tabs>
              <w:spacing w:after="0"/>
              <w:ind w:left="-3" w:right="-108"/>
              <w:rPr>
                <w:rFonts w:ascii="Times New Roman" w:hAnsi="Times New Roman" w:cs="Times New Roman"/>
                <w:b/>
                <w:color w:val="000000"/>
              </w:rPr>
            </w:pPr>
          </w:p>
        </w:tc>
      </w:tr>
      <w:tr w:rsidR="000A2656" w:rsidRPr="00E74E3B" w:rsidTr="00554099">
        <w:trPr>
          <w:gridAfter w:val="2"/>
          <w:wAfter w:w="19" w:type="dxa"/>
        </w:trPr>
        <w:tc>
          <w:tcPr>
            <w:tcW w:w="3852" w:type="dxa"/>
          </w:tcPr>
          <w:p w:rsidR="000A2656" w:rsidRPr="00775930" w:rsidRDefault="000A2656" w:rsidP="00CC4A87">
            <w:pPr>
              <w:pStyle w:val="ListParagraph1"/>
              <w:tabs>
                <w:tab w:val="left" w:pos="-3"/>
              </w:tabs>
              <w:ind w:left="0"/>
              <w:jc w:val="both"/>
              <w:rPr>
                <w:sz w:val="22"/>
                <w:szCs w:val="22"/>
                <w:lang w:val="ro-MD" w:bidi="ps-AF"/>
              </w:rPr>
            </w:pPr>
            <w:r w:rsidRPr="00775930">
              <w:rPr>
                <w:b/>
                <w:i/>
                <w:sz w:val="22"/>
                <w:szCs w:val="22"/>
                <w:lang w:val="ro-MD"/>
              </w:rPr>
              <w:t>Cerința nr. 2.1.2.</w:t>
            </w:r>
            <w:r w:rsidRPr="00775930">
              <w:rPr>
                <w:i/>
                <w:sz w:val="22"/>
                <w:szCs w:val="22"/>
                <w:lang w:val="ro-MD"/>
              </w:rPr>
              <w:t xml:space="preserve"> </w:t>
            </w:r>
            <w:r w:rsidRPr="00775930">
              <w:rPr>
                <w:sz w:val="22"/>
                <w:szCs w:val="22"/>
                <w:lang w:val="ro-MD"/>
              </w:rPr>
              <w:t>dispunerea acțiunilor de rigoare privind dezvoltarea și ajustarea posibilităților Sistemului Informațional destinat generalizării rapoartelor financiare ale instituțiilor bugetare, în special a celor aferente Clasificației bugetare organizaționale 1</w:t>
            </w:r>
          </w:p>
        </w:tc>
        <w:tc>
          <w:tcPr>
            <w:tcW w:w="7230" w:type="dxa"/>
          </w:tcPr>
          <w:p w:rsidR="000A2656" w:rsidRPr="00044C88" w:rsidRDefault="000A2656" w:rsidP="00CC4A87">
            <w:pPr>
              <w:pStyle w:val="a5"/>
              <w:tabs>
                <w:tab w:val="left" w:pos="317"/>
              </w:tabs>
              <w:spacing w:after="0" w:line="240" w:lineRule="auto"/>
              <w:ind w:left="34" w:firstLine="285"/>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A fost elaborată și testată generalizarea de către MF a rapoartelor financiare la nivel de autoritate publică centrală. Sunt planificate pentru 2018 lucrări de dezvoltare a funcționalității respective </w:t>
            </w:r>
            <w:r w:rsidR="00CC4A87">
              <w:rPr>
                <w:rFonts w:ascii="Times New Roman" w:eastAsia="Times New Roman" w:hAnsi="Times New Roman" w:cs="Times New Roman"/>
                <w:lang w:eastAsia="ru-RU"/>
              </w:rPr>
              <w:t>pentru</w:t>
            </w:r>
            <w:r>
              <w:rPr>
                <w:rFonts w:ascii="Times New Roman" w:eastAsia="Times New Roman" w:hAnsi="Times New Roman" w:cs="Times New Roman"/>
                <w:lang w:eastAsia="ru-RU"/>
              </w:rPr>
              <w:t xml:space="preserve"> generalizarea rapoartelor financiare ale instituțiilor bugetare subordonate de către APC</w:t>
            </w:r>
          </w:p>
        </w:tc>
        <w:tc>
          <w:tcPr>
            <w:tcW w:w="992" w:type="dxa"/>
          </w:tcPr>
          <w:p w:rsidR="000A2656" w:rsidRPr="00E74E3B" w:rsidRDefault="000A2656" w:rsidP="00C627EE">
            <w:pPr>
              <w:spacing w:after="0"/>
              <w:jc w:val="both"/>
              <w:rPr>
                <w:rFonts w:ascii="Times New Roman" w:hAnsi="Times New Roman" w:cs="Times New Roman"/>
              </w:rPr>
            </w:pPr>
          </w:p>
        </w:tc>
        <w:tc>
          <w:tcPr>
            <w:tcW w:w="992" w:type="dxa"/>
          </w:tcPr>
          <w:p w:rsidR="000A2656" w:rsidRPr="00F2022E" w:rsidRDefault="000A2656" w:rsidP="003F12B5">
            <w:pPr>
              <w:pStyle w:val="a5"/>
              <w:numPr>
                <w:ilvl w:val="0"/>
                <w:numId w:val="10"/>
              </w:numPr>
              <w:tabs>
                <w:tab w:val="left" w:pos="138"/>
                <w:tab w:val="left" w:pos="280"/>
              </w:tabs>
              <w:spacing w:after="0"/>
              <w:ind w:left="-3" w:right="-108" w:firstLine="0"/>
              <w:jc w:val="center"/>
              <w:rPr>
                <w:rFonts w:ascii="Times New Roman" w:hAnsi="Times New Roman" w:cs="Times New Roman"/>
                <w:b/>
                <w:color w:val="000000"/>
              </w:rPr>
            </w:pPr>
          </w:p>
        </w:tc>
        <w:tc>
          <w:tcPr>
            <w:tcW w:w="997" w:type="dxa"/>
          </w:tcPr>
          <w:p w:rsidR="000A2656" w:rsidRPr="00CE0F4A" w:rsidRDefault="000A2656" w:rsidP="00C627EE">
            <w:pPr>
              <w:spacing w:after="0"/>
              <w:ind w:right="-104"/>
              <w:rPr>
                <w:rFonts w:ascii="Times New Roman" w:hAnsi="Times New Roman" w:cs="Times New Roman"/>
                <w:i/>
              </w:rPr>
            </w:pPr>
          </w:p>
        </w:tc>
      </w:tr>
      <w:tr w:rsidR="000A2656" w:rsidRPr="00E74E3B" w:rsidTr="00554099">
        <w:trPr>
          <w:gridAfter w:val="2"/>
          <w:wAfter w:w="19" w:type="dxa"/>
          <w:trHeight w:val="305"/>
        </w:trPr>
        <w:tc>
          <w:tcPr>
            <w:tcW w:w="3852" w:type="dxa"/>
          </w:tcPr>
          <w:p w:rsidR="000A2656" w:rsidRPr="00775930" w:rsidRDefault="000A2656" w:rsidP="00F21328">
            <w:pPr>
              <w:pStyle w:val="ListParagraph1"/>
              <w:tabs>
                <w:tab w:val="left" w:pos="-3"/>
              </w:tabs>
              <w:ind w:left="0"/>
              <w:jc w:val="both"/>
              <w:rPr>
                <w:sz w:val="22"/>
                <w:szCs w:val="22"/>
                <w:lang w:val="ro-MD"/>
              </w:rPr>
            </w:pPr>
            <w:r w:rsidRPr="00775930">
              <w:rPr>
                <w:b/>
                <w:i/>
                <w:sz w:val="22"/>
                <w:szCs w:val="22"/>
                <w:lang w:val="ro-MD"/>
              </w:rPr>
              <w:t>Cerința nr. 2.1.3</w:t>
            </w:r>
            <w:r w:rsidR="00764D6E" w:rsidRPr="00775930">
              <w:rPr>
                <w:i/>
                <w:sz w:val="22"/>
                <w:szCs w:val="22"/>
                <w:lang w:val="ro-MD"/>
              </w:rPr>
              <w:t xml:space="preserve"> </w:t>
            </w:r>
            <w:r w:rsidRPr="00775930">
              <w:rPr>
                <w:sz w:val="22"/>
                <w:szCs w:val="22"/>
                <w:lang w:val="ro-MD"/>
              </w:rPr>
              <w:t>reglementarea consecutivității și criteriilor pentru achitarea documentelor executorii de la bugetul de stat, precum și asigurarea coerenței acestora în corespundere cu prevederile legale</w:t>
            </w:r>
          </w:p>
        </w:tc>
        <w:tc>
          <w:tcPr>
            <w:tcW w:w="7230" w:type="dxa"/>
          </w:tcPr>
          <w:p w:rsidR="000A2656" w:rsidRPr="00C50CA6" w:rsidRDefault="000A2656" w:rsidP="00F21328">
            <w:pPr>
              <w:spacing w:after="0" w:line="240" w:lineRule="auto"/>
              <w:ind w:firstLine="319"/>
              <w:jc w:val="both"/>
              <w:rPr>
                <w:rFonts w:ascii="Times New Roman" w:hAnsi="Times New Roman"/>
              </w:rPr>
            </w:pPr>
            <w:r w:rsidRPr="00C50CA6">
              <w:rPr>
                <w:rFonts w:ascii="Times New Roman" w:hAnsi="Times New Roman"/>
              </w:rPr>
              <w:t>Consecutivitatea și criteriile pentru achitarea</w:t>
            </w:r>
            <w:r>
              <w:rPr>
                <w:rFonts w:ascii="Times New Roman" w:hAnsi="Times New Roman"/>
              </w:rPr>
              <w:t xml:space="preserve"> documentelor executorii de la BS sunt reglementate în pct.22 din Regulamentul privind managementul lichidităților bugetului de stat</w:t>
            </w:r>
            <w:r w:rsidR="00F21328">
              <w:rPr>
                <w:rFonts w:ascii="Times New Roman" w:hAnsi="Times New Roman"/>
              </w:rPr>
              <w:t>,</w:t>
            </w:r>
            <w:r>
              <w:rPr>
                <w:rFonts w:ascii="Times New Roman" w:hAnsi="Times New Roman"/>
              </w:rPr>
              <w:t xml:space="preserve"> aprobat prin Ordinul ministrului finanțelor nr.03 din 09.01.2017</w:t>
            </w:r>
          </w:p>
        </w:tc>
        <w:tc>
          <w:tcPr>
            <w:tcW w:w="992" w:type="dxa"/>
          </w:tcPr>
          <w:p w:rsidR="000A2656" w:rsidRPr="00F2022E" w:rsidRDefault="000A2656" w:rsidP="003F12B5">
            <w:pPr>
              <w:pStyle w:val="a5"/>
              <w:numPr>
                <w:ilvl w:val="0"/>
                <w:numId w:val="10"/>
              </w:numPr>
              <w:tabs>
                <w:tab w:val="left" w:pos="138"/>
                <w:tab w:val="left" w:pos="280"/>
              </w:tabs>
              <w:spacing w:after="0"/>
              <w:ind w:left="-3" w:right="-108" w:firstLine="0"/>
              <w:jc w:val="center"/>
              <w:rPr>
                <w:rFonts w:ascii="Times New Roman" w:hAnsi="Times New Roman" w:cs="Times New Roman"/>
                <w:b/>
                <w:color w:val="000000"/>
              </w:rPr>
            </w:pPr>
          </w:p>
        </w:tc>
        <w:tc>
          <w:tcPr>
            <w:tcW w:w="992" w:type="dxa"/>
          </w:tcPr>
          <w:p w:rsidR="000A2656" w:rsidRPr="00E74E3B" w:rsidRDefault="000A2656" w:rsidP="00C627EE">
            <w:pPr>
              <w:spacing w:after="0"/>
              <w:jc w:val="both"/>
              <w:rPr>
                <w:rFonts w:ascii="Times New Roman" w:hAnsi="Times New Roman" w:cs="Times New Roman"/>
                <w:b/>
              </w:rPr>
            </w:pPr>
          </w:p>
        </w:tc>
        <w:tc>
          <w:tcPr>
            <w:tcW w:w="997" w:type="dxa"/>
          </w:tcPr>
          <w:p w:rsidR="000A2656" w:rsidRPr="00E74E3B" w:rsidRDefault="000A2656" w:rsidP="00C627EE">
            <w:pPr>
              <w:spacing w:after="0"/>
              <w:jc w:val="both"/>
              <w:rPr>
                <w:rFonts w:ascii="Times New Roman" w:hAnsi="Times New Roman" w:cs="Times New Roman"/>
                <w:b/>
              </w:rPr>
            </w:pPr>
          </w:p>
        </w:tc>
      </w:tr>
      <w:tr w:rsidR="000A2656" w:rsidRPr="00E74E3B" w:rsidTr="00554099">
        <w:trPr>
          <w:gridAfter w:val="2"/>
          <w:wAfter w:w="19" w:type="dxa"/>
          <w:trHeight w:val="305"/>
        </w:trPr>
        <w:tc>
          <w:tcPr>
            <w:tcW w:w="3852" w:type="dxa"/>
          </w:tcPr>
          <w:p w:rsidR="000A2656" w:rsidRPr="00775930" w:rsidRDefault="000A2656" w:rsidP="00F21328">
            <w:pPr>
              <w:pStyle w:val="ListParagraph1"/>
              <w:tabs>
                <w:tab w:val="left" w:pos="-3"/>
              </w:tabs>
              <w:ind w:left="0"/>
              <w:jc w:val="both"/>
              <w:rPr>
                <w:b/>
                <w:sz w:val="22"/>
                <w:szCs w:val="22"/>
                <w:lang w:val="ro-MD"/>
              </w:rPr>
            </w:pPr>
            <w:r w:rsidRPr="00775930">
              <w:rPr>
                <w:b/>
                <w:i/>
                <w:sz w:val="22"/>
                <w:szCs w:val="22"/>
                <w:lang w:val="ro-MD"/>
              </w:rPr>
              <w:t>Cerința nr. 2.1.4.</w:t>
            </w:r>
            <w:r w:rsidRPr="00775930">
              <w:rPr>
                <w:sz w:val="22"/>
                <w:szCs w:val="22"/>
                <w:lang w:val="ro-MD" w:eastAsia="ru-RU"/>
              </w:rPr>
              <w:t xml:space="preserve"> </w:t>
            </w:r>
            <w:r w:rsidR="00F21328" w:rsidRPr="00775930">
              <w:rPr>
                <w:sz w:val="22"/>
                <w:szCs w:val="22"/>
                <w:lang w:val="ro-MD" w:eastAsia="ru-RU"/>
              </w:rPr>
              <w:t>d</w:t>
            </w:r>
            <w:r w:rsidRPr="00775930">
              <w:rPr>
                <w:sz w:val="22"/>
                <w:szCs w:val="22"/>
                <w:lang w:val="ro-MD" w:eastAsia="ru-RU"/>
              </w:rPr>
              <w:t xml:space="preserve">e comun cu organele de resort (Serviciul Fiscal de Stat și Serviciul Vamal), întreprinderea măsurilor în vederea fortificării controlului privind conformitatea aplicării facilităților fiscale și vamale, </w:t>
            </w:r>
            <w:r w:rsidRPr="00775930">
              <w:rPr>
                <w:sz w:val="22"/>
                <w:szCs w:val="22"/>
                <w:lang w:val="ro-MD" w:eastAsia="ru-RU"/>
              </w:rPr>
              <w:lastRenderedPageBreak/>
              <w:t>asigurării evidenței și raportării conforme a acestora</w:t>
            </w:r>
          </w:p>
        </w:tc>
        <w:tc>
          <w:tcPr>
            <w:tcW w:w="7230" w:type="dxa"/>
          </w:tcPr>
          <w:p w:rsidR="000A2656" w:rsidRDefault="000A2656" w:rsidP="00C627EE">
            <w:pPr>
              <w:pStyle w:val="a5"/>
              <w:tabs>
                <w:tab w:val="left" w:pos="317"/>
              </w:tabs>
              <w:spacing w:after="0" w:line="240" w:lineRule="auto"/>
              <w:ind w:left="34" w:firstLine="283"/>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SFS a inițiat procedura de elaborare a produsului informațional care va conține situația generalizatoare aferent</w:t>
            </w:r>
            <w:r w:rsidR="00F21328">
              <w:rPr>
                <w:rFonts w:ascii="Times New Roman" w:eastAsia="Times New Roman" w:hAnsi="Times New Roman" w:cs="Times New Roman"/>
                <w:lang w:eastAsia="ru-RU"/>
              </w:rPr>
              <w:t>ă</w:t>
            </w:r>
            <w:r>
              <w:rPr>
                <w:rFonts w:ascii="Times New Roman" w:eastAsia="Times New Roman" w:hAnsi="Times New Roman" w:cs="Times New Roman"/>
                <w:lang w:eastAsia="ru-RU"/>
              </w:rPr>
              <w:t xml:space="preserve"> fiecărui tip de facilitate.</w:t>
            </w:r>
            <w:r w:rsidRPr="00B32A81">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SI al SFS permite generarea rapoartelor aferente fiecărui tip de facilitate fiscală la impozitele directe</w:t>
            </w:r>
            <w:r w:rsidR="00F21328">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impozitele și taxele locale. La TVA aceasta nu este posibil, reieșind din considerentul că facilitatea fiscală este aplicabilă la toate etapele circuitului economic a</w:t>
            </w:r>
            <w:r w:rsidR="00F21328">
              <w:rPr>
                <w:rFonts w:ascii="Times New Roman" w:eastAsia="Times New Roman" w:hAnsi="Times New Roman" w:cs="Times New Roman"/>
                <w:lang w:eastAsia="ru-RU"/>
              </w:rPr>
              <w:t>l</w:t>
            </w:r>
            <w:r>
              <w:rPr>
                <w:rFonts w:ascii="Times New Roman" w:eastAsia="Times New Roman" w:hAnsi="Times New Roman" w:cs="Times New Roman"/>
                <w:lang w:eastAsia="ru-RU"/>
              </w:rPr>
              <w:t xml:space="preserve"> mărfii/serviciului.</w:t>
            </w:r>
          </w:p>
          <w:p w:rsidR="000A2656" w:rsidRDefault="000A2656" w:rsidP="00C627EE">
            <w:pPr>
              <w:pStyle w:val="a5"/>
              <w:tabs>
                <w:tab w:val="left" w:pos="317"/>
              </w:tabs>
              <w:spacing w:after="0" w:line="240" w:lineRule="auto"/>
              <w:ind w:left="34" w:firstLine="283"/>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SV a întocmit Raportul privind rezultatele realizării supravegherii vamale, care conține analiza privind agenții economici asupra cărora există suspiciuni de încălcare a legislației vamale. Urmare </w:t>
            </w:r>
            <w:r w:rsidR="00F21328">
              <w:rPr>
                <w:rFonts w:ascii="Times New Roman" w:eastAsia="Times New Roman" w:hAnsi="Times New Roman" w:cs="Times New Roman"/>
                <w:lang w:eastAsia="ru-RU"/>
              </w:rPr>
              <w:t xml:space="preserve">a </w:t>
            </w:r>
            <w:r>
              <w:rPr>
                <w:rFonts w:ascii="Times New Roman" w:eastAsia="Times New Roman" w:hAnsi="Times New Roman" w:cs="Times New Roman"/>
                <w:lang w:eastAsia="ru-RU"/>
              </w:rPr>
              <w:t xml:space="preserve">efectuării analizei de risc a agenților economici care au beneficiat de tratament tarifar favorabil și rămân sub supraveghere vamală, în 2017 au fost incluși în programele de activitate a subdiviziunilor de control ulterior 73 </w:t>
            </w:r>
            <w:r w:rsidR="00F21328">
              <w:rPr>
                <w:rFonts w:ascii="Times New Roman" w:eastAsia="Times New Roman" w:hAnsi="Times New Roman" w:cs="Times New Roman"/>
                <w:lang w:eastAsia="ru-RU"/>
              </w:rPr>
              <w:t xml:space="preserve">de </w:t>
            </w:r>
            <w:r>
              <w:rPr>
                <w:rFonts w:ascii="Times New Roman" w:eastAsia="Times New Roman" w:hAnsi="Times New Roman" w:cs="Times New Roman"/>
                <w:lang w:eastAsia="ru-RU"/>
              </w:rPr>
              <w:t>agenți economici cu impactul bugetar cel mai semnificativ.</w:t>
            </w:r>
          </w:p>
          <w:p w:rsidR="000A2656" w:rsidRPr="00611932" w:rsidRDefault="000A2656" w:rsidP="00F21328">
            <w:pPr>
              <w:pStyle w:val="a5"/>
              <w:tabs>
                <w:tab w:val="left" w:pos="317"/>
              </w:tabs>
              <w:spacing w:after="0" w:line="240" w:lineRule="auto"/>
              <w:ind w:left="34" w:firstLine="283"/>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Au fost identificați 498 </w:t>
            </w:r>
            <w:r w:rsidR="00F21328">
              <w:rPr>
                <w:rFonts w:ascii="Times New Roman" w:eastAsia="Times New Roman" w:hAnsi="Times New Roman" w:cs="Times New Roman"/>
                <w:lang w:eastAsia="ru-RU"/>
              </w:rPr>
              <w:t xml:space="preserve">de </w:t>
            </w:r>
            <w:r>
              <w:rPr>
                <w:rFonts w:ascii="Times New Roman" w:eastAsia="Times New Roman" w:hAnsi="Times New Roman" w:cs="Times New Roman"/>
                <w:lang w:eastAsia="ru-RU"/>
              </w:rPr>
              <w:t xml:space="preserve">agenți economici care au beneficiat de tratament tarifar favorabil și rămân sub supraveghere vamală. A fost stabilit că, în perioada 29.08 2014 – 30.06.2017, au beneficiat de tratamente tarifare favorabile prin utilizarea facilităților vamale și fiscale la importul mărfurilor în funcție de destinația lor finală 1733 </w:t>
            </w:r>
            <w:r w:rsidR="00F21328">
              <w:rPr>
                <w:rFonts w:ascii="Times New Roman" w:eastAsia="Times New Roman" w:hAnsi="Times New Roman" w:cs="Times New Roman"/>
                <w:lang w:eastAsia="ru-RU"/>
              </w:rPr>
              <w:t xml:space="preserve">de </w:t>
            </w:r>
            <w:r>
              <w:rPr>
                <w:rFonts w:ascii="Times New Roman" w:eastAsia="Times New Roman" w:hAnsi="Times New Roman" w:cs="Times New Roman"/>
                <w:lang w:eastAsia="ru-RU"/>
              </w:rPr>
              <w:t>agenți economici cu valoarea în vamă totală în sumă de 9106,72 mil.lei. La finele fiecărei săptămâni, se informează conducerea SV despre rezultatele controalelor finisate. Au fost organizate instruiri pentru inspectorii stagiari din cadrul SV. Direcția venituri vamale va asigura instruirea permanentă a colaboratorilor vamali cu privire la punerea în aplicare a facilităților fiscale și vamale, conform programului de instruire</w:t>
            </w:r>
          </w:p>
        </w:tc>
        <w:tc>
          <w:tcPr>
            <w:tcW w:w="992" w:type="dxa"/>
          </w:tcPr>
          <w:p w:rsidR="000A2656" w:rsidRPr="00E74E3B" w:rsidRDefault="000A2656" w:rsidP="00C627EE">
            <w:pPr>
              <w:spacing w:after="0" w:line="240" w:lineRule="auto"/>
              <w:jc w:val="both"/>
              <w:rPr>
                <w:rFonts w:ascii="Times New Roman" w:hAnsi="Times New Roman" w:cs="Times New Roman"/>
              </w:rPr>
            </w:pPr>
          </w:p>
          <w:p w:rsidR="000A2656" w:rsidRPr="00E74E3B" w:rsidRDefault="000A2656" w:rsidP="00C627EE">
            <w:pPr>
              <w:spacing w:after="0" w:line="240" w:lineRule="auto"/>
              <w:jc w:val="both"/>
              <w:rPr>
                <w:rFonts w:ascii="Times New Roman" w:hAnsi="Times New Roman" w:cs="Times New Roman"/>
              </w:rPr>
            </w:pPr>
          </w:p>
        </w:tc>
        <w:tc>
          <w:tcPr>
            <w:tcW w:w="992" w:type="dxa"/>
          </w:tcPr>
          <w:p w:rsidR="000A2656" w:rsidRPr="00F2022E" w:rsidRDefault="000A2656" w:rsidP="003F12B5">
            <w:pPr>
              <w:pStyle w:val="a5"/>
              <w:numPr>
                <w:ilvl w:val="0"/>
                <w:numId w:val="10"/>
              </w:numPr>
              <w:tabs>
                <w:tab w:val="left" w:pos="138"/>
                <w:tab w:val="left" w:pos="280"/>
              </w:tabs>
              <w:spacing w:after="0"/>
              <w:ind w:left="-3" w:right="-108" w:firstLine="0"/>
              <w:jc w:val="center"/>
              <w:rPr>
                <w:rFonts w:ascii="Times New Roman" w:hAnsi="Times New Roman" w:cs="Times New Roman"/>
                <w:b/>
                <w:color w:val="000000"/>
              </w:rPr>
            </w:pPr>
          </w:p>
        </w:tc>
        <w:tc>
          <w:tcPr>
            <w:tcW w:w="997" w:type="dxa"/>
          </w:tcPr>
          <w:p w:rsidR="000A2656" w:rsidRPr="00CE0F4A" w:rsidRDefault="000A2656" w:rsidP="00C627EE">
            <w:pPr>
              <w:spacing w:after="0"/>
              <w:ind w:right="-104"/>
              <w:rPr>
                <w:rFonts w:ascii="Times New Roman" w:hAnsi="Times New Roman" w:cs="Times New Roman"/>
                <w:i/>
              </w:rPr>
            </w:pPr>
          </w:p>
        </w:tc>
      </w:tr>
      <w:tr w:rsidR="000A2656" w:rsidRPr="00E74E3B" w:rsidTr="00554099">
        <w:trPr>
          <w:gridAfter w:val="2"/>
          <w:wAfter w:w="19" w:type="dxa"/>
          <w:trHeight w:val="305"/>
        </w:trPr>
        <w:tc>
          <w:tcPr>
            <w:tcW w:w="3852" w:type="dxa"/>
          </w:tcPr>
          <w:p w:rsidR="000A2656" w:rsidRPr="00775930" w:rsidRDefault="000A2656" w:rsidP="00697114">
            <w:pPr>
              <w:pStyle w:val="ListParagraph1"/>
              <w:tabs>
                <w:tab w:val="left" w:pos="-3"/>
              </w:tabs>
              <w:ind w:left="0"/>
              <w:jc w:val="both"/>
              <w:rPr>
                <w:b/>
                <w:i/>
                <w:sz w:val="22"/>
                <w:szCs w:val="22"/>
                <w:lang w:val="ro-MD"/>
              </w:rPr>
            </w:pPr>
            <w:r w:rsidRPr="00775930">
              <w:rPr>
                <w:b/>
                <w:i/>
                <w:sz w:val="22"/>
                <w:szCs w:val="22"/>
                <w:lang w:val="ro-MD"/>
              </w:rPr>
              <w:t>Recomandarea nr.1</w:t>
            </w:r>
            <w:r w:rsidR="00F21328" w:rsidRPr="00775930">
              <w:rPr>
                <w:b/>
                <w:i/>
                <w:sz w:val="22"/>
                <w:szCs w:val="22"/>
                <w:lang w:val="ro-MD"/>
              </w:rPr>
              <w:t>.</w:t>
            </w:r>
            <w:r w:rsidRPr="00775930">
              <w:rPr>
                <w:b/>
                <w:sz w:val="22"/>
                <w:szCs w:val="22"/>
                <w:lang w:val="ro-MD"/>
              </w:rPr>
              <w:t xml:space="preserve"> </w:t>
            </w:r>
            <w:r w:rsidRPr="00775930">
              <w:rPr>
                <w:sz w:val="22"/>
                <w:szCs w:val="22"/>
                <w:lang w:val="ro-MD"/>
              </w:rPr>
              <w:t>Să elaboreze mecanismul de reflectare a sumelor încasate la buget sub formă de „Restituire a alocațiilor din anii precedenți”, cu respectarea regulilor noi de bugetare</w:t>
            </w:r>
          </w:p>
        </w:tc>
        <w:tc>
          <w:tcPr>
            <w:tcW w:w="7230" w:type="dxa"/>
          </w:tcPr>
          <w:p w:rsidR="000A2656" w:rsidRPr="00044C88" w:rsidRDefault="000A2656" w:rsidP="00AE6040">
            <w:pPr>
              <w:pStyle w:val="a5"/>
              <w:tabs>
                <w:tab w:val="left" w:pos="317"/>
              </w:tabs>
              <w:spacing w:after="0" w:line="240" w:lineRule="auto"/>
              <w:ind w:left="34" w:firstLine="285"/>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Au fost efectuate modificări în </w:t>
            </w:r>
            <w:r w:rsidR="00AE6040">
              <w:rPr>
                <w:rFonts w:ascii="Times New Roman" w:eastAsia="Times New Roman" w:hAnsi="Times New Roman" w:cs="Times New Roman"/>
                <w:lang w:eastAsia="ru-RU"/>
              </w:rPr>
              <w:t>C</w:t>
            </w:r>
            <w:r>
              <w:rPr>
                <w:rFonts w:ascii="Times New Roman" w:eastAsia="Times New Roman" w:hAnsi="Times New Roman" w:cs="Times New Roman"/>
                <w:lang w:eastAsia="ru-RU"/>
              </w:rPr>
              <w:t xml:space="preserve">lasificația bugetară. Astfel, sumele încasate la buget de la restituirea alocațiilor anilor precedenți vor fi reflectate începând cu 01.01.2018 la tipul IV ACTIVE financiare, la clasificația economică 418130 „Rambursarea mijloacelor bugetare din anii precedenți la buget. </w:t>
            </w:r>
            <w:r>
              <w:rPr>
                <w:rFonts w:ascii="Times New Roman" w:hAnsi="Times New Roman" w:cs="Times New Roman"/>
              </w:rPr>
              <w:t>Ordinul MF „Privind modificarea și completarea Clasificației bugetare” nr.151 din 21.12.2017</w:t>
            </w:r>
          </w:p>
        </w:tc>
        <w:tc>
          <w:tcPr>
            <w:tcW w:w="992" w:type="dxa"/>
          </w:tcPr>
          <w:p w:rsidR="000A2656" w:rsidRPr="00F2022E" w:rsidRDefault="000A2656" w:rsidP="003F12B5">
            <w:pPr>
              <w:pStyle w:val="a5"/>
              <w:numPr>
                <w:ilvl w:val="0"/>
                <w:numId w:val="10"/>
              </w:numPr>
              <w:tabs>
                <w:tab w:val="left" w:pos="138"/>
                <w:tab w:val="left" w:pos="280"/>
              </w:tabs>
              <w:spacing w:after="0"/>
              <w:ind w:left="-3" w:right="-108" w:firstLine="0"/>
              <w:jc w:val="center"/>
              <w:rPr>
                <w:rFonts w:ascii="Times New Roman" w:hAnsi="Times New Roman" w:cs="Times New Roman"/>
                <w:b/>
                <w:color w:val="000000"/>
              </w:rPr>
            </w:pPr>
          </w:p>
        </w:tc>
        <w:tc>
          <w:tcPr>
            <w:tcW w:w="992" w:type="dxa"/>
          </w:tcPr>
          <w:p w:rsidR="000A2656" w:rsidRDefault="000A2656" w:rsidP="00C627EE">
            <w:pPr>
              <w:spacing w:after="0"/>
              <w:jc w:val="both"/>
              <w:rPr>
                <w:rFonts w:ascii="Times New Roman" w:hAnsi="Times New Roman" w:cs="Times New Roman"/>
                <w:b/>
              </w:rPr>
            </w:pPr>
          </w:p>
        </w:tc>
        <w:tc>
          <w:tcPr>
            <w:tcW w:w="997" w:type="dxa"/>
          </w:tcPr>
          <w:p w:rsidR="000A2656" w:rsidRPr="00E74E3B" w:rsidRDefault="000A2656" w:rsidP="00C627EE">
            <w:pPr>
              <w:spacing w:after="0"/>
              <w:jc w:val="both"/>
              <w:rPr>
                <w:rFonts w:ascii="Times New Roman" w:hAnsi="Times New Roman" w:cs="Times New Roman"/>
                <w:b/>
              </w:rPr>
            </w:pPr>
          </w:p>
        </w:tc>
      </w:tr>
      <w:tr w:rsidR="000A2656" w:rsidRPr="00E74E3B" w:rsidTr="00554099">
        <w:trPr>
          <w:gridAfter w:val="2"/>
          <w:wAfter w:w="19" w:type="dxa"/>
          <w:trHeight w:val="305"/>
        </w:trPr>
        <w:tc>
          <w:tcPr>
            <w:tcW w:w="3852" w:type="dxa"/>
          </w:tcPr>
          <w:p w:rsidR="000A2656" w:rsidRPr="00775930" w:rsidRDefault="000A2656" w:rsidP="00697114">
            <w:pPr>
              <w:pStyle w:val="ListParagraph1"/>
              <w:tabs>
                <w:tab w:val="left" w:pos="-3"/>
              </w:tabs>
              <w:ind w:left="0"/>
              <w:jc w:val="both"/>
              <w:rPr>
                <w:sz w:val="22"/>
                <w:szCs w:val="22"/>
                <w:lang w:val="ro-MD"/>
              </w:rPr>
            </w:pPr>
            <w:r w:rsidRPr="00775930">
              <w:rPr>
                <w:b/>
                <w:i/>
                <w:sz w:val="22"/>
                <w:szCs w:val="22"/>
                <w:lang w:val="ro-MD"/>
              </w:rPr>
              <w:t>Recomandarea nr.2.</w:t>
            </w:r>
            <w:r w:rsidRPr="00775930">
              <w:rPr>
                <w:sz w:val="22"/>
                <w:szCs w:val="22"/>
                <w:lang w:val="ro-MD"/>
              </w:rPr>
              <w:t xml:space="preserve"> Să elaboreze, să aprobe și să implementeze Registrul/Lista obiectelor care necesită reparații capitale, prin atribuirea codurilor distincte fiecărui obiect, pentru asigurarea monitorizării volumului lucrărilor de reparații capitale efectuate și, respectiv, de resurse alocate</w:t>
            </w:r>
          </w:p>
        </w:tc>
        <w:tc>
          <w:tcPr>
            <w:tcW w:w="7230" w:type="dxa"/>
          </w:tcPr>
          <w:p w:rsidR="000A2656" w:rsidRPr="00E74E3B" w:rsidRDefault="000A2656" w:rsidP="00697114">
            <w:pPr>
              <w:spacing w:after="0" w:line="240" w:lineRule="auto"/>
              <w:ind w:firstLine="319"/>
              <w:jc w:val="both"/>
              <w:rPr>
                <w:rFonts w:ascii="Times New Roman" w:hAnsi="Times New Roman"/>
                <w:u w:val="single"/>
              </w:rPr>
            </w:pPr>
            <w:r>
              <w:rPr>
                <w:rFonts w:ascii="Times New Roman" w:eastAsia="Times New Roman" w:hAnsi="Times New Roman" w:cs="Times New Roman"/>
                <w:lang w:eastAsia="ru-RU"/>
              </w:rPr>
              <w:t>În prezent se efectuează instruirea la locul de muncă a persoanelor (delegate de către APC) responsabile pentru completarea SI „Registrul proiectelor de investiții capitale”. În procesul de instruire s-a observat lipsa capacităților instituționale de creare, completare și actualizare continuă a informației privind proiectele de investiții capitale publice în curs de execuție. Astfel, MF consideră inoportun</w:t>
            </w:r>
            <w:r w:rsidR="00697114">
              <w:rPr>
                <w:rFonts w:ascii="Times New Roman" w:eastAsia="Times New Roman" w:hAnsi="Times New Roman" w:cs="Times New Roman"/>
                <w:lang w:eastAsia="ru-RU"/>
              </w:rPr>
              <w:t>ă</w:t>
            </w:r>
            <w:r>
              <w:rPr>
                <w:rFonts w:ascii="Times New Roman" w:eastAsia="Times New Roman" w:hAnsi="Times New Roman" w:cs="Times New Roman"/>
                <w:lang w:eastAsia="ru-RU"/>
              </w:rPr>
              <w:t xml:space="preserve"> elaborarea un</w:t>
            </w:r>
            <w:r w:rsidR="00697114">
              <w:rPr>
                <w:rFonts w:ascii="Times New Roman" w:eastAsia="Times New Roman" w:hAnsi="Times New Roman" w:cs="Times New Roman"/>
                <w:lang w:eastAsia="ru-RU"/>
              </w:rPr>
              <w:t>e</w:t>
            </w:r>
            <w:r>
              <w:rPr>
                <w:rFonts w:ascii="Times New Roman" w:eastAsia="Times New Roman" w:hAnsi="Times New Roman" w:cs="Times New Roman"/>
                <w:lang w:eastAsia="ru-RU"/>
              </w:rPr>
              <w:t>i baze de date suplimentare pentru obiective care necesită reparații capitale. La etapa elaborării CBTM autoritățile identifică și înaintează propuneri privind necesitățile de efectuare a reparațiilor capitale</w:t>
            </w:r>
          </w:p>
        </w:tc>
        <w:tc>
          <w:tcPr>
            <w:tcW w:w="992" w:type="dxa"/>
          </w:tcPr>
          <w:p w:rsidR="000A2656" w:rsidRPr="00E74E3B" w:rsidRDefault="000A2656" w:rsidP="00C627EE">
            <w:pPr>
              <w:spacing w:after="0" w:line="240" w:lineRule="auto"/>
              <w:jc w:val="both"/>
              <w:rPr>
                <w:rFonts w:ascii="Times New Roman" w:hAnsi="Times New Roman" w:cs="Times New Roman"/>
                <w:u w:val="single"/>
              </w:rPr>
            </w:pPr>
          </w:p>
        </w:tc>
        <w:tc>
          <w:tcPr>
            <w:tcW w:w="992" w:type="dxa"/>
          </w:tcPr>
          <w:p w:rsidR="000A2656" w:rsidRDefault="000A2656" w:rsidP="00C627EE">
            <w:pPr>
              <w:spacing w:after="0"/>
              <w:ind w:right="-104"/>
              <w:rPr>
                <w:rFonts w:ascii="Times New Roman" w:hAnsi="Times New Roman" w:cs="Times New Roman"/>
                <w:b/>
              </w:rPr>
            </w:pPr>
          </w:p>
        </w:tc>
        <w:tc>
          <w:tcPr>
            <w:tcW w:w="997" w:type="dxa"/>
          </w:tcPr>
          <w:p w:rsidR="000A2656" w:rsidRPr="00F2022E" w:rsidRDefault="000A2656" w:rsidP="003F12B5">
            <w:pPr>
              <w:pStyle w:val="a5"/>
              <w:numPr>
                <w:ilvl w:val="0"/>
                <w:numId w:val="10"/>
              </w:numPr>
              <w:tabs>
                <w:tab w:val="left" w:pos="138"/>
                <w:tab w:val="left" w:pos="280"/>
              </w:tabs>
              <w:spacing w:after="0"/>
              <w:ind w:left="-3" w:right="-108" w:firstLine="0"/>
              <w:jc w:val="center"/>
              <w:rPr>
                <w:rFonts w:ascii="Times New Roman" w:hAnsi="Times New Roman" w:cs="Times New Roman"/>
                <w:b/>
                <w:color w:val="000000"/>
              </w:rPr>
            </w:pPr>
          </w:p>
        </w:tc>
      </w:tr>
      <w:tr w:rsidR="000A2656" w:rsidRPr="00E74E3B" w:rsidTr="00554099">
        <w:trPr>
          <w:gridAfter w:val="2"/>
          <w:wAfter w:w="19" w:type="dxa"/>
          <w:trHeight w:val="305"/>
        </w:trPr>
        <w:tc>
          <w:tcPr>
            <w:tcW w:w="3852" w:type="dxa"/>
          </w:tcPr>
          <w:p w:rsidR="000A2656" w:rsidRPr="00775930" w:rsidRDefault="000A2656" w:rsidP="00697114">
            <w:pPr>
              <w:pStyle w:val="ListParagraph1"/>
              <w:tabs>
                <w:tab w:val="left" w:pos="-3"/>
              </w:tabs>
              <w:ind w:left="0"/>
              <w:jc w:val="both"/>
              <w:rPr>
                <w:sz w:val="22"/>
                <w:szCs w:val="22"/>
                <w:lang w:val="ro-MD"/>
              </w:rPr>
            </w:pPr>
            <w:r w:rsidRPr="00775930">
              <w:rPr>
                <w:b/>
                <w:i/>
                <w:sz w:val="22"/>
                <w:szCs w:val="22"/>
                <w:lang w:val="ro-MD"/>
              </w:rPr>
              <w:t>Recomandarea nr.3.</w:t>
            </w:r>
            <w:r w:rsidRPr="00775930">
              <w:rPr>
                <w:sz w:val="22"/>
                <w:szCs w:val="22"/>
                <w:lang w:val="ro-MD"/>
              </w:rPr>
              <w:t xml:space="preserve"> Să examineze, de comun cu Întreprinderea de Stat „Fintehinform”, oportunitatea elaborării unui modul informațional pentru generalizarea și monitorizarea în </w:t>
            </w:r>
            <w:r w:rsidRPr="00775930">
              <w:rPr>
                <w:sz w:val="22"/>
                <w:szCs w:val="22"/>
                <w:lang w:val="ro-MD"/>
              </w:rPr>
              <w:lastRenderedPageBreak/>
              <w:t>dinamică a informațiilor aferente realizării indicatorilor de performanță în cadrul programelor de performanță</w:t>
            </w:r>
          </w:p>
        </w:tc>
        <w:tc>
          <w:tcPr>
            <w:tcW w:w="7230" w:type="dxa"/>
          </w:tcPr>
          <w:p w:rsidR="000A2656" w:rsidRPr="0010251A" w:rsidRDefault="000A2656" w:rsidP="00C627EE">
            <w:pPr>
              <w:spacing w:after="0" w:line="240" w:lineRule="auto"/>
              <w:ind w:firstLine="319"/>
              <w:jc w:val="both"/>
              <w:rPr>
                <w:rFonts w:ascii="Times New Roman" w:hAnsi="Times New Roman"/>
              </w:rPr>
            </w:pPr>
            <w:r w:rsidRPr="0010251A">
              <w:rPr>
                <w:rFonts w:ascii="Times New Roman" w:hAnsi="Times New Roman"/>
              </w:rPr>
              <w:lastRenderedPageBreak/>
              <w:t xml:space="preserve">Formatul </w:t>
            </w:r>
            <w:r>
              <w:rPr>
                <w:rFonts w:ascii="Times New Roman" w:hAnsi="Times New Roman"/>
              </w:rPr>
              <w:t xml:space="preserve">raportului de performanță a fost îmbunătățit. </w:t>
            </w:r>
            <w:r w:rsidRPr="0049546D">
              <w:rPr>
                <w:rFonts w:ascii="Times New Roman" w:hAnsi="Times New Roman"/>
              </w:rPr>
              <w:t xml:space="preserve">MF va pune </w:t>
            </w:r>
            <w:r>
              <w:rPr>
                <w:rFonts w:ascii="Times New Roman" w:hAnsi="Times New Roman"/>
              </w:rPr>
              <w:t>î</w:t>
            </w:r>
            <w:r w:rsidRPr="0049546D">
              <w:rPr>
                <w:rFonts w:ascii="Times New Roman" w:hAnsi="Times New Roman"/>
              </w:rPr>
              <w:t>n aplicare Metodologia de monitorizare și implicit a raportului de performanță, și în funcție de necesitate va opera ajustări pentru a răspunde reacției autorităților/instituțiilor bugetare</w:t>
            </w:r>
            <w:r>
              <w:rPr>
                <w:rFonts w:ascii="Times New Roman" w:hAnsi="Times New Roman"/>
              </w:rPr>
              <w:t>. Odată ce raportul va fi unul conform necesităților de raportare, MF va recurge la automatizarea acestuia în SIMF.</w:t>
            </w:r>
          </w:p>
        </w:tc>
        <w:tc>
          <w:tcPr>
            <w:tcW w:w="992" w:type="dxa"/>
          </w:tcPr>
          <w:p w:rsidR="000A2656" w:rsidRPr="00E74E3B" w:rsidRDefault="000A2656" w:rsidP="00C627EE">
            <w:pPr>
              <w:spacing w:after="0" w:line="240" w:lineRule="auto"/>
              <w:jc w:val="both"/>
              <w:rPr>
                <w:rFonts w:ascii="Times New Roman" w:hAnsi="Times New Roman" w:cs="Times New Roman"/>
                <w:u w:val="single"/>
              </w:rPr>
            </w:pPr>
          </w:p>
        </w:tc>
        <w:tc>
          <w:tcPr>
            <w:tcW w:w="992" w:type="dxa"/>
          </w:tcPr>
          <w:p w:rsidR="000A2656" w:rsidRPr="00F2022E" w:rsidRDefault="000A2656" w:rsidP="003F12B5">
            <w:pPr>
              <w:pStyle w:val="a5"/>
              <w:numPr>
                <w:ilvl w:val="0"/>
                <w:numId w:val="10"/>
              </w:numPr>
              <w:tabs>
                <w:tab w:val="left" w:pos="138"/>
                <w:tab w:val="left" w:pos="280"/>
              </w:tabs>
              <w:spacing w:after="0"/>
              <w:ind w:left="-3" w:right="-108" w:firstLine="0"/>
              <w:jc w:val="center"/>
              <w:rPr>
                <w:rFonts w:ascii="Times New Roman" w:hAnsi="Times New Roman" w:cs="Times New Roman"/>
                <w:b/>
                <w:color w:val="000000"/>
              </w:rPr>
            </w:pPr>
          </w:p>
        </w:tc>
        <w:tc>
          <w:tcPr>
            <w:tcW w:w="997" w:type="dxa"/>
          </w:tcPr>
          <w:p w:rsidR="000A2656" w:rsidRPr="00F2022E" w:rsidRDefault="000A2656" w:rsidP="00C627EE">
            <w:pPr>
              <w:pStyle w:val="a5"/>
              <w:tabs>
                <w:tab w:val="left" w:pos="138"/>
                <w:tab w:val="left" w:pos="280"/>
              </w:tabs>
              <w:spacing w:after="0"/>
              <w:ind w:left="-3" w:right="-108"/>
              <w:rPr>
                <w:rFonts w:ascii="Times New Roman" w:hAnsi="Times New Roman" w:cs="Times New Roman"/>
                <w:b/>
                <w:color w:val="000000"/>
              </w:rPr>
            </w:pPr>
          </w:p>
        </w:tc>
      </w:tr>
      <w:tr w:rsidR="000A2656" w:rsidRPr="00E74E3B" w:rsidTr="00554099">
        <w:trPr>
          <w:gridAfter w:val="2"/>
          <w:wAfter w:w="19" w:type="dxa"/>
          <w:trHeight w:val="305"/>
        </w:trPr>
        <w:tc>
          <w:tcPr>
            <w:tcW w:w="3852" w:type="dxa"/>
          </w:tcPr>
          <w:p w:rsidR="000A2656" w:rsidRPr="00775930" w:rsidRDefault="000A2656" w:rsidP="00C627EE">
            <w:pPr>
              <w:pStyle w:val="ListParagraph1"/>
              <w:tabs>
                <w:tab w:val="left" w:pos="-3"/>
              </w:tabs>
              <w:ind w:left="0"/>
              <w:jc w:val="both"/>
              <w:rPr>
                <w:sz w:val="22"/>
                <w:szCs w:val="22"/>
                <w:lang w:val="ro-MD"/>
              </w:rPr>
            </w:pPr>
            <w:r w:rsidRPr="00775930">
              <w:rPr>
                <w:b/>
                <w:i/>
                <w:sz w:val="22"/>
                <w:szCs w:val="22"/>
                <w:lang w:val="ro-MD"/>
              </w:rPr>
              <w:t xml:space="preserve">Recomandarea nr.4. </w:t>
            </w:r>
            <w:r w:rsidRPr="00775930">
              <w:rPr>
                <w:sz w:val="22"/>
                <w:szCs w:val="22"/>
                <w:lang w:val="ro-MD"/>
              </w:rPr>
              <w:t>Să inițieze elaborarea pașapoartelor programelor de performanță, care să includă informații privind: perioada de implementare, organele responsabile de implementare, scopurile, obiectivele, domeniile de utilizare a fondurilor, indicatorii de performanță intermediari (în cazul programelor multianuale) și finali, termenele de realizare etc.</w:t>
            </w:r>
          </w:p>
        </w:tc>
        <w:tc>
          <w:tcPr>
            <w:tcW w:w="7230" w:type="dxa"/>
          </w:tcPr>
          <w:p w:rsidR="000A2656" w:rsidRPr="0049546D" w:rsidRDefault="000A2656" w:rsidP="00697114">
            <w:pPr>
              <w:spacing w:after="0" w:line="240" w:lineRule="auto"/>
              <w:ind w:firstLine="319"/>
              <w:jc w:val="both"/>
              <w:rPr>
                <w:rFonts w:ascii="Times New Roman" w:hAnsi="Times New Roman"/>
              </w:rPr>
            </w:pPr>
            <w:r w:rsidRPr="0049546D">
              <w:rPr>
                <w:rFonts w:ascii="Times New Roman" w:hAnsi="Times New Roman"/>
                <w:i/>
              </w:rPr>
              <w:t>Explicații privind neexecutarea recomandării</w:t>
            </w:r>
            <w:r>
              <w:rPr>
                <w:rFonts w:ascii="Times New Roman" w:hAnsi="Times New Roman"/>
              </w:rPr>
              <w:t xml:space="preserve">: </w:t>
            </w:r>
            <w:r w:rsidRPr="0049546D">
              <w:rPr>
                <w:rFonts w:ascii="Times New Roman" w:hAnsi="Times New Roman"/>
              </w:rPr>
              <w:t>Metodologia de planificare bugetar</w:t>
            </w:r>
            <w:r>
              <w:rPr>
                <w:rFonts w:ascii="Times New Roman" w:hAnsi="Times New Roman"/>
              </w:rPr>
              <w:t>ă</w:t>
            </w:r>
            <w:r w:rsidRPr="0049546D">
              <w:rPr>
                <w:rFonts w:ascii="Times New Roman" w:hAnsi="Times New Roman"/>
              </w:rPr>
              <w:t xml:space="preserve"> prevede pentru acest scop aprobarea de c</w:t>
            </w:r>
            <w:r>
              <w:rPr>
                <w:rFonts w:ascii="Times New Roman" w:hAnsi="Times New Roman"/>
              </w:rPr>
              <w:t>ă</w:t>
            </w:r>
            <w:r w:rsidRPr="0049546D">
              <w:rPr>
                <w:rFonts w:ascii="Times New Roman" w:hAnsi="Times New Roman"/>
              </w:rPr>
              <w:t>tre fiecare autoritate/instituție bugetar</w:t>
            </w:r>
            <w:r>
              <w:rPr>
                <w:rFonts w:ascii="Times New Roman" w:hAnsi="Times New Roman"/>
              </w:rPr>
              <w:t>ă</w:t>
            </w:r>
            <w:r w:rsidRPr="0049546D">
              <w:rPr>
                <w:rFonts w:ascii="Times New Roman" w:hAnsi="Times New Roman"/>
              </w:rPr>
              <w:t xml:space="preserve"> a unui asemenea document care poartă titlul de </w:t>
            </w:r>
            <w:r w:rsidR="00697114">
              <w:rPr>
                <w:rFonts w:ascii="Times New Roman" w:hAnsi="Times New Roman"/>
              </w:rPr>
              <w:t>„</w:t>
            </w:r>
            <w:r w:rsidRPr="0049546D">
              <w:rPr>
                <w:rFonts w:ascii="Times New Roman" w:hAnsi="Times New Roman"/>
              </w:rPr>
              <w:t>Program”, iar specificul construcției programelor în Moldova presupune o conturare a acestora în jurul funcțiilor cu caracter permanent (</w:t>
            </w:r>
            <w:r w:rsidR="007E63E4">
              <w:rPr>
                <w:rFonts w:ascii="Times New Roman" w:hAnsi="Times New Roman"/>
              </w:rPr>
              <w:t xml:space="preserve">de </w:t>
            </w:r>
            <w:r w:rsidRPr="0049546D">
              <w:rPr>
                <w:rFonts w:ascii="Times New Roman" w:hAnsi="Times New Roman"/>
              </w:rPr>
              <w:t>ex.</w:t>
            </w:r>
            <w:r w:rsidR="007E63E4">
              <w:rPr>
                <w:rFonts w:ascii="Times New Roman" w:hAnsi="Times New Roman"/>
              </w:rPr>
              <w:t>,</w:t>
            </w:r>
            <w:r w:rsidRPr="0049546D">
              <w:rPr>
                <w:rFonts w:ascii="Times New Roman" w:hAnsi="Times New Roman"/>
              </w:rPr>
              <w:t xml:space="preserve"> învățământ pr</w:t>
            </w:r>
            <w:r>
              <w:rPr>
                <w:rFonts w:ascii="Times New Roman" w:hAnsi="Times New Roman"/>
              </w:rPr>
              <w:t>o</w:t>
            </w:r>
            <w:r w:rsidRPr="0049546D">
              <w:rPr>
                <w:rFonts w:ascii="Times New Roman" w:hAnsi="Times New Roman"/>
              </w:rPr>
              <w:t>fesional, tratament spitalicesc etc.), precum și definirea programului (sub) cu toate elementele lui strict pentru o singură autoritate. Acestea, de rând cu altele</w:t>
            </w:r>
            <w:r w:rsidR="007E63E4">
              <w:rPr>
                <w:rFonts w:ascii="Times New Roman" w:hAnsi="Times New Roman"/>
              </w:rPr>
              <w:t>,</w:t>
            </w:r>
            <w:r w:rsidRPr="0049546D">
              <w:rPr>
                <w:rFonts w:ascii="Times New Roman" w:hAnsi="Times New Roman"/>
              </w:rPr>
              <w:t xml:space="preserve"> nu justifică elaborarea unui Pașaport al programului cu date suplimentare despre alți participanți la program, termen de implementare etc.</w:t>
            </w:r>
          </w:p>
        </w:tc>
        <w:tc>
          <w:tcPr>
            <w:tcW w:w="992" w:type="dxa"/>
          </w:tcPr>
          <w:p w:rsidR="000A2656" w:rsidRPr="00E74E3B" w:rsidRDefault="000A2656" w:rsidP="00C627EE">
            <w:pPr>
              <w:spacing w:after="0" w:line="240" w:lineRule="auto"/>
              <w:jc w:val="both"/>
              <w:rPr>
                <w:rFonts w:ascii="Times New Roman" w:hAnsi="Times New Roman" w:cs="Times New Roman"/>
                <w:u w:val="single"/>
              </w:rPr>
            </w:pPr>
          </w:p>
        </w:tc>
        <w:tc>
          <w:tcPr>
            <w:tcW w:w="992" w:type="dxa"/>
          </w:tcPr>
          <w:p w:rsidR="000A2656" w:rsidRDefault="000A2656" w:rsidP="00C627EE">
            <w:pPr>
              <w:spacing w:after="0"/>
              <w:ind w:right="-104"/>
              <w:rPr>
                <w:rFonts w:ascii="Times New Roman" w:hAnsi="Times New Roman" w:cs="Times New Roman"/>
                <w:b/>
              </w:rPr>
            </w:pPr>
          </w:p>
        </w:tc>
        <w:tc>
          <w:tcPr>
            <w:tcW w:w="997" w:type="dxa"/>
          </w:tcPr>
          <w:p w:rsidR="000A2656" w:rsidRPr="00F2022E" w:rsidRDefault="000A2656" w:rsidP="003F12B5">
            <w:pPr>
              <w:pStyle w:val="a5"/>
              <w:numPr>
                <w:ilvl w:val="0"/>
                <w:numId w:val="10"/>
              </w:numPr>
              <w:tabs>
                <w:tab w:val="left" w:pos="138"/>
                <w:tab w:val="left" w:pos="280"/>
              </w:tabs>
              <w:spacing w:after="0"/>
              <w:ind w:left="-3" w:right="-108" w:firstLine="0"/>
              <w:jc w:val="center"/>
              <w:rPr>
                <w:rFonts w:ascii="Times New Roman" w:hAnsi="Times New Roman" w:cs="Times New Roman"/>
                <w:b/>
                <w:color w:val="000000"/>
              </w:rPr>
            </w:pPr>
          </w:p>
        </w:tc>
      </w:tr>
      <w:tr w:rsidR="000A2656" w:rsidRPr="00E74E3B" w:rsidTr="00554099">
        <w:trPr>
          <w:gridAfter w:val="2"/>
          <w:wAfter w:w="19" w:type="dxa"/>
          <w:trHeight w:val="305"/>
        </w:trPr>
        <w:tc>
          <w:tcPr>
            <w:tcW w:w="3852" w:type="dxa"/>
          </w:tcPr>
          <w:p w:rsidR="000A2656" w:rsidRPr="00775930" w:rsidRDefault="000A2656" w:rsidP="007E63E4">
            <w:pPr>
              <w:pStyle w:val="ListParagraph1"/>
              <w:tabs>
                <w:tab w:val="left" w:pos="-3"/>
              </w:tabs>
              <w:ind w:left="0"/>
              <w:jc w:val="both"/>
              <w:rPr>
                <w:sz w:val="22"/>
                <w:szCs w:val="22"/>
                <w:lang w:val="ro-MD"/>
              </w:rPr>
            </w:pPr>
            <w:r w:rsidRPr="00775930">
              <w:rPr>
                <w:b/>
                <w:i/>
                <w:sz w:val="22"/>
                <w:szCs w:val="22"/>
                <w:lang w:val="ro-MD"/>
              </w:rPr>
              <w:t xml:space="preserve">Recomandarea nr.5. </w:t>
            </w:r>
            <w:r w:rsidRPr="00775930">
              <w:rPr>
                <w:sz w:val="22"/>
                <w:szCs w:val="22"/>
                <w:lang w:val="ro-MD"/>
              </w:rPr>
              <w:t>Să asigure întocmirea actelor de verificare privind datoriile statului față de Adunarea Internațională a CSI pentru plata cotelor de membru (254,4 mii dolari SUA și 603,8 mii RUR)</w:t>
            </w:r>
          </w:p>
        </w:tc>
        <w:tc>
          <w:tcPr>
            <w:tcW w:w="7230" w:type="dxa"/>
          </w:tcPr>
          <w:p w:rsidR="000A2656" w:rsidRPr="00F2022E" w:rsidRDefault="000A2656" w:rsidP="007E63E4">
            <w:pPr>
              <w:spacing w:after="0" w:line="240" w:lineRule="auto"/>
              <w:ind w:firstLine="319"/>
              <w:jc w:val="both"/>
              <w:rPr>
                <w:rFonts w:ascii="Times New Roman" w:hAnsi="Times New Roman"/>
                <w:i/>
                <w:u w:val="single"/>
              </w:rPr>
            </w:pPr>
            <w:r>
              <w:rPr>
                <w:rFonts w:ascii="Times New Roman" w:eastAsia="Times New Roman" w:hAnsi="Times New Roman" w:cs="Times New Roman"/>
                <w:lang w:eastAsia="ru-RU"/>
              </w:rPr>
              <w:t>MF a solicitat Parlamentului RM verificarea datoriilor statului față de Adunarea Interparlamentară CSI pentru plata cotelor de membru în sum</w:t>
            </w:r>
            <w:r w:rsidR="007E63E4">
              <w:rPr>
                <w:rFonts w:ascii="Times New Roman" w:eastAsia="Times New Roman" w:hAnsi="Times New Roman" w:cs="Times New Roman"/>
                <w:lang w:eastAsia="ru-RU"/>
              </w:rPr>
              <w:t>ă</w:t>
            </w:r>
            <w:r>
              <w:rPr>
                <w:rFonts w:ascii="Times New Roman" w:eastAsia="Times New Roman" w:hAnsi="Times New Roman" w:cs="Times New Roman"/>
                <w:lang w:eastAsia="ru-RU"/>
              </w:rPr>
              <w:t xml:space="preserve"> de 254,4 mii </w:t>
            </w:r>
            <w:r w:rsidR="007E63E4">
              <w:rPr>
                <w:rFonts w:ascii="Times New Roman" w:eastAsia="Times New Roman" w:hAnsi="Times New Roman" w:cs="Times New Roman"/>
                <w:lang w:eastAsia="ru-RU"/>
              </w:rPr>
              <w:t>dolari SUA</w:t>
            </w:r>
            <w:r>
              <w:rPr>
                <w:rFonts w:ascii="Times New Roman" w:eastAsia="Times New Roman" w:hAnsi="Times New Roman" w:cs="Times New Roman"/>
                <w:lang w:eastAsia="ru-RU"/>
              </w:rPr>
              <w:t xml:space="preserve"> și 603,8 mii RUR. Parlamentul a confirmat existența datoriilor istorice formate pe parcursul anilor 1997-2001 și a infirmat existența unor datorii începând cu 1992-1996. </w:t>
            </w:r>
            <w:r w:rsidRPr="00F2022E">
              <w:rPr>
                <w:rFonts w:ascii="Times New Roman" w:hAnsi="Times New Roman" w:cs="Times New Roman"/>
                <w:i/>
              </w:rPr>
              <w:t>Scrisoarea nr.17/2-3/110 din 09.10.2017 și Demersul Parlamentului nr.DRE-5 nr.496 din 17.10 2017</w:t>
            </w:r>
          </w:p>
        </w:tc>
        <w:tc>
          <w:tcPr>
            <w:tcW w:w="992" w:type="dxa"/>
          </w:tcPr>
          <w:p w:rsidR="000A2656" w:rsidRPr="00944CC9" w:rsidRDefault="000A2656" w:rsidP="00C627EE">
            <w:pPr>
              <w:spacing w:after="0" w:line="240" w:lineRule="auto"/>
              <w:jc w:val="both"/>
              <w:rPr>
                <w:rFonts w:ascii="Times New Roman" w:hAnsi="Times New Roman" w:cs="Times New Roman"/>
              </w:rPr>
            </w:pPr>
          </w:p>
        </w:tc>
        <w:tc>
          <w:tcPr>
            <w:tcW w:w="992" w:type="dxa"/>
          </w:tcPr>
          <w:p w:rsidR="000A2656" w:rsidRPr="00F2022E" w:rsidRDefault="000A2656" w:rsidP="003F12B5">
            <w:pPr>
              <w:pStyle w:val="a5"/>
              <w:numPr>
                <w:ilvl w:val="0"/>
                <w:numId w:val="10"/>
              </w:numPr>
              <w:tabs>
                <w:tab w:val="left" w:pos="138"/>
                <w:tab w:val="left" w:pos="280"/>
              </w:tabs>
              <w:spacing w:after="0"/>
              <w:ind w:left="-3" w:right="-108" w:firstLine="0"/>
              <w:jc w:val="center"/>
              <w:rPr>
                <w:rFonts w:ascii="Times New Roman" w:hAnsi="Times New Roman" w:cs="Times New Roman"/>
                <w:b/>
                <w:color w:val="000000"/>
              </w:rPr>
            </w:pPr>
          </w:p>
        </w:tc>
        <w:tc>
          <w:tcPr>
            <w:tcW w:w="997" w:type="dxa"/>
          </w:tcPr>
          <w:p w:rsidR="000A2656" w:rsidRPr="00F2022E" w:rsidRDefault="000A2656" w:rsidP="00C627EE">
            <w:pPr>
              <w:pStyle w:val="a5"/>
              <w:tabs>
                <w:tab w:val="left" w:pos="138"/>
                <w:tab w:val="left" w:pos="280"/>
              </w:tabs>
              <w:spacing w:after="0"/>
              <w:ind w:left="-3" w:right="-108"/>
              <w:rPr>
                <w:rFonts w:ascii="Times New Roman" w:hAnsi="Times New Roman" w:cs="Times New Roman"/>
                <w:b/>
                <w:color w:val="000000"/>
              </w:rPr>
            </w:pPr>
          </w:p>
        </w:tc>
      </w:tr>
      <w:tr w:rsidR="000A2656" w:rsidRPr="00885D54" w:rsidTr="00554099">
        <w:trPr>
          <w:gridAfter w:val="2"/>
          <w:wAfter w:w="19" w:type="dxa"/>
          <w:trHeight w:val="305"/>
        </w:trPr>
        <w:tc>
          <w:tcPr>
            <w:tcW w:w="3852" w:type="dxa"/>
          </w:tcPr>
          <w:p w:rsidR="000A2656" w:rsidRPr="00775930" w:rsidRDefault="000A2656" w:rsidP="00715E60">
            <w:pPr>
              <w:pStyle w:val="ListParagraph1"/>
              <w:tabs>
                <w:tab w:val="left" w:pos="-3"/>
              </w:tabs>
              <w:ind w:left="0"/>
              <w:jc w:val="both"/>
              <w:rPr>
                <w:sz w:val="22"/>
                <w:szCs w:val="22"/>
                <w:lang w:val="ro-MD"/>
              </w:rPr>
            </w:pPr>
            <w:r w:rsidRPr="00775930">
              <w:rPr>
                <w:b/>
                <w:i/>
                <w:sz w:val="22"/>
                <w:szCs w:val="22"/>
                <w:lang w:val="ro-MD"/>
              </w:rPr>
              <w:t xml:space="preserve">Recomandarea nr.6. </w:t>
            </w:r>
            <w:r w:rsidRPr="00775930">
              <w:rPr>
                <w:sz w:val="22"/>
                <w:szCs w:val="22"/>
                <w:lang w:val="ro-MD"/>
              </w:rPr>
              <w:t>Să examineze oportunitatea elaborării, de comun cu Întreprinderea de Stat „Fintehinform”, a unui modul automatizat pentru înregistrarea și evidența cotelor de membru în organizațiile internaționale</w:t>
            </w:r>
          </w:p>
        </w:tc>
        <w:tc>
          <w:tcPr>
            <w:tcW w:w="7230" w:type="dxa"/>
          </w:tcPr>
          <w:p w:rsidR="000A2656" w:rsidRPr="00F2022E" w:rsidRDefault="000A2656" w:rsidP="00715E60">
            <w:pPr>
              <w:spacing w:after="0" w:line="240" w:lineRule="auto"/>
              <w:ind w:firstLine="319"/>
              <w:jc w:val="both"/>
              <w:rPr>
                <w:rFonts w:ascii="Times New Roman" w:hAnsi="Times New Roman"/>
                <w:i/>
                <w:u w:val="single"/>
              </w:rPr>
            </w:pPr>
            <w:r>
              <w:rPr>
                <w:rFonts w:ascii="Times New Roman" w:eastAsia="Times New Roman" w:hAnsi="Times New Roman" w:cs="Times New Roman"/>
                <w:lang w:eastAsia="ru-RU"/>
              </w:rPr>
              <w:t>MF</w:t>
            </w:r>
            <w:r w:rsidR="00715E60">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de comun cu Î.S. </w:t>
            </w:r>
            <w:r w:rsidRPr="00D90BEF">
              <w:rPr>
                <w:rFonts w:ascii="Times New Roman" w:eastAsia="Times New Roman" w:hAnsi="Times New Roman" w:cs="Times New Roman"/>
                <w:lang w:eastAsia="ru-RU"/>
              </w:rPr>
              <w:t>„Fintehinform”</w:t>
            </w:r>
            <w:r w:rsidR="00715E60">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au examinat oportunitatea elaborării modulului automatizat respectiv. Astfel, l</w:t>
            </w:r>
            <w:r w:rsidRPr="00603B39">
              <w:rPr>
                <w:rFonts w:ascii="Times New Roman" w:eastAsia="Times New Roman" w:hAnsi="Times New Roman" w:cs="Times New Roman"/>
                <w:lang w:eastAsia="ru-RU"/>
              </w:rPr>
              <w:t>a etapa actual</w:t>
            </w:r>
            <w:r>
              <w:rPr>
                <w:rFonts w:ascii="Times New Roman" w:eastAsia="Times New Roman" w:hAnsi="Times New Roman" w:cs="Times New Roman"/>
                <w:lang w:eastAsia="ru-RU"/>
              </w:rPr>
              <w:t>ă</w:t>
            </w:r>
            <w:r w:rsidRPr="00603B39">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MF și</w:t>
            </w:r>
            <w:r w:rsidRPr="00603B39">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Î.</w:t>
            </w:r>
            <w:r w:rsidRPr="00603B39">
              <w:rPr>
                <w:rFonts w:ascii="Times New Roman" w:eastAsia="Times New Roman" w:hAnsi="Times New Roman" w:cs="Times New Roman"/>
                <w:lang w:eastAsia="ru-RU"/>
              </w:rPr>
              <w:t>S</w:t>
            </w:r>
            <w:r>
              <w:rPr>
                <w:rFonts w:ascii="Times New Roman" w:eastAsia="Times New Roman" w:hAnsi="Times New Roman" w:cs="Times New Roman"/>
                <w:lang w:eastAsia="ru-RU"/>
              </w:rPr>
              <w:t xml:space="preserve">. </w:t>
            </w:r>
            <w:r w:rsidRPr="00603B39">
              <w:rPr>
                <w:rFonts w:ascii="Times New Roman" w:eastAsia="Times New Roman" w:hAnsi="Times New Roman" w:cs="Times New Roman"/>
                <w:lang w:eastAsia="ru-RU"/>
              </w:rPr>
              <w:t>„Fintehinform” sunt implica</w:t>
            </w:r>
            <w:r w:rsidR="00715E60">
              <w:rPr>
                <w:rFonts w:ascii="Times New Roman" w:eastAsia="Times New Roman" w:hAnsi="Times New Roman" w:cs="Times New Roman"/>
                <w:lang w:eastAsia="ru-RU"/>
              </w:rPr>
              <w:t>te</w:t>
            </w:r>
            <w:r w:rsidRPr="00603B39">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î</w:t>
            </w:r>
            <w:r w:rsidRPr="00603B39">
              <w:rPr>
                <w:rFonts w:ascii="Times New Roman" w:eastAsia="Times New Roman" w:hAnsi="Times New Roman" w:cs="Times New Roman"/>
                <w:lang w:eastAsia="ru-RU"/>
              </w:rPr>
              <w:t>n procesul structurării informației existente, identificarea schemei de lucru a modulului, elaborarea sistemului de programare care va reflecta informa</w:t>
            </w:r>
            <w:r w:rsidR="00715E60">
              <w:rPr>
                <w:rFonts w:ascii="Times New Roman" w:eastAsia="Times New Roman" w:hAnsi="Times New Roman" w:cs="Times New Roman"/>
                <w:lang w:eastAsia="ru-RU"/>
              </w:rPr>
              <w:t>rea</w:t>
            </w:r>
            <w:r w:rsidRPr="00603B39">
              <w:rPr>
                <w:rFonts w:ascii="Times New Roman" w:eastAsia="Times New Roman" w:hAnsi="Times New Roman" w:cs="Times New Roman"/>
                <w:lang w:eastAsia="ru-RU"/>
              </w:rPr>
              <w:t xml:space="preserve"> conform</w:t>
            </w:r>
            <w:r>
              <w:rPr>
                <w:rFonts w:ascii="Times New Roman" w:eastAsia="Times New Roman" w:hAnsi="Times New Roman" w:cs="Times New Roman"/>
                <w:lang w:eastAsia="ru-RU"/>
              </w:rPr>
              <w:t>ă</w:t>
            </w:r>
            <w:r w:rsidRPr="00603B39">
              <w:rPr>
                <w:rFonts w:ascii="Times New Roman" w:eastAsia="Times New Roman" w:hAnsi="Times New Roman" w:cs="Times New Roman"/>
                <w:lang w:eastAsia="ru-RU"/>
              </w:rPr>
              <w:t xml:space="preserve"> a datelor la introducere </w:t>
            </w:r>
            <w:r>
              <w:rPr>
                <w:rFonts w:ascii="Times New Roman" w:eastAsia="Times New Roman" w:hAnsi="Times New Roman" w:cs="Times New Roman"/>
                <w:lang w:eastAsia="ru-RU"/>
              </w:rPr>
              <w:t>ș</w:t>
            </w:r>
            <w:r w:rsidRPr="00603B39">
              <w:rPr>
                <w:rFonts w:ascii="Times New Roman" w:eastAsia="Times New Roman" w:hAnsi="Times New Roman" w:cs="Times New Roman"/>
                <w:lang w:eastAsia="ru-RU"/>
              </w:rPr>
              <w:t xml:space="preserve">i raportare, sistemul </w:t>
            </w:r>
            <w:r>
              <w:rPr>
                <w:rFonts w:ascii="Times New Roman" w:eastAsia="Times New Roman" w:hAnsi="Times New Roman" w:cs="Times New Roman"/>
                <w:lang w:eastAsia="ru-RU"/>
              </w:rPr>
              <w:t>ș</w:t>
            </w:r>
            <w:r w:rsidRPr="00603B39">
              <w:rPr>
                <w:rFonts w:ascii="Times New Roman" w:eastAsia="Times New Roman" w:hAnsi="Times New Roman" w:cs="Times New Roman"/>
                <w:lang w:eastAsia="ru-RU"/>
              </w:rPr>
              <w:t>i modul de gestionare la nivel operator/a</w:t>
            </w:r>
            <w:r>
              <w:rPr>
                <w:rFonts w:ascii="Times New Roman" w:eastAsia="Times New Roman" w:hAnsi="Times New Roman" w:cs="Times New Roman"/>
                <w:lang w:eastAsia="ru-RU"/>
              </w:rPr>
              <w:t>dministrator, interfața grafică</w:t>
            </w:r>
          </w:p>
        </w:tc>
        <w:tc>
          <w:tcPr>
            <w:tcW w:w="992" w:type="dxa"/>
          </w:tcPr>
          <w:p w:rsidR="000A2656" w:rsidRPr="00F2022E" w:rsidRDefault="000A2656" w:rsidP="003F12B5">
            <w:pPr>
              <w:pStyle w:val="a5"/>
              <w:numPr>
                <w:ilvl w:val="0"/>
                <w:numId w:val="10"/>
              </w:numPr>
              <w:tabs>
                <w:tab w:val="left" w:pos="138"/>
                <w:tab w:val="left" w:pos="280"/>
              </w:tabs>
              <w:spacing w:after="0"/>
              <w:ind w:left="-3" w:right="-108" w:firstLine="0"/>
              <w:jc w:val="center"/>
              <w:rPr>
                <w:rFonts w:ascii="Times New Roman" w:hAnsi="Times New Roman" w:cs="Times New Roman"/>
                <w:b/>
                <w:color w:val="000000"/>
              </w:rPr>
            </w:pPr>
          </w:p>
        </w:tc>
        <w:tc>
          <w:tcPr>
            <w:tcW w:w="992" w:type="dxa"/>
          </w:tcPr>
          <w:p w:rsidR="000A2656" w:rsidRDefault="000A2656" w:rsidP="00C627EE">
            <w:pPr>
              <w:spacing w:after="0"/>
              <w:ind w:right="-104"/>
              <w:rPr>
                <w:rFonts w:ascii="Times New Roman" w:hAnsi="Times New Roman" w:cs="Times New Roman"/>
                <w:b/>
              </w:rPr>
            </w:pPr>
          </w:p>
        </w:tc>
        <w:tc>
          <w:tcPr>
            <w:tcW w:w="997" w:type="dxa"/>
          </w:tcPr>
          <w:p w:rsidR="000A2656" w:rsidRPr="00F2022E" w:rsidRDefault="000A2656" w:rsidP="00C627EE">
            <w:pPr>
              <w:pStyle w:val="a5"/>
              <w:tabs>
                <w:tab w:val="left" w:pos="138"/>
                <w:tab w:val="left" w:pos="280"/>
              </w:tabs>
              <w:spacing w:after="0"/>
              <w:ind w:left="-3" w:right="-108"/>
              <w:rPr>
                <w:rFonts w:ascii="Times New Roman" w:hAnsi="Times New Roman" w:cs="Times New Roman"/>
                <w:b/>
                <w:color w:val="000000"/>
              </w:rPr>
            </w:pPr>
          </w:p>
        </w:tc>
      </w:tr>
      <w:tr w:rsidR="000A2656" w:rsidRPr="00C648C8" w:rsidTr="00554099">
        <w:trPr>
          <w:gridAfter w:val="2"/>
          <w:wAfter w:w="19" w:type="dxa"/>
          <w:trHeight w:val="305"/>
        </w:trPr>
        <w:tc>
          <w:tcPr>
            <w:tcW w:w="3852" w:type="dxa"/>
          </w:tcPr>
          <w:p w:rsidR="000A2656" w:rsidRPr="00775930" w:rsidRDefault="000A2656" w:rsidP="00715E60">
            <w:pPr>
              <w:pStyle w:val="ListParagraph1"/>
              <w:tabs>
                <w:tab w:val="left" w:pos="-3"/>
              </w:tabs>
              <w:ind w:left="0"/>
              <w:jc w:val="both"/>
              <w:rPr>
                <w:sz w:val="22"/>
                <w:szCs w:val="22"/>
                <w:lang w:val="ro-MD"/>
              </w:rPr>
            </w:pPr>
            <w:r w:rsidRPr="00775930">
              <w:rPr>
                <w:b/>
                <w:i/>
                <w:sz w:val="22"/>
                <w:szCs w:val="22"/>
                <w:lang w:val="ro-MD"/>
              </w:rPr>
              <w:t xml:space="preserve">Recomandarea nr.7. </w:t>
            </w:r>
            <w:r w:rsidRPr="00775930">
              <w:rPr>
                <w:sz w:val="22"/>
                <w:szCs w:val="22"/>
                <w:lang w:val="ro-MD"/>
              </w:rPr>
              <w:t>Să monitorizeze continuu riscurile valutare și apariția diferențelor de curs pozitive urmare a ținerii evidenței unor subscrieri la capital în organizațiile internaționale în moneda națională, asigurând ținerea evidenței acestora în valuta subscrierii</w:t>
            </w:r>
          </w:p>
        </w:tc>
        <w:tc>
          <w:tcPr>
            <w:tcW w:w="7230" w:type="dxa"/>
          </w:tcPr>
          <w:p w:rsidR="000A2656" w:rsidRPr="00E74E3B" w:rsidRDefault="000A2656" w:rsidP="00715E60">
            <w:pPr>
              <w:spacing w:after="0" w:line="240" w:lineRule="auto"/>
              <w:ind w:firstLine="319"/>
              <w:jc w:val="both"/>
              <w:rPr>
                <w:rFonts w:ascii="Times New Roman" w:hAnsi="Times New Roman"/>
                <w:u w:val="single"/>
              </w:rPr>
            </w:pPr>
            <w:r>
              <w:rPr>
                <w:rFonts w:ascii="Times New Roman" w:eastAsia="Times New Roman" w:hAnsi="Times New Roman" w:cs="Times New Roman"/>
                <w:lang w:eastAsia="ru-RU"/>
              </w:rPr>
              <w:t>Î.S. „Fintehinform” examinează posibilitatea elaborării unui modul automatizat/rapoarte pentru înregistrarea și evidența cotelor de membru în organizațiile internaționale și ținer</w:t>
            </w:r>
            <w:r w:rsidR="00715E60">
              <w:rPr>
                <w:rFonts w:ascii="Times New Roman" w:eastAsia="Times New Roman" w:hAnsi="Times New Roman" w:cs="Times New Roman"/>
                <w:lang w:eastAsia="ru-RU"/>
              </w:rPr>
              <w:t>ea</w:t>
            </w:r>
            <w:r>
              <w:rPr>
                <w:rFonts w:ascii="Times New Roman" w:eastAsia="Times New Roman" w:hAnsi="Times New Roman" w:cs="Times New Roman"/>
                <w:lang w:eastAsia="ru-RU"/>
              </w:rPr>
              <w:t xml:space="preserve"> evidenței structurilor internaționale cu capital subscris atât în valuta originară</w:t>
            </w:r>
            <w:r w:rsidR="00715E60">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cât și în valuta națională</w:t>
            </w:r>
          </w:p>
        </w:tc>
        <w:tc>
          <w:tcPr>
            <w:tcW w:w="992" w:type="dxa"/>
          </w:tcPr>
          <w:p w:rsidR="000A2656" w:rsidRPr="00E74E3B" w:rsidRDefault="000A2656" w:rsidP="00C627EE">
            <w:pPr>
              <w:spacing w:after="0" w:line="240" w:lineRule="auto"/>
              <w:jc w:val="both"/>
              <w:rPr>
                <w:rFonts w:ascii="Times New Roman" w:hAnsi="Times New Roman" w:cs="Times New Roman"/>
                <w:u w:val="single"/>
              </w:rPr>
            </w:pPr>
          </w:p>
        </w:tc>
        <w:tc>
          <w:tcPr>
            <w:tcW w:w="992" w:type="dxa"/>
          </w:tcPr>
          <w:p w:rsidR="000A2656" w:rsidRPr="00F2022E" w:rsidRDefault="000A2656" w:rsidP="003F12B5">
            <w:pPr>
              <w:pStyle w:val="a5"/>
              <w:numPr>
                <w:ilvl w:val="0"/>
                <w:numId w:val="10"/>
              </w:numPr>
              <w:tabs>
                <w:tab w:val="left" w:pos="138"/>
                <w:tab w:val="left" w:pos="280"/>
              </w:tabs>
              <w:spacing w:after="0"/>
              <w:ind w:left="-3" w:right="-108" w:firstLine="0"/>
              <w:jc w:val="center"/>
              <w:rPr>
                <w:rFonts w:ascii="Times New Roman" w:hAnsi="Times New Roman" w:cs="Times New Roman"/>
                <w:b/>
                <w:color w:val="000000"/>
              </w:rPr>
            </w:pPr>
          </w:p>
        </w:tc>
        <w:tc>
          <w:tcPr>
            <w:tcW w:w="997" w:type="dxa"/>
          </w:tcPr>
          <w:p w:rsidR="000A2656" w:rsidRPr="009142C6" w:rsidRDefault="000A2656" w:rsidP="00C627EE">
            <w:pPr>
              <w:tabs>
                <w:tab w:val="left" w:pos="138"/>
                <w:tab w:val="left" w:pos="280"/>
              </w:tabs>
              <w:spacing w:after="0"/>
              <w:ind w:left="-3" w:right="-108"/>
              <w:rPr>
                <w:rFonts w:ascii="Times New Roman" w:hAnsi="Times New Roman" w:cs="Times New Roman"/>
                <w:b/>
                <w:color w:val="000000"/>
              </w:rPr>
            </w:pPr>
          </w:p>
        </w:tc>
      </w:tr>
      <w:tr w:rsidR="000A2656" w:rsidRPr="00E74E3B" w:rsidTr="00554099">
        <w:trPr>
          <w:gridAfter w:val="2"/>
          <w:wAfter w:w="19" w:type="dxa"/>
          <w:trHeight w:val="305"/>
        </w:trPr>
        <w:tc>
          <w:tcPr>
            <w:tcW w:w="3852" w:type="dxa"/>
          </w:tcPr>
          <w:p w:rsidR="000A2656" w:rsidRPr="00775930" w:rsidRDefault="000A2656" w:rsidP="00715E60">
            <w:pPr>
              <w:pStyle w:val="ListParagraph1"/>
              <w:tabs>
                <w:tab w:val="left" w:pos="-3"/>
              </w:tabs>
              <w:ind w:left="0"/>
              <w:jc w:val="both"/>
              <w:rPr>
                <w:sz w:val="22"/>
                <w:szCs w:val="22"/>
                <w:lang w:val="ro-MD"/>
              </w:rPr>
            </w:pPr>
            <w:r w:rsidRPr="00775930">
              <w:rPr>
                <w:b/>
                <w:i/>
                <w:sz w:val="22"/>
                <w:szCs w:val="22"/>
                <w:lang w:val="ro-MD"/>
              </w:rPr>
              <w:t xml:space="preserve">Recomandarea nr.8. </w:t>
            </w:r>
            <w:r w:rsidRPr="00775930">
              <w:rPr>
                <w:sz w:val="22"/>
                <w:szCs w:val="22"/>
                <w:lang w:val="ro-MD"/>
              </w:rPr>
              <w:t xml:space="preserve">Să includă în clauzele Contractului de prestare a serviciilor „Agent de plată” nr.1 din 20.10.2015, încheiat cu MAIB, a unor </w:t>
            </w:r>
            <w:r w:rsidRPr="00775930">
              <w:rPr>
                <w:sz w:val="22"/>
                <w:szCs w:val="22"/>
                <w:lang w:val="ro-MD"/>
              </w:rPr>
              <w:lastRenderedPageBreak/>
              <w:t>prevederi exhaustive privind termenul în care mijloacele bănești destinate achitării documentelor executorii de la bugetul de stat și privind termenul în care acestea urmează a fi restituite în cazul neridicării lor de către beneficiari</w:t>
            </w:r>
          </w:p>
        </w:tc>
        <w:tc>
          <w:tcPr>
            <w:tcW w:w="7230" w:type="dxa"/>
          </w:tcPr>
          <w:p w:rsidR="000A2656" w:rsidRDefault="000A2656" w:rsidP="00C627EE">
            <w:pPr>
              <w:spacing w:after="0" w:line="240" w:lineRule="auto"/>
              <w:ind w:firstLine="319"/>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MF a întocmit și expediat către </w:t>
            </w:r>
            <w:r w:rsidRPr="00D13A23">
              <w:rPr>
                <w:rFonts w:ascii="Times New Roman" w:eastAsia="Times New Roman" w:hAnsi="Times New Roman" w:cs="Times New Roman"/>
                <w:lang w:eastAsia="ru-RU"/>
              </w:rPr>
              <w:t>MAIB</w:t>
            </w:r>
            <w:r>
              <w:rPr>
                <w:rFonts w:ascii="Times New Roman" w:eastAsia="Times New Roman" w:hAnsi="Times New Roman" w:cs="Times New Roman"/>
                <w:lang w:eastAsia="ru-RU"/>
              </w:rPr>
              <w:t xml:space="preserve"> pentru semnare proiectul de Acord Adițional nr.1 la contractul de prestare a serviciilor „Agent de plată” nr.1 din 20.10.2015 încheiat cu M</w:t>
            </w:r>
            <w:r w:rsidRPr="00D13A23">
              <w:rPr>
                <w:rFonts w:ascii="Times New Roman" w:eastAsia="Times New Roman" w:hAnsi="Times New Roman" w:cs="Times New Roman"/>
                <w:lang w:eastAsia="ru-RU"/>
              </w:rPr>
              <w:t>AI</w:t>
            </w:r>
            <w:r>
              <w:rPr>
                <w:rFonts w:ascii="Times New Roman" w:eastAsia="Times New Roman" w:hAnsi="Times New Roman" w:cs="Times New Roman"/>
                <w:lang w:eastAsia="ru-RU"/>
              </w:rPr>
              <w:t>B.</w:t>
            </w:r>
          </w:p>
          <w:p w:rsidR="000A2656" w:rsidRPr="00D42378" w:rsidRDefault="00715E60" w:rsidP="00715E60">
            <w:pPr>
              <w:spacing w:after="0" w:line="240" w:lineRule="auto"/>
              <w:jc w:val="both"/>
              <w:rPr>
                <w:rFonts w:ascii="Times New Roman" w:hAnsi="Times New Roman"/>
              </w:rPr>
            </w:pPr>
            <w:r>
              <w:rPr>
                <w:rFonts w:ascii="Times New Roman" w:hAnsi="Times New Roman"/>
              </w:rPr>
              <w:lastRenderedPageBreak/>
              <w:t>Drept</w:t>
            </w:r>
            <w:r w:rsidR="000A2656" w:rsidRPr="00D42378">
              <w:rPr>
                <w:rFonts w:ascii="Times New Roman" w:hAnsi="Times New Roman"/>
              </w:rPr>
              <w:t xml:space="preserve"> rezultat</w:t>
            </w:r>
            <w:r>
              <w:rPr>
                <w:rFonts w:ascii="Times New Roman" w:hAnsi="Times New Roman"/>
              </w:rPr>
              <w:t xml:space="preserve"> al</w:t>
            </w:r>
            <w:r w:rsidR="000A2656" w:rsidRPr="00D42378">
              <w:rPr>
                <w:rFonts w:ascii="Times New Roman" w:hAnsi="Times New Roman"/>
              </w:rPr>
              <w:t xml:space="preserve"> discuțiilor purtate cu BC „Moldova Agroindbank” referitor la Acordul </w:t>
            </w:r>
            <w:r>
              <w:rPr>
                <w:rFonts w:ascii="Times New Roman" w:hAnsi="Times New Roman"/>
              </w:rPr>
              <w:t>a</w:t>
            </w:r>
            <w:r w:rsidR="000A2656" w:rsidRPr="00D42378">
              <w:rPr>
                <w:rFonts w:ascii="Times New Roman" w:hAnsi="Times New Roman"/>
              </w:rPr>
              <w:t xml:space="preserve">dițional, s-a stabilit ca clauzele contractuale stabilite </w:t>
            </w:r>
            <w:r w:rsidR="000A2656">
              <w:rPr>
                <w:rFonts w:ascii="Times New Roman" w:hAnsi="Times New Roman"/>
              </w:rPr>
              <w:t>î</w:t>
            </w:r>
            <w:r w:rsidR="000A2656" w:rsidRPr="00D42378">
              <w:rPr>
                <w:rFonts w:ascii="Times New Roman" w:hAnsi="Times New Roman"/>
              </w:rPr>
              <w:t>n Acordul nr.1 de prestare a serviciilor „Agent de plat</w:t>
            </w:r>
            <w:r>
              <w:rPr>
                <w:rFonts w:ascii="Times New Roman" w:hAnsi="Times New Roman"/>
              </w:rPr>
              <w:t>ă</w:t>
            </w:r>
            <w:r w:rsidR="000A2656" w:rsidRPr="00D42378">
              <w:rPr>
                <w:rFonts w:ascii="Times New Roman" w:hAnsi="Times New Roman"/>
              </w:rPr>
              <w:t>” din 20.10.2015 permit rambursarea mijloacelor bănești menționate la solicitarea Ministerului Finanțelor. Totodată, se examinează</w:t>
            </w:r>
            <w:r>
              <w:rPr>
                <w:rFonts w:ascii="Times New Roman" w:hAnsi="Times New Roman"/>
              </w:rPr>
              <w:t>,</w:t>
            </w:r>
            <w:r w:rsidR="000A2656" w:rsidRPr="00D42378">
              <w:rPr>
                <w:rFonts w:ascii="Times New Roman" w:hAnsi="Times New Roman"/>
              </w:rPr>
              <w:t xml:space="preserve"> de comun cu Direcția contencios </w:t>
            </w:r>
            <w:r w:rsidR="000A2656">
              <w:rPr>
                <w:rFonts w:ascii="Times New Roman" w:hAnsi="Times New Roman"/>
              </w:rPr>
              <w:t>ș</w:t>
            </w:r>
            <w:r w:rsidR="000A2656" w:rsidRPr="00D42378">
              <w:rPr>
                <w:rFonts w:ascii="Times New Roman" w:hAnsi="Times New Roman"/>
              </w:rPr>
              <w:t>i controlul legalității</w:t>
            </w:r>
            <w:r w:rsidR="000A2656">
              <w:rPr>
                <w:rFonts w:ascii="Times New Roman" w:hAnsi="Times New Roman"/>
              </w:rPr>
              <w:t xml:space="preserve"> din cadrul MF</w:t>
            </w:r>
            <w:r>
              <w:rPr>
                <w:rFonts w:ascii="Times New Roman" w:hAnsi="Times New Roman"/>
              </w:rPr>
              <w:t>,</w:t>
            </w:r>
            <w:r w:rsidR="000A2656" w:rsidRPr="00D42378">
              <w:rPr>
                <w:rFonts w:ascii="Times New Roman" w:hAnsi="Times New Roman"/>
              </w:rPr>
              <w:t xml:space="preserve"> stabilirea unui termen legal de păstrare a mijloacelor transferate de la bugetul de stat</w:t>
            </w:r>
          </w:p>
        </w:tc>
        <w:tc>
          <w:tcPr>
            <w:tcW w:w="992" w:type="dxa"/>
          </w:tcPr>
          <w:p w:rsidR="000A2656" w:rsidRPr="00F2022E" w:rsidRDefault="000A2656" w:rsidP="003F12B5">
            <w:pPr>
              <w:pStyle w:val="a5"/>
              <w:numPr>
                <w:ilvl w:val="0"/>
                <w:numId w:val="10"/>
              </w:numPr>
              <w:tabs>
                <w:tab w:val="left" w:pos="138"/>
                <w:tab w:val="left" w:pos="280"/>
              </w:tabs>
              <w:spacing w:after="0"/>
              <w:ind w:left="-3" w:right="-108" w:firstLine="0"/>
              <w:jc w:val="center"/>
              <w:rPr>
                <w:rFonts w:ascii="Times New Roman" w:hAnsi="Times New Roman" w:cs="Times New Roman"/>
                <w:b/>
                <w:color w:val="000000"/>
              </w:rPr>
            </w:pPr>
          </w:p>
        </w:tc>
        <w:tc>
          <w:tcPr>
            <w:tcW w:w="992" w:type="dxa"/>
          </w:tcPr>
          <w:p w:rsidR="000A2656" w:rsidRPr="00F2022E" w:rsidRDefault="000A2656" w:rsidP="00C627EE">
            <w:pPr>
              <w:pStyle w:val="a5"/>
              <w:tabs>
                <w:tab w:val="left" w:pos="138"/>
                <w:tab w:val="left" w:pos="280"/>
              </w:tabs>
              <w:spacing w:after="0"/>
              <w:ind w:left="-3" w:right="-108"/>
              <w:rPr>
                <w:rFonts w:ascii="Times New Roman" w:hAnsi="Times New Roman" w:cs="Times New Roman"/>
                <w:b/>
                <w:color w:val="000000"/>
              </w:rPr>
            </w:pPr>
          </w:p>
        </w:tc>
        <w:tc>
          <w:tcPr>
            <w:tcW w:w="997" w:type="dxa"/>
          </w:tcPr>
          <w:p w:rsidR="000A2656" w:rsidRPr="00CE0F4A" w:rsidRDefault="000A2656" w:rsidP="00C627EE">
            <w:pPr>
              <w:spacing w:after="0"/>
              <w:ind w:right="-104"/>
              <w:rPr>
                <w:rFonts w:ascii="Times New Roman" w:hAnsi="Times New Roman" w:cs="Times New Roman"/>
                <w:i/>
              </w:rPr>
            </w:pPr>
          </w:p>
        </w:tc>
      </w:tr>
      <w:tr w:rsidR="000A2656" w:rsidRPr="00E74E3B" w:rsidTr="00554099">
        <w:trPr>
          <w:gridAfter w:val="2"/>
          <w:wAfter w:w="19" w:type="dxa"/>
          <w:trHeight w:val="305"/>
        </w:trPr>
        <w:tc>
          <w:tcPr>
            <w:tcW w:w="3852" w:type="dxa"/>
          </w:tcPr>
          <w:p w:rsidR="000A2656" w:rsidRPr="00775930" w:rsidRDefault="000A2656" w:rsidP="002B73B5">
            <w:pPr>
              <w:pStyle w:val="ListParagraph1"/>
              <w:tabs>
                <w:tab w:val="left" w:pos="-3"/>
              </w:tabs>
              <w:ind w:left="0"/>
              <w:jc w:val="both"/>
              <w:rPr>
                <w:b/>
                <w:i/>
                <w:sz w:val="22"/>
                <w:szCs w:val="22"/>
                <w:lang w:val="ro-MD"/>
              </w:rPr>
            </w:pPr>
            <w:r w:rsidRPr="00775930">
              <w:rPr>
                <w:b/>
                <w:i/>
                <w:sz w:val="22"/>
                <w:szCs w:val="22"/>
                <w:lang w:val="ro-MD"/>
              </w:rPr>
              <w:t xml:space="preserve">Recomandarea nr.9. </w:t>
            </w:r>
            <w:r w:rsidRPr="00775930">
              <w:rPr>
                <w:sz w:val="22"/>
                <w:szCs w:val="22"/>
                <w:lang w:val="ro-MD"/>
              </w:rPr>
              <w:t>Să elaboreze criterii și să țină un registru de evidență a obiectelor de investiții capitale în curs de execuție finanțate de la bugetul de stat, asigurând transparența și prioritizarea finanțării lor</w:t>
            </w:r>
          </w:p>
        </w:tc>
        <w:tc>
          <w:tcPr>
            <w:tcW w:w="7230" w:type="dxa"/>
          </w:tcPr>
          <w:p w:rsidR="000A2656" w:rsidRPr="00E74E3B" w:rsidRDefault="000A2656" w:rsidP="00C627EE">
            <w:pPr>
              <w:spacing w:after="0" w:line="240" w:lineRule="auto"/>
              <w:ind w:firstLine="319"/>
              <w:jc w:val="both"/>
              <w:rPr>
                <w:rFonts w:ascii="Times New Roman" w:hAnsi="Times New Roman"/>
                <w:u w:val="single"/>
              </w:rPr>
            </w:pPr>
            <w:r>
              <w:rPr>
                <w:rFonts w:ascii="Times New Roman" w:eastAsia="Times New Roman" w:hAnsi="Times New Roman" w:cs="Times New Roman"/>
                <w:lang w:eastAsia="ru-RU"/>
              </w:rPr>
              <w:t>A fost elaborat SI „Registrul proiectelor de investiții capitale”. A</w:t>
            </w:r>
            <w:r w:rsidRPr="00D42378">
              <w:rPr>
                <w:rFonts w:ascii="Times New Roman" w:eastAsia="Times New Roman" w:hAnsi="Times New Roman" w:cs="Times New Roman"/>
                <w:lang w:eastAsia="ru-RU"/>
              </w:rPr>
              <w:t xml:space="preserve"> fost efectuat</w:t>
            </w:r>
            <w:r>
              <w:rPr>
                <w:rFonts w:ascii="Times New Roman" w:eastAsia="Times New Roman" w:hAnsi="Times New Roman" w:cs="Times New Roman"/>
                <w:lang w:eastAsia="ru-RU"/>
              </w:rPr>
              <w:t>ă</w:t>
            </w:r>
            <w:r w:rsidRPr="00D42378">
              <w:rPr>
                <w:rFonts w:ascii="Times New Roman" w:eastAsia="Times New Roman" w:hAnsi="Times New Roman" w:cs="Times New Roman"/>
                <w:lang w:eastAsia="ru-RU"/>
              </w:rPr>
              <w:t xml:space="preserve"> instruirea la locul de munc</w:t>
            </w:r>
            <w:r>
              <w:rPr>
                <w:rFonts w:ascii="Times New Roman" w:eastAsia="Times New Roman" w:hAnsi="Times New Roman" w:cs="Times New Roman"/>
                <w:lang w:eastAsia="ru-RU"/>
              </w:rPr>
              <w:t>ă</w:t>
            </w:r>
            <w:r w:rsidRPr="00D42378">
              <w:rPr>
                <w:rFonts w:ascii="Times New Roman" w:eastAsia="Times New Roman" w:hAnsi="Times New Roman" w:cs="Times New Roman"/>
                <w:lang w:eastAsia="ru-RU"/>
              </w:rPr>
              <w:t xml:space="preserve"> a persoanelor din cadrul APC, responsabile pentru completarea Registrului nominalizat.</w:t>
            </w:r>
            <w:r>
              <w:rPr>
                <w:rFonts w:ascii="Times New Roman" w:eastAsia="Times New Roman" w:hAnsi="Times New Roman" w:cs="Times New Roman"/>
                <w:lang w:eastAsia="ru-RU"/>
              </w:rPr>
              <w:t xml:space="preserve"> Î</w:t>
            </w:r>
            <w:r w:rsidRPr="00D42378">
              <w:rPr>
                <w:rFonts w:ascii="Times New Roman" w:eastAsia="Times New Roman" w:hAnsi="Times New Roman" w:cs="Times New Roman"/>
                <w:lang w:eastAsia="ru-RU"/>
              </w:rPr>
              <w:t xml:space="preserve">n vederea responsabilizării APC </w:t>
            </w:r>
            <w:r>
              <w:rPr>
                <w:rFonts w:ascii="Times New Roman" w:eastAsia="Times New Roman" w:hAnsi="Times New Roman" w:cs="Times New Roman"/>
                <w:lang w:eastAsia="ru-RU"/>
              </w:rPr>
              <w:t>î</w:t>
            </w:r>
            <w:r w:rsidRPr="00D42378">
              <w:rPr>
                <w:rFonts w:ascii="Times New Roman" w:eastAsia="Times New Roman" w:hAnsi="Times New Roman" w:cs="Times New Roman"/>
                <w:lang w:eastAsia="ru-RU"/>
              </w:rPr>
              <w:t xml:space="preserve">n ceea ce privește obligativitatea </w:t>
            </w:r>
            <w:r>
              <w:rPr>
                <w:rFonts w:ascii="Times New Roman" w:eastAsia="Times New Roman" w:hAnsi="Times New Roman" w:cs="Times New Roman"/>
                <w:lang w:eastAsia="ru-RU"/>
              </w:rPr>
              <w:t>ș</w:t>
            </w:r>
            <w:r w:rsidRPr="00D42378">
              <w:rPr>
                <w:rFonts w:ascii="Times New Roman" w:eastAsia="Times New Roman" w:hAnsi="Times New Roman" w:cs="Times New Roman"/>
                <w:lang w:eastAsia="ru-RU"/>
              </w:rPr>
              <w:t>i</w:t>
            </w:r>
            <w:r>
              <w:rPr>
                <w:rFonts w:ascii="Times New Roman" w:eastAsia="Times New Roman" w:hAnsi="Times New Roman" w:cs="Times New Roman"/>
                <w:lang w:eastAsia="ru-RU"/>
              </w:rPr>
              <w:t xml:space="preserve"> </w:t>
            </w:r>
            <w:r w:rsidRPr="00D42378">
              <w:rPr>
                <w:rFonts w:ascii="Times New Roman" w:eastAsia="Times New Roman" w:hAnsi="Times New Roman" w:cs="Times New Roman"/>
                <w:lang w:eastAsia="ru-RU"/>
              </w:rPr>
              <w:t>importan</w:t>
            </w:r>
            <w:r>
              <w:rPr>
                <w:rFonts w:ascii="Times New Roman" w:eastAsia="Times New Roman" w:hAnsi="Times New Roman" w:cs="Times New Roman"/>
                <w:lang w:eastAsia="ru-RU"/>
              </w:rPr>
              <w:t>ț</w:t>
            </w:r>
            <w:r w:rsidRPr="00D42378">
              <w:rPr>
                <w:rFonts w:ascii="Times New Roman" w:eastAsia="Times New Roman" w:hAnsi="Times New Roman" w:cs="Times New Roman"/>
                <w:lang w:eastAsia="ru-RU"/>
              </w:rPr>
              <w:t xml:space="preserve">a completării, actualizării anuale a informației din RPIC, MF a expediat </w:t>
            </w:r>
            <w:r>
              <w:rPr>
                <w:rFonts w:ascii="Times New Roman" w:eastAsia="Times New Roman" w:hAnsi="Times New Roman" w:cs="Times New Roman"/>
                <w:lang w:eastAsia="ru-RU"/>
              </w:rPr>
              <w:t>î</w:t>
            </w:r>
            <w:r w:rsidRPr="00D42378">
              <w:rPr>
                <w:rFonts w:ascii="Times New Roman" w:eastAsia="Times New Roman" w:hAnsi="Times New Roman" w:cs="Times New Roman"/>
                <w:lang w:eastAsia="ru-RU"/>
              </w:rPr>
              <w:t>n adresa Guvernului scrisoarea informativ</w:t>
            </w:r>
            <w:r>
              <w:rPr>
                <w:rFonts w:ascii="Times New Roman" w:eastAsia="Times New Roman" w:hAnsi="Times New Roman" w:cs="Times New Roman"/>
                <w:lang w:eastAsia="ru-RU"/>
              </w:rPr>
              <w:t>ă</w:t>
            </w:r>
            <w:r w:rsidRPr="00D42378">
              <w:rPr>
                <w:rFonts w:ascii="Times New Roman" w:eastAsia="Times New Roman" w:hAnsi="Times New Roman" w:cs="Times New Roman"/>
                <w:lang w:eastAsia="ru-RU"/>
              </w:rPr>
              <w:t xml:space="preserve"> nr.</w:t>
            </w:r>
            <w:r>
              <w:rPr>
                <w:rFonts w:ascii="Times New Roman" w:eastAsia="Times New Roman" w:hAnsi="Times New Roman" w:cs="Times New Roman"/>
                <w:lang w:eastAsia="ru-RU"/>
              </w:rPr>
              <w:t xml:space="preserve"> 1-03/230 din 07.03.</w:t>
            </w:r>
            <w:r w:rsidRPr="00D42378">
              <w:rPr>
                <w:rFonts w:ascii="Times New Roman" w:eastAsia="Times New Roman" w:hAnsi="Times New Roman" w:cs="Times New Roman"/>
                <w:lang w:eastAsia="ru-RU"/>
              </w:rPr>
              <w:t>2018</w:t>
            </w:r>
          </w:p>
        </w:tc>
        <w:tc>
          <w:tcPr>
            <w:tcW w:w="992" w:type="dxa"/>
          </w:tcPr>
          <w:p w:rsidR="000A2656" w:rsidRPr="00F2022E" w:rsidRDefault="000A2656" w:rsidP="003F12B5">
            <w:pPr>
              <w:pStyle w:val="a5"/>
              <w:numPr>
                <w:ilvl w:val="0"/>
                <w:numId w:val="10"/>
              </w:numPr>
              <w:tabs>
                <w:tab w:val="left" w:pos="138"/>
                <w:tab w:val="left" w:pos="280"/>
              </w:tabs>
              <w:spacing w:after="0"/>
              <w:ind w:left="-3" w:right="-108" w:firstLine="0"/>
              <w:jc w:val="center"/>
              <w:rPr>
                <w:rFonts w:ascii="Times New Roman" w:hAnsi="Times New Roman" w:cs="Times New Roman"/>
                <w:b/>
                <w:color w:val="000000"/>
              </w:rPr>
            </w:pPr>
          </w:p>
        </w:tc>
        <w:tc>
          <w:tcPr>
            <w:tcW w:w="992" w:type="dxa"/>
          </w:tcPr>
          <w:p w:rsidR="000A2656" w:rsidRPr="005039EF" w:rsidRDefault="000A2656" w:rsidP="00C627EE">
            <w:pPr>
              <w:tabs>
                <w:tab w:val="left" w:pos="138"/>
                <w:tab w:val="left" w:pos="280"/>
              </w:tabs>
              <w:spacing w:after="0"/>
              <w:ind w:left="-3" w:right="-108"/>
              <w:rPr>
                <w:rFonts w:ascii="Times New Roman" w:hAnsi="Times New Roman" w:cs="Times New Roman"/>
                <w:b/>
                <w:color w:val="000000"/>
              </w:rPr>
            </w:pPr>
          </w:p>
        </w:tc>
        <w:tc>
          <w:tcPr>
            <w:tcW w:w="997" w:type="dxa"/>
          </w:tcPr>
          <w:p w:rsidR="000A2656" w:rsidRPr="00CE0F4A" w:rsidRDefault="000A2656" w:rsidP="00C627EE">
            <w:pPr>
              <w:spacing w:after="0"/>
              <w:ind w:right="-104"/>
              <w:rPr>
                <w:rFonts w:ascii="Times New Roman" w:hAnsi="Times New Roman" w:cs="Times New Roman"/>
                <w:i/>
              </w:rPr>
            </w:pPr>
          </w:p>
        </w:tc>
      </w:tr>
      <w:tr w:rsidR="000A2656" w:rsidRPr="00E74E3B" w:rsidTr="00554099">
        <w:trPr>
          <w:gridAfter w:val="2"/>
          <w:wAfter w:w="19" w:type="dxa"/>
          <w:trHeight w:val="305"/>
        </w:trPr>
        <w:tc>
          <w:tcPr>
            <w:tcW w:w="3852" w:type="dxa"/>
          </w:tcPr>
          <w:p w:rsidR="000A2656" w:rsidRPr="00775930" w:rsidRDefault="000A2656" w:rsidP="002B73B5">
            <w:pPr>
              <w:pStyle w:val="ListParagraph1"/>
              <w:tabs>
                <w:tab w:val="left" w:pos="-3"/>
              </w:tabs>
              <w:ind w:left="0"/>
              <w:jc w:val="both"/>
              <w:rPr>
                <w:b/>
                <w:i/>
                <w:sz w:val="22"/>
                <w:szCs w:val="22"/>
                <w:lang w:val="ro-MD"/>
              </w:rPr>
            </w:pPr>
            <w:r w:rsidRPr="00775930">
              <w:rPr>
                <w:b/>
                <w:i/>
                <w:sz w:val="22"/>
                <w:szCs w:val="22"/>
                <w:lang w:val="ro-MD"/>
              </w:rPr>
              <w:t xml:space="preserve">Recomandarea nr.10. </w:t>
            </w:r>
            <w:r w:rsidRPr="00775930">
              <w:rPr>
                <w:sz w:val="22"/>
                <w:szCs w:val="22"/>
                <w:lang w:val="ro-MD"/>
              </w:rPr>
              <w:t>Să propună reglementări privind condițiile pentru includerea obiectelor de investiții capitale noi în registrul de evidență a obiectelor de investiții capitale în curs de execuție finanțate de la bugetul de stat, reieșind din prioritățile statului</w:t>
            </w:r>
          </w:p>
        </w:tc>
        <w:tc>
          <w:tcPr>
            <w:tcW w:w="7230" w:type="dxa"/>
          </w:tcPr>
          <w:p w:rsidR="000A2656" w:rsidRPr="00BC1F22" w:rsidRDefault="000A2656" w:rsidP="00C627EE">
            <w:pPr>
              <w:spacing w:after="0" w:line="240" w:lineRule="auto"/>
              <w:ind w:firstLine="319"/>
              <w:jc w:val="both"/>
              <w:rPr>
                <w:rFonts w:ascii="Times New Roman" w:hAnsi="Times New Roman"/>
              </w:rPr>
            </w:pPr>
            <w:r w:rsidRPr="00BC1F22">
              <w:rPr>
                <w:rFonts w:ascii="Times New Roman" w:hAnsi="Times New Roman"/>
              </w:rPr>
              <w:t>Începând cu anul 2018</w:t>
            </w:r>
            <w:r w:rsidR="002B73B5">
              <w:rPr>
                <w:rFonts w:ascii="Times New Roman" w:hAnsi="Times New Roman"/>
              </w:rPr>
              <w:t>,</w:t>
            </w:r>
            <w:r w:rsidRPr="00BC1F22">
              <w:rPr>
                <w:rFonts w:ascii="Times New Roman" w:hAnsi="Times New Roman"/>
              </w:rPr>
              <w:t xml:space="preserve"> MF a preluat funcția de administrare a asistenței financiare externe. În acest context</w:t>
            </w:r>
            <w:r w:rsidR="002B73B5">
              <w:rPr>
                <w:rFonts w:ascii="Times New Roman" w:hAnsi="Times New Roman"/>
              </w:rPr>
              <w:t>,</w:t>
            </w:r>
            <w:r w:rsidRPr="00BC1F22">
              <w:rPr>
                <w:rFonts w:ascii="Times New Roman" w:hAnsi="Times New Roman"/>
              </w:rPr>
              <w:t xml:space="preserve"> în prezent se elaborează propuneri de modificare a actelor normative în vigoare.</w:t>
            </w:r>
          </w:p>
          <w:p w:rsidR="000A2656" w:rsidRPr="00BC1F22" w:rsidRDefault="002B73B5" w:rsidP="002B73B5">
            <w:pPr>
              <w:spacing w:after="0" w:line="240" w:lineRule="auto"/>
              <w:jc w:val="both"/>
              <w:rPr>
                <w:rFonts w:ascii="Times New Roman" w:hAnsi="Times New Roman"/>
              </w:rPr>
            </w:pPr>
            <w:r>
              <w:rPr>
                <w:rFonts w:ascii="Times New Roman" w:hAnsi="Times New Roman"/>
              </w:rPr>
              <w:t xml:space="preserve">     </w:t>
            </w:r>
            <w:r w:rsidR="000A2656" w:rsidRPr="00BC1F22">
              <w:rPr>
                <w:rFonts w:ascii="Times New Roman" w:hAnsi="Times New Roman"/>
              </w:rPr>
              <w:t xml:space="preserve">În procesul de definitivare și amendare a tuturor actelor în cauză, în baza analizei efectuate în acest proces, se va reveni asupra modificărilor prevederilor HG nr.1029 din 19.12.2013 </w:t>
            </w:r>
            <w:r>
              <w:rPr>
                <w:rFonts w:ascii="Times New Roman" w:hAnsi="Times New Roman"/>
              </w:rPr>
              <w:t>„</w:t>
            </w:r>
            <w:r w:rsidR="000A2656" w:rsidRPr="00BC1F22">
              <w:rPr>
                <w:rFonts w:ascii="Times New Roman" w:hAnsi="Times New Roman"/>
              </w:rPr>
              <w:t>Cu privire la investițiile capitale</w:t>
            </w:r>
            <w:r w:rsidR="000A2656">
              <w:rPr>
                <w:rFonts w:ascii="Times New Roman" w:hAnsi="Times New Roman"/>
              </w:rPr>
              <w:t xml:space="preserve"> publice”</w:t>
            </w:r>
          </w:p>
        </w:tc>
        <w:tc>
          <w:tcPr>
            <w:tcW w:w="992" w:type="dxa"/>
          </w:tcPr>
          <w:p w:rsidR="000A2656" w:rsidRPr="00E74E3B" w:rsidRDefault="000A2656" w:rsidP="00C627EE">
            <w:pPr>
              <w:spacing w:after="0" w:line="240" w:lineRule="auto"/>
              <w:jc w:val="both"/>
              <w:rPr>
                <w:rFonts w:ascii="Times New Roman" w:hAnsi="Times New Roman" w:cs="Times New Roman"/>
                <w:u w:val="single"/>
              </w:rPr>
            </w:pPr>
          </w:p>
        </w:tc>
        <w:tc>
          <w:tcPr>
            <w:tcW w:w="992" w:type="dxa"/>
          </w:tcPr>
          <w:p w:rsidR="000A2656" w:rsidRPr="00F2022E" w:rsidRDefault="000A2656" w:rsidP="003F12B5">
            <w:pPr>
              <w:pStyle w:val="a5"/>
              <w:numPr>
                <w:ilvl w:val="0"/>
                <w:numId w:val="10"/>
              </w:numPr>
              <w:tabs>
                <w:tab w:val="left" w:pos="138"/>
                <w:tab w:val="left" w:pos="280"/>
              </w:tabs>
              <w:spacing w:after="0"/>
              <w:ind w:left="-3" w:right="-108" w:firstLine="0"/>
              <w:jc w:val="center"/>
              <w:rPr>
                <w:rFonts w:ascii="Times New Roman" w:hAnsi="Times New Roman" w:cs="Times New Roman"/>
                <w:b/>
                <w:color w:val="000000"/>
              </w:rPr>
            </w:pPr>
          </w:p>
        </w:tc>
        <w:tc>
          <w:tcPr>
            <w:tcW w:w="997" w:type="dxa"/>
          </w:tcPr>
          <w:p w:rsidR="000A2656" w:rsidRPr="00F2022E" w:rsidRDefault="000A2656" w:rsidP="00C627EE">
            <w:pPr>
              <w:pStyle w:val="a5"/>
              <w:tabs>
                <w:tab w:val="left" w:pos="138"/>
                <w:tab w:val="left" w:pos="280"/>
              </w:tabs>
              <w:spacing w:after="0"/>
              <w:ind w:left="-3" w:right="-108"/>
              <w:rPr>
                <w:rFonts w:ascii="Times New Roman" w:hAnsi="Times New Roman" w:cs="Times New Roman"/>
                <w:b/>
                <w:color w:val="000000"/>
              </w:rPr>
            </w:pPr>
          </w:p>
        </w:tc>
      </w:tr>
      <w:tr w:rsidR="000A2656" w:rsidRPr="00E74E3B" w:rsidTr="00554099">
        <w:trPr>
          <w:gridAfter w:val="2"/>
          <w:wAfter w:w="19" w:type="dxa"/>
          <w:trHeight w:val="305"/>
        </w:trPr>
        <w:tc>
          <w:tcPr>
            <w:tcW w:w="3852" w:type="dxa"/>
          </w:tcPr>
          <w:p w:rsidR="000A2656" w:rsidRPr="00775930" w:rsidRDefault="000A2656" w:rsidP="002B73B5">
            <w:pPr>
              <w:pStyle w:val="ListParagraph1"/>
              <w:tabs>
                <w:tab w:val="left" w:pos="-3"/>
              </w:tabs>
              <w:ind w:left="0"/>
              <w:jc w:val="both"/>
              <w:rPr>
                <w:b/>
                <w:i/>
                <w:sz w:val="22"/>
                <w:szCs w:val="22"/>
                <w:lang w:val="ro-MD"/>
              </w:rPr>
            </w:pPr>
            <w:r w:rsidRPr="00775930">
              <w:rPr>
                <w:b/>
                <w:i/>
                <w:sz w:val="22"/>
                <w:szCs w:val="22"/>
                <w:lang w:val="ro-MD"/>
              </w:rPr>
              <w:t xml:space="preserve">Recomandarea nr.11. </w:t>
            </w:r>
            <w:r w:rsidRPr="00775930">
              <w:rPr>
                <w:sz w:val="22"/>
                <w:szCs w:val="22"/>
                <w:lang w:val="ro-MD"/>
              </w:rPr>
              <w:t>Să perfecționeze/ ajusteze SIMF prin elaborarea și includerea unui mecanism/algoritm în vederea rezervării resurselor destinate fondurilor de urgență, pentru utilizarea conformă a acestora în scopurile aprobate prin Hotărârile Guvernului</w:t>
            </w:r>
          </w:p>
        </w:tc>
        <w:tc>
          <w:tcPr>
            <w:tcW w:w="7230" w:type="dxa"/>
          </w:tcPr>
          <w:p w:rsidR="000A2656" w:rsidRPr="00E74E3B" w:rsidRDefault="000A2656" w:rsidP="002B73B5">
            <w:pPr>
              <w:spacing w:after="0" w:line="240" w:lineRule="auto"/>
              <w:ind w:firstLine="319"/>
              <w:jc w:val="both"/>
              <w:rPr>
                <w:rFonts w:ascii="Times New Roman" w:hAnsi="Times New Roman"/>
                <w:u w:val="single"/>
              </w:rPr>
            </w:pPr>
            <w:r>
              <w:rPr>
                <w:rFonts w:ascii="Times New Roman" w:eastAsia="Times New Roman" w:hAnsi="Times New Roman" w:cs="Times New Roman"/>
                <w:lang w:eastAsia="ru-RU"/>
              </w:rPr>
              <w:t xml:space="preserve">Sistemul informațional de gestionare a finanțelor publice a fost modificat </w:t>
            </w:r>
            <w:r w:rsidR="002B73B5">
              <w:rPr>
                <w:rFonts w:ascii="Times New Roman" w:eastAsia="Times New Roman" w:hAnsi="Times New Roman" w:cs="Times New Roman"/>
                <w:lang w:eastAsia="ru-RU"/>
              </w:rPr>
              <w:t>pen</w:t>
            </w:r>
            <w:r>
              <w:rPr>
                <w:rFonts w:ascii="Times New Roman" w:eastAsia="Times New Roman" w:hAnsi="Times New Roman" w:cs="Times New Roman"/>
                <w:lang w:eastAsia="ru-RU"/>
              </w:rPr>
              <w:t>tru introducerea unui algoritm de verificare a soldurilor de mijloace destinate efectuării cheltuielilor din Fondurile de urgență. Începând cu 2018, urmează să se asigure verificarea soldului surselor alocate din Fondul de urgență</w:t>
            </w:r>
          </w:p>
        </w:tc>
        <w:tc>
          <w:tcPr>
            <w:tcW w:w="992" w:type="dxa"/>
          </w:tcPr>
          <w:p w:rsidR="000A2656" w:rsidRPr="00F2022E" w:rsidRDefault="000A2656" w:rsidP="003F12B5">
            <w:pPr>
              <w:pStyle w:val="a5"/>
              <w:numPr>
                <w:ilvl w:val="0"/>
                <w:numId w:val="10"/>
              </w:numPr>
              <w:tabs>
                <w:tab w:val="left" w:pos="138"/>
                <w:tab w:val="left" w:pos="280"/>
              </w:tabs>
              <w:spacing w:after="0"/>
              <w:ind w:left="-3" w:right="-108" w:firstLine="0"/>
              <w:jc w:val="center"/>
              <w:rPr>
                <w:rFonts w:ascii="Times New Roman" w:hAnsi="Times New Roman" w:cs="Times New Roman"/>
                <w:b/>
                <w:color w:val="000000"/>
              </w:rPr>
            </w:pPr>
          </w:p>
        </w:tc>
        <w:tc>
          <w:tcPr>
            <w:tcW w:w="992" w:type="dxa"/>
          </w:tcPr>
          <w:p w:rsidR="000A2656" w:rsidRDefault="000A2656" w:rsidP="00C627EE">
            <w:pPr>
              <w:spacing w:after="0"/>
              <w:jc w:val="both"/>
              <w:rPr>
                <w:rFonts w:ascii="Times New Roman" w:hAnsi="Times New Roman" w:cs="Times New Roman"/>
                <w:b/>
              </w:rPr>
            </w:pPr>
          </w:p>
        </w:tc>
        <w:tc>
          <w:tcPr>
            <w:tcW w:w="997" w:type="dxa"/>
          </w:tcPr>
          <w:p w:rsidR="000A2656" w:rsidRPr="00AA7645" w:rsidRDefault="000A2656" w:rsidP="00C627EE">
            <w:pPr>
              <w:spacing w:after="0"/>
              <w:jc w:val="both"/>
              <w:rPr>
                <w:rFonts w:ascii="Times New Roman" w:hAnsi="Times New Roman" w:cs="Times New Roman"/>
                <w:b/>
              </w:rPr>
            </w:pPr>
          </w:p>
        </w:tc>
      </w:tr>
      <w:tr w:rsidR="000A2656" w:rsidRPr="00E74E3B" w:rsidTr="00554099">
        <w:trPr>
          <w:gridAfter w:val="2"/>
          <w:wAfter w:w="19" w:type="dxa"/>
          <w:trHeight w:val="305"/>
        </w:trPr>
        <w:tc>
          <w:tcPr>
            <w:tcW w:w="3852" w:type="dxa"/>
          </w:tcPr>
          <w:p w:rsidR="000A2656" w:rsidRPr="00775930" w:rsidRDefault="000A2656" w:rsidP="002B73B5">
            <w:pPr>
              <w:pStyle w:val="ListParagraph1"/>
              <w:tabs>
                <w:tab w:val="left" w:pos="-3"/>
              </w:tabs>
              <w:ind w:left="0"/>
              <w:jc w:val="both"/>
              <w:rPr>
                <w:b/>
                <w:i/>
                <w:sz w:val="22"/>
                <w:szCs w:val="22"/>
                <w:lang w:val="ro-MD"/>
              </w:rPr>
            </w:pPr>
            <w:r w:rsidRPr="00775930">
              <w:rPr>
                <w:b/>
                <w:i/>
                <w:sz w:val="22"/>
                <w:szCs w:val="22"/>
                <w:lang w:val="ro-MD"/>
              </w:rPr>
              <w:t xml:space="preserve">Recomandarea nr.12. </w:t>
            </w:r>
            <w:r w:rsidRPr="00775930">
              <w:rPr>
                <w:sz w:val="22"/>
                <w:szCs w:val="22"/>
                <w:lang w:val="ro-MD"/>
              </w:rPr>
              <w:t>Să asigure restituirea la bugetul de stat a transferurilor interbugetare destinate ramurii „Protecția socială”, neutilizate în anii 2015 și 2016, în valoare totală de 8,7 mil.lei</w:t>
            </w:r>
          </w:p>
        </w:tc>
        <w:tc>
          <w:tcPr>
            <w:tcW w:w="7230" w:type="dxa"/>
          </w:tcPr>
          <w:p w:rsidR="000A2656" w:rsidRPr="0091086D" w:rsidRDefault="000A2656" w:rsidP="002B73B5">
            <w:pPr>
              <w:spacing w:after="0" w:line="240" w:lineRule="auto"/>
              <w:ind w:firstLine="319"/>
              <w:jc w:val="both"/>
              <w:rPr>
                <w:rFonts w:ascii="Times New Roman" w:hAnsi="Times New Roman"/>
              </w:rPr>
            </w:pPr>
            <w:r>
              <w:rPr>
                <w:rFonts w:ascii="Times New Roman" w:eastAsia="Times New Roman" w:hAnsi="Times New Roman" w:cs="Times New Roman"/>
                <w:lang w:eastAsia="ru-RU"/>
              </w:rPr>
              <w:t xml:space="preserve">La situația din 31.12.2017 au fost restituite total 2,4 mil.lei, realocate 2,5 mil.lei și 4,3 mil.lei au fost restabilite în bugetul de stat prin rectificarea Legii bugetului de stat pentru anul 2017. </w:t>
            </w:r>
            <w:r>
              <w:rPr>
                <w:rFonts w:ascii="Times New Roman" w:hAnsi="Times New Roman"/>
              </w:rPr>
              <w:t>La situația din 03.10.2017 au fost restituite mijloace financiare în sumă de 1162,6 mii lei. 7 APL au realocat mijloace financiare din soldurile formate la 01.01.2017 pentru ramura „Protecție socială” în sumă de 3079,7 mii lei. Suma de 118,7 mii lei achitat</w:t>
            </w:r>
            <w:r w:rsidR="002B73B5">
              <w:rPr>
                <w:rFonts w:ascii="Times New Roman" w:hAnsi="Times New Roman"/>
              </w:rPr>
              <w:t>ă</w:t>
            </w:r>
            <w:r>
              <w:rPr>
                <w:rFonts w:ascii="Times New Roman" w:hAnsi="Times New Roman"/>
              </w:rPr>
              <w:t xml:space="preserve"> în anul 2014 de către mun. Chișinău pentru serviciile de transport din contul mijloacelor proprii a fost luat</w:t>
            </w:r>
            <w:r w:rsidR="002B73B5">
              <w:rPr>
                <w:rFonts w:ascii="Times New Roman" w:hAnsi="Times New Roman"/>
              </w:rPr>
              <w:t>ă</w:t>
            </w:r>
            <w:r>
              <w:rPr>
                <w:rFonts w:ascii="Times New Roman" w:hAnsi="Times New Roman"/>
              </w:rPr>
              <w:t xml:space="preserve"> în considera</w:t>
            </w:r>
            <w:r w:rsidR="002B73B5">
              <w:rPr>
                <w:rFonts w:ascii="Times New Roman" w:hAnsi="Times New Roman"/>
              </w:rPr>
              <w:t>r</w:t>
            </w:r>
            <w:r>
              <w:rPr>
                <w:rFonts w:ascii="Times New Roman" w:hAnsi="Times New Roman"/>
              </w:rPr>
              <w:t xml:space="preserve">e în anul 2017. La situația din 26.09.2017, soldul mijloacelor financiare a constituit 4951,4 mii lei pentru 7 APL. Suma de 4251,3 mii lei a fost </w:t>
            </w:r>
            <w:r>
              <w:rPr>
                <w:rFonts w:ascii="Times New Roman" w:hAnsi="Times New Roman"/>
              </w:rPr>
              <w:lastRenderedPageBreak/>
              <w:t xml:space="preserve">restabilită în bugetul de stat prin rectificarea Legii BS pentru anul 2017. CR Soroca a restituit în BS 700,1 mii lei. CR Anenii Noi a restituit 215,5 mii lei și Consiliul municipal Chișinău </w:t>
            </w:r>
            <w:r w:rsidR="002B73B5">
              <w:rPr>
                <w:rFonts w:ascii="Times New Roman" w:hAnsi="Times New Roman"/>
              </w:rPr>
              <w:t xml:space="preserve">– </w:t>
            </w:r>
            <w:r>
              <w:rPr>
                <w:rFonts w:ascii="Times New Roman" w:hAnsi="Times New Roman"/>
              </w:rPr>
              <w:t xml:space="preserve">363,2 mii lei </w:t>
            </w:r>
          </w:p>
        </w:tc>
        <w:tc>
          <w:tcPr>
            <w:tcW w:w="992" w:type="dxa"/>
          </w:tcPr>
          <w:p w:rsidR="000A2656" w:rsidRPr="00F2022E" w:rsidRDefault="000A2656" w:rsidP="003F12B5">
            <w:pPr>
              <w:pStyle w:val="a5"/>
              <w:numPr>
                <w:ilvl w:val="0"/>
                <w:numId w:val="10"/>
              </w:numPr>
              <w:tabs>
                <w:tab w:val="left" w:pos="138"/>
                <w:tab w:val="left" w:pos="280"/>
              </w:tabs>
              <w:spacing w:after="0"/>
              <w:ind w:left="-3" w:right="-108" w:firstLine="0"/>
              <w:jc w:val="center"/>
              <w:rPr>
                <w:rFonts w:ascii="Times New Roman" w:hAnsi="Times New Roman" w:cs="Times New Roman"/>
                <w:b/>
                <w:color w:val="000000"/>
              </w:rPr>
            </w:pPr>
          </w:p>
        </w:tc>
        <w:tc>
          <w:tcPr>
            <w:tcW w:w="992" w:type="dxa"/>
          </w:tcPr>
          <w:p w:rsidR="000A2656" w:rsidRPr="00F2022E" w:rsidRDefault="000A2656" w:rsidP="00C627EE">
            <w:pPr>
              <w:pStyle w:val="a5"/>
              <w:tabs>
                <w:tab w:val="left" w:pos="138"/>
                <w:tab w:val="left" w:pos="280"/>
              </w:tabs>
              <w:spacing w:after="0"/>
              <w:ind w:left="-3" w:right="-108"/>
              <w:rPr>
                <w:rFonts w:ascii="Times New Roman" w:hAnsi="Times New Roman" w:cs="Times New Roman"/>
                <w:b/>
                <w:color w:val="000000"/>
              </w:rPr>
            </w:pPr>
          </w:p>
        </w:tc>
        <w:tc>
          <w:tcPr>
            <w:tcW w:w="997" w:type="dxa"/>
          </w:tcPr>
          <w:p w:rsidR="000A2656" w:rsidRPr="00CE0F4A" w:rsidRDefault="000A2656" w:rsidP="00C627EE">
            <w:pPr>
              <w:spacing w:after="0"/>
              <w:ind w:right="-104"/>
              <w:rPr>
                <w:rFonts w:ascii="Times New Roman" w:hAnsi="Times New Roman" w:cs="Times New Roman"/>
                <w:i/>
              </w:rPr>
            </w:pPr>
          </w:p>
        </w:tc>
      </w:tr>
      <w:tr w:rsidR="000A2656" w:rsidRPr="00E74E3B" w:rsidTr="00554099">
        <w:trPr>
          <w:gridAfter w:val="2"/>
          <w:wAfter w:w="19" w:type="dxa"/>
          <w:trHeight w:val="305"/>
        </w:trPr>
        <w:tc>
          <w:tcPr>
            <w:tcW w:w="3852" w:type="dxa"/>
          </w:tcPr>
          <w:p w:rsidR="000A2656" w:rsidRPr="00775930" w:rsidRDefault="000A2656" w:rsidP="002B73B5">
            <w:pPr>
              <w:pStyle w:val="ListParagraph1"/>
              <w:tabs>
                <w:tab w:val="left" w:pos="-3"/>
              </w:tabs>
              <w:ind w:left="0"/>
              <w:jc w:val="both"/>
              <w:rPr>
                <w:b/>
                <w:i/>
                <w:sz w:val="22"/>
                <w:szCs w:val="22"/>
                <w:lang w:val="ro-MD"/>
              </w:rPr>
            </w:pPr>
            <w:r w:rsidRPr="00775930">
              <w:rPr>
                <w:b/>
                <w:i/>
                <w:sz w:val="22"/>
                <w:szCs w:val="22"/>
                <w:lang w:val="ro-MD"/>
              </w:rPr>
              <w:t xml:space="preserve">Recomandarea nr.13. </w:t>
            </w:r>
            <w:r w:rsidRPr="00775930">
              <w:rPr>
                <w:sz w:val="22"/>
                <w:szCs w:val="22"/>
                <w:lang w:val="ro-MD"/>
              </w:rPr>
              <w:t>Să asigure corelarea indicatorilor aferenți transferurilor interbugetare aprobate în bugetele UAT cu cele aprobate prin Legea bugetului de stat, inclusiv prin examinarea oportunităților de dezvoltare a SIMF sau de perfecționare a cadrului regulator</w:t>
            </w:r>
          </w:p>
        </w:tc>
        <w:tc>
          <w:tcPr>
            <w:tcW w:w="7230" w:type="dxa"/>
          </w:tcPr>
          <w:p w:rsidR="000A2656" w:rsidRDefault="000A2656" w:rsidP="00C627EE">
            <w:pPr>
              <w:spacing w:after="0" w:line="240" w:lineRule="auto"/>
              <w:ind w:firstLine="319"/>
              <w:jc w:val="both"/>
              <w:rPr>
                <w:rFonts w:ascii="Times New Roman" w:eastAsia="Times New Roman" w:hAnsi="Times New Roman" w:cs="Times New Roman"/>
                <w:lang w:eastAsia="ru-RU"/>
              </w:rPr>
            </w:pPr>
            <w:r>
              <w:rPr>
                <w:rFonts w:ascii="Times New Roman" w:eastAsia="Times New Roman" w:hAnsi="Times New Roman" w:cs="Times New Roman"/>
                <w:lang w:eastAsia="ru-RU"/>
              </w:rPr>
              <w:t>MF a remis către APL 3 circulare privind necesitatea corelării volumelor transferurilor cu prevederile Legii BS pe anul 2017. La situația</w:t>
            </w:r>
            <w:r w:rsidR="00764D6E">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din 01.10.2017, în conlucrare cu Direcțiile finanțe ale UAT</w:t>
            </w:r>
            <w:r w:rsidR="002B73B5">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a fost asigurată contrapunerea indicilor de plan ai volumelor transferurilor de la BS (pe tipuri) către bugetele locale prevăzute în </w:t>
            </w:r>
            <w:r w:rsidR="002B73B5">
              <w:rPr>
                <w:rFonts w:ascii="Times New Roman" w:eastAsia="Times New Roman" w:hAnsi="Times New Roman" w:cs="Times New Roman"/>
                <w:lang w:eastAsia="ru-RU"/>
              </w:rPr>
              <w:t>A</w:t>
            </w:r>
            <w:r>
              <w:rPr>
                <w:rFonts w:ascii="Times New Roman" w:eastAsia="Times New Roman" w:hAnsi="Times New Roman" w:cs="Times New Roman"/>
                <w:lang w:eastAsia="ru-RU"/>
              </w:rPr>
              <w:t>nexa nr.5 la Legea BS pe anul 2017.</w:t>
            </w:r>
            <w:r w:rsidR="00764D6E">
              <w:rPr>
                <w:rFonts w:ascii="Times New Roman" w:eastAsia="Times New Roman" w:hAnsi="Times New Roman" w:cs="Times New Roman"/>
                <w:lang w:eastAsia="ru-RU"/>
              </w:rPr>
              <w:t xml:space="preserve"> </w:t>
            </w:r>
          </w:p>
          <w:p w:rsidR="000A2656" w:rsidRPr="00011CAB" w:rsidRDefault="002B73B5" w:rsidP="002B73B5">
            <w:pPr>
              <w:spacing w:after="0" w:line="240" w:lineRule="auto"/>
              <w:jc w:val="both"/>
              <w:rPr>
                <w:rFonts w:ascii="Times New Roman" w:hAnsi="Times New Roman"/>
              </w:rPr>
            </w:pPr>
            <w:r>
              <w:rPr>
                <w:rFonts w:ascii="Times New Roman" w:hAnsi="Times New Roman"/>
              </w:rPr>
              <w:t xml:space="preserve">      </w:t>
            </w:r>
            <w:r w:rsidR="000A2656">
              <w:rPr>
                <w:rFonts w:ascii="Times New Roman" w:hAnsi="Times New Roman"/>
              </w:rPr>
              <w:t>A</w:t>
            </w:r>
            <w:r w:rsidR="000A2656" w:rsidRPr="00011CAB">
              <w:rPr>
                <w:rFonts w:ascii="Times New Roman" w:hAnsi="Times New Roman"/>
              </w:rPr>
              <w:t xml:space="preserve">vând </w:t>
            </w:r>
            <w:r w:rsidR="000A2656">
              <w:rPr>
                <w:rFonts w:ascii="Times New Roman" w:hAnsi="Times New Roman"/>
              </w:rPr>
              <w:t>î</w:t>
            </w:r>
            <w:r w:rsidR="000A2656" w:rsidRPr="00011CAB">
              <w:rPr>
                <w:rFonts w:ascii="Times New Roman" w:hAnsi="Times New Roman"/>
              </w:rPr>
              <w:t xml:space="preserve">n vedere exercițiul de încheiere </w:t>
            </w:r>
            <w:r w:rsidR="000A2656">
              <w:rPr>
                <w:rFonts w:ascii="Times New Roman" w:hAnsi="Times New Roman"/>
              </w:rPr>
              <w:t>ș</w:t>
            </w:r>
            <w:r w:rsidR="000A2656" w:rsidRPr="00011CAB">
              <w:rPr>
                <w:rFonts w:ascii="Times New Roman" w:hAnsi="Times New Roman"/>
              </w:rPr>
              <w:t xml:space="preserve">i raportare pentru anul bugetar 2017, inclusiv a indicilor de plan pe articole consolidabile </w:t>
            </w:r>
            <w:r w:rsidR="000A2656">
              <w:rPr>
                <w:rFonts w:ascii="Times New Roman" w:hAnsi="Times New Roman"/>
              </w:rPr>
              <w:t>î</w:t>
            </w:r>
            <w:r w:rsidR="000A2656" w:rsidRPr="00011CAB">
              <w:rPr>
                <w:rFonts w:ascii="Times New Roman" w:hAnsi="Times New Roman"/>
              </w:rPr>
              <w:t xml:space="preserve">ntre bugetul de stat </w:t>
            </w:r>
            <w:r>
              <w:rPr>
                <w:rFonts w:ascii="Times New Roman" w:hAnsi="Times New Roman"/>
              </w:rPr>
              <w:t>ș</w:t>
            </w:r>
            <w:r w:rsidR="000A2656" w:rsidRPr="00011CAB">
              <w:rPr>
                <w:rFonts w:ascii="Times New Roman" w:hAnsi="Times New Roman"/>
              </w:rPr>
              <w:t xml:space="preserve">i bugetele locale, MF a analizat informația privind volumele transferurilor de la bugetul de stat către bugetele locale prevăzute </w:t>
            </w:r>
            <w:r w:rsidR="000A2656">
              <w:rPr>
                <w:rFonts w:ascii="Times New Roman" w:hAnsi="Times New Roman"/>
              </w:rPr>
              <w:t>î</w:t>
            </w:r>
            <w:r w:rsidR="000A2656" w:rsidRPr="00011CAB">
              <w:rPr>
                <w:rFonts w:ascii="Times New Roman" w:hAnsi="Times New Roman"/>
              </w:rPr>
              <w:t xml:space="preserve">n Legea </w:t>
            </w:r>
            <w:r w:rsidR="000A2656">
              <w:rPr>
                <w:rFonts w:ascii="Times New Roman" w:hAnsi="Times New Roman"/>
              </w:rPr>
              <w:t>BS</w:t>
            </w:r>
            <w:r w:rsidR="000A2656" w:rsidRPr="00011CAB">
              <w:rPr>
                <w:rFonts w:ascii="Times New Roman" w:hAnsi="Times New Roman"/>
              </w:rPr>
              <w:t xml:space="preserve"> </w:t>
            </w:r>
            <w:r w:rsidR="000A2656">
              <w:rPr>
                <w:rFonts w:ascii="Times New Roman" w:hAnsi="Times New Roman"/>
              </w:rPr>
              <w:t>ș</w:t>
            </w:r>
            <w:r w:rsidR="000A2656" w:rsidRPr="00011CAB">
              <w:rPr>
                <w:rFonts w:ascii="Times New Roman" w:hAnsi="Times New Roman"/>
              </w:rPr>
              <w:t>i alte acte normative cu informația din planurile precizate ale bugetelor locale (neconcordan</w:t>
            </w:r>
            <w:r w:rsidR="000A2656">
              <w:rPr>
                <w:rFonts w:ascii="Times New Roman" w:hAnsi="Times New Roman"/>
              </w:rPr>
              <w:t>ț</w:t>
            </w:r>
            <w:r w:rsidR="000A2656" w:rsidRPr="00011CAB">
              <w:rPr>
                <w:rFonts w:ascii="Times New Roman" w:hAnsi="Times New Roman"/>
              </w:rPr>
              <w:t xml:space="preserve">a </w:t>
            </w:r>
            <w:r w:rsidR="000A2656">
              <w:rPr>
                <w:rFonts w:ascii="Times New Roman" w:hAnsi="Times New Roman"/>
              </w:rPr>
              <w:t>î</w:t>
            </w:r>
            <w:r w:rsidR="000A2656" w:rsidRPr="00011CAB">
              <w:rPr>
                <w:rFonts w:ascii="Times New Roman" w:hAnsi="Times New Roman"/>
              </w:rPr>
              <w:t>ntre planuri).</w:t>
            </w:r>
            <w:r w:rsidR="000A2656">
              <w:rPr>
                <w:rFonts w:ascii="Times New Roman" w:hAnsi="Times New Roman"/>
              </w:rPr>
              <w:t xml:space="preserve"> </w:t>
            </w:r>
            <w:r w:rsidR="000A2656" w:rsidRPr="00011CAB">
              <w:rPr>
                <w:rFonts w:ascii="Times New Roman" w:hAnsi="Times New Roman"/>
              </w:rPr>
              <w:t xml:space="preserve">Pentru asigurarea corespunderii volumelor transferurilor interbugetare aprobate </w:t>
            </w:r>
            <w:r w:rsidR="000A2656">
              <w:rPr>
                <w:rFonts w:ascii="Times New Roman" w:hAnsi="Times New Roman"/>
              </w:rPr>
              <w:t>î</w:t>
            </w:r>
            <w:r w:rsidR="000A2656" w:rsidRPr="00011CAB">
              <w:rPr>
                <w:rFonts w:ascii="Times New Roman" w:hAnsi="Times New Roman"/>
              </w:rPr>
              <w:t>n bugetele locale cu cele de la bugetul de stat</w:t>
            </w:r>
            <w:r>
              <w:rPr>
                <w:rFonts w:ascii="Times New Roman" w:hAnsi="Times New Roman"/>
              </w:rPr>
              <w:t>,</w:t>
            </w:r>
            <w:r w:rsidR="000A2656" w:rsidRPr="00011CAB">
              <w:rPr>
                <w:rFonts w:ascii="Times New Roman" w:hAnsi="Times New Roman"/>
              </w:rPr>
              <w:t xml:space="preserve"> a </w:t>
            </w:r>
            <w:r w:rsidR="000A2656">
              <w:rPr>
                <w:rFonts w:ascii="Times New Roman" w:hAnsi="Times New Roman"/>
              </w:rPr>
              <w:t>f</w:t>
            </w:r>
            <w:r w:rsidR="000A2656" w:rsidRPr="00011CAB">
              <w:rPr>
                <w:rFonts w:ascii="Times New Roman" w:hAnsi="Times New Roman"/>
              </w:rPr>
              <w:t>ost remis</w:t>
            </w:r>
            <w:r w:rsidR="000A2656">
              <w:rPr>
                <w:rFonts w:ascii="Times New Roman" w:hAnsi="Times New Roman"/>
              </w:rPr>
              <w:t>ă</w:t>
            </w:r>
            <w:r w:rsidR="000A2656" w:rsidRPr="00011CAB">
              <w:rPr>
                <w:rFonts w:ascii="Times New Roman" w:hAnsi="Times New Roman"/>
              </w:rPr>
              <w:t xml:space="preserve"> </w:t>
            </w:r>
            <w:r w:rsidR="000A2656">
              <w:rPr>
                <w:rFonts w:ascii="Times New Roman" w:hAnsi="Times New Roman"/>
              </w:rPr>
              <w:t>î</w:t>
            </w:r>
            <w:r w:rsidR="000A2656" w:rsidRPr="00011CAB">
              <w:rPr>
                <w:rFonts w:ascii="Times New Roman" w:hAnsi="Times New Roman"/>
              </w:rPr>
              <w:t>n adresa APL faxograma nr.06/2-07 din 29.12.2017 privind deschiderea ciclurilor bugetare de modificare a bugetului local, cu lansarea acestuia pe WEB, ciclu care urma s</w:t>
            </w:r>
            <w:r w:rsidR="000A2656">
              <w:rPr>
                <w:rFonts w:ascii="Times New Roman" w:hAnsi="Times New Roman"/>
              </w:rPr>
              <w:t>ă</w:t>
            </w:r>
            <w:r w:rsidR="000A2656" w:rsidRPr="00011CAB">
              <w:rPr>
                <w:rFonts w:ascii="Times New Roman" w:hAnsi="Times New Roman"/>
              </w:rPr>
              <w:t xml:space="preserve"> permit</w:t>
            </w:r>
            <w:r w:rsidR="000A2656">
              <w:rPr>
                <w:rFonts w:ascii="Times New Roman" w:hAnsi="Times New Roman"/>
              </w:rPr>
              <w:t>ă</w:t>
            </w:r>
            <w:r w:rsidR="000A2656" w:rsidRPr="00011CAB">
              <w:rPr>
                <w:rFonts w:ascii="Times New Roman" w:hAnsi="Times New Roman"/>
              </w:rPr>
              <w:t xml:space="preserve"> APL corectarea erorilor depistate </w:t>
            </w:r>
            <w:r>
              <w:rPr>
                <w:rFonts w:ascii="Times New Roman" w:hAnsi="Times New Roman"/>
              </w:rPr>
              <w:t>în</w:t>
            </w:r>
            <w:r w:rsidR="000A2656" w:rsidRPr="00011CAB">
              <w:rPr>
                <w:rFonts w:ascii="Times New Roman" w:hAnsi="Times New Roman"/>
              </w:rPr>
              <w:t xml:space="preserve"> planurile precizate sau la executarea buget</w:t>
            </w:r>
            <w:r w:rsidR="000A2656">
              <w:rPr>
                <w:rFonts w:ascii="Times New Roman" w:hAnsi="Times New Roman"/>
              </w:rPr>
              <w:t>ului local</w:t>
            </w:r>
          </w:p>
        </w:tc>
        <w:tc>
          <w:tcPr>
            <w:tcW w:w="992" w:type="dxa"/>
          </w:tcPr>
          <w:p w:rsidR="000A2656" w:rsidRPr="00256CE0" w:rsidRDefault="000A2656" w:rsidP="00C627EE">
            <w:pPr>
              <w:spacing w:after="0" w:line="240" w:lineRule="auto"/>
              <w:jc w:val="both"/>
              <w:rPr>
                <w:rFonts w:ascii="Times New Roman" w:hAnsi="Times New Roman" w:cs="Times New Roman"/>
              </w:rPr>
            </w:pPr>
          </w:p>
        </w:tc>
        <w:tc>
          <w:tcPr>
            <w:tcW w:w="992" w:type="dxa"/>
          </w:tcPr>
          <w:p w:rsidR="000A2656" w:rsidRPr="00F2022E" w:rsidRDefault="000A2656" w:rsidP="003F12B5">
            <w:pPr>
              <w:pStyle w:val="a5"/>
              <w:numPr>
                <w:ilvl w:val="0"/>
                <w:numId w:val="10"/>
              </w:numPr>
              <w:tabs>
                <w:tab w:val="left" w:pos="138"/>
                <w:tab w:val="left" w:pos="280"/>
              </w:tabs>
              <w:spacing w:after="0"/>
              <w:ind w:left="-3" w:right="-108" w:firstLine="0"/>
              <w:jc w:val="center"/>
              <w:rPr>
                <w:rFonts w:ascii="Times New Roman" w:hAnsi="Times New Roman" w:cs="Times New Roman"/>
                <w:b/>
                <w:color w:val="000000"/>
              </w:rPr>
            </w:pPr>
          </w:p>
        </w:tc>
        <w:tc>
          <w:tcPr>
            <w:tcW w:w="997" w:type="dxa"/>
          </w:tcPr>
          <w:p w:rsidR="000A2656" w:rsidRPr="00CE0F4A" w:rsidRDefault="000A2656" w:rsidP="00C627EE">
            <w:pPr>
              <w:spacing w:after="0"/>
              <w:ind w:right="-104"/>
              <w:rPr>
                <w:rFonts w:ascii="Times New Roman" w:hAnsi="Times New Roman" w:cs="Times New Roman"/>
                <w:i/>
              </w:rPr>
            </w:pPr>
          </w:p>
        </w:tc>
      </w:tr>
      <w:tr w:rsidR="000A2656" w:rsidRPr="00E74E3B" w:rsidTr="00554099">
        <w:trPr>
          <w:trHeight w:val="305"/>
        </w:trPr>
        <w:tc>
          <w:tcPr>
            <w:tcW w:w="3852" w:type="dxa"/>
          </w:tcPr>
          <w:p w:rsidR="000A2656" w:rsidRPr="00775930" w:rsidRDefault="000A2656" w:rsidP="00C627EE">
            <w:pPr>
              <w:pStyle w:val="ListParagraph1"/>
              <w:tabs>
                <w:tab w:val="left" w:pos="-3"/>
              </w:tabs>
              <w:ind w:left="0"/>
              <w:jc w:val="both"/>
              <w:rPr>
                <w:b/>
                <w:i/>
                <w:sz w:val="28"/>
                <w:szCs w:val="22"/>
                <w:lang w:val="ro-MD"/>
              </w:rPr>
            </w:pPr>
            <w:r w:rsidRPr="00775930">
              <w:rPr>
                <w:b/>
                <w:i/>
                <w:sz w:val="28"/>
                <w:szCs w:val="22"/>
                <w:lang w:val="ro-MD"/>
              </w:rPr>
              <w:t>Total cerințe                  4</w:t>
            </w:r>
          </w:p>
        </w:tc>
        <w:tc>
          <w:tcPr>
            <w:tcW w:w="10230" w:type="dxa"/>
            <w:gridSpan w:val="6"/>
          </w:tcPr>
          <w:p w:rsidR="000A2656" w:rsidRDefault="000A2656" w:rsidP="00C627EE">
            <w:pPr>
              <w:spacing w:after="0"/>
              <w:ind w:left="140" w:right="-104"/>
              <w:rPr>
                <w:rFonts w:ascii="Times New Roman" w:hAnsi="Times New Roman" w:cs="Times New Roman"/>
                <w:b/>
              </w:rPr>
            </w:pPr>
            <w:r>
              <w:rPr>
                <w:rFonts w:ascii="Times New Roman" w:hAnsi="Times New Roman" w:cs="Times New Roman"/>
                <w:b/>
              </w:rPr>
              <w:t>2 realizate</w:t>
            </w:r>
          </w:p>
          <w:p w:rsidR="000A2656" w:rsidRPr="00FF4C1B" w:rsidRDefault="000A2656" w:rsidP="00C627EE">
            <w:pPr>
              <w:spacing w:after="0"/>
              <w:ind w:left="140" w:right="-104"/>
              <w:rPr>
                <w:rFonts w:ascii="Times New Roman" w:hAnsi="Times New Roman" w:cs="Times New Roman"/>
                <w:b/>
              </w:rPr>
            </w:pPr>
            <w:r>
              <w:rPr>
                <w:rFonts w:ascii="Times New Roman" w:hAnsi="Times New Roman" w:cs="Times New Roman"/>
                <w:b/>
              </w:rPr>
              <w:t>2 p</w:t>
            </w:r>
            <w:r w:rsidRPr="00E74E3B">
              <w:rPr>
                <w:rFonts w:ascii="Times New Roman" w:hAnsi="Times New Roman" w:cs="Times New Roman"/>
                <w:b/>
              </w:rPr>
              <w:t xml:space="preserve">arțial </w:t>
            </w:r>
            <w:r>
              <w:rPr>
                <w:rFonts w:ascii="Times New Roman" w:hAnsi="Times New Roman" w:cs="Times New Roman"/>
                <w:b/>
              </w:rPr>
              <w:t>realizate</w:t>
            </w:r>
          </w:p>
        </w:tc>
      </w:tr>
      <w:tr w:rsidR="000A2656" w:rsidRPr="00E74E3B" w:rsidTr="00554099">
        <w:trPr>
          <w:trHeight w:val="305"/>
        </w:trPr>
        <w:tc>
          <w:tcPr>
            <w:tcW w:w="3852" w:type="dxa"/>
          </w:tcPr>
          <w:p w:rsidR="000A2656" w:rsidRPr="00775930" w:rsidRDefault="000A2656" w:rsidP="00C627EE">
            <w:pPr>
              <w:pStyle w:val="ListParagraph1"/>
              <w:tabs>
                <w:tab w:val="left" w:pos="-3"/>
              </w:tabs>
              <w:ind w:left="0"/>
              <w:jc w:val="both"/>
              <w:rPr>
                <w:b/>
                <w:i/>
                <w:sz w:val="28"/>
                <w:szCs w:val="22"/>
                <w:lang w:val="ro-MD"/>
              </w:rPr>
            </w:pPr>
            <w:r w:rsidRPr="00775930">
              <w:rPr>
                <w:b/>
                <w:i/>
                <w:sz w:val="28"/>
                <w:szCs w:val="22"/>
                <w:lang w:val="ro-MD"/>
              </w:rPr>
              <w:t>Total recomandări      13</w:t>
            </w:r>
          </w:p>
        </w:tc>
        <w:tc>
          <w:tcPr>
            <w:tcW w:w="10230" w:type="dxa"/>
            <w:gridSpan w:val="6"/>
          </w:tcPr>
          <w:p w:rsidR="000A2656" w:rsidRDefault="000A2656" w:rsidP="00C627EE">
            <w:pPr>
              <w:spacing w:after="0"/>
              <w:ind w:left="140" w:right="-104"/>
              <w:rPr>
                <w:rFonts w:ascii="Times New Roman" w:hAnsi="Times New Roman" w:cs="Times New Roman"/>
                <w:b/>
              </w:rPr>
            </w:pPr>
            <w:r>
              <w:rPr>
                <w:rFonts w:ascii="Times New Roman" w:hAnsi="Times New Roman" w:cs="Times New Roman"/>
                <w:b/>
              </w:rPr>
              <w:t>6 realizate</w:t>
            </w:r>
          </w:p>
          <w:p w:rsidR="000A2656" w:rsidRDefault="000A2656" w:rsidP="00C627EE">
            <w:pPr>
              <w:spacing w:after="0"/>
              <w:ind w:left="140" w:right="-104"/>
              <w:rPr>
                <w:rFonts w:ascii="Times New Roman" w:hAnsi="Times New Roman" w:cs="Times New Roman"/>
                <w:b/>
              </w:rPr>
            </w:pPr>
            <w:r>
              <w:rPr>
                <w:rFonts w:ascii="Times New Roman" w:hAnsi="Times New Roman" w:cs="Times New Roman"/>
                <w:b/>
              </w:rPr>
              <w:t>5 p</w:t>
            </w:r>
            <w:r w:rsidRPr="00E74E3B">
              <w:rPr>
                <w:rFonts w:ascii="Times New Roman" w:hAnsi="Times New Roman" w:cs="Times New Roman"/>
                <w:b/>
              </w:rPr>
              <w:t xml:space="preserve">arțial </w:t>
            </w:r>
            <w:r>
              <w:rPr>
                <w:rFonts w:ascii="Times New Roman" w:hAnsi="Times New Roman" w:cs="Times New Roman"/>
                <w:b/>
              </w:rPr>
              <w:t xml:space="preserve">realizate </w:t>
            </w:r>
          </w:p>
          <w:p w:rsidR="000A2656" w:rsidRPr="00FF4C1B" w:rsidRDefault="000A2656" w:rsidP="00C627EE">
            <w:pPr>
              <w:spacing w:after="0"/>
              <w:ind w:left="140" w:right="-104"/>
              <w:rPr>
                <w:rFonts w:ascii="Times New Roman" w:hAnsi="Times New Roman" w:cs="Times New Roman"/>
                <w:b/>
              </w:rPr>
            </w:pPr>
            <w:r>
              <w:rPr>
                <w:rFonts w:ascii="Times New Roman" w:hAnsi="Times New Roman" w:cs="Times New Roman"/>
                <w:b/>
              </w:rPr>
              <w:t xml:space="preserve">2 nerealizate </w:t>
            </w:r>
          </w:p>
        </w:tc>
      </w:tr>
    </w:tbl>
    <w:p w:rsidR="000A2656" w:rsidRDefault="000A2656" w:rsidP="000A2656">
      <w:pPr>
        <w:rPr>
          <w:rFonts w:ascii="Times New Roman" w:hAnsi="Times New Roman" w:cs="Times New Roman"/>
        </w:rPr>
        <w:sectPr w:rsidR="000A2656" w:rsidSect="000A2656">
          <w:pgSz w:w="15840" w:h="12240" w:orient="landscape"/>
          <w:pgMar w:top="1701" w:right="851" w:bottom="902" w:left="851" w:header="709" w:footer="709" w:gutter="0"/>
          <w:cols w:space="708"/>
          <w:docGrid w:linePitch="360"/>
        </w:sectPr>
      </w:pPr>
    </w:p>
    <w:p w:rsidR="00FF120D" w:rsidRPr="00554099" w:rsidRDefault="00FF120D" w:rsidP="00554099">
      <w:pPr>
        <w:rPr>
          <w:rFonts w:ascii="Times New Roman" w:hAnsi="Times New Roman" w:cs="Times New Roman"/>
        </w:rPr>
      </w:pPr>
    </w:p>
    <w:sectPr w:rsidR="00FF120D" w:rsidRPr="00554099" w:rsidSect="00A64899">
      <w:pgSz w:w="12240" w:h="15840"/>
      <w:pgMar w:top="851" w:right="900"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049D" w:rsidRDefault="006D049D" w:rsidP="005D2360">
      <w:pPr>
        <w:spacing w:after="0" w:line="240" w:lineRule="auto"/>
      </w:pPr>
      <w:r>
        <w:separator/>
      </w:r>
    </w:p>
  </w:endnote>
  <w:endnote w:type="continuationSeparator" w:id="0">
    <w:p w:rsidR="006D049D" w:rsidRDefault="006D049D" w:rsidP="005D2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ndara">
    <w:panose1 w:val="020E0502030303020204"/>
    <w:charset w:val="CC"/>
    <w:family w:val="swiss"/>
    <w:pitch w:val="variable"/>
    <w:sig w:usb0="A00002EF" w:usb1="4000A44B" w:usb2="00000000" w:usb3="00000000" w:csb0="0000019F" w:csb1="00000000"/>
  </w:font>
  <w:font w:name="proiecte  investițional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767994143"/>
      <w:docPartObj>
        <w:docPartGallery w:val="Page Numbers (Bottom of Page)"/>
        <w:docPartUnique/>
      </w:docPartObj>
    </w:sdtPr>
    <w:sdtEndPr>
      <w:rPr>
        <w:noProof/>
      </w:rPr>
    </w:sdtEndPr>
    <w:sdtContent>
      <w:p w:rsidR="00E754FE" w:rsidRPr="009369D6" w:rsidRDefault="00E754FE">
        <w:pPr>
          <w:pStyle w:val="af1"/>
          <w:jc w:val="right"/>
          <w:rPr>
            <w:rFonts w:ascii="Times New Roman" w:hAnsi="Times New Roman" w:cs="Times New Roman"/>
          </w:rPr>
        </w:pPr>
        <w:r w:rsidRPr="009369D6">
          <w:rPr>
            <w:rFonts w:ascii="Times New Roman" w:hAnsi="Times New Roman" w:cs="Times New Roman"/>
          </w:rPr>
          <w:fldChar w:fldCharType="begin"/>
        </w:r>
        <w:r w:rsidRPr="009369D6">
          <w:rPr>
            <w:rFonts w:ascii="Times New Roman" w:hAnsi="Times New Roman" w:cs="Times New Roman"/>
          </w:rPr>
          <w:instrText xml:space="preserve"> PAGE   \* MERGEFORMAT </w:instrText>
        </w:r>
        <w:r w:rsidRPr="009369D6">
          <w:rPr>
            <w:rFonts w:ascii="Times New Roman" w:hAnsi="Times New Roman" w:cs="Times New Roman"/>
          </w:rPr>
          <w:fldChar w:fldCharType="separate"/>
        </w:r>
        <w:r w:rsidR="00351180">
          <w:rPr>
            <w:rFonts w:ascii="Times New Roman" w:hAnsi="Times New Roman" w:cs="Times New Roman"/>
            <w:noProof/>
          </w:rPr>
          <w:t>21</w:t>
        </w:r>
        <w:r w:rsidRPr="009369D6">
          <w:rPr>
            <w:rFonts w:ascii="Times New Roman" w:hAnsi="Times New Roman" w:cs="Times New Roman"/>
            <w:noProof/>
          </w:rPr>
          <w:fldChar w:fldCharType="end"/>
        </w:r>
      </w:p>
    </w:sdtContent>
  </w:sdt>
  <w:p w:rsidR="00E754FE" w:rsidRDefault="00E754FE">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049D" w:rsidRDefault="006D049D" w:rsidP="005D2360">
      <w:pPr>
        <w:spacing w:after="0" w:line="240" w:lineRule="auto"/>
      </w:pPr>
      <w:r>
        <w:separator/>
      </w:r>
    </w:p>
  </w:footnote>
  <w:footnote w:type="continuationSeparator" w:id="0">
    <w:p w:rsidR="006D049D" w:rsidRDefault="006D049D" w:rsidP="005D2360">
      <w:pPr>
        <w:spacing w:after="0" w:line="240" w:lineRule="auto"/>
      </w:pPr>
      <w:r>
        <w:continuationSeparator/>
      </w:r>
    </w:p>
  </w:footnote>
  <w:footnote w:id="1">
    <w:p w:rsidR="00E754FE" w:rsidRPr="001D4EA8" w:rsidRDefault="00E754FE" w:rsidP="001D4EA8">
      <w:pPr>
        <w:pStyle w:val="a7"/>
        <w:jc w:val="both"/>
        <w:rPr>
          <w:rFonts w:ascii="Times New Roman" w:hAnsi="Times New Roman" w:cs="Times New Roman"/>
          <w:lang w:val="ro-MD"/>
        </w:rPr>
      </w:pPr>
      <w:r w:rsidRPr="001D4EA8">
        <w:rPr>
          <w:rStyle w:val="a9"/>
          <w:rFonts w:ascii="Times New Roman" w:hAnsi="Times New Roman" w:cs="Times New Roman"/>
          <w:lang w:val="ro-MD"/>
        </w:rPr>
        <w:footnoteRef/>
      </w:r>
      <w:r w:rsidRPr="001D4EA8">
        <w:rPr>
          <w:rFonts w:ascii="Times New Roman" w:hAnsi="Times New Roman" w:cs="Times New Roman"/>
          <w:lang w:val="ro-MD"/>
        </w:rPr>
        <w:t xml:space="preserve"> Legea contabilității nr.113-XVI din 27.04.2007; O</w:t>
      </w:r>
      <w:r>
        <w:rPr>
          <w:rFonts w:ascii="Times New Roman" w:hAnsi="Times New Roman" w:cs="Times New Roman"/>
          <w:lang w:val="ro-MD"/>
        </w:rPr>
        <w:t>r</w:t>
      </w:r>
      <w:r w:rsidRPr="001D4EA8">
        <w:rPr>
          <w:rFonts w:ascii="Times New Roman" w:hAnsi="Times New Roman" w:cs="Times New Roman"/>
          <w:lang w:val="ro-MD"/>
        </w:rPr>
        <w:t>dinul ministrului finanțelor „Privind aprobarea Standardelor Naționale</w:t>
      </w:r>
      <w:r>
        <w:rPr>
          <w:rFonts w:ascii="Times New Roman" w:hAnsi="Times New Roman" w:cs="Times New Roman"/>
          <w:lang w:val="ro-MD"/>
        </w:rPr>
        <w:t xml:space="preserve"> de Contabilitate” nr.</w:t>
      </w:r>
      <w:r w:rsidRPr="001D4EA8">
        <w:rPr>
          <w:rFonts w:ascii="Times New Roman" w:hAnsi="Times New Roman" w:cs="Times New Roman"/>
          <w:lang w:val="ro-MD"/>
        </w:rPr>
        <w:t>118  din  06.08.2013;</w:t>
      </w:r>
      <w:r>
        <w:rPr>
          <w:rFonts w:ascii="Times New Roman" w:hAnsi="Times New Roman" w:cs="Times New Roman"/>
          <w:lang w:val="ro-MD"/>
        </w:rPr>
        <w:t xml:space="preserve"> </w:t>
      </w:r>
      <w:r w:rsidRPr="00E43320">
        <w:rPr>
          <w:rFonts w:ascii="Times New Roman" w:hAnsi="Times New Roman" w:cs="Times New Roman"/>
          <w:lang w:val="ro-RO"/>
        </w:rPr>
        <w:t xml:space="preserve">Ordinul MF nr.216 din 28.12.2015 </w:t>
      </w:r>
      <w:r>
        <w:rPr>
          <w:rFonts w:ascii="Times New Roman" w:hAnsi="Times New Roman" w:cs="Times New Roman"/>
          <w:lang w:val="ro-RO"/>
        </w:rPr>
        <w:t>„C</w:t>
      </w:r>
      <w:r w:rsidRPr="00E43320">
        <w:rPr>
          <w:rFonts w:ascii="Times New Roman" w:hAnsi="Times New Roman" w:cs="Times New Roman"/>
          <w:lang w:val="ro-RO"/>
        </w:rPr>
        <w:t>u privire la aprobarea Planului de conturi contabile în sistemul bugetar și a Normelor metodologice privind evidența contabilă și raportarea financiară în sistemul bugetar</w:t>
      </w:r>
      <w:r>
        <w:rPr>
          <w:rFonts w:ascii="Times New Roman" w:hAnsi="Times New Roman" w:cs="Times New Roman"/>
          <w:lang w:val="ro-RO"/>
        </w:rPr>
        <w:t xml:space="preserve">; </w:t>
      </w:r>
      <w:r w:rsidRPr="00457963">
        <w:rPr>
          <w:rFonts w:ascii="Times New Roman" w:eastAsia="Calibri" w:hAnsi="Times New Roman" w:cs="Times New Roman"/>
          <w:lang w:val="ro-RO"/>
        </w:rPr>
        <w:t>Ordinul ministrului finanțelor nr.44 din 12.02.2018 „Cu privire la structura, componența și formatul formularelor la Raportul anual privind executarea bugetului de stat”</w:t>
      </w:r>
      <w:r>
        <w:rPr>
          <w:rFonts w:ascii="Times New Roman" w:eastAsia="Calibri" w:hAnsi="Times New Roman" w:cs="Times New Roman"/>
          <w:lang w:val="ro-RO"/>
        </w:rPr>
        <w:t>.</w:t>
      </w:r>
    </w:p>
  </w:footnote>
  <w:footnote w:id="2">
    <w:p w:rsidR="00E754FE" w:rsidRPr="001D4EA8" w:rsidRDefault="00E754FE" w:rsidP="001D4EA8">
      <w:pPr>
        <w:pStyle w:val="a7"/>
        <w:jc w:val="both"/>
        <w:rPr>
          <w:rFonts w:ascii="Times New Roman" w:hAnsi="Times New Roman" w:cs="Times New Roman"/>
          <w:lang w:val="ro-RO"/>
        </w:rPr>
      </w:pPr>
      <w:r w:rsidRPr="001D4EA8">
        <w:rPr>
          <w:rStyle w:val="a9"/>
          <w:rFonts w:ascii="Times New Roman" w:hAnsi="Times New Roman" w:cs="Times New Roman"/>
          <w:lang w:val="ro-RO"/>
        </w:rPr>
        <w:footnoteRef/>
      </w:r>
      <w:r w:rsidRPr="001D4EA8">
        <w:rPr>
          <w:rFonts w:ascii="Times New Roman" w:hAnsi="Times New Roman" w:cs="Times New Roman"/>
          <w:lang w:val="ro-RO"/>
        </w:rPr>
        <w:t xml:space="preserve"> Hotărârea Curții de Conturi nr.60 din 11.12.2013 „Cu privire la aplicarea Standardelor Internaționale de Audit ale Instituțiilor Supreme de Audit de nivelul 3 – ISSAI 100, ISSAI 200, ISSAI 300, ISSAI 400 în cadrul misiunilor de audit ale Curții de Conturi” (în continuare – Hotărârea Curții de Conturi nr.60 din 11.12.2013); Hotărârea Curții de Conturi nr.7 din 10.03.2014 „Cu privire la aplicarea Liniilor Directoare de Audit (ISSAI 1000-9999)” (în continuare – Hotărârea Curții de Conturi nr.7 din 10.03.2014).</w:t>
      </w:r>
    </w:p>
  </w:footnote>
  <w:footnote w:id="3">
    <w:p w:rsidR="00E754FE" w:rsidRPr="001C6245" w:rsidRDefault="00E754FE" w:rsidP="002F1B56">
      <w:pPr>
        <w:pStyle w:val="a7"/>
        <w:jc w:val="both"/>
        <w:rPr>
          <w:rFonts w:ascii="Times New Roman" w:eastAsia="Calibri" w:hAnsi="Times New Roman" w:cs="Times New Roman"/>
          <w:lang w:val="ro-RO"/>
        </w:rPr>
      </w:pPr>
      <w:r w:rsidRPr="001C6245">
        <w:rPr>
          <w:rStyle w:val="a9"/>
          <w:rFonts w:ascii="Times New Roman" w:eastAsia="Calibri" w:hAnsi="Times New Roman" w:cs="Times New Roman"/>
          <w:lang w:val="ro-RO"/>
        </w:rPr>
        <w:footnoteRef/>
      </w:r>
      <w:r w:rsidRPr="001C6245">
        <w:rPr>
          <w:rFonts w:ascii="Times New Roman" w:eastAsia="Calibri" w:hAnsi="Times New Roman" w:cs="Times New Roman"/>
          <w:lang w:val="ro-RO"/>
        </w:rPr>
        <w:t xml:space="preserve"> HG nr.1265 din 14.11.2008 </w:t>
      </w:r>
      <w:r>
        <w:rPr>
          <w:rFonts w:ascii="Times New Roman" w:eastAsia="Calibri" w:hAnsi="Times New Roman" w:cs="Times New Roman"/>
          <w:lang w:val="ro-RO"/>
        </w:rPr>
        <w:t>„C</w:t>
      </w:r>
      <w:r w:rsidRPr="001C6245">
        <w:rPr>
          <w:rFonts w:ascii="Times New Roman" w:eastAsia="Calibri" w:hAnsi="Times New Roman" w:cs="Times New Roman"/>
          <w:lang w:val="ro-RO"/>
        </w:rPr>
        <w:t>u privire la reglementarea activității Ministerului Finanțelor</w:t>
      </w:r>
      <w:r>
        <w:rPr>
          <w:rFonts w:ascii="Times New Roman" w:eastAsia="Calibri" w:hAnsi="Times New Roman" w:cs="Times New Roman"/>
          <w:lang w:val="ro-RO"/>
        </w:rPr>
        <w:t>”</w:t>
      </w:r>
      <w:r w:rsidRPr="001C6245">
        <w:rPr>
          <w:rFonts w:ascii="Times New Roman" w:eastAsia="Calibri" w:hAnsi="Times New Roman" w:cs="Times New Roman"/>
          <w:lang w:val="ro-RO"/>
        </w:rPr>
        <w:t>.</w:t>
      </w:r>
    </w:p>
  </w:footnote>
  <w:footnote w:id="4">
    <w:p w:rsidR="00E754FE" w:rsidRPr="001C6245" w:rsidRDefault="00E754FE" w:rsidP="002F1B56">
      <w:pPr>
        <w:pStyle w:val="a7"/>
        <w:jc w:val="both"/>
        <w:rPr>
          <w:rFonts w:ascii="Times New Roman" w:hAnsi="Times New Roman" w:cs="Times New Roman"/>
          <w:lang w:val="ro-RO"/>
        </w:rPr>
      </w:pPr>
      <w:r w:rsidRPr="001C6245">
        <w:rPr>
          <w:rStyle w:val="a9"/>
          <w:rFonts w:ascii="Times New Roman" w:hAnsi="Times New Roman" w:cs="Times New Roman"/>
          <w:lang w:val="ro-RO"/>
        </w:rPr>
        <w:footnoteRef/>
      </w:r>
      <w:r w:rsidRPr="001C6245">
        <w:rPr>
          <w:rFonts w:ascii="Times New Roman" w:hAnsi="Times New Roman" w:cs="Times New Roman"/>
          <w:lang w:val="ro-RO"/>
        </w:rPr>
        <w:t xml:space="preserve"> Art.73 din Legea finanțelor publice și responsabilității bugetar-fiscale nr.181 din 25.07.2014</w:t>
      </w:r>
      <w:r>
        <w:rPr>
          <w:rFonts w:ascii="Times New Roman" w:hAnsi="Times New Roman" w:cs="Times New Roman"/>
          <w:lang w:val="ro-RO"/>
        </w:rPr>
        <w:t xml:space="preserve"> (în continuare – </w:t>
      </w:r>
      <w:r w:rsidRPr="00402621">
        <w:rPr>
          <w:rFonts w:ascii="Times New Roman" w:hAnsi="Times New Roman" w:cs="Times New Roman"/>
          <w:lang w:val="ro-RO"/>
        </w:rPr>
        <w:t>Legea nr.181 din 25.07.2014</w:t>
      </w:r>
      <w:r>
        <w:rPr>
          <w:rFonts w:ascii="Times New Roman" w:hAnsi="Times New Roman" w:cs="Times New Roman"/>
          <w:lang w:val="ro-RO"/>
        </w:rPr>
        <w:t>)</w:t>
      </w:r>
      <w:r w:rsidRPr="001C6245">
        <w:rPr>
          <w:rFonts w:ascii="Times New Roman" w:hAnsi="Times New Roman" w:cs="Times New Roman"/>
          <w:lang w:val="ro-RO"/>
        </w:rPr>
        <w:t>.</w:t>
      </w:r>
    </w:p>
  </w:footnote>
  <w:footnote w:id="5">
    <w:p w:rsidR="00E754FE" w:rsidRPr="002F1B56" w:rsidRDefault="00E754FE" w:rsidP="001C6245">
      <w:pPr>
        <w:pStyle w:val="a7"/>
        <w:jc w:val="both"/>
        <w:rPr>
          <w:rFonts w:ascii="Times New Roman" w:hAnsi="Times New Roman" w:cs="Times New Roman"/>
          <w:lang w:val="ro-RO"/>
        </w:rPr>
      </w:pPr>
      <w:r w:rsidRPr="001C6245">
        <w:rPr>
          <w:rStyle w:val="a9"/>
          <w:rFonts w:ascii="Times New Roman" w:hAnsi="Times New Roman" w:cs="Times New Roman"/>
          <w:lang w:val="ro-RO"/>
        </w:rPr>
        <w:footnoteRef/>
      </w:r>
      <w:r w:rsidRPr="001C6245">
        <w:rPr>
          <w:rFonts w:ascii="Times New Roman" w:hAnsi="Times New Roman" w:cs="Times New Roman"/>
          <w:lang w:val="ro-RO"/>
        </w:rPr>
        <w:t xml:space="preserve"> </w:t>
      </w:r>
      <w:r w:rsidRPr="002F1B56">
        <w:rPr>
          <w:rFonts w:ascii="Times New Roman" w:hAnsi="Times New Roman" w:cs="Times New Roman"/>
          <w:lang w:val="ro-RO"/>
        </w:rPr>
        <w:t xml:space="preserve">HG nr.696 din 30.08.2017 </w:t>
      </w:r>
      <w:r>
        <w:rPr>
          <w:rFonts w:ascii="Times New Roman" w:hAnsi="Times New Roman" w:cs="Times New Roman"/>
          <w:lang w:val="ro-RO"/>
        </w:rPr>
        <w:t>„C</w:t>
      </w:r>
      <w:r w:rsidRPr="002F1B56">
        <w:rPr>
          <w:rFonts w:ascii="Times New Roman" w:hAnsi="Times New Roman" w:cs="Times New Roman"/>
          <w:lang w:val="ro-RO"/>
        </w:rPr>
        <w:t>u privire la organizarea și funcționarea Ministerului Finanțelor</w:t>
      </w:r>
      <w:r>
        <w:rPr>
          <w:rFonts w:ascii="Times New Roman" w:hAnsi="Times New Roman" w:cs="Times New Roman"/>
          <w:lang w:val="ro-RO"/>
        </w:rPr>
        <w:t>” (în continuare – HG nr.696 din 30.08.2017)</w:t>
      </w:r>
      <w:r w:rsidRPr="002F1B56">
        <w:rPr>
          <w:rFonts w:ascii="Times New Roman" w:hAnsi="Times New Roman" w:cs="Times New Roman"/>
          <w:lang w:val="ro-RO"/>
        </w:rPr>
        <w:t>.</w:t>
      </w:r>
    </w:p>
  </w:footnote>
  <w:footnote w:id="6">
    <w:p w:rsidR="00E754FE" w:rsidRPr="00457963" w:rsidRDefault="00E754FE" w:rsidP="00B81BF3">
      <w:pPr>
        <w:pStyle w:val="a7"/>
        <w:jc w:val="both"/>
        <w:rPr>
          <w:rFonts w:ascii="Times New Roman" w:hAnsi="Times New Roman" w:cs="Times New Roman"/>
          <w:lang w:val="ro-RO"/>
        </w:rPr>
      </w:pPr>
      <w:r w:rsidRPr="00F00009">
        <w:rPr>
          <w:rStyle w:val="a9"/>
          <w:rFonts w:ascii="Times New Roman" w:hAnsi="Times New Roman" w:cs="Times New Roman"/>
          <w:lang w:val="ro-RO"/>
        </w:rPr>
        <w:footnoteRef/>
      </w:r>
      <w:r w:rsidRPr="00457963">
        <w:rPr>
          <w:rFonts w:ascii="Times New Roman" w:hAnsi="Times New Roman" w:cs="Times New Roman"/>
          <w:lang w:val="ro-RO"/>
        </w:rPr>
        <w:t xml:space="preserve"> </w:t>
      </w:r>
      <w:r w:rsidRPr="00457963">
        <w:rPr>
          <w:rFonts w:ascii="Times New Roman" w:eastAsia="Calibri" w:hAnsi="Times New Roman" w:cs="Times New Roman"/>
          <w:lang w:val="ro-RO"/>
        </w:rPr>
        <w:t xml:space="preserve">Ordinul ministrului finanțelor nr.44 din 12.02.2018 „Cu privire la structura, componența și formatul formularelor la Raportul anual privind executarea bugetului de stat” </w:t>
      </w:r>
      <w:r w:rsidRPr="00457963">
        <w:rPr>
          <w:rFonts w:ascii="Times New Roman" w:hAnsi="Times New Roman" w:cs="Times New Roman"/>
          <w:lang w:val="ro-RO"/>
        </w:rPr>
        <w:t>(în continuare - Ordinul MF nr.44 din 12.02.2018)</w:t>
      </w:r>
      <w:r w:rsidRPr="00457963">
        <w:rPr>
          <w:rFonts w:ascii="Times New Roman" w:eastAsia="Calibri" w:hAnsi="Times New Roman" w:cs="Times New Roman"/>
          <w:lang w:val="ro-RO"/>
        </w:rPr>
        <w:t>.</w:t>
      </w:r>
    </w:p>
  </w:footnote>
  <w:footnote w:id="7">
    <w:p w:rsidR="00E754FE" w:rsidRPr="00457963" w:rsidRDefault="00E754FE" w:rsidP="00AA2C9B">
      <w:pPr>
        <w:pStyle w:val="a7"/>
        <w:jc w:val="both"/>
        <w:rPr>
          <w:rFonts w:ascii="Times New Roman" w:hAnsi="Times New Roman" w:cs="Times New Roman"/>
          <w:lang w:val="ro-RO"/>
        </w:rPr>
      </w:pPr>
      <w:r w:rsidRPr="00457963">
        <w:rPr>
          <w:rStyle w:val="a9"/>
          <w:rFonts w:ascii="Times New Roman" w:hAnsi="Times New Roman" w:cs="Times New Roman"/>
          <w:lang w:val="ro-RO"/>
        </w:rPr>
        <w:footnoteRef/>
      </w:r>
      <w:r w:rsidRPr="00457963">
        <w:rPr>
          <w:rFonts w:ascii="Times New Roman" w:hAnsi="Times New Roman" w:cs="Times New Roman"/>
          <w:lang w:val="ro-RO"/>
        </w:rPr>
        <w:t xml:space="preserve"> Formularul nr.11 „Raportul privind executarea bugetului public național”, aprobat prin Ordinul MF nr.44 din 12.02.2018.</w:t>
      </w:r>
    </w:p>
  </w:footnote>
  <w:footnote w:id="8">
    <w:p w:rsidR="00E754FE" w:rsidRPr="00352E50" w:rsidRDefault="00E754FE" w:rsidP="00AA2C9B">
      <w:pPr>
        <w:pStyle w:val="a7"/>
        <w:jc w:val="both"/>
        <w:rPr>
          <w:rFonts w:ascii="Times New Roman" w:hAnsi="Times New Roman" w:cs="Times New Roman"/>
          <w:lang w:val="ro-RO"/>
        </w:rPr>
      </w:pPr>
      <w:r w:rsidRPr="001C6245">
        <w:rPr>
          <w:rStyle w:val="a9"/>
          <w:rFonts w:ascii="Times New Roman" w:hAnsi="Times New Roman" w:cs="Times New Roman"/>
          <w:lang w:val="ro-RO"/>
        </w:rPr>
        <w:footnoteRef/>
      </w:r>
      <w:r w:rsidRPr="001C6245">
        <w:rPr>
          <w:rFonts w:ascii="Times New Roman" w:hAnsi="Times New Roman" w:cs="Times New Roman"/>
          <w:lang w:val="ro-RO"/>
        </w:rPr>
        <w:t xml:space="preserve"> Art.47 alin.</w:t>
      </w:r>
      <w:r>
        <w:rPr>
          <w:rFonts w:ascii="Times New Roman" w:hAnsi="Times New Roman" w:cs="Times New Roman"/>
          <w:lang w:val="ro-RO"/>
        </w:rPr>
        <w:t>(1)</w:t>
      </w:r>
      <w:r w:rsidRPr="001C6245">
        <w:rPr>
          <w:rFonts w:ascii="Times New Roman" w:hAnsi="Times New Roman" w:cs="Times New Roman"/>
          <w:lang w:val="ro-RO"/>
        </w:rPr>
        <w:t xml:space="preserve"> </w:t>
      </w:r>
      <w:r>
        <w:rPr>
          <w:rFonts w:ascii="Times New Roman" w:hAnsi="Times New Roman" w:cs="Times New Roman"/>
          <w:lang w:val="ro-RO"/>
        </w:rPr>
        <w:t>lit.</w:t>
      </w:r>
      <w:r w:rsidRPr="001C6245">
        <w:rPr>
          <w:rFonts w:ascii="Times New Roman" w:hAnsi="Times New Roman" w:cs="Times New Roman"/>
          <w:lang w:val="ro-RO"/>
        </w:rPr>
        <w:t xml:space="preserve">g) din Legea nr.181 din 25.07.2014 și </w:t>
      </w:r>
      <w:r>
        <w:rPr>
          <w:rFonts w:ascii="Times New Roman" w:hAnsi="Times New Roman" w:cs="Times New Roman"/>
          <w:lang w:val="ro-RO"/>
        </w:rPr>
        <w:t>a</w:t>
      </w:r>
      <w:r w:rsidRPr="00352E50">
        <w:rPr>
          <w:rFonts w:ascii="Times New Roman" w:hAnsi="Times New Roman" w:cs="Times New Roman"/>
          <w:lang w:val="ro-RO"/>
        </w:rPr>
        <w:t>rt.32 alin.(3) din Legea privind organizarea și funcționarea Curții de Conturi a Republicii Moldova nr.260 din 07.12.2017.</w:t>
      </w:r>
    </w:p>
  </w:footnote>
  <w:footnote w:id="9">
    <w:p w:rsidR="00E754FE" w:rsidRPr="00352E50" w:rsidRDefault="00E754FE" w:rsidP="00DF7B80">
      <w:pPr>
        <w:pStyle w:val="a7"/>
        <w:jc w:val="both"/>
        <w:rPr>
          <w:rFonts w:ascii="Times New Roman" w:hAnsi="Times New Roman" w:cs="Times New Roman"/>
          <w:lang w:val="ro-RO"/>
        </w:rPr>
      </w:pPr>
      <w:r w:rsidRPr="00352E50">
        <w:rPr>
          <w:rStyle w:val="a9"/>
          <w:rFonts w:ascii="Times New Roman" w:hAnsi="Times New Roman" w:cs="Times New Roman"/>
          <w:lang w:val="ro-RO"/>
        </w:rPr>
        <w:footnoteRef/>
      </w:r>
      <w:r w:rsidRPr="00352E50">
        <w:rPr>
          <w:rFonts w:ascii="Times New Roman" w:hAnsi="Times New Roman" w:cs="Times New Roman"/>
          <w:lang w:val="ro-RO"/>
        </w:rPr>
        <w:t xml:space="preserve"> Ordinul MF nr.44 din 12.02.2018.</w:t>
      </w:r>
    </w:p>
  </w:footnote>
  <w:footnote w:id="10">
    <w:p w:rsidR="00E754FE" w:rsidRPr="00BA34A4" w:rsidRDefault="00E754FE" w:rsidP="00C87728">
      <w:pPr>
        <w:pStyle w:val="a7"/>
        <w:jc w:val="both"/>
        <w:rPr>
          <w:rFonts w:ascii="Times New Roman" w:hAnsi="Times New Roman" w:cs="Times New Roman"/>
          <w:lang w:val="ro-RO"/>
        </w:rPr>
      </w:pPr>
      <w:r w:rsidRPr="00BA34A4">
        <w:rPr>
          <w:rStyle w:val="a9"/>
          <w:rFonts w:ascii="Times New Roman" w:hAnsi="Times New Roman" w:cs="Times New Roman"/>
          <w:lang w:val="ro-RO"/>
        </w:rPr>
        <w:footnoteRef/>
      </w:r>
      <w:r w:rsidRPr="00BA34A4">
        <w:rPr>
          <w:rFonts w:ascii="Times New Roman" w:hAnsi="Times New Roman" w:cs="Times New Roman"/>
          <w:lang w:val="ro-RO"/>
        </w:rPr>
        <w:t xml:space="preserve"> </w:t>
      </w:r>
      <w:r w:rsidRPr="00BA34A4">
        <w:rPr>
          <w:rFonts w:ascii="Times New Roman" w:hAnsi="Times New Roman" w:cs="Times New Roman"/>
          <w:color w:val="000000"/>
          <w:lang w:val="ro-RO"/>
        </w:rPr>
        <w:t>Legea bugetului de stat pe anul 2017 nr.279 din 16.12.2016 (cu modificările și completările ulterioare; în continuare –</w:t>
      </w:r>
      <w:r w:rsidRPr="00BA34A4">
        <w:rPr>
          <w:rFonts w:ascii="Times New Roman" w:hAnsi="Times New Roman" w:cs="Times New Roman"/>
          <w:spacing w:val="4"/>
          <w:lang w:val="ro-RO"/>
        </w:rPr>
        <w:t xml:space="preserve"> Legea bugetului de stat pe anul 2017</w:t>
      </w:r>
      <w:r w:rsidRPr="00BA34A4">
        <w:rPr>
          <w:rFonts w:ascii="Times New Roman" w:hAnsi="Times New Roman" w:cs="Times New Roman"/>
          <w:color w:val="000000"/>
          <w:lang w:val="ro-RO"/>
        </w:rPr>
        <w:t>)</w:t>
      </w:r>
      <w:r>
        <w:rPr>
          <w:rFonts w:ascii="Times New Roman" w:hAnsi="Times New Roman" w:cs="Times New Roman"/>
          <w:color w:val="000000"/>
          <w:lang w:val="ro-RO"/>
        </w:rPr>
        <w:t>.</w:t>
      </w:r>
    </w:p>
  </w:footnote>
  <w:footnote w:id="11">
    <w:p w:rsidR="00E754FE" w:rsidRPr="005113BA" w:rsidRDefault="00E754FE" w:rsidP="00C87728">
      <w:pPr>
        <w:pStyle w:val="a7"/>
        <w:jc w:val="both"/>
        <w:rPr>
          <w:rFonts w:ascii="Times New Roman" w:hAnsi="Times New Roman" w:cs="Times New Roman"/>
          <w:lang w:val="ro-RO"/>
        </w:rPr>
      </w:pPr>
      <w:r w:rsidRPr="00BA34A4">
        <w:rPr>
          <w:rStyle w:val="a9"/>
          <w:rFonts w:ascii="Times New Roman" w:hAnsi="Times New Roman" w:cs="Times New Roman"/>
          <w:lang w:val="ro-RO"/>
        </w:rPr>
        <w:footnoteRef/>
      </w:r>
      <w:r w:rsidRPr="00BA34A4">
        <w:rPr>
          <w:rFonts w:ascii="Times New Roman" w:hAnsi="Times New Roman" w:cs="Times New Roman"/>
          <w:lang w:val="ro-RO"/>
        </w:rPr>
        <w:t xml:space="preserve"> </w:t>
      </w:r>
      <w:r w:rsidRPr="008847E8">
        <w:rPr>
          <w:rFonts w:ascii="Times New Roman" w:hAnsi="Times New Roman" w:cs="Times New Roman"/>
          <w:lang w:val="ro-RO"/>
        </w:rPr>
        <w:t xml:space="preserve">Legea nr.33 din 17.03.2017 </w:t>
      </w:r>
      <w:r w:rsidRPr="008847E8">
        <w:rPr>
          <w:rFonts w:ascii="Times New Roman" w:hAnsi="Times New Roman" w:cs="Times New Roman"/>
          <w:color w:val="000000"/>
          <w:lang w:val="ro-RO"/>
        </w:rPr>
        <w:t xml:space="preserve">pentru modificarea și completarea Legii bugetului de stat </w:t>
      </w:r>
      <w:r w:rsidRPr="004C4CF1">
        <w:rPr>
          <w:rFonts w:ascii="Times New Roman" w:hAnsi="Times New Roman" w:cs="Times New Roman"/>
          <w:color w:val="000000"/>
          <w:lang w:val="ro-RO"/>
        </w:rPr>
        <w:t>pentru anul 2017 nr.279/2016; Legea nr.230 din 10.11.2017 cu privire la modificarea și completarea Legii bugetului de stat pentru anul 2017 nr.279/</w:t>
      </w:r>
      <w:r w:rsidRPr="008847E8">
        <w:rPr>
          <w:rFonts w:ascii="Times New Roman" w:hAnsi="Times New Roman" w:cs="Times New Roman"/>
          <w:color w:val="000000"/>
          <w:lang w:val="ro-RO"/>
        </w:rPr>
        <w:t xml:space="preserve">2016; </w:t>
      </w:r>
      <w:r w:rsidRPr="004C4CF1">
        <w:rPr>
          <w:rFonts w:ascii="Times New Roman" w:hAnsi="Times New Roman" w:cs="Times New Roman"/>
          <w:color w:val="000000"/>
          <w:lang w:val="ro-RO"/>
        </w:rPr>
        <w:t>Rectificarea nr.434</w:t>
      </w:r>
      <w:r w:rsidRPr="008847E8">
        <w:rPr>
          <w:rFonts w:ascii="Times New Roman" w:hAnsi="Times New Roman" w:cs="Times New Roman"/>
          <w:color w:val="000000"/>
          <w:lang w:val="ro-RO"/>
        </w:rPr>
        <w:t xml:space="preserve"> din 15.</w:t>
      </w:r>
      <w:r w:rsidRPr="005113BA">
        <w:rPr>
          <w:rFonts w:ascii="Times New Roman" w:hAnsi="Times New Roman" w:cs="Times New Roman"/>
          <w:color w:val="000000"/>
          <w:lang w:val="ro-RO"/>
        </w:rPr>
        <w:t xml:space="preserve">12.2017.  </w:t>
      </w:r>
    </w:p>
  </w:footnote>
  <w:footnote w:id="12">
    <w:p w:rsidR="00E754FE" w:rsidRPr="00327B87" w:rsidRDefault="00E754FE">
      <w:pPr>
        <w:pStyle w:val="a7"/>
        <w:rPr>
          <w:rFonts w:ascii="Times New Roman" w:hAnsi="Times New Roman" w:cs="Times New Roman"/>
          <w:lang w:val="ro-RO"/>
        </w:rPr>
      </w:pPr>
      <w:r w:rsidRPr="00327B87">
        <w:rPr>
          <w:rStyle w:val="a9"/>
          <w:rFonts w:ascii="Times New Roman" w:hAnsi="Times New Roman" w:cs="Times New Roman"/>
          <w:lang w:val="ro-RO"/>
        </w:rPr>
        <w:footnoteRef/>
      </w:r>
      <w:r w:rsidRPr="00327B87">
        <w:rPr>
          <w:rFonts w:ascii="Times New Roman" w:hAnsi="Times New Roman" w:cs="Times New Roman"/>
          <w:lang w:val="ro-RO"/>
        </w:rPr>
        <w:t xml:space="preserve"> Art.63 din Legea nr.181 din 25.07.2014.</w:t>
      </w:r>
    </w:p>
  </w:footnote>
  <w:footnote w:id="13">
    <w:p w:rsidR="00E754FE" w:rsidRPr="004C4CF1" w:rsidRDefault="00E754FE" w:rsidP="00BD0E71">
      <w:pPr>
        <w:pStyle w:val="a7"/>
        <w:jc w:val="both"/>
        <w:rPr>
          <w:rFonts w:ascii="Times New Roman" w:hAnsi="Times New Roman" w:cs="Times New Roman"/>
          <w:lang w:val="ro-RO"/>
        </w:rPr>
      </w:pPr>
      <w:r w:rsidRPr="004C4CF1">
        <w:rPr>
          <w:rStyle w:val="a9"/>
          <w:rFonts w:ascii="Times New Roman" w:hAnsi="Times New Roman" w:cs="Times New Roman"/>
          <w:lang w:val="ro-RO"/>
        </w:rPr>
        <w:footnoteRef/>
      </w:r>
      <w:r w:rsidRPr="004C4CF1">
        <w:rPr>
          <w:rFonts w:ascii="Times New Roman" w:hAnsi="Times New Roman" w:cs="Times New Roman"/>
          <w:lang w:val="ro-RO"/>
        </w:rPr>
        <w:t xml:space="preserve"> Pct.3.9.1 din Normele metodologice privind executarea de casă a bugetelor componente ale bugetului public național prin sistemul trezorerial al Ministerului Finanțelor, aprobate prin Ordinul ministrului finanțelor nr.215 din 28.12.2015. </w:t>
      </w:r>
    </w:p>
  </w:footnote>
  <w:footnote w:id="14">
    <w:p w:rsidR="00E754FE" w:rsidRPr="004C4CF1" w:rsidRDefault="00E754FE" w:rsidP="0042398A">
      <w:pPr>
        <w:pStyle w:val="a7"/>
        <w:jc w:val="both"/>
        <w:rPr>
          <w:rFonts w:ascii="Times New Roman" w:hAnsi="Times New Roman" w:cs="Times New Roman"/>
          <w:lang w:val="ro-RO"/>
        </w:rPr>
      </w:pPr>
      <w:r w:rsidRPr="004C4CF1">
        <w:rPr>
          <w:rStyle w:val="a9"/>
          <w:rFonts w:ascii="Times New Roman" w:hAnsi="Times New Roman" w:cs="Times New Roman"/>
          <w:lang w:val="ro-RO"/>
        </w:rPr>
        <w:footnoteRef/>
      </w:r>
      <w:r w:rsidRPr="004C4CF1">
        <w:rPr>
          <w:rFonts w:ascii="Times New Roman" w:hAnsi="Times New Roman" w:cs="Times New Roman"/>
          <w:lang w:val="ro-RO"/>
        </w:rPr>
        <w:t xml:space="preserve"> </w:t>
      </w:r>
      <w:r w:rsidRPr="004C4CF1">
        <w:rPr>
          <w:rFonts w:ascii="Times New Roman" w:eastAsia="Times New Roman" w:hAnsi="Times New Roman" w:cs="Times New Roman"/>
          <w:bCs/>
          <w:lang w:val="ro-RO"/>
        </w:rPr>
        <w:t>Art.32</w:t>
      </w:r>
      <w:r w:rsidRPr="004C4CF1">
        <w:rPr>
          <w:rFonts w:ascii="Times New Roman" w:eastAsia="Times New Roman" w:hAnsi="Times New Roman" w:cs="Times New Roman"/>
          <w:bCs/>
          <w:vertAlign w:val="superscript"/>
          <w:lang w:val="ro-RO"/>
        </w:rPr>
        <w:t xml:space="preserve">3 </w:t>
      </w:r>
      <w:r w:rsidRPr="004C4CF1">
        <w:rPr>
          <w:rFonts w:ascii="Times New Roman" w:eastAsia="Times New Roman" w:hAnsi="Times New Roman" w:cs="Times New Roman"/>
          <w:bCs/>
          <w:lang w:val="ro-RO"/>
        </w:rPr>
        <w:t>alin. (11) din Legea viei și vinului nr.57-XVI din 10.03.2006.</w:t>
      </w:r>
    </w:p>
  </w:footnote>
  <w:footnote w:id="15">
    <w:p w:rsidR="00E754FE" w:rsidRPr="003A0A88" w:rsidRDefault="00E754FE" w:rsidP="004E069B">
      <w:pPr>
        <w:pStyle w:val="a7"/>
        <w:jc w:val="both"/>
        <w:rPr>
          <w:rFonts w:ascii="Times New Roman" w:hAnsi="Times New Roman" w:cs="Times New Roman"/>
          <w:lang w:val="ro-RO"/>
        </w:rPr>
      </w:pPr>
      <w:r w:rsidRPr="003A0A88">
        <w:rPr>
          <w:rStyle w:val="a9"/>
          <w:rFonts w:ascii="Times New Roman" w:hAnsi="Times New Roman" w:cs="Times New Roman"/>
          <w:lang w:val="ro-RO"/>
        </w:rPr>
        <w:footnoteRef/>
      </w:r>
      <w:r w:rsidRPr="003A0A88">
        <w:rPr>
          <w:rFonts w:ascii="Times New Roman" w:hAnsi="Times New Roman" w:cs="Times New Roman"/>
          <w:lang w:val="ro-RO"/>
        </w:rPr>
        <w:t xml:space="preserve"> Ordin</w:t>
      </w:r>
      <w:r>
        <w:rPr>
          <w:rFonts w:ascii="Times New Roman" w:hAnsi="Times New Roman" w:cs="Times New Roman"/>
          <w:lang w:val="ro-RO"/>
        </w:rPr>
        <w:t>ul</w:t>
      </w:r>
      <w:r w:rsidRPr="003A0A88">
        <w:rPr>
          <w:rFonts w:ascii="Times New Roman" w:hAnsi="Times New Roman" w:cs="Times New Roman"/>
          <w:lang w:val="ro-RO"/>
        </w:rPr>
        <w:t xml:space="preserve"> MF nr.215 din 28.12.2015 </w:t>
      </w:r>
      <w:r>
        <w:rPr>
          <w:rFonts w:ascii="Times New Roman" w:hAnsi="Times New Roman" w:cs="Times New Roman"/>
          <w:lang w:val="ro-RO"/>
        </w:rPr>
        <w:t>„C</w:t>
      </w:r>
      <w:r w:rsidRPr="003A0A88">
        <w:rPr>
          <w:rFonts w:ascii="Times New Roman" w:hAnsi="Times New Roman" w:cs="Times New Roman"/>
          <w:lang w:val="ro-RO"/>
        </w:rPr>
        <w:t>u privire la aprobarea Normelor metodologice privind executarea de casă</w:t>
      </w:r>
      <w:r>
        <w:rPr>
          <w:rFonts w:ascii="Times New Roman" w:hAnsi="Times New Roman" w:cs="Times New Roman"/>
          <w:lang w:val="ro-RO"/>
        </w:rPr>
        <w:t xml:space="preserve"> </w:t>
      </w:r>
      <w:r w:rsidRPr="003A0A88">
        <w:rPr>
          <w:rFonts w:ascii="Times New Roman" w:hAnsi="Times New Roman" w:cs="Times New Roman"/>
          <w:lang w:val="ro-RO"/>
        </w:rPr>
        <w:t>a bugetelor componente ale bugetului public național prin sistemul trezorerial al Ministerului Finanțelor</w:t>
      </w:r>
      <w:r>
        <w:rPr>
          <w:rFonts w:ascii="Times New Roman" w:hAnsi="Times New Roman" w:cs="Times New Roman"/>
          <w:lang w:val="ro-RO"/>
        </w:rPr>
        <w:t>”.</w:t>
      </w:r>
    </w:p>
  </w:footnote>
  <w:footnote w:id="16">
    <w:p w:rsidR="00E754FE" w:rsidRPr="003A0A88" w:rsidRDefault="00E754FE" w:rsidP="0042398A">
      <w:pPr>
        <w:pStyle w:val="a7"/>
        <w:jc w:val="both"/>
        <w:rPr>
          <w:rFonts w:ascii="Times New Roman" w:hAnsi="Times New Roman" w:cs="Times New Roman"/>
          <w:lang w:val="ro-RO"/>
        </w:rPr>
      </w:pPr>
      <w:r w:rsidRPr="003A0A88">
        <w:rPr>
          <w:rStyle w:val="a9"/>
          <w:rFonts w:ascii="Times New Roman" w:hAnsi="Times New Roman" w:cs="Times New Roman"/>
          <w:lang w:val="ro-RO"/>
        </w:rPr>
        <w:footnoteRef/>
      </w:r>
      <w:r w:rsidRPr="003A0A88">
        <w:rPr>
          <w:rFonts w:ascii="Times New Roman" w:hAnsi="Times New Roman" w:cs="Times New Roman"/>
          <w:lang w:val="ro-RO"/>
        </w:rPr>
        <w:t xml:space="preserve"> Pct.3.9.3 din Normele metodologice privind executarea de casă</w:t>
      </w:r>
      <w:r>
        <w:rPr>
          <w:rFonts w:ascii="Times New Roman" w:hAnsi="Times New Roman" w:cs="Times New Roman"/>
          <w:lang w:val="ro-RO"/>
        </w:rPr>
        <w:t xml:space="preserve"> </w:t>
      </w:r>
      <w:r w:rsidRPr="003A0A88">
        <w:rPr>
          <w:rFonts w:ascii="Times New Roman" w:hAnsi="Times New Roman" w:cs="Times New Roman"/>
          <w:lang w:val="ro-RO"/>
        </w:rPr>
        <w:t xml:space="preserve">a bugetelor componente ale bugetului public național prin sistemul trezorerial al Ministerului Finanțelor, aprobate prin Ordinul </w:t>
      </w:r>
      <w:r>
        <w:rPr>
          <w:rFonts w:ascii="Times New Roman" w:hAnsi="Times New Roman" w:cs="Times New Roman"/>
          <w:lang w:val="ro-RO"/>
        </w:rPr>
        <w:t>m</w:t>
      </w:r>
      <w:r w:rsidRPr="003A0A88">
        <w:rPr>
          <w:rFonts w:ascii="Times New Roman" w:hAnsi="Times New Roman" w:cs="Times New Roman"/>
          <w:lang w:val="ro-RO"/>
        </w:rPr>
        <w:t xml:space="preserve">inistrului </w:t>
      </w:r>
      <w:r>
        <w:rPr>
          <w:rFonts w:ascii="Times New Roman" w:hAnsi="Times New Roman" w:cs="Times New Roman"/>
          <w:lang w:val="ro-RO"/>
        </w:rPr>
        <w:t>f</w:t>
      </w:r>
      <w:r w:rsidRPr="003A0A88">
        <w:rPr>
          <w:rFonts w:ascii="Times New Roman" w:hAnsi="Times New Roman" w:cs="Times New Roman"/>
          <w:lang w:val="ro-RO"/>
        </w:rPr>
        <w:t>inanțelor nr.215 din 28.12.2015</w:t>
      </w:r>
      <w:r>
        <w:rPr>
          <w:rFonts w:ascii="Times New Roman" w:hAnsi="Times New Roman" w:cs="Times New Roman"/>
          <w:lang w:val="ro-RO"/>
        </w:rPr>
        <w:t>.</w:t>
      </w:r>
    </w:p>
  </w:footnote>
  <w:footnote w:id="17">
    <w:p w:rsidR="00E754FE" w:rsidRPr="003A0A88" w:rsidRDefault="00E754FE" w:rsidP="008150E2">
      <w:pPr>
        <w:pStyle w:val="a7"/>
        <w:jc w:val="both"/>
        <w:rPr>
          <w:rFonts w:ascii="Times New Roman" w:hAnsi="Times New Roman" w:cs="Times New Roman"/>
          <w:lang w:val="ro-RO"/>
        </w:rPr>
      </w:pPr>
      <w:r w:rsidRPr="003A0A88">
        <w:rPr>
          <w:rStyle w:val="a9"/>
          <w:rFonts w:ascii="Times New Roman" w:hAnsi="Times New Roman" w:cs="Times New Roman"/>
          <w:lang w:val="ro-RO"/>
        </w:rPr>
        <w:footnoteRef/>
      </w:r>
      <w:r w:rsidRPr="003A0A88">
        <w:rPr>
          <w:rFonts w:ascii="Times New Roman" w:hAnsi="Times New Roman" w:cs="Times New Roman"/>
          <w:lang w:val="ro-RO"/>
        </w:rPr>
        <w:t xml:space="preserve"> Art.101</w:t>
      </w:r>
      <w:r w:rsidRPr="003A0A88">
        <w:rPr>
          <w:rFonts w:ascii="Times New Roman" w:hAnsi="Times New Roman" w:cs="Times New Roman"/>
          <w:vertAlign w:val="superscript"/>
          <w:lang w:val="ro-RO"/>
        </w:rPr>
        <w:t xml:space="preserve">1 </w:t>
      </w:r>
      <w:r w:rsidRPr="003A0A88">
        <w:rPr>
          <w:rFonts w:ascii="Times New Roman" w:hAnsi="Times New Roman" w:cs="Times New Roman"/>
          <w:lang w:val="ro-RO"/>
        </w:rPr>
        <w:t xml:space="preserve">alin.(4) din </w:t>
      </w:r>
      <w:r>
        <w:rPr>
          <w:rFonts w:ascii="Times New Roman" w:hAnsi="Times New Roman" w:cs="Times New Roman"/>
          <w:lang w:val="ro-RO"/>
        </w:rPr>
        <w:t>Codul fiscal</w:t>
      </w:r>
      <w:r w:rsidRPr="003A0A88">
        <w:rPr>
          <w:rFonts w:ascii="Times New Roman" w:hAnsi="Times New Roman" w:cs="Times New Roman"/>
          <w:lang w:val="ro-RO"/>
        </w:rPr>
        <w:t xml:space="preserve"> nr.1163</w:t>
      </w:r>
      <w:r>
        <w:rPr>
          <w:rFonts w:ascii="Times New Roman" w:hAnsi="Times New Roman" w:cs="Times New Roman"/>
          <w:lang w:val="ro-RO"/>
        </w:rPr>
        <w:t>-XIII</w:t>
      </w:r>
      <w:r w:rsidRPr="003A0A88">
        <w:rPr>
          <w:rFonts w:ascii="Times New Roman" w:hAnsi="Times New Roman" w:cs="Times New Roman"/>
          <w:lang w:val="ro-RO"/>
        </w:rPr>
        <w:t xml:space="preserve"> din 24.04.1997 (în continuare – Codul fiscal).</w:t>
      </w:r>
    </w:p>
  </w:footnote>
  <w:footnote w:id="18">
    <w:p w:rsidR="00E754FE" w:rsidRPr="003A0A88" w:rsidRDefault="00E754FE" w:rsidP="00412C75">
      <w:pPr>
        <w:pStyle w:val="a7"/>
        <w:rPr>
          <w:rFonts w:ascii="Times New Roman" w:hAnsi="Times New Roman" w:cs="Times New Roman"/>
          <w:lang w:val="ro-RO"/>
        </w:rPr>
      </w:pPr>
      <w:r w:rsidRPr="003A0A88">
        <w:rPr>
          <w:rStyle w:val="a9"/>
          <w:rFonts w:ascii="Times New Roman" w:hAnsi="Times New Roman" w:cs="Times New Roman"/>
          <w:lang w:val="ro-RO"/>
        </w:rPr>
        <w:footnoteRef/>
      </w:r>
      <w:r w:rsidRPr="003A0A88">
        <w:rPr>
          <w:rFonts w:ascii="Times New Roman" w:hAnsi="Times New Roman" w:cs="Times New Roman"/>
          <w:lang w:val="ro-RO"/>
        </w:rPr>
        <w:t xml:space="preserve"> </w:t>
      </w:r>
      <w:r w:rsidRPr="003A0A88">
        <w:rPr>
          <w:rFonts w:ascii="Times New Roman" w:eastAsia="Times New Roman" w:hAnsi="Times New Roman" w:cs="Times New Roman"/>
          <w:bCs/>
          <w:lang w:val="ro-RO"/>
        </w:rPr>
        <w:t xml:space="preserve">Ordinul </w:t>
      </w:r>
      <w:r>
        <w:rPr>
          <w:rFonts w:ascii="Times New Roman" w:eastAsia="Times New Roman" w:hAnsi="Times New Roman" w:cs="Times New Roman"/>
          <w:bCs/>
          <w:lang w:val="ro-RO"/>
        </w:rPr>
        <w:t>m</w:t>
      </w:r>
      <w:r w:rsidRPr="003A0A88">
        <w:rPr>
          <w:rFonts w:ascii="Times New Roman" w:eastAsia="Times New Roman" w:hAnsi="Times New Roman" w:cs="Times New Roman"/>
          <w:bCs/>
          <w:lang w:val="ro-RO"/>
        </w:rPr>
        <w:t xml:space="preserve">inistrului </w:t>
      </w:r>
      <w:r>
        <w:rPr>
          <w:rFonts w:ascii="Times New Roman" w:eastAsia="Times New Roman" w:hAnsi="Times New Roman" w:cs="Times New Roman"/>
          <w:bCs/>
          <w:lang w:val="ro-RO"/>
        </w:rPr>
        <w:t>f</w:t>
      </w:r>
      <w:r w:rsidRPr="003A0A88">
        <w:rPr>
          <w:rFonts w:ascii="Times New Roman" w:eastAsia="Times New Roman" w:hAnsi="Times New Roman" w:cs="Times New Roman"/>
          <w:bCs/>
          <w:lang w:val="ro-RO"/>
        </w:rPr>
        <w:t xml:space="preserve">inanțelor nr.208 din 24.12.2015 </w:t>
      </w:r>
      <w:r>
        <w:rPr>
          <w:rFonts w:ascii="Times New Roman" w:eastAsia="Times New Roman" w:hAnsi="Times New Roman" w:cs="Times New Roman"/>
          <w:bCs/>
          <w:lang w:val="ro-RO"/>
        </w:rPr>
        <w:t>„P</w:t>
      </w:r>
      <w:r w:rsidRPr="003A0A88">
        <w:rPr>
          <w:rFonts w:ascii="Times New Roman" w:eastAsia="Times New Roman" w:hAnsi="Times New Roman" w:cs="Times New Roman"/>
          <w:bCs/>
          <w:lang w:val="ro-RO"/>
        </w:rPr>
        <w:t>rivind Clasificația bugetară</w:t>
      </w:r>
      <w:r>
        <w:rPr>
          <w:rFonts w:ascii="Times New Roman" w:eastAsia="Times New Roman" w:hAnsi="Times New Roman" w:cs="Times New Roman"/>
          <w:bCs/>
          <w:lang w:val="ro-RO"/>
        </w:rPr>
        <w:t>”</w:t>
      </w:r>
      <w:r w:rsidRPr="003A0A88">
        <w:rPr>
          <w:rFonts w:ascii="Times New Roman" w:eastAsia="Times New Roman" w:hAnsi="Times New Roman" w:cs="Times New Roman"/>
          <w:bCs/>
          <w:lang w:val="ro-RO"/>
        </w:rPr>
        <w:t>.</w:t>
      </w:r>
    </w:p>
  </w:footnote>
  <w:footnote w:id="19">
    <w:p w:rsidR="00E754FE" w:rsidRPr="003A0A88" w:rsidRDefault="00E754FE" w:rsidP="00435E3B">
      <w:pPr>
        <w:spacing w:after="0" w:line="240" w:lineRule="auto"/>
        <w:jc w:val="both"/>
        <w:rPr>
          <w:rFonts w:ascii="Times New Roman" w:eastAsia="Times New Roman" w:hAnsi="Times New Roman" w:cs="Times New Roman"/>
          <w:bCs/>
          <w:sz w:val="20"/>
          <w:szCs w:val="20"/>
        </w:rPr>
      </w:pPr>
      <w:r w:rsidRPr="003A0A88">
        <w:rPr>
          <w:rStyle w:val="a9"/>
          <w:rFonts w:ascii="Times New Roman" w:hAnsi="Times New Roman" w:cs="Times New Roman"/>
          <w:sz w:val="20"/>
          <w:szCs w:val="20"/>
        </w:rPr>
        <w:footnoteRef/>
      </w:r>
      <w:r w:rsidRPr="003A0A88">
        <w:rPr>
          <w:rFonts w:ascii="Times New Roman" w:hAnsi="Times New Roman" w:cs="Times New Roman"/>
          <w:sz w:val="20"/>
          <w:szCs w:val="20"/>
        </w:rPr>
        <w:t xml:space="preserve"> </w:t>
      </w:r>
      <w:r w:rsidRPr="003A0A88">
        <w:rPr>
          <w:rFonts w:ascii="Times New Roman" w:eastAsia="Times New Roman" w:hAnsi="Times New Roman" w:cs="Times New Roman"/>
          <w:bCs/>
          <w:sz w:val="20"/>
          <w:szCs w:val="20"/>
        </w:rPr>
        <w:t xml:space="preserve">Ordinul </w:t>
      </w:r>
      <w:r>
        <w:rPr>
          <w:rFonts w:ascii="Times New Roman" w:eastAsia="Times New Roman" w:hAnsi="Times New Roman" w:cs="Times New Roman"/>
          <w:bCs/>
          <w:sz w:val="20"/>
          <w:szCs w:val="20"/>
        </w:rPr>
        <w:t>m</w:t>
      </w:r>
      <w:r w:rsidRPr="003A0A88">
        <w:rPr>
          <w:rFonts w:ascii="Times New Roman" w:eastAsia="Times New Roman" w:hAnsi="Times New Roman" w:cs="Times New Roman"/>
          <w:bCs/>
          <w:sz w:val="20"/>
          <w:szCs w:val="20"/>
        </w:rPr>
        <w:t xml:space="preserve">inistrului </w:t>
      </w:r>
      <w:r>
        <w:rPr>
          <w:rFonts w:ascii="Times New Roman" w:eastAsia="Times New Roman" w:hAnsi="Times New Roman" w:cs="Times New Roman"/>
          <w:bCs/>
          <w:sz w:val="20"/>
          <w:szCs w:val="20"/>
        </w:rPr>
        <w:t>f</w:t>
      </w:r>
      <w:r w:rsidRPr="003A0A88">
        <w:rPr>
          <w:rFonts w:ascii="Times New Roman" w:eastAsia="Times New Roman" w:hAnsi="Times New Roman" w:cs="Times New Roman"/>
          <w:bCs/>
          <w:sz w:val="20"/>
          <w:szCs w:val="20"/>
        </w:rPr>
        <w:t xml:space="preserve">inanțelor nr.208 din 24.12.2015 </w:t>
      </w:r>
      <w:r>
        <w:rPr>
          <w:rFonts w:ascii="Times New Roman" w:eastAsia="Times New Roman" w:hAnsi="Times New Roman" w:cs="Times New Roman"/>
          <w:bCs/>
          <w:sz w:val="20"/>
          <w:szCs w:val="20"/>
        </w:rPr>
        <w:t>„P</w:t>
      </w:r>
      <w:r w:rsidRPr="003A0A88">
        <w:rPr>
          <w:rFonts w:ascii="Times New Roman" w:eastAsia="Times New Roman" w:hAnsi="Times New Roman" w:cs="Times New Roman"/>
          <w:bCs/>
          <w:sz w:val="20"/>
          <w:szCs w:val="20"/>
        </w:rPr>
        <w:t>rivind Clasificația bugetară</w:t>
      </w:r>
      <w:r>
        <w:rPr>
          <w:rFonts w:ascii="Times New Roman" w:eastAsia="Times New Roman" w:hAnsi="Times New Roman" w:cs="Times New Roman"/>
          <w:bCs/>
          <w:sz w:val="20"/>
          <w:szCs w:val="20"/>
        </w:rPr>
        <w:t>”</w:t>
      </w:r>
      <w:r w:rsidRPr="003A0A88">
        <w:rPr>
          <w:rFonts w:ascii="Times New Roman" w:eastAsia="Times New Roman" w:hAnsi="Times New Roman" w:cs="Times New Roman"/>
          <w:bCs/>
          <w:sz w:val="20"/>
          <w:szCs w:val="20"/>
        </w:rPr>
        <w:t>.</w:t>
      </w:r>
    </w:p>
  </w:footnote>
  <w:footnote w:id="20">
    <w:p w:rsidR="00E754FE" w:rsidRPr="00841699" w:rsidRDefault="00E754FE" w:rsidP="00BD61E0">
      <w:pPr>
        <w:pStyle w:val="a7"/>
        <w:jc w:val="both"/>
        <w:rPr>
          <w:rFonts w:ascii="Times New Roman" w:hAnsi="Times New Roman" w:cs="Times New Roman"/>
          <w:lang w:val="ro-RO"/>
        </w:rPr>
      </w:pPr>
      <w:r w:rsidRPr="00841699">
        <w:rPr>
          <w:rStyle w:val="a9"/>
          <w:rFonts w:ascii="Times New Roman" w:hAnsi="Times New Roman" w:cs="Times New Roman"/>
          <w:lang w:val="ro-RO"/>
        </w:rPr>
        <w:footnoteRef/>
      </w:r>
      <w:r w:rsidRPr="00841699">
        <w:rPr>
          <w:rFonts w:ascii="Times New Roman" w:hAnsi="Times New Roman" w:cs="Times New Roman"/>
          <w:lang w:val="ro-RO"/>
        </w:rPr>
        <w:t xml:space="preserve"> Formularul nr.1 „Raportul privind executarea indicatorilor generali și sursele de finanțare ale bugetului de stat”</w:t>
      </w:r>
      <w:r>
        <w:rPr>
          <w:rFonts w:ascii="Times New Roman" w:hAnsi="Times New Roman" w:cs="Times New Roman"/>
          <w:lang w:val="ro-RO"/>
        </w:rPr>
        <w:t>,</w:t>
      </w:r>
      <w:r w:rsidRPr="00841699">
        <w:rPr>
          <w:rFonts w:ascii="Times New Roman" w:hAnsi="Times New Roman" w:cs="Times New Roman"/>
          <w:lang w:val="ro-RO"/>
        </w:rPr>
        <w:t xml:space="preserve"> aprobat prin Ordinul MF nr.44 din 12.02.2018.</w:t>
      </w:r>
    </w:p>
  </w:footnote>
  <w:footnote w:id="21">
    <w:p w:rsidR="00E754FE" w:rsidRPr="00454946" w:rsidRDefault="00E754FE" w:rsidP="009D627D">
      <w:pPr>
        <w:pStyle w:val="a7"/>
        <w:jc w:val="both"/>
      </w:pPr>
      <w:r w:rsidRPr="00841699">
        <w:rPr>
          <w:rStyle w:val="a9"/>
          <w:rFonts w:ascii="Times New Roman" w:hAnsi="Times New Roman" w:cs="Times New Roman"/>
          <w:lang w:val="ro-RO"/>
        </w:rPr>
        <w:footnoteRef/>
      </w:r>
      <w:r w:rsidRPr="009D627D">
        <w:rPr>
          <w:rFonts w:ascii="Times New Roman" w:hAnsi="Times New Roman" w:cs="Times New Roman"/>
          <w:lang w:val="ro-RO"/>
        </w:rPr>
        <w:t xml:space="preserve"> Art.16</w:t>
      </w:r>
      <w:r>
        <w:rPr>
          <w:rFonts w:ascii="Times New Roman" w:hAnsi="Times New Roman" w:cs="Times New Roman"/>
          <w:lang w:val="ro-RO"/>
        </w:rPr>
        <w:t xml:space="preserve"> </w:t>
      </w:r>
      <w:r w:rsidRPr="009D627D">
        <w:rPr>
          <w:rFonts w:ascii="Times New Roman" w:hAnsi="Times New Roman" w:cs="Times New Roman"/>
          <w:lang w:val="ro-RO"/>
        </w:rPr>
        <w:t>din Legea nr.181 din 25.07.2014</w:t>
      </w:r>
      <w:r>
        <w:rPr>
          <w:rFonts w:ascii="Times New Roman" w:hAnsi="Times New Roman" w:cs="Times New Roman"/>
        </w:rPr>
        <w:t>.</w:t>
      </w:r>
    </w:p>
  </w:footnote>
  <w:footnote w:id="22">
    <w:p w:rsidR="00E754FE" w:rsidRPr="009D627D" w:rsidRDefault="00E754FE" w:rsidP="00F307ED">
      <w:pPr>
        <w:pStyle w:val="a7"/>
        <w:rPr>
          <w:rFonts w:ascii="Times New Roman" w:hAnsi="Times New Roman" w:cs="Times New Roman"/>
          <w:lang w:val="ro-RO"/>
        </w:rPr>
      </w:pPr>
      <w:r w:rsidRPr="009D627D">
        <w:rPr>
          <w:rStyle w:val="a9"/>
          <w:rFonts w:ascii="Times New Roman" w:hAnsi="Times New Roman" w:cs="Times New Roman"/>
          <w:lang w:val="ro-RO"/>
        </w:rPr>
        <w:footnoteRef/>
      </w:r>
      <w:r w:rsidRPr="009D627D">
        <w:rPr>
          <w:rFonts w:ascii="Times New Roman" w:hAnsi="Times New Roman" w:cs="Times New Roman"/>
          <w:lang w:val="ro-RO"/>
        </w:rPr>
        <w:t xml:space="preserve"> Art.30 din Legea nr.181 din 25.07.2014.</w:t>
      </w:r>
    </w:p>
  </w:footnote>
  <w:footnote w:id="23">
    <w:p w:rsidR="00E754FE" w:rsidRPr="009D627D" w:rsidRDefault="00E754FE" w:rsidP="009C2008">
      <w:pPr>
        <w:pStyle w:val="a7"/>
        <w:jc w:val="both"/>
        <w:rPr>
          <w:rFonts w:ascii="Times New Roman" w:hAnsi="Times New Roman" w:cs="Times New Roman"/>
          <w:lang w:val="ro-RO"/>
        </w:rPr>
      </w:pPr>
      <w:r w:rsidRPr="009D627D">
        <w:rPr>
          <w:rStyle w:val="a9"/>
          <w:rFonts w:ascii="Times New Roman" w:hAnsi="Times New Roman" w:cs="Times New Roman"/>
          <w:lang w:val="ro-RO"/>
        </w:rPr>
        <w:footnoteRef/>
      </w:r>
      <w:r w:rsidRPr="009D627D">
        <w:rPr>
          <w:rFonts w:ascii="Times New Roman" w:hAnsi="Times New Roman" w:cs="Times New Roman"/>
          <w:lang w:val="ro-RO"/>
        </w:rPr>
        <w:t xml:space="preserve"> HG nr.428 din 13.06.2017 „Cu privire la alocarea mijloacelor financiare” și HG nr.1093 din 19.12.2017 „Cu privire la alocarea mijloacelor financiare”.</w:t>
      </w:r>
    </w:p>
  </w:footnote>
  <w:footnote w:id="24">
    <w:p w:rsidR="00E754FE" w:rsidRPr="001C6245" w:rsidRDefault="00E754FE" w:rsidP="00333564">
      <w:pPr>
        <w:pStyle w:val="a7"/>
        <w:jc w:val="both"/>
        <w:rPr>
          <w:rFonts w:ascii="Times New Roman" w:hAnsi="Times New Roman" w:cs="Times New Roman"/>
          <w:lang w:val="ro-RO"/>
        </w:rPr>
      </w:pPr>
      <w:r w:rsidRPr="001C6245">
        <w:rPr>
          <w:rStyle w:val="a9"/>
          <w:rFonts w:ascii="Times New Roman" w:hAnsi="Times New Roman" w:cs="Times New Roman"/>
          <w:lang w:val="ro-RO"/>
        </w:rPr>
        <w:footnoteRef/>
      </w:r>
      <w:r w:rsidRPr="001C6245">
        <w:rPr>
          <w:rFonts w:ascii="Times New Roman" w:hAnsi="Times New Roman" w:cs="Times New Roman"/>
          <w:lang w:val="ro-RO"/>
        </w:rPr>
        <w:t xml:space="preserve"> </w:t>
      </w:r>
      <w:r w:rsidRPr="004C4CF1">
        <w:rPr>
          <w:rFonts w:ascii="Times New Roman" w:hAnsi="Times New Roman" w:cs="Times New Roman"/>
          <w:lang w:val="ro-RO"/>
        </w:rPr>
        <w:t>Formularul</w:t>
      </w:r>
      <w:r w:rsidRPr="001C6245">
        <w:rPr>
          <w:rFonts w:ascii="Times New Roman" w:hAnsi="Times New Roman" w:cs="Times New Roman"/>
          <w:lang w:val="ro-RO"/>
        </w:rPr>
        <w:t xml:space="preserve"> nr.1 „Raportul privind executarea indicatorilor generali și sursele de finanțare ale bugetului de stat” și </w:t>
      </w:r>
      <w:r w:rsidRPr="004C4CF1">
        <w:rPr>
          <w:rFonts w:ascii="Times New Roman" w:hAnsi="Times New Roman" w:cs="Times New Roman"/>
          <w:lang w:val="ro-RO"/>
        </w:rPr>
        <w:t>Formularul</w:t>
      </w:r>
      <w:r w:rsidRPr="001C6245">
        <w:rPr>
          <w:rFonts w:ascii="Times New Roman" w:hAnsi="Times New Roman" w:cs="Times New Roman"/>
          <w:lang w:val="ro-RO"/>
        </w:rPr>
        <w:t xml:space="preserve"> nr.10 „Bilanțul contabil privind executarea bugetului de stat” aprobate prin Ordinul MF nr.44 din 12.02.2018.</w:t>
      </w:r>
    </w:p>
  </w:footnote>
  <w:footnote w:id="25">
    <w:p w:rsidR="00E754FE" w:rsidRPr="001C6245" w:rsidRDefault="00E754FE">
      <w:pPr>
        <w:pStyle w:val="a7"/>
        <w:rPr>
          <w:rFonts w:ascii="Times New Roman" w:hAnsi="Times New Roman" w:cs="Times New Roman"/>
          <w:lang w:val="ro-RO"/>
        </w:rPr>
      </w:pPr>
      <w:r w:rsidRPr="001C6245">
        <w:rPr>
          <w:rStyle w:val="a9"/>
          <w:rFonts w:ascii="Times New Roman" w:hAnsi="Times New Roman" w:cs="Times New Roman"/>
          <w:lang w:val="ro-RO"/>
        </w:rPr>
        <w:footnoteRef/>
      </w:r>
      <w:r w:rsidRPr="001C6245">
        <w:rPr>
          <w:rFonts w:ascii="Times New Roman" w:hAnsi="Times New Roman" w:cs="Times New Roman"/>
          <w:lang w:val="ro-RO"/>
        </w:rPr>
        <w:t xml:space="preserve"> HG nr.594 din 26.07.2017 </w:t>
      </w:r>
      <w:r>
        <w:rPr>
          <w:rFonts w:ascii="Times New Roman" w:hAnsi="Times New Roman" w:cs="Times New Roman"/>
          <w:lang w:val="ro-RO"/>
        </w:rPr>
        <w:t>„C</w:t>
      </w:r>
      <w:r w:rsidRPr="001C6245">
        <w:rPr>
          <w:rFonts w:ascii="Times New Roman" w:hAnsi="Times New Roman" w:cs="Times New Roman"/>
          <w:lang w:val="ro-RO"/>
        </w:rPr>
        <w:t>u privire la restructurarea administrației publice centrale de specialitate</w:t>
      </w:r>
      <w:r>
        <w:rPr>
          <w:rFonts w:ascii="Times New Roman" w:hAnsi="Times New Roman" w:cs="Times New Roman"/>
          <w:lang w:val="ro-RO"/>
        </w:rPr>
        <w:t xml:space="preserve">” (în continuare – </w:t>
      </w:r>
      <w:r w:rsidRPr="00F82991">
        <w:rPr>
          <w:rFonts w:ascii="Times New Roman" w:hAnsi="Times New Roman" w:cs="Times New Roman"/>
          <w:lang w:val="ro-RO"/>
        </w:rPr>
        <w:t>HG nr.594 din 26.07.2017</w:t>
      </w:r>
      <w:r>
        <w:rPr>
          <w:rFonts w:ascii="Times New Roman" w:hAnsi="Times New Roman" w:cs="Times New Roman"/>
          <w:lang w:val="ro-RO"/>
        </w:rPr>
        <w:t>)</w:t>
      </w:r>
      <w:r w:rsidRPr="001C6245">
        <w:rPr>
          <w:rFonts w:ascii="Times New Roman" w:hAnsi="Times New Roman" w:cs="Times New Roman"/>
          <w:lang w:val="ro-RO"/>
        </w:rPr>
        <w:t>.</w:t>
      </w:r>
    </w:p>
  </w:footnote>
  <w:footnote w:id="26">
    <w:p w:rsidR="00E754FE" w:rsidRPr="004C4CF1" w:rsidRDefault="00E754FE">
      <w:pPr>
        <w:pStyle w:val="a7"/>
        <w:rPr>
          <w:rFonts w:ascii="Times New Roman" w:hAnsi="Times New Roman" w:cs="Times New Roman"/>
          <w:lang w:val="ro-RO"/>
        </w:rPr>
      </w:pPr>
      <w:r w:rsidRPr="004C4CF1">
        <w:rPr>
          <w:rStyle w:val="a9"/>
          <w:rFonts w:ascii="Times New Roman" w:hAnsi="Times New Roman" w:cs="Times New Roman"/>
          <w:lang w:val="ro-RO"/>
        </w:rPr>
        <w:footnoteRef/>
      </w:r>
      <w:r w:rsidRPr="004C4CF1">
        <w:rPr>
          <w:rFonts w:ascii="Times New Roman" w:hAnsi="Times New Roman" w:cs="Times New Roman"/>
          <w:lang w:val="ro-RO"/>
        </w:rPr>
        <w:t xml:space="preserve"> Art.11 alin.(1) din Legea </w:t>
      </w:r>
      <w:r w:rsidRPr="00437E6D">
        <w:rPr>
          <w:rFonts w:ascii="Times New Roman" w:hAnsi="Times New Roman" w:cs="Times New Roman"/>
          <w:lang w:val="ro-RO"/>
        </w:rPr>
        <w:t>nr.397 din 16.10.2003</w:t>
      </w:r>
      <w:r>
        <w:rPr>
          <w:rFonts w:ascii="Times New Roman" w:hAnsi="Times New Roman" w:cs="Times New Roman"/>
          <w:lang w:val="ro-RO"/>
        </w:rPr>
        <w:t xml:space="preserve"> </w:t>
      </w:r>
      <w:r w:rsidRPr="004C4CF1">
        <w:rPr>
          <w:rFonts w:ascii="Times New Roman" w:hAnsi="Times New Roman" w:cs="Times New Roman"/>
          <w:lang w:val="ro-RO"/>
        </w:rPr>
        <w:t xml:space="preserve">privind finanțele publice locale </w:t>
      </w:r>
      <w:r>
        <w:rPr>
          <w:rFonts w:ascii="Times New Roman" w:hAnsi="Times New Roman" w:cs="Times New Roman"/>
          <w:lang w:val="ro-RO"/>
        </w:rPr>
        <w:t xml:space="preserve">(în continuare – Legea </w:t>
      </w:r>
      <w:r w:rsidRPr="004C4CF1">
        <w:rPr>
          <w:rFonts w:ascii="Times New Roman" w:hAnsi="Times New Roman" w:cs="Times New Roman"/>
          <w:lang w:val="ro-RO"/>
        </w:rPr>
        <w:t>nr.397 din 16.10.2003</w:t>
      </w:r>
      <w:r>
        <w:rPr>
          <w:rFonts w:ascii="Times New Roman" w:hAnsi="Times New Roman" w:cs="Times New Roman"/>
          <w:lang w:val="ro-RO"/>
        </w:rPr>
        <w:t>)</w:t>
      </w:r>
      <w:r w:rsidRPr="004C4CF1">
        <w:rPr>
          <w:rFonts w:ascii="Times New Roman" w:hAnsi="Times New Roman" w:cs="Times New Roman"/>
          <w:lang w:val="ro-RO"/>
        </w:rPr>
        <w:t xml:space="preserve">. </w:t>
      </w:r>
    </w:p>
  </w:footnote>
  <w:footnote w:id="27">
    <w:p w:rsidR="00E754FE" w:rsidRPr="004C4CF1" w:rsidRDefault="00E754FE">
      <w:pPr>
        <w:pStyle w:val="a7"/>
        <w:rPr>
          <w:lang w:val="ro-RO"/>
        </w:rPr>
      </w:pPr>
      <w:r w:rsidRPr="004C4CF1">
        <w:rPr>
          <w:rStyle w:val="a9"/>
          <w:lang w:val="ro-RO"/>
        </w:rPr>
        <w:footnoteRef/>
      </w:r>
      <w:r w:rsidRPr="004C4CF1">
        <w:rPr>
          <w:lang w:val="ro-RO"/>
        </w:rPr>
        <w:t xml:space="preserve"> </w:t>
      </w:r>
      <w:r w:rsidRPr="004C4CF1">
        <w:rPr>
          <w:rFonts w:ascii="Times New Roman" w:eastAsia="MS Mincho" w:hAnsi="Times New Roman" w:cs="Times New Roman"/>
          <w:lang w:val="ro-RO" w:eastAsia="ja-JP"/>
        </w:rPr>
        <w:t>Art.1 alin</w:t>
      </w:r>
      <w:r>
        <w:rPr>
          <w:rFonts w:ascii="Times New Roman" w:eastAsia="MS Mincho" w:hAnsi="Times New Roman" w:cs="Times New Roman"/>
          <w:lang w:val="ro-RO" w:eastAsia="ja-JP"/>
        </w:rPr>
        <w:t>.</w:t>
      </w:r>
      <w:r w:rsidRPr="004C4CF1">
        <w:rPr>
          <w:rFonts w:ascii="Times New Roman" w:eastAsia="MS Mincho" w:hAnsi="Times New Roman" w:cs="Times New Roman"/>
          <w:lang w:val="ro-RO" w:eastAsia="ja-JP"/>
        </w:rPr>
        <w:t>(2) din Legea fondului rutier nr.720 din 02.02.1996.</w:t>
      </w:r>
    </w:p>
  </w:footnote>
  <w:footnote w:id="28">
    <w:p w:rsidR="00E754FE" w:rsidRPr="001C6245" w:rsidRDefault="00E754FE" w:rsidP="0076727A">
      <w:pPr>
        <w:pStyle w:val="a7"/>
        <w:rPr>
          <w:rFonts w:ascii="Times New Roman" w:hAnsi="Times New Roman" w:cs="Times New Roman"/>
          <w:lang w:val="ro-RO"/>
        </w:rPr>
      </w:pPr>
      <w:r w:rsidRPr="00C4649E">
        <w:rPr>
          <w:rStyle w:val="a9"/>
          <w:rFonts w:ascii="Times New Roman" w:hAnsi="Times New Roman" w:cs="Times New Roman"/>
          <w:lang w:val="ro-RO"/>
        </w:rPr>
        <w:footnoteRef/>
      </w:r>
      <w:r w:rsidRPr="00C4649E">
        <w:rPr>
          <w:rFonts w:ascii="Times New Roman" w:hAnsi="Times New Roman" w:cs="Times New Roman"/>
          <w:lang w:val="ro-RO"/>
        </w:rPr>
        <w:t xml:space="preserve"> Art.9 din Legea nr.397 din 16.10.2003.</w:t>
      </w:r>
      <w:r w:rsidRPr="001C6245">
        <w:rPr>
          <w:rFonts w:ascii="Times New Roman" w:hAnsi="Times New Roman" w:cs="Times New Roman"/>
          <w:lang w:val="ro-RO"/>
        </w:rPr>
        <w:t xml:space="preserve"> </w:t>
      </w:r>
    </w:p>
  </w:footnote>
  <w:footnote w:id="29">
    <w:p w:rsidR="00E754FE" w:rsidRPr="004C4CF1" w:rsidRDefault="00E754FE">
      <w:pPr>
        <w:pStyle w:val="a7"/>
        <w:rPr>
          <w:rFonts w:ascii="Times New Roman" w:hAnsi="Times New Roman" w:cs="Times New Roman"/>
          <w:lang w:val="ro-RO"/>
        </w:rPr>
      </w:pPr>
      <w:r w:rsidRPr="004C4CF1">
        <w:rPr>
          <w:rStyle w:val="a9"/>
          <w:rFonts w:ascii="Times New Roman" w:hAnsi="Times New Roman" w:cs="Times New Roman"/>
          <w:lang w:val="ro-RO"/>
        </w:rPr>
        <w:footnoteRef/>
      </w:r>
      <w:r w:rsidRPr="004C4CF1">
        <w:rPr>
          <w:rFonts w:ascii="Times New Roman" w:hAnsi="Times New Roman" w:cs="Times New Roman"/>
          <w:lang w:val="ro-RO"/>
        </w:rPr>
        <w:t xml:space="preserve"> Art.3 lit.a) din Legea bugetului de stat pentru anul 2017.</w:t>
      </w:r>
    </w:p>
  </w:footnote>
  <w:footnote w:id="30">
    <w:p w:rsidR="00E754FE" w:rsidRPr="004C4CF1" w:rsidRDefault="00E754FE" w:rsidP="0076727A">
      <w:pPr>
        <w:pStyle w:val="a7"/>
        <w:jc w:val="both"/>
        <w:rPr>
          <w:rFonts w:ascii="Times New Roman" w:hAnsi="Times New Roman" w:cs="Times New Roman"/>
          <w:lang w:val="ro-RO"/>
        </w:rPr>
      </w:pPr>
      <w:r w:rsidRPr="00BA4FED">
        <w:rPr>
          <w:rStyle w:val="a9"/>
          <w:rFonts w:ascii="Times New Roman" w:hAnsi="Times New Roman" w:cs="Times New Roman"/>
          <w:lang w:val="ro-MD"/>
        </w:rPr>
        <w:footnoteRef/>
      </w:r>
      <w:r w:rsidRPr="00BA4FED">
        <w:rPr>
          <w:rFonts w:ascii="Times New Roman" w:hAnsi="Times New Roman" w:cs="Times New Roman"/>
          <w:lang w:val="ro-MD"/>
        </w:rPr>
        <w:t xml:space="preserve"> Formularul</w:t>
      </w:r>
      <w:r w:rsidRPr="004C4CF1">
        <w:rPr>
          <w:rFonts w:ascii="Times New Roman" w:hAnsi="Times New Roman" w:cs="Times New Roman"/>
          <w:lang w:val="ro-RO"/>
        </w:rPr>
        <w:t xml:space="preserve"> nr.5 „Raport privind transferurile de la bugetul de stat către bugetele locale”, aprobat prin Ordinul MF nr.44 din 12.02.2018</w:t>
      </w:r>
      <w:r>
        <w:rPr>
          <w:rFonts w:ascii="Times New Roman" w:hAnsi="Times New Roman" w:cs="Times New Roman"/>
          <w:lang w:val="ro-RO"/>
        </w:rPr>
        <w:t>.</w:t>
      </w:r>
    </w:p>
  </w:footnote>
  <w:footnote w:id="31">
    <w:p w:rsidR="00E754FE" w:rsidRPr="004C4CF1" w:rsidRDefault="00E754FE" w:rsidP="002B20CB">
      <w:pPr>
        <w:pStyle w:val="a7"/>
        <w:jc w:val="both"/>
        <w:rPr>
          <w:rFonts w:ascii="Times New Roman" w:hAnsi="Times New Roman" w:cs="Times New Roman"/>
          <w:lang w:val="ro-RO"/>
        </w:rPr>
      </w:pPr>
      <w:r w:rsidRPr="004C4CF1">
        <w:rPr>
          <w:rStyle w:val="a9"/>
          <w:rFonts w:ascii="Times New Roman" w:hAnsi="Times New Roman" w:cs="Times New Roman"/>
          <w:lang w:val="ro-RO"/>
        </w:rPr>
        <w:footnoteRef/>
      </w:r>
      <w:r w:rsidRPr="004C4CF1">
        <w:rPr>
          <w:rFonts w:ascii="Times New Roman" w:hAnsi="Times New Roman" w:cs="Times New Roman"/>
          <w:lang w:val="ro-RO"/>
        </w:rPr>
        <w:t xml:space="preserve"> Anexa nr.5 „Volumul transferurilor de la bugetul de stat către bugetele locale” din Legea bugetului de stat pentru anul 2017.</w:t>
      </w:r>
    </w:p>
  </w:footnote>
  <w:footnote w:id="32">
    <w:p w:rsidR="00E754FE" w:rsidRPr="00980C12" w:rsidRDefault="00E754FE" w:rsidP="00ED79FF">
      <w:pPr>
        <w:pStyle w:val="a7"/>
        <w:jc w:val="both"/>
        <w:rPr>
          <w:rFonts w:ascii="Times New Roman" w:hAnsi="Times New Roman" w:cs="Times New Roman"/>
          <w:lang w:val="ro-RO"/>
        </w:rPr>
      </w:pPr>
      <w:r w:rsidRPr="00980C12">
        <w:rPr>
          <w:rStyle w:val="a9"/>
          <w:rFonts w:ascii="Times New Roman" w:hAnsi="Times New Roman" w:cs="Times New Roman"/>
          <w:lang w:val="ro-RO"/>
        </w:rPr>
        <w:footnoteRef/>
      </w:r>
      <w:r w:rsidRPr="00980C12">
        <w:rPr>
          <w:rFonts w:ascii="Times New Roman" w:hAnsi="Times New Roman" w:cs="Times New Roman"/>
          <w:lang w:val="ro-RO"/>
        </w:rPr>
        <w:t xml:space="preserve"> Art.3 din Legea nr.181 din 25.07.2014.</w:t>
      </w:r>
    </w:p>
  </w:footnote>
  <w:footnote w:id="33">
    <w:p w:rsidR="00E754FE" w:rsidRPr="005329C4" w:rsidRDefault="00E754FE" w:rsidP="00ED79FF">
      <w:pPr>
        <w:pStyle w:val="a7"/>
        <w:jc w:val="both"/>
        <w:rPr>
          <w:rFonts w:ascii="Times New Roman" w:hAnsi="Times New Roman" w:cs="Times New Roman"/>
          <w:lang w:val="ro-RO"/>
        </w:rPr>
      </w:pPr>
      <w:r w:rsidRPr="005329C4">
        <w:rPr>
          <w:rStyle w:val="a9"/>
          <w:rFonts w:ascii="Times New Roman" w:hAnsi="Times New Roman" w:cs="Times New Roman"/>
          <w:lang w:val="ro-RO"/>
        </w:rPr>
        <w:footnoteRef/>
      </w:r>
      <w:r w:rsidRPr="005329C4">
        <w:rPr>
          <w:rFonts w:ascii="Times New Roman" w:hAnsi="Times New Roman" w:cs="Times New Roman"/>
          <w:lang w:val="ro-RO"/>
        </w:rPr>
        <w:t xml:space="preserve"> HG nr.1294 din 05.12.2016 </w:t>
      </w:r>
      <w:r>
        <w:rPr>
          <w:rFonts w:ascii="Times New Roman" w:hAnsi="Times New Roman" w:cs="Times New Roman"/>
          <w:lang w:val="ro-RO"/>
        </w:rPr>
        <w:t>„P</w:t>
      </w:r>
      <w:r w:rsidRPr="005329C4">
        <w:rPr>
          <w:rFonts w:ascii="Times New Roman" w:hAnsi="Times New Roman" w:cs="Times New Roman"/>
          <w:lang w:val="ro-RO"/>
        </w:rPr>
        <w:t>rivind aprobarea proiectului legii bugetului de stat pe anul 2017</w:t>
      </w:r>
      <w:r>
        <w:rPr>
          <w:rFonts w:ascii="Times New Roman" w:hAnsi="Times New Roman" w:cs="Times New Roman"/>
          <w:lang w:val="ro-RO"/>
        </w:rPr>
        <w:t>”</w:t>
      </w:r>
      <w:r w:rsidRPr="005329C4">
        <w:rPr>
          <w:rFonts w:ascii="Times New Roman" w:hAnsi="Times New Roman" w:cs="Times New Roman"/>
          <w:lang w:val="ro-RO"/>
        </w:rPr>
        <w:t>.</w:t>
      </w:r>
    </w:p>
  </w:footnote>
  <w:footnote w:id="34">
    <w:p w:rsidR="00E754FE" w:rsidRPr="005329C4" w:rsidRDefault="00E754FE" w:rsidP="00ED79FF">
      <w:pPr>
        <w:pStyle w:val="a7"/>
        <w:jc w:val="both"/>
        <w:rPr>
          <w:rFonts w:ascii="Times New Roman" w:hAnsi="Times New Roman" w:cs="Times New Roman"/>
          <w:lang w:val="ro-RO"/>
        </w:rPr>
      </w:pPr>
      <w:r w:rsidRPr="005329C4">
        <w:rPr>
          <w:rStyle w:val="a9"/>
          <w:rFonts w:ascii="Times New Roman" w:hAnsi="Times New Roman" w:cs="Times New Roman"/>
          <w:lang w:val="ro-RO"/>
        </w:rPr>
        <w:footnoteRef/>
      </w:r>
      <w:r w:rsidRPr="005329C4">
        <w:rPr>
          <w:rFonts w:ascii="Times New Roman" w:hAnsi="Times New Roman" w:cs="Times New Roman"/>
          <w:lang w:val="ro-RO"/>
        </w:rPr>
        <w:t xml:space="preserve"> Legea bugetului de stat pentru anul 2017.</w:t>
      </w:r>
    </w:p>
  </w:footnote>
  <w:footnote w:id="35">
    <w:p w:rsidR="00E754FE" w:rsidRPr="005329C4" w:rsidRDefault="00E754FE" w:rsidP="00ED79FF">
      <w:pPr>
        <w:pStyle w:val="a7"/>
        <w:jc w:val="both"/>
        <w:rPr>
          <w:rFonts w:ascii="Times New Roman" w:hAnsi="Times New Roman" w:cs="Times New Roman"/>
          <w:lang w:val="ro-RO"/>
        </w:rPr>
      </w:pPr>
      <w:r w:rsidRPr="005329C4">
        <w:rPr>
          <w:rStyle w:val="a9"/>
          <w:rFonts w:ascii="Times New Roman" w:hAnsi="Times New Roman" w:cs="Times New Roman"/>
          <w:lang w:val="ro-RO"/>
        </w:rPr>
        <w:footnoteRef/>
      </w:r>
      <w:r w:rsidRPr="005329C4">
        <w:rPr>
          <w:rFonts w:ascii="Times New Roman" w:hAnsi="Times New Roman" w:cs="Times New Roman"/>
          <w:lang w:val="ro-RO"/>
        </w:rPr>
        <w:t xml:space="preserve"> Art.47 alin.(1) lit.e) din Legea nr.181 din 25.07.2014.</w:t>
      </w:r>
    </w:p>
  </w:footnote>
  <w:footnote w:id="36">
    <w:p w:rsidR="00E754FE" w:rsidRPr="00B32E08" w:rsidRDefault="00E754FE" w:rsidP="00ED79FF">
      <w:pPr>
        <w:pStyle w:val="a7"/>
        <w:jc w:val="both"/>
        <w:rPr>
          <w:rFonts w:ascii="Times New Roman" w:hAnsi="Times New Roman" w:cs="Times New Roman"/>
          <w:lang w:val="ro-RO"/>
        </w:rPr>
      </w:pPr>
      <w:r w:rsidRPr="00B32E08">
        <w:rPr>
          <w:rStyle w:val="a9"/>
          <w:rFonts w:ascii="Times New Roman" w:hAnsi="Times New Roman" w:cs="Times New Roman"/>
          <w:lang w:val="ro-RO"/>
        </w:rPr>
        <w:footnoteRef/>
      </w:r>
      <w:r w:rsidRPr="00B32E08">
        <w:rPr>
          <w:rFonts w:ascii="Times New Roman" w:hAnsi="Times New Roman" w:cs="Times New Roman"/>
          <w:lang w:val="ro-RO"/>
        </w:rPr>
        <w:t xml:space="preserve"> </w:t>
      </w:r>
      <w:r w:rsidRPr="004E5348">
        <w:rPr>
          <w:rFonts w:ascii="Times New Roman" w:hAnsi="Times New Roman" w:cs="Times New Roman"/>
          <w:lang w:val="ro-RO"/>
        </w:rPr>
        <w:t xml:space="preserve">Ordinul MF nr.06 din 10.01.2018 </w:t>
      </w:r>
      <w:r>
        <w:rPr>
          <w:rFonts w:ascii="Times New Roman" w:hAnsi="Times New Roman" w:cs="Times New Roman"/>
          <w:lang w:val="ro-RO"/>
        </w:rPr>
        <w:t>„C</w:t>
      </w:r>
      <w:r w:rsidRPr="004E5348">
        <w:rPr>
          <w:rFonts w:ascii="Times New Roman" w:hAnsi="Times New Roman" w:cs="Times New Roman"/>
          <w:lang w:val="ro-RO"/>
        </w:rPr>
        <w:t>u privire la aprobarea termenelor de prezentare a rapoartelor financiare pentru anul 2017</w:t>
      </w:r>
      <w:r>
        <w:rPr>
          <w:rFonts w:ascii="Times New Roman" w:hAnsi="Times New Roman" w:cs="Times New Roman"/>
          <w:lang w:val="ro-RO"/>
        </w:rPr>
        <w:t>”</w:t>
      </w:r>
      <w:r w:rsidRPr="004E5348">
        <w:rPr>
          <w:rFonts w:ascii="Times New Roman" w:hAnsi="Times New Roman" w:cs="Times New Roman"/>
          <w:lang w:val="ro-RO"/>
        </w:rPr>
        <w:t>.</w:t>
      </w:r>
    </w:p>
  </w:footnote>
  <w:footnote w:id="37">
    <w:p w:rsidR="00E754FE" w:rsidRPr="00B32E08" w:rsidRDefault="00E754FE" w:rsidP="00ED79FF">
      <w:pPr>
        <w:pStyle w:val="a7"/>
        <w:rPr>
          <w:rFonts w:ascii="Times New Roman" w:hAnsi="Times New Roman" w:cs="Times New Roman"/>
          <w:lang w:val="ro-RO"/>
        </w:rPr>
      </w:pPr>
      <w:r w:rsidRPr="00B32E08">
        <w:rPr>
          <w:rStyle w:val="a9"/>
          <w:rFonts w:ascii="Times New Roman" w:hAnsi="Times New Roman" w:cs="Times New Roman"/>
          <w:lang w:val="ro-RO"/>
        </w:rPr>
        <w:footnoteRef/>
      </w:r>
      <w:r w:rsidRPr="00B32E08">
        <w:rPr>
          <w:rFonts w:ascii="Times New Roman" w:hAnsi="Times New Roman" w:cs="Times New Roman"/>
          <w:lang w:val="ro-RO"/>
        </w:rPr>
        <w:t xml:space="preserve"> </w:t>
      </w:r>
      <w:r w:rsidRPr="00B32E08">
        <w:rPr>
          <w:rFonts w:ascii="Times New Roman" w:hAnsi="Times New Roman" w:cs="Times New Roman"/>
          <w:color w:val="000000"/>
          <w:lang w:val="ro-RO"/>
        </w:rPr>
        <w:t>HG nr.594 din 26.07.2017</w:t>
      </w:r>
      <w:r w:rsidRPr="00655732">
        <w:rPr>
          <w:rFonts w:ascii="Times New Roman" w:hAnsi="Times New Roman" w:cs="Times New Roman"/>
          <w:color w:val="000000"/>
          <w:lang w:val="ro-RO"/>
        </w:rPr>
        <w:t>.</w:t>
      </w:r>
    </w:p>
  </w:footnote>
  <w:footnote w:id="38">
    <w:p w:rsidR="00E754FE" w:rsidRPr="00B32E08" w:rsidRDefault="00E754FE" w:rsidP="00ED79FF">
      <w:pPr>
        <w:pStyle w:val="a7"/>
        <w:rPr>
          <w:rFonts w:ascii="Times New Roman" w:hAnsi="Times New Roman" w:cs="Times New Roman"/>
          <w:lang w:val="ro-RO"/>
        </w:rPr>
      </w:pPr>
      <w:r w:rsidRPr="00B32E08">
        <w:rPr>
          <w:rStyle w:val="a9"/>
          <w:rFonts w:ascii="Times New Roman" w:hAnsi="Times New Roman" w:cs="Times New Roman"/>
          <w:lang w:val="ro-RO"/>
        </w:rPr>
        <w:footnoteRef/>
      </w:r>
      <w:r w:rsidRPr="00B32E08">
        <w:rPr>
          <w:rFonts w:ascii="Times New Roman" w:hAnsi="Times New Roman" w:cs="Times New Roman"/>
          <w:lang w:val="ro-RO"/>
        </w:rPr>
        <w:t xml:space="preserve"> Art.47.lit f) din Legea nr.181 din 25.07.2014</w:t>
      </w:r>
      <w:r>
        <w:rPr>
          <w:rFonts w:ascii="Times New Roman" w:hAnsi="Times New Roman" w:cs="Times New Roman"/>
          <w:lang w:val="ro-RO"/>
        </w:rPr>
        <w:t>.</w:t>
      </w:r>
    </w:p>
  </w:footnote>
  <w:footnote w:id="39">
    <w:p w:rsidR="00E754FE" w:rsidRPr="00B32E08" w:rsidRDefault="00E754FE" w:rsidP="00ED79FF">
      <w:pPr>
        <w:pStyle w:val="a7"/>
        <w:rPr>
          <w:rFonts w:ascii="Times New Roman" w:hAnsi="Times New Roman" w:cs="Times New Roman"/>
          <w:lang w:val="ro-RO"/>
        </w:rPr>
      </w:pPr>
      <w:r w:rsidRPr="00B32E08">
        <w:rPr>
          <w:rStyle w:val="a9"/>
          <w:rFonts w:ascii="Times New Roman" w:hAnsi="Times New Roman" w:cs="Times New Roman"/>
          <w:lang w:val="ro-RO"/>
        </w:rPr>
        <w:footnoteRef/>
      </w:r>
      <w:r w:rsidRPr="00B32E08">
        <w:rPr>
          <w:rFonts w:ascii="Times New Roman" w:hAnsi="Times New Roman" w:cs="Times New Roman"/>
          <w:lang w:val="ro-RO"/>
        </w:rPr>
        <w:t xml:space="preserve"> Scrisoare</w:t>
      </w:r>
      <w:r>
        <w:rPr>
          <w:rFonts w:ascii="Times New Roman" w:hAnsi="Times New Roman" w:cs="Times New Roman"/>
          <w:lang w:val="ro-RO"/>
        </w:rPr>
        <w:t>a MF</w:t>
      </w:r>
      <w:r w:rsidRPr="00B32E08">
        <w:rPr>
          <w:rFonts w:ascii="Times New Roman" w:hAnsi="Times New Roman" w:cs="Times New Roman"/>
          <w:lang w:val="ro-RO"/>
        </w:rPr>
        <w:t xml:space="preserve"> nr.12/4-7-63 din 17.04.2018</w:t>
      </w:r>
      <w:r>
        <w:rPr>
          <w:rFonts w:ascii="Times New Roman" w:hAnsi="Times New Roman" w:cs="Times New Roman"/>
          <w:lang w:val="ro-RO"/>
        </w:rPr>
        <w:t>.</w:t>
      </w:r>
    </w:p>
  </w:footnote>
  <w:footnote w:id="40">
    <w:p w:rsidR="00E754FE" w:rsidRPr="00B32E08" w:rsidRDefault="00E754FE" w:rsidP="00ED79FF">
      <w:pPr>
        <w:pStyle w:val="a7"/>
        <w:rPr>
          <w:rFonts w:ascii="Times New Roman" w:hAnsi="Times New Roman" w:cs="Times New Roman"/>
          <w:lang w:val="ro-RO"/>
        </w:rPr>
      </w:pPr>
      <w:r w:rsidRPr="00B32E08">
        <w:rPr>
          <w:rStyle w:val="a9"/>
          <w:rFonts w:ascii="Times New Roman" w:hAnsi="Times New Roman" w:cs="Times New Roman"/>
          <w:lang w:val="ro-RO"/>
        </w:rPr>
        <w:footnoteRef/>
      </w:r>
      <w:r w:rsidRPr="00B32E08">
        <w:rPr>
          <w:rFonts w:ascii="Times New Roman" w:hAnsi="Times New Roman" w:cs="Times New Roman"/>
          <w:lang w:val="ro-RO"/>
        </w:rPr>
        <w:t xml:space="preserve"> Pct.12 din Anexa nr.3 la Ordinul MF nr.44 din 12.02.2018. </w:t>
      </w:r>
    </w:p>
  </w:footnote>
  <w:footnote w:id="41">
    <w:p w:rsidR="00E754FE" w:rsidRPr="00B32E08" w:rsidRDefault="00E754FE" w:rsidP="00350ED2">
      <w:pPr>
        <w:pStyle w:val="a7"/>
        <w:rPr>
          <w:rFonts w:ascii="Times New Roman" w:hAnsi="Times New Roman" w:cs="Times New Roman"/>
          <w:lang w:val="ro-RO"/>
        </w:rPr>
      </w:pPr>
      <w:r w:rsidRPr="00B32E08">
        <w:rPr>
          <w:rStyle w:val="a9"/>
          <w:rFonts w:ascii="Times New Roman" w:hAnsi="Times New Roman" w:cs="Times New Roman"/>
          <w:lang w:val="ro-RO"/>
        </w:rPr>
        <w:footnoteRef/>
      </w:r>
      <w:r w:rsidRPr="00B32E08">
        <w:rPr>
          <w:rFonts w:ascii="Times New Roman" w:hAnsi="Times New Roman" w:cs="Times New Roman"/>
          <w:lang w:val="ro-RO"/>
        </w:rPr>
        <w:t xml:space="preserve"> Art.16 lit.a) din Legea bugetului de stat pentru anul 2017.</w:t>
      </w:r>
    </w:p>
  </w:footnote>
  <w:footnote w:id="42">
    <w:p w:rsidR="00E754FE" w:rsidRPr="00B32E08" w:rsidRDefault="00E754FE" w:rsidP="00350ED2">
      <w:pPr>
        <w:pStyle w:val="a7"/>
        <w:rPr>
          <w:rFonts w:ascii="Times New Roman" w:hAnsi="Times New Roman" w:cs="Times New Roman"/>
          <w:lang w:val="ro-RO"/>
        </w:rPr>
      </w:pPr>
      <w:r w:rsidRPr="00B32E08">
        <w:rPr>
          <w:rStyle w:val="a9"/>
          <w:rFonts w:ascii="Times New Roman" w:hAnsi="Times New Roman" w:cs="Times New Roman"/>
          <w:lang w:val="ro-RO"/>
        </w:rPr>
        <w:footnoteRef/>
      </w:r>
      <w:r w:rsidRPr="00B32E08">
        <w:rPr>
          <w:rFonts w:ascii="Times New Roman" w:hAnsi="Times New Roman" w:cs="Times New Roman"/>
          <w:lang w:val="ro-RO"/>
        </w:rPr>
        <w:t xml:space="preserve"> Art.61 alin.(5) din Legea nr.181 din 25.07.2014. </w:t>
      </w:r>
    </w:p>
  </w:footnote>
  <w:footnote w:id="43">
    <w:p w:rsidR="00E754FE" w:rsidRPr="00B32E08" w:rsidRDefault="00E754FE" w:rsidP="003E62EC">
      <w:pPr>
        <w:pStyle w:val="a7"/>
        <w:rPr>
          <w:rFonts w:ascii="Times New Roman" w:hAnsi="Times New Roman" w:cs="Times New Roman"/>
          <w:lang w:val="ro-RO"/>
        </w:rPr>
      </w:pPr>
      <w:r w:rsidRPr="00B32E08">
        <w:rPr>
          <w:rStyle w:val="a9"/>
          <w:rFonts w:ascii="Times New Roman" w:hAnsi="Times New Roman" w:cs="Times New Roman"/>
          <w:lang w:val="ro-RO"/>
        </w:rPr>
        <w:footnoteRef/>
      </w:r>
      <w:r w:rsidRPr="00B32E08">
        <w:rPr>
          <w:rFonts w:ascii="Times New Roman" w:hAnsi="Times New Roman" w:cs="Times New Roman"/>
          <w:lang w:val="ro-RO"/>
        </w:rPr>
        <w:t xml:space="preserve"> Art.28 din Legea nr.181 din 25.07.2014.</w:t>
      </w:r>
    </w:p>
  </w:footnote>
  <w:footnote w:id="44">
    <w:p w:rsidR="00E754FE" w:rsidRPr="00B32E08" w:rsidRDefault="00E754FE" w:rsidP="003E62EC">
      <w:pPr>
        <w:pStyle w:val="a7"/>
        <w:rPr>
          <w:rFonts w:ascii="Times New Roman" w:hAnsi="Times New Roman" w:cs="Times New Roman"/>
          <w:lang w:val="ro-RO"/>
        </w:rPr>
      </w:pPr>
      <w:r w:rsidRPr="00B32E08">
        <w:rPr>
          <w:rStyle w:val="a9"/>
          <w:rFonts w:ascii="Times New Roman" w:hAnsi="Times New Roman" w:cs="Times New Roman"/>
          <w:lang w:val="ro-RO"/>
        </w:rPr>
        <w:footnoteRef/>
      </w:r>
      <w:r w:rsidRPr="00B32E08">
        <w:rPr>
          <w:rFonts w:ascii="Times New Roman" w:hAnsi="Times New Roman" w:cs="Times New Roman"/>
          <w:lang w:val="ro-RO"/>
        </w:rPr>
        <w:t xml:space="preserve"> </w:t>
      </w:r>
      <w:r>
        <w:rPr>
          <w:rFonts w:ascii="Times New Roman" w:hAnsi="Times New Roman" w:cs="Times New Roman"/>
          <w:lang w:val="ro-RO"/>
        </w:rPr>
        <w:t>A</w:t>
      </w:r>
      <w:r w:rsidRPr="00B32E08">
        <w:rPr>
          <w:rFonts w:ascii="Times New Roman" w:hAnsi="Times New Roman" w:cs="Times New Roman"/>
          <w:lang w:val="ro-RO"/>
        </w:rPr>
        <w:t xml:space="preserve">rt.129 </w:t>
      </w:r>
      <w:r>
        <w:rPr>
          <w:rFonts w:ascii="Times New Roman" w:hAnsi="Times New Roman" w:cs="Times New Roman"/>
          <w:lang w:val="ro-RO"/>
        </w:rPr>
        <w:t xml:space="preserve">pct.13 </w:t>
      </w:r>
      <w:r w:rsidRPr="00B32E08">
        <w:rPr>
          <w:rFonts w:ascii="Times New Roman" w:hAnsi="Times New Roman" w:cs="Times New Roman"/>
          <w:lang w:val="ro-RO"/>
        </w:rPr>
        <w:t xml:space="preserve">din Codul </w:t>
      </w:r>
      <w:r>
        <w:rPr>
          <w:rFonts w:ascii="Times New Roman" w:hAnsi="Times New Roman" w:cs="Times New Roman"/>
          <w:lang w:val="ro-RO"/>
        </w:rPr>
        <w:t>f</w:t>
      </w:r>
      <w:r w:rsidRPr="00B32E08">
        <w:rPr>
          <w:rFonts w:ascii="Times New Roman" w:hAnsi="Times New Roman" w:cs="Times New Roman"/>
          <w:lang w:val="ro-RO"/>
        </w:rPr>
        <w:t>iscal.</w:t>
      </w:r>
    </w:p>
  </w:footnote>
  <w:footnote w:id="45">
    <w:p w:rsidR="00E754FE" w:rsidRPr="00864C4E" w:rsidRDefault="00E754FE" w:rsidP="003E62EC">
      <w:pPr>
        <w:pStyle w:val="a7"/>
        <w:rPr>
          <w:rFonts w:ascii="Times New Roman" w:hAnsi="Times New Roman" w:cs="Times New Roman"/>
          <w:lang w:val="ro-RO"/>
        </w:rPr>
      </w:pPr>
      <w:r w:rsidRPr="00864C4E">
        <w:rPr>
          <w:rStyle w:val="a9"/>
          <w:rFonts w:ascii="Times New Roman" w:hAnsi="Times New Roman" w:cs="Times New Roman"/>
          <w:lang w:val="ro-RO"/>
        </w:rPr>
        <w:footnoteRef/>
      </w:r>
      <w:r w:rsidRPr="00864C4E">
        <w:rPr>
          <w:rFonts w:ascii="Times New Roman" w:hAnsi="Times New Roman" w:cs="Times New Roman"/>
          <w:lang w:val="ro-RO"/>
        </w:rPr>
        <w:t xml:space="preserve"> Noțiunea </w:t>
      </w:r>
      <w:r>
        <w:rPr>
          <w:rFonts w:ascii="Times New Roman" w:hAnsi="Times New Roman" w:cs="Times New Roman"/>
          <w:i/>
          <w:lang w:val="ro-RO"/>
        </w:rPr>
        <w:t>c</w:t>
      </w:r>
      <w:r w:rsidRPr="00864C4E">
        <w:rPr>
          <w:rFonts w:ascii="Times New Roman" w:hAnsi="Times New Roman" w:cs="Times New Roman"/>
          <w:i/>
          <w:lang w:val="ro-RO"/>
        </w:rPr>
        <w:t>heltuieli</w:t>
      </w:r>
      <w:r w:rsidRPr="00864C4E">
        <w:rPr>
          <w:rFonts w:ascii="Times New Roman" w:hAnsi="Times New Roman" w:cs="Times New Roman"/>
          <w:lang w:val="ro-RO"/>
        </w:rPr>
        <w:t xml:space="preserve"> va include totalul CBE 2 „Cheltuieli” și CBE 3 „Active financiare”</w:t>
      </w:r>
      <w:r>
        <w:rPr>
          <w:rFonts w:ascii="Times New Roman" w:hAnsi="Times New Roman" w:cs="Times New Roman"/>
          <w:lang w:val="ro-RO"/>
        </w:rPr>
        <w:t>.</w:t>
      </w:r>
    </w:p>
  </w:footnote>
  <w:footnote w:id="46">
    <w:p w:rsidR="00E754FE" w:rsidRPr="00864C4E" w:rsidRDefault="00E754FE" w:rsidP="003E62EC">
      <w:pPr>
        <w:pStyle w:val="a7"/>
        <w:jc w:val="both"/>
        <w:rPr>
          <w:rFonts w:ascii="Times New Roman" w:hAnsi="Times New Roman" w:cs="Times New Roman"/>
          <w:lang w:val="ro-RO"/>
        </w:rPr>
      </w:pPr>
      <w:r w:rsidRPr="00864C4E">
        <w:rPr>
          <w:rStyle w:val="a9"/>
          <w:rFonts w:ascii="Times New Roman" w:hAnsi="Times New Roman" w:cs="Times New Roman"/>
          <w:lang w:val="ro-RO"/>
        </w:rPr>
        <w:footnoteRef/>
      </w:r>
      <w:r w:rsidRPr="00864C4E">
        <w:rPr>
          <w:rFonts w:ascii="Times New Roman" w:hAnsi="Times New Roman" w:cs="Times New Roman"/>
          <w:lang w:val="ro-RO"/>
        </w:rPr>
        <w:t xml:space="preserve"> Legea nr.33 din 17.03.2017 pentru modificarea și completarea Legii bugetului de stat pentru anul 2017 nr.279/2016</w:t>
      </w:r>
      <w:r>
        <w:rPr>
          <w:rFonts w:ascii="Times New Roman" w:hAnsi="Times New Roman" w:cs="Times New Roman"/>
          <w:lang w:val="ro-RO"/>
        </w:rPr>
        <w:t>.</w:t>
      </w:r>
    </w:p>
  </w:footnote>
  <w:footnote w:id="47">
    <w:p w:rsidR="00E754FE" w:rsidRPr="00864C4E" w:rsidRDefault="00E754FE" w:rsidP="003E62EC">
      <w:pPr>
        <w:pStyle w:val="a7"/>
        <w:jc w:val="both"/>
        <w:rPr>
          <w:rFonts w:ascii="Times New Roman" w:hAnsi="Times New Roman" w:cs="Times New Roman"/>
          <w:lang w:val="ro-RO"/>
        </w:rPr>
      </w:pPr>
      <w:r w:rsidRPr="00864C4E">
        <w:rPr>
          <w:rStyle w:val="a9"/>
          <w:rFonts w:ascii="Times New Roman" w:hAnsi="Times New Roman" w:cs="Times New Roman"/>
          <w:lang w:val="ro-RO"/>
        </w:rPr>
        <w:footnoteRef/>
      </w:r>
      <w:r w:rsidRPr="00864C4E">
        <w:rPr>
          <w:rFonts w:ascii="Times New Roman" w:hAnsi="Times New Roman" w:cs="Times New Roman"/>
          <w:lang w:val="ro-RO"/>
        </w:rPr>
        <w:t xml:space="preserve"> Legea nr.230 din 10.11.2017 cu privire la modificarea și completarea Legii bugetului de stat pentru anul 2017 nr.279/2016</w:t>
      </w:r>
      <w:r>
        <w:rPr>
          <w:rFonts w:ascii="Times New Roman" w:hAnsi="Times New Roman" w:cs="Times New Roman"/>
          <w:lang w:val="ro-RO"/>
        </w:rPr>
        <w:t>.</w:t>
      </w:r>
    </w:p>
  </w:footnote>
  <w:footnote w:id="48">
    <w:p w:rsidR="00E754FE" w:rsidRPr="00864C4E" w:rsidRDefault="00E754FE" w:rsidP="003E62EC">
      <w:pPr>
        <w:pStyle w:val="a7"/>
        <w:jc w:val="both"/>
        <w:rPr>
          <w:rFonts w:ascii="Times New Roman" w:hAnsi="Times New Roman" w:cs="Times New Roman"/>
          <w:lang w:val="ro-RO"/>
        </w:rPr>
      </w:pPr>
      <w:r w:rsidRPr="00864C4E">
        <w:rPr>
          <w:rStyle w:val="a9"/>
          <w:rFonts w:ascii="Times New Roman" w:hAnsi="Times New Roman" w:cs="Times New Roman"/>
          <w:lang w:val="ro-RO"/>
        </w:rPr>
        <w:footnoteRef/>
      </w:r>
      <w:r w:rsidRPr="00864C4E">
        <w:rPr>
          <w:rFonts w:ascii="Times New Roman" w:hAnsi="Times New Roman" w:cs="Times New Roman"/>
          <w:lang w:val="ro-RO"/>
        </w:rPr>
        <w:t xml:space="preserve"> Art.16 lit.a) din Legea bugetului de stat pentru anul 2017.</w:t>
      </w:r>
    </w:p>
  </w:footnote>
  <w:footnote w:id="49">
    <w:p w:rsidR="00E754FE" w:rsidRPr="004C4CF1" w:rsidRDefault="00E754FE" w:rsidP="003E62EC">
      <w:pPr>
        <w:pStyle w:val="a7"/>
        <w:rPr>
          <w:rFonts w:ascii="Times New Roman" w:hAnsi="Times New Roman" w:cs="Times New Roman"/>
          <w:lang w:val="ro-RO"/>
        </w:rPr>
      </w:pPr>
      <w:r w:rsidRPr="004C4CF1">
        <w:rPr>
          <w:rStyle w:val="a9"/>
          <w:rFonts w:ascii="Times New Roman" w:hAnsi="Times New Roman" w:cs="Times New Roman"/>
          <w:lang w:val="ro-RO"/>
        </w:rPr>
        <w:footnoteRef/>
      </w:r>
      <w:r w:rsidRPr="004C4CF1">
        <w:rPr>
          <w:rFonts w:ascii="Times New Roman" w:hAnsi="Times New Roman" w:cs="Times New Roman"/>
          <w:lang w:val="ro-RO"/>
        </w:rPr>
        <w:t xml:space="preserve"> Art.68 alin.(1) din Legea nr.181 din 25.07.2014.</w:t>
      </w:r>
    </w:p>
  </w:footnote>
  <w:footnote w:id="50">
    <w:p w:rsidR="00E754FE" w:rsidRPr="00AC3673" w:rsidRDefault="00E754FE" w:rsidP="003E62EC">
      <w:pPr>
        <w:pStyle w:val="a7"/>
        <w:jc w:val="both"/>
        <w:rPr>
          <w:rFonts w:ascii="Times New Roman" w:hAnsi="Times New Roman" w:cs="Times New Roman"/>
          <w:lang w:val="ro-RO"/>
        </w:rPr>
      </w:pPr>
      <w:r w:rsidRPr="00AC3673">
        <w:rPr>
          <w:rStyle w:val="a9"/>
          <w:rFonts w:ascii="Times New Roman" w:hAnsi="Times New Roman" w:cs="Times New Roman"/>
          <w:lang w:val="ro-RO"/>
        </w:rPr>
        <w:footnoteRef/>
      </w:r>
      <w:r w:rsidRPr="00AC3673">
        <w:rPr>
          <w:rFonts w:ascii="Times New Roman" w:hAnsi="Times New Roman" w:cs="Times New Roman"/>
          <w:lang w:val="ro-RO"/>
        </w:rPr>
        <w:t xml:space="preserve"> Legea nr.87 din 21.04.2011 privind repararea prejudiciului cauzat prin încălcarea dreptului la judecarea în termen rezonabil a cauzei sau dreptului la executarea în termen rezonabil a hotărârii judecătorești</w:t>
      </w:r>
    </w:p>
  </w:footnote>
  <w:footnote w:id="51">
    <w:p w:rsidR="00E754FE" w:rsidRPr="00AC3673" w:rsidRDefault="00E754FE" w:rsidP="003E62EC">
      <w:pPr>
        <w:pStyle w:val="a7"/>
        <w:jc w:val="both"/>
        <w:rPr>
          <w:rFonts w:ascii="Times New Roman" w:hAnsi="Times New Roman" w:cs="Times New Roman"/>
          <w:lang w:val="ro-RO"/>
        </w:rPr>
      </w:pPr>
      <w:r w:rsidRPr="00AC3673">
        <w:rPr>
          <w:rStyle w:val="a9"/>
          <w:rFonts w:ascii="Times New Roman" w:hAnsi="Times New Roman" w:cs="Times New Roman"/>
          <w:lang w:val="ro-RO"/>
        </w:rPr>
        <w:footnoteRef/>
      </w:r>
      <w:r w:rsidRPr="00AC3673">
        <w:rPr>
          <w:rFonts w:ascii="Times New Roman" w:hAnsi="Times New Roman" w:cs="Times New Roman"/>
          <w:lang w:val="ro-RO"/>
        </w:rPr>
        <w:t xml:space="preserve"> Legea nr.1545 din 25.02.1998 privind modul de reparare a prejudiciului cauzat prin acțiunile ilicite ale organelor de urmărire penală, ale procuraturii și ale instanțelor judecătorești.</w:t>
      </w:r>
    </w:p>
  </w:footnote>
  <w:footnote w:id="52">
    <w:p w:rsidR="00E754FE" w:rsidRPr="00AC3673" w:rsidRDefault="00E754FE" w:rsidP="003E62EC">
      <w:pPr>
        <w:pStyle w:val="a7"/>
        <w:rPr>
          <w:rFonts w:ascii="Times New Roman" w:hAnsi="Times New Roman" w:cs="Times New Roman"/>
          <w:lang w:val="ro-RO"/>
        </w:rPr>
      </w:pPr>
      <w:r w:rsidRPr="00AC3673">
        <w:rPr>
          <w:rStyle w:val="a9"/>
          <w:rFonts w:ascii="Times New Roman" w:hAnsi="Times New Roman" w:cs="Times New Roman"/>
          <w:lang w:val="ro-RO"/>
        </w:rPr>
        <w:footnoteRef/>
      </w:r>
      <w:r w:rsidRPr="00AC3673">
        <w:rPr>
          <w:rFonts w:ascii="Times New Roman" w:hAnsi="Times New Roman" w:cs="Times New Roman"/>
          <w:lang w:val="ro-RO"/>
        </w:rPr>
        <w:t xml:space="preserve"> Art.68 alin</w:t>
      </w:r>
      <w:r>
        <w:rPr>
          <w:rFonts w:ascii="Times New Roman" w:hAnsi="Times New Roman" w:cs="Times New Roman"/>
          <w:lang w:val="ro-RO"/>
        </w:rPr>
        <w:t>.</w:t>
      </w:r>
      <w:r w:rsidRPr="00AC3673">
        <w:rPr>
          <w:rFonts w:ascii="Times New Roman" w:hAnsi="Times New Roman" w:cs="Times New Roman"/>
          <w:lang w:val="ro-RO"/>
        </w:rPr>
        <w:t>(2) din Legea nr.181 din 25.07.2014.</w:t>
      </w:r>
    </w:p>
  </w:footnote>
  <w:footnote w:id="53">
    <w:p w:rsidR="00E754FE" w:rsidRPr="003D6840" w:rsidRDefault="00E754FE" w:rsidP="00EA0F07">
      <w:pPr>
        <w:pStyle w:val="a7"/>
        <w:rPr>
          <w:rFonts w:ascii="Times New Roman" w:hAnsi="Times New Roman" w:cs="Times New Roman"/>
          <w:lang w:val="ro-RO"/>
        </w:rPr>
      </w:pPr>
      <w:r w:rsidRPr="00AC3673">
        <w:rPr>
          <w:rStyle w:val="a9"/>
          <w:rFonts w:ascii="Times New Roman" w:hAnsi="Times New Roman" w:cs="Times New Roman"/>
          <w:lang w:val="ro-RO"/>
        </w:rPr>
        <w:footnoteRef/>
      </w:r>
      <w:r w:rsidRPr="00AC3673">
        <w:rPr>
          <w:rFonts w:ascii="Times New Roman" w:hAnsi="Times New Roman" w:cs="Times New Roman"/>
          <w:lang w:val="ro-RO"/>
        </w:rPr>
        <w:t xml:space="preserve"> </w:t>
      </w:r>
      <w:r w:rsidRPr="003D6840">
        <w:rPr>
          <w:rFonts w:ascii="Times New Roman" w:hAnsi="Times New Roman" w:cs="Times New Roman"/>
          <w:lang w:val="ro-RO"/>
        </w:rPr>
        <w:t>Anexa nr.4 la Legea nr.279 din 16.12.2016.</w:t>
      </w:r>
    </w:p>
  </w:footnote>
  <w:footnote w:id="54">
    <w:p w:rsidR="00E754FE" w:rsidRPr="001043A7" w:rsidRDefault="00E754FE" w:rsidP="00B5050D">
      <w:pPr>
        <w:pStyle w:val="a7"/>
        <w:jc w:val="both"/>
        <w:rPr>
          <w:rFonts w:ascii="Times New Roman" w:hAnsi="Times New Roman" w:cs="Times New Roman"/>
          <w:lang w:val="ro-RO"/>
        </w:rPr>
      </w:pPr>
      <w:r w:rsidRPr="00AC3673">
        <w:rPr>
          <w:rStyle w:val="a9"/>
          <w:rFonts w:ascii="Times New Roman" w:hAnsi="Times New Roman" w:cs="Times New Roman"/>
          <w:lang w:val="ro-RO"/>
        </w:rPr>
        <w:footnoteRef/>
      </w:r>
      <w:r w:rsidRPr="00AC3673">
        <w:rPr>
          <w:rFonts w:ascii="Times New Roman" w:hAnsi="Times New Roman" w:cs="Times New Roman"/>
          <w:lang w:val="ro-RO"/>
        </w:rPr>
        <w:t xml:space="preserve"> Art.41 din </w:t>
      </w:r>
      <w:r w:rsidRPr="001043A7">
        <w:rPr>
          <w:rFonts w:ascii="Times New Roman" w:hAnsi="Times New Roman" w:cs="Times New Roman"/>
          <w:lang w:val="ro-RO"/>
        </w:rPr>
        <w:t xml:space="preserve">Legea </w:t>
      </w:r>
      <w:r w:rsidRPr="00AC3673">
        <w:rPr>
          <w:rFonts w:ascii="Times New Roman" w:hAnsi="Times New Roman" w:cs="Times New Roman"/>
          <w:lang w:val="ro-RO"/>
        </w:rPr>
        <w:t>nr.181 din 25.07.2014.</w:t>
      </w:r>
    </w:p>
  </w:footnote>
  <w:footnote w:id="55">
    <w:p w:rsidR="00E754FE" w:rsidRPr="00AC3673" w:rsidRDefault="00E754FE">
      <w:pPr>
        <w:pStyle w:val="a7"/>
        <w:rPr>
          <w:rFonts w:ascii="Times New Roman" w:hAnsi="Times New Roman" w:cs="Times New Roman"/>
          <w:lang w:val="ro-RO"/>
        </w:rPr>
      </w:pPr>
      <w:r w:rsidRPr="00AC3673">
        <w:rPr>
          <w:rStyle w:val="a9"/>
          <w:rFonts w:ascii="Times New Roman" w:hAnsi="Times New Roman" w:cs="Times New Roman"/>
          <w:lang w:val="ro-RO"/>
        </w:rPr>
        <w:footnoteRef/>
      </w:r>
      <w:r w:rsidRPr="00AC3673">
        <w:rPr>
          <w:rFonts w:ascii="Times New Roman" w:hAnsi="Times New Roman" w:cs="Times New Roman"/>
          <w:lang w:val="ro-RO"/>
        </w:rPr>
        <w:t xml:space="preserve"> </w:t>
      </w:r>
      <w:r w:rsidRPr="001043A7">
        <w:rPr>
          <w:rFonts w:ascii="Times New Roman" w:hAnsi="Times New Roman" w:cs="Times New Roman"/>
          <w:lang w:val="ro-RO"/>
        </w:rPr>
        <w:t xml:space="preserve">HG nr.1029 din 19.12.2013 </w:t>
      </w:r>
      <w:r>
        <w:rPr>
          <w:rFonts w:ascii="Times New Roman" w:hAnsi="Times New Roman" w:cs="Times New Roman"/>
          <w:lang w:val="ro-RO"/>
        </w:rPr>
        <w:t>„C</w:t>
      </w:r>
      <w:r w:rsidRPr="001043A7">
        <w:rPr>
          <w:rFonts w:ascii="Times New Roman" w:hAnsi="Times New Roman" w:cs="Times New Roman"/>
          <w:lang w:val="ro-RO"/>
        </w:rPr>
        <w:t>u privire la investițiile capitale publice</w:t>
      </w:r>
      <w:r>
        <w:rPr>
          <w:rFonts w:ascii="Times New Roman" w:hAnsi="Times New Roman" w:cs="Times New Roman"/>
          <w:lang w:val="ro-RO"/>
        </w:rPr>
        <w:t>”</w:t>
      </w:r>
      <w:r w:rsidRPr="001043A7">
        <w:rPr>
          <w:rFonts w:ascii="Times New Roman" w:hAnsi="Times New Roman" w:cs="Times New Roman"/>
          <w:lang w:val="ro-RO"/>
        </w:rPr>
        <w:t>.</w:t>
      </w:r>
    </w:p>
  </w:footnote>
  <w:footnote w:id="56">
    <w:p w:rsidR="00E754FE" w:rsidRPr="008A0EA9" w:rsidRDefault="00E754FE">
      <w:pPr>
        <w:pStyle w:val="a7"/>
        <w:rPr>
          <w:rFonts w:ascii="Times New Roman" w:hAnsi="Times New Roman" w:cs="Times New Roman"/>
          <w:lang w:val="ro-RO"/>
        </w:rPr>
      </w:pPr>
      <w:r w:rsidRPr="008A0EA9">
        <w:rPr>
          <w:rStyle w:val="a9"/>
          <w:rFonts w:ascii="Times New Roman" w:hAnsi="Times New Roman" w:cs="Times New Roman"/>
          <w:lang w:val="ro-RO"/>
        </w:rPr>
        <w:footnoteRef/>
      </w:r>
      <w:r w:rsidRPr="008A0EA9">
        <w:rPr>
          <w:rFonts w:ascii="Times New Roman" w:hAnsi="Times New Roman" w:cs="Times New Roman"/>
          <w:lang w:val="ro-RO"/>
        </w:rPr>
        <w:t xml:space="preserve"> </w:t>
      </w:r>
      <w:r w:rsidRPr="001043A7">
        <w:rPr>
          <w:rFonts w:ascii="Times New Roman" w:hAnsi="Times New Roman" w:cs="Times New Roman"/>
          <w:lang w:val="ro-RO"/>
        </w:rPr>
        <w:t xml:space="preserve">HG nr.1029 din 19.12.2013 </w:t>
      </w:r>
      <w:r>
        <w:rPr>
          <w:rFonts w:ascii="Times New Roman" w:hAnsi="Times New Roman" w:cs="Times New Roman"/>
          <w:lang w:val="ro-RO"/>
        </w:rPr>
        <w:t>„C</w:t>
      </w:r>
      <w:r w:rsidRPr="001043A7">
        <w:rPr>
          <w:rFonts w:ascii="Times New Roman" w:hAnsi="Times New Roman" w:cs="Times New Roman"/>
          <w:lang w:val="ro-RO"/>
        </w:rPr>
        <w:t>u privire la investițiile capitale publice</w:t>
      </w:r>
      <w:r>
        <w:rPr>
          <w:rFonts w:ascii="Times New Roman" w:hAnsi="Times New Roman" w:cs="Times New Roman"/>
          <w:lang w:val="ro-RO"/>
        </w:rPr>
        <w:t>”</w:t>
      </w:r>
      <w:r w:rsidRPr="001043A7">
        <w:rPr>
          <w:rFonts w:ascii="Times New Roman" w:hAnsi="Times New Roman" w:cs="Times New Roman"/>
          <w:lang w:val="ro-RO"/>
        </w:rPr>
        <w:t>.</w:t>
      </w:r>
    </w:p>
  </w:footnote>
  <w:footnote w:id="57">
    <w:p w:rsidR="00E754FE" w:rsidRPr="004900B6" w:rsidRDefault="00E754FE" w:rsidP="00B5050D">
      <w:pPr>
        <w:pStyle w:val="a7"/>
        <w:jc w:val="both"/>
        <w:rPr>
          <w:rFonts w:ascii="Times New Roman" w:hAnsi="Times New Roman" w:cs="Times New Roman"/>
          <w:lang w:val="ro-RO"/>
        </w:rPr>
      </w:pPr>
      <w:r w:rsidRPr="008A0EA9">
        <w:rPr>
          <w:rStyle w:val="a9"/>
          <w:rFonts w:ascii="Times New Roman" w:hAnsi="Times New Roman" w:cs="Times New Roman"/>
          <w:lang w:val="ro-RO"/>
        </w:rPr>
        <w:footnoteRef/>
      </w:r>
      <w:r w:rsidRPr="008A0EA9">
        <w:rPr>
          <w:rFonts w:ascii="Times New Roman" w:hAnsi="Times New Roman" w:cs="Times New Roman"/>
          <w:lang w:val="ro-RO"/>
        </w:rPr>
        <w:t xml:space="preserve"> </w:t>
      </w:r>
      <w:r w:rsidRPr="004900B6">
        <w:rPr>
          <w:rFonts w:ascii="Times New Roman" w:hAnsi="Times New Roman" w:cs="Times New Roman"/>
          <w:lang w:val="ro-RO"/>
        </w:rPr>
        <w:t>Informația nr.11/1-11 din 03.05.2018 prezentată de persoanele responsabile din cadrul Ministerului Finanțelor.</w:t>
      </w:r>
    </w:p>
  </w:footnote>
  <w:footnote w:id="58">
    <w:p w:rsidR="00E754FE" w:rsidRPr="008A0EA9" w:rsidRDefault="00E754FE" w:rsidP="00CC5475">
      <w:pPr>
        <w:pStyle w:val="a7"/>
        <w:rPr>
          <w:rFonts w:ascii="Times New Roman" w:hAnsi="Times New Roman" w:cs="Times New Roman"/>
          <w:lang w:val="ro-RO"/>
        </w:rPr>
      </w:pPr>
      <w:r w:rsidRPr="008A0EA9">
        <w:rPr>
          <w:rStyle w:val="a9"/>
          <w:rFonts w:ascii="Times New Roman" w:hAnsi="Times New Roman" w:cs="Times New Roman"/>
          <w:lang w:val="ro-RO"/>
        </w:rPr>
        <w:footnoteRef/>
      </w:r>
      <w:r w:rsidRPr="008A0EA9">
        <w:rPr>
          <w:rFonts w:ascii="Times New Roman" w:hAnsi="Times New Roman" w:cs="Times New Roman"/>
          <w:lang w:val="ro-RO"/>
        </w:rPr>
        <w:t xml:space="preserve"> Pct.3 din Anexa nr.2 la HG nr.1029 din 19</w:t>
      </w:r>
      <w:r>
        <w:rPr>
          <w:rFonts w:ascii="Times New Roman" w:hAnsi="Times New Roman" w:cs="Times New Roman"/>
          <w:lang w:val="ro-RO"/>
        </w:rPr>
        <w:t>.12.</w:t>
      </w:r>
      <w:r w:rsidRPr="008A0EA9">
        <w:rPr>
          <w:rFonts w:ascii="Times New Roman" w:hAnsi="Times New Roman" w:cs="Times New Roman"/>
          <w:lang w:val="ro-RO"/>
        </w:rPr>
        <w:t>2013.</w:t>
      </w:r>
    </w:p>
  </w:footnote>
  <w:footnote w:id="59">
    <w:p w:rsidR="00E754FE" w:rsidRPr="004900B6" w:rsidRDefault="00E754FE" w:rsidP="00B5050D">
      <w:pPr>
        <w:pStyle w:val="a7"/>
        <w:jc w:val="both"/>
        <w:rPr>
          <w:rFonts w:ascii="Times New Roman" w:hAnsi="Times New Roman" w:cs="Times New Roman"/>
          <w:lang w:val="ro-RO"/>
        </w:rPr>
      </w:pPr>
      <w:r w:rsidRPr="008A0EA9">
        <w:rPr>
          <w:rStyle w:val="a9"/>
          <w:rFonts w:ascii="Times New Roman" w:hAnsi="Times New Roman" w:cs="Times New Roman"/>
          <w:lang w:val="ro-RO"/>
        </w:rPr>
        <w:footnoteRef/>
      </w:r>
      <w:r w:rsidRPr="008A0EA9">
        <w:rPr>
          <w:rFonts w:ascii="Times New Roman" w:hAnsi="Times New Roman" w:cs="Times New Roman"/>
          <w:lang w:val="ro-RO"/>
        </w:rPr>
        <w:t xml:space="preserve"> Pct.114 din </w:t>
      </w:r>
      <w:r w:rsidRPr="004900B6">
        <w:rPr>
          <w:rFonts w:ascii="Times New Roman" w:hAnsi="Times New Roman" w:cs="Times New Roman"/>
          <w:lang w:val="ro-RO"/>
        </w:rPr>
        <w:t>Instrucțiunea privind managementul proiectelor de investiții capitale, aprobată prin Ordinul MF nr.185 din 03.11.2015.</w:t>
      </w:r>
    </w:p>
  </w:footnote>
  <w:footnote w:id="60">
    <w:p w:rsidR="00E754FE" w:rsidRPr="00EB318B" w:rsidRDefault="00E754FE" w:rsidP="00194C15">
      <w:pPr>
        <w:pStyle w:val="a7"/>
        <w:jc w:val="both"/>
        <w:rPr>
          <w:rFonts w:ascii="Times New Roman" w:hAnsi="Times New Roman" w:cs="Times New Roman"/>
          <w:lang w:val="ro-RO"/>
        </w:rPr>
      </w:pPr>
      <w:r w:rsidRPr="008A0EA9">
        <w:rPr>
          <w:rStyle w:val="a9"/>
          <w:rFonts w:ascii="Times New Roman" w:hAnsi="Times New Roman" w:cs="Times New Roman"/>
          <w:lang w:val="ro-RO"/>
        </w:rPr>
        <w:footnoteRef/>
      </w:r>
      <w:r w:rsidRPr="008A0EA9">
        <w:rPr>
          <w:rFonts w:ascii="Times New Roman" w:hAnsi="Times New Roman" w:cs="Times New Roman"/>
          <w:lang w:val="ro-RO"/>
        </w:rPr>
        <w:t xml:space="preserve"> Pct.27 </w:t>
      </w:r>
      <w:r w:rsidRPr="00EB318B">
        <w:rPr>
          <w:rFonts w:ascii="Times New Roman" w:hAnsi="Times New Roman" w:cs="Times New Roman"/>
          <w:lang w:val="ro-RO"/>
        </w:rPr>
        <w:t xml:space="preserve">din Ordinul </w:t>
      </w:r>
      <w:r w:rsidRPr="008A0EA9">
        <w:rPr>
          <w:rFonts w:ascii="Times New Roman" w:hAnsi="Times New Roman" w:cs="Times New Roman"/>
          <w:lang w:val="ro-RO"/>
        </w:rPr>
        <w:t xml:space="preserve">MF nr.185 din 03.11.2015 </w:t>
      </w:r>
      <w:r>
        <w:rPr>
          <w:rFonts w:ascii="Times New Roman" w:hAnsi="Times New Roman" w:cs="Times New Roman"/>
          <w:lang w:val="ro-RO"/>
        </w:rPr>
        <w:t>„C</w:t>
      </w:r>
      <w:r w:rsidRPr="008A0EA9">
        <w:rPr>
          <w:rFonts w:ascii="Times New Roman" w:hAnsi="Times New Roman" w:cs="Times New Roman"/>
          <w:lang w:val="ro-RO"/>
        </w:rPr>
        <w:t>u privire la aprobarea Instrucțiunii privind managementul proiectelor de investiții capitale</w:t>
      </w:r>
      <w:r>
        <w:rPr>
          <w:rFonts w:ascii="Times New Roman" w:hAnsi="Times New Roman" w:cs="Times New Roman"/>
          <w:lang w:val="ro-RO"/>
        </w:rPr>
        <w:t>”</w:t>
      </w:r>
      <w:r w:rsidRPr="008A0EA9">
        <w:rPr>
          <w:rFonts w:ascii="Times New Roman" w:hAnsi="Times New Roman" w:cs="Times New Roman"/>
          <w:lang w:val="ro-RO"/>
        </w:rPr>
        <w:t>.</w:t>
      </w:r>
    </w:p>
  </w:footnote>
  <w:footnote w:id="61">
    <w:p w:rsidR="00E754FE" w:rsidRPr="008102C4" w:rsidRDefault="00E754FE" w:rsidP="00F362C7">
      <w:pPr>
        <w:pStyle w:val="a7"/>
        <w:jc w:val="both"/>
        <w:rPr>
          <w:rFonts w:ascii="Times New Roman" w:hAnsi="Times New Roman" w:cs="Times New Roman"/>
          <w:lang w:val="ro-RO"/>
        </w:rPr>
      </w:pPr>
      <w:r w:rsidRPr="008102C4">
        <w:rPr>
          <w:rStyle w:val="a9"/>
          <w:rFonts w:ascii="Times New Roman" w:hAnsi="Times New Roman" w:cs="Times New Roman"/>
          <w:lang w:val="ro-RO"/>
        </w:rPr>
        <w:footnoteRef/>
      </w:r>
      <w:r w:rsidRPr="008102C4">
        <w:rPr>
          <w:rFonts w:ascii="Times New Roman" w:hAnsi="Times New Roman" w:cs="Times New Roman"/>
          <w:lang w:val="ro-RO"/>
        </w:rPr>
        <w:t xml:space="preserve"> Regulamentul privind gestionarea fondurilor de urgență ale Guvernului, aprobat prin HG nr.862 din 18.12.2015 (în continuare – Regulamentul privind gestionarea fondurilor de urgență ale Guvernului).</w:t>
      </w:r>
    </w:p>
  </w:footnote>
  <w:footnote w:id="62">
    <w:p w:rsidR="00E754FE" w:rsidRPr="008102C4" w:rsidRDefault="00E754FE" w:rsidP="00F362C7">
      <w:pPr>
        <w:pStyle w:val="a7"/>
        <w:jc w:val="both"/>
        <w:rPr>
          <w:rFonts w:ascii="Times New Roman" w:hAnsi="Times New Roman" w:cs="Times New Roman"/>
          <w:lang w:val="ro-RO"/>
        </w:rPr>
      </w:pPr>
      <w:r w:rsidRPr="008102C4">
        <w:rPr>
          <w:rStyle w:val="a9"/>
          <w:rFonts w:ascii="Times New Roman" w:hAnsi="Times New Roman" w:cs="Times New Roman"/>
          <w:lang w:val="ro-RO"/>
        </w:rPr>
        <w:footnoteRef/>
      </w:r>
      <w:r w:rsidRPr="008102C4">
        <w:rPr>
          <w:rFonts w:ascii="Times New Roman" w:hAnsi="Times New Roman" w:cs="Times New Roman"/>
          <w:lang w:val="ro-RO"/>
        </w:rPr>
        <w:t xml:space="preserve"> HG nr.660 din 23.08.2017 </w:t>
      </w:r>
      <w:r>
        <w:rPr>
          <w:rFonts w:ascii="Times New Roman" w:hAnsi="Times New Roman" w:cs="Times New Roman"/>
          <w:lang w:val="ro-RO"/>
        </w:rPr>
        <w:t>„C</w:t>
      </w:r>
      <w:r w:rsidRPr="008102C4">
        <w:rPr>
          <w:rFonts w:ascii="Times New Roman" w:hAnsi="Times New Roman" w:cs="Times New Roman"/>
          <w:lang w:val="ro-RO"/>
        </w:rPr>
        <w:t>u privire la decernarea Premiului Național pe anul 2017</w:t>
      </w:r>
      <w:r>
        <w:rPr>
          <w:rFonts w:ascii="Times New Roman" w:hAnsi="Times New Roman" w:cs="Times New Roman"/>
          <w:lang w:val="ro-RO"/>
        </w:rPr>
        <w:t>”.</w:t>
      </w:r>
    </w:p>
  </w:footnote>
  <w:footnote w:id="63">
    <w:p w:rsidR="00E754FE" w:rsidRPr="00BF3E5D" w:rsidRDefault="00E754FE" w:rsidP="00F362C7">
      <w:pPr>
        <w:tabs>
          <w:tab w:val="left" w:pos="851"/>
          <w:tab w:val="left" w:pos="993"/>
        </w:tabs>
        <w:spacing w:after="0"/>
        <w:jc w:val="both"/>
        <w:rPr>
          <w:rFonts w:ascii="Times New Roman" w:hAnsi="Times New Roman" w:cs="Times New Roman"/>
          <w:sz w:val="20"/>
          <w:szCs w:val="20"/>
        </w:rPr>
      </w:pPr>
      <w:r w:rsidRPr="008102C4">
        <w:rPr>
          <w:rStyle w:val="a9"/>
          <w:rFonts w:ascii="Times New Roman" w:hAnsi="Times New Roman" w:cs="Times New Roman"/>
          <w:sz w:val="20"/>
          <w:szCs w:val="20"/>
        </w:rPr>
        <w:footnoteRef/>
      </w:r>
      <w:r w:rsidRPr="008102C4">
        <w:rPr>
          <w:rFonts w:ascii="Times New Roman" w:hAnsi="Times New Roman" w:cs="Times New Roman"/>
          <w:sz w:val="20"/>
          <w:szCs w:val="20"/>
        </w:rPr>
        <w:t xml:space="preserve"> HG nr.289 din 05.05.2017</w:t>
      </w:r>
      <w:r w:rsidRPr="004C4CF1">
        <w:rPr>
          <w:rFonts w:ascii="Times New Roman" w:hAnsi="Times New Roman" w:cs="Times New Roman"/>
          <w:sz w:val="20"/>
          <w:szCs w:val="20"/>
        </w:rPr>
        <w:t>„Cu privire la alocarea mijloacelor financiare”</w:t>
      </w:r>
      <w:r w:rsidRPr="00BF3E5D">
        <w:rPr>
          <w:rFonts w:ascii="Times New Roman" w:hAnsi="Times New Roman" w:cs="Times New Roman"/>
          <w:sz w:val="20"/>
          <w:szCs w:val="20"/>
        </w:rPr>
        <w:t>.</w:t>
      </w:r>
    </w:p>
  </w:footnote>
  <w:footnote w:id="64">
    <w:p w:rsidR="00E754FE" w:rsidRPr="008102C4" w:rsidRDefault="00E754FE" w:rsidP="00D04954">
      <w:pPr>
        <w:pStyle w:val="a7"/>
        <w:jc w:val="both"/>
        <w:rPr>
          <w:rFonts w:ascii="Times New Roman" w:hAnsi="Times New Roman" w:cs="Times New Roman"/>
          <w:lang w:val="ro-RO"/>
        </w:rPr>
      </w:pPr>
      <w:r w:rsidRPr="008102C4">
        <w:rPr>
          <w:rStyle w:val="a9"/>
          <w:rFonts w:ascii="Times New Roman" w:hAnsi="Times New Roman" w:cs="Times New Roman"/>
          <w:lang w:val="ro-RO"/>
        </w:rPr>
        <w:footnoteRef/>
      </w:r>
      <w:r w:rsidRPr="008102C4">
        <w:rPr>
          <w:rFonts w:ascii="Times New Roman" w:hAnsi="Times New Roman" w:cs="Times New Roman"/>
          <w:lang w:val="ro-RO"/>
        </w:rPr>
        <w:t xml:space="preserve"> HG nr.626 din 02.08.2017.</w:t>
      </w:r>
    </w:p>
  </w:footnote>
  <w:footnote w:id="65">
    <w:p w:rsidR="00E754FE" w:rsidRPr="008102C4" w:rsidRDefault="00E754FE" w:rsidP="00D04954">
      <w:pPr>
        <w:pStyle w:val="a7"/>
        <w:jc w:val="both"/>
        <w:rPr>
          <w:rFonts w:ascii="Times New Roman" w:hAnsi="Times New Roman" w:cs="Times New Roman"/>
          <w:lang w:val="ro-RO"/>
        </w:rPr>
      </w:pPr>
      <w:r w:rsidRPr="008102C4">
        <w:rPr>
          <w:rStyle w:val="a9"/>
          <w:rFonts w:ascii="Times New Roman" w:hAnsi="Times New Roman" w:cs="Times New Roman"/>
          <w:lang w:val="ro-RO"/>
        </w:rPr>
        <w:footnoteRef/>
      </w:r>
      <w:r w:rsidRPr="008102C4">
        <w:rPr>
          <w:rFonts w:ascii="Times New Roman" w:hAnsi="Times New Roman" w:cs="Times New Roman"/>
          <w:lang w:val="ro-RO"/>
        </w:rPr>
        <w:t xml:space="preserve"> HG nr.51 din 01.02.2017 </w:t>
      </w:r>
      <w:r>
        <w:rPr>
          <w:rFonts w:ascii="Times New Roman" w:hAnsi="Times New Roman" w:cs="Times New Roman"/>
          <w:lang w:val="ro-RO"/>
        </w:rPr>
        <w:t>„C</w:t>
      </w:r>
      <w:r w:rsidRPr="008102C4">
        <w:rPr>
          <w:rFonts w:ascii="Times New Roman" w:hAnsi="Times New Roman" w:cs="Times New Roman"/>
          <w:lang w:val="ro-RO"/>
        </w:rPr>
        <w:t>u privire la alocarea mijloacelor financiare</w:t>
      </w:r>
      <w:r>
        <w:rPr>
          <w:rFonts w:ascii="Times New Roman" w:hAnsi="Times New Roman" w:cs="Times New Roman"/>
          <w:lang w:val="ro-RO"/>
        </w:rPr>
        <w:t>”;</w:t>
      </w:r>
      <w:r w:rsidRPr="008102C4">
        <w:rPr>
          <w:rFonts w:ascii="Times New Roman" w:hAnsi="Times New Roman" w:cs="Times New Roman"/>
          <w:lang w:val="ro-RO"/>
        </w:rPr>
        <w:t xml:space="preserve"> HG nr.660 din 23.08.2017 </w:t>
      </w:r>
      <w:r>
        <w:rPr>
          <w:rFonts w:ascii="Times New Roman" w:hAnsi="Times New Roman" w:cs="Times New Roman"/>
          <w:lang w:val="ro-RO"/>
        </w:rPr>
        <w:t>„C</w:t>
      </w:r>
      <w:r w:rsidRPr="008102C4">
        <w:rPr>
          <w:rFonts w:ascii="Times New Roman" w:hAnsi="Times New Roman" w:cs="Times New Roman"/>
          <w:lang w:val="ro-RO"/>
        </w:rPr>
        <w:t>u privire la decernarea Premiului Național pe anul 2017</w:t>
      </w:r>
      <w:r>
        <w:rPr>
          <w:rFonts w:ascii="Times New Roman" w:hAnsi="Times New Roman" w:cs="Times New Roman"/>
          <w:lang w:val="ro-RO"/>
        </w:rPr>
        <w:t>”</w:t>
      </w:r>
      <w:r w:rsidRPr="008102C4">
        <w:rPr>
          <w:rFonts w:ascii="Times New Roman" w:hAnsi="Times New Roman" w:cs="Times New Roman"/>
          <w:lang w:val="ro-RO"/>
        </w:rPr>
        <w:t>.</w:t>
      </w:r>
    </w:p>
  </w:footnote>
  <w:footnote w:id="66">
    <w:p w:rsidR="00E754FE" w:rsidRPr="008102C4" w:rsidRDefault="00E754FE">
      <w:pPr>
        <w:pStyle w:val="a7"/>
        <w:rPr>
          <w:rFonts w:ascii="Times New Roman" w:hAnsi="Times New Roman" w:cs="Times New Roman"/>
          <w:lang w:val="ro-RO"/>
        </w:rPr>
      </w:pPr>
      <w:r w:rsidRPr="008102C4">
        <w:rPr>
          <w:rStyle w:val="a9"/>
          <w:rFonts w:ascii="Times New Roman" w:hAnsi="Times New Roman" w:cs="Times New Roman"/>
          <w:lang w:val="ro-RO"/>
        </w:rPr>
        <w:footnoteRef/>
      </w:r>
      <w:r w:rsidRPr="008102C4">
        <w:rPr>
          <w:rFonts w:ascii="Times New Roman" w:hAnsi="Times New Roman" w:cs="Times New Roman"/>
          <w:lang w:val="ro-RO"/>
        </w:rPr>
        <w:t xml:space="preserve"> </w:t>
      </w:r>
      <w:r w:rsidRPr="008102C4">
        <w:rPr>
          <w:rFonts w:ascii="Times New Roman" w:eastAsia="Times New Roman" w:hAnsi="Times New Roman" w:cs="Times New Roman"/>
          <w:lang w:val="ro-RO" w:eastAsia="ru-RU"/>
        </w:rPr>
        <w:t xml:space="preserve">Primăria Teșcureni, Ungheni </w:t>
      </w:r>
      <w:r>
        <w:rPr>
          <w:rFonts w:ascii="Times New Roman" w:eastAsia="Times New Roman" w:hAnsi="Times New Roman" w:cs="Times New Roman"/>
          <w:lang w:val="ro-RO" w:eastAsia="ru-RU"/>
        </w:rPr>
        <w:t>–</w:t>
      </w:r>
      <w:r w:rsidRPr="008102C4">
        <w:rPr>
          <w:rFonts w:ascii="Times New Roman" w:eastAsia="Times New Roman" w:hAnsi="Times New Roman" w:cs="Times New Roman"/>
          <w:lang w:val="ro-RO" w:eastAsia="ru-RU"/>
        </w:rPr>
        <w:t xml:space="preserve"> 11,0 mii lei</w:t>
      </w:r>
      <w:r>
        <w:rPr>
          <w:rFonts w:ascii="Times New Roman" w:eastAsia="Times New Roman" w:hAnsi="Times New Roman" w:cs="Times New Roman"/>
          <w:lang w:val="ro-RO" w:eastAsia="ru-RU"/>
        </w:rPr>
        <w:t>;</w:t>
      </w:r>
      <w:r w:rsidRPr="008102C4">
        <w:rPr>
          <w:rFonts w:ascii="Times New Roman" w:eastAsia="Times New Roman" w:hAnsi="Times New Roman" w:cs="Times New Roman"/>
          <w:lang w:val="ro-RO" w:eastAsia="ru-RU"/>
        </w:rPr>
        <w:t xml:space="preserve"> Consiliul raional Edineț </w:t>
      </w:r>
      <w:r>
        <w:rPr>
          <w:rFonts w:ascii="Times New Roman" w:eastAsia="Times New Roman" w:hAnsi="Times New Roman" w:cs="Times New Roman"/>
          <w:lang w:val="ro-RO" w:eastAsia="ru-RU"/>
        </w:rPr>
        <w:t>–</w:t>
      </w:r>
      <w:r w:rsidRPr="008102C4">
        <w:rPr>
          <w:rFonts w:ascii="Times New Roman" w:eastAsia="Times New Roman" w:hAnsi="Times New Roman" w:cs="Times New Roman"/>
          <w:lang w:val="ro-RO" w:eastAsia="ru-RU"/>
        </w:rPr>
        <w:t xml:space="preserve"> 8,9 mii lei; Primăria Cimișlia </w:t>
      </w:r>
      <w:r>
        <w:rPr>
          <w:rFonts w:ascii="Times New Roman" w:eastAsia="Times New Roman" w:hAnsi="Times New Roman" w:cs="Times New Roman"/>
          <w:lang w:val="ro-RO" w:eastAsia="ru-RU"/>
        </w:rPr>
        <w:t>–</w:t>
      </w:r>
      <w:r w:rsidRPr="008102C4">
        <w:rPr>
          <w:rFonts w:ascii="Times New Roman" w:eastAsia="Times New Roman" w:hAnsi="Times New Roman" w:cs="Times New Roman"/>
          <w:lang w:val="ro-RO" w:eastAsia="ru-RU"/>
        </w:rPr>
        <w:t xml:space="preserve"> 28,0 mii lei.</w:t>
      </w:r>
    </w:p>
  </w:footnote>
  <w:footnote w:id="67">
    <w:p w:rsidR="00E754FE" w:rsidRPr="008102C4" w:rsidRDefault="00E754FE" w:rsidP="00011F44">
      <w:pPr>
        <w:pStyle w:val="a7"/>
        <w:jc w:val="both"/>
        <w:rPr>
          <w:rFonts w:ascii="Times New Roman" w:hAnsi="Times New Roman" w:cs="Times New Roman"/>
          <w:lang w:val="ro-RO"/>
        </w:rPr>
      </w:pPr>
      <w:r w:rsidRPr="008102C4">
        <w:rPr>
          <w:rStyle w:val="a9"/>
          <w:rFonts w:ascii="Times New Roman" w:hAnsi="Times New Roman" w:cs="Times New Roman"/>
          <w:lang w:val="ro-RO"/>
        </w:rPr>
        <w:footnoteRef/>
      </w:r>
      <w:r w:rsidRPr="008102C4">
        <w:rPr>
          <w:rFonts w:ascii="Times New Roman" w:hAnsi="Times New Roman" w:cs="Times New Roman"/>
          <w:lang w:val="ro-RO"/>
        </w:rPr>
        <w:t xml:space="preserve"> </w:t>
      </w:r>
      <w:r w:rsidRPr="004C4CF1">
        <w:rPr>
          <w:rFonts w:ascii="Times New Roman" w:hAnsi="Times New Roman" w:cs="Times New Roman"/>
          <w:lang w:val="ro-RO"/>
        </w:rPr>
        <w:t>Formularul</w:t>
      </w:r>
      <w:r w:rsidRPr="008102C4">
        <w:rPr>
          <w:rFonts w:ascii="Times New Roman" w:hAnsi="Times New Roman" w:cs="Times New Roman"/>
          <w:lang w:val="ro-RO"/>
        </w:rPr>
        <w:t xml:space="preserve"> nr.7 „Raport privind creanțele și datoriile la cheltuieli și active nefinanciare formate în autoritățile/instituțiile bugetare finanțate de la bugetul de stat conform clasificației economice”</w:t>
      </w:r>
      <w:r>
        <w:rPr>
          <w:rFonts w:ascii="Times New Roman" w:hAnsi="Times New Roman" w:cs="Times New Roman"/>
          <w:lang w:val="ro-RO"/>
        </w:rPr>
        <w:t>,</w:t>
      </w:r>
      <w:r w:rsidRPr="008102C4">
        <w:rPr>
          <w:rFonts w:ascii="Times New Roman" w:hAnsi="Times New Roman" w:cs="Times New Roman"/>
          <w:lang w:val="ro-RO"/>
        </w:rPr>
        <w:t xml:space="preserve"> aprobat prin Ordinul MF nr.44 din 12.02.2018.</w:t>
      </w:r>
    </w:p>
  </w:footnote>
  <w:footnote w:id="68">
    <w:p w:rsidR="00E754FE" w:rsidRPr="008102C4" w:rsidRDefault="00E754FE" w:rsidP="00331627">
      <w:pPr>
        <w:pStyle w:val="a7"/>
        <w:jc w:val="both"/>
        <w:rPr>
          <w:rFonts w:ascii="Times New Roman" w:hAnsi="Times New Roman" w:cs="Times New Roman"/>
          <w:lang w:val="ro-RO"/>
        </w:rPr>
      </w:pPr>
      <w:r w:rsidRPr="008102C4">
        <w:rPr>
          <w:rStyle w:val="a9"/>
          <w:rFonts w:ascii="Times New Roman" w:hAnsi="Times New Roman" w:cs="Times New Roman"/>
          <w:lang w:val="ro-RO"/>
        </w:rPr>
        <w:footnoteRef/>
      </w:r>
      <w:r w:rsidRPr="008102C4">
        <w:rPr>
          <w:rFonts w:ascii="Times New Roman" w:hAnsi="Times New Roman" w:cs="Times New Roman"/>
          <w:lang w:val="ro-RO"/>
        </w:rPr>
        <w:t xml:space="preserve"> F</w:t>
      </w:r>
      <w:r w:rsidRPr="004C4CF1">
        <w:rPr>
          <w:rFonts w:ascii="Times New Roman" w:hAnsi="Times New Roman" w:cs="Times New Roman"/>
          <w:lang w:val="ro-RO"/>
        </w:rPr>
        <w:t>ormularu</w:t>
      </w:r>
      <w:r w:rsidRPr="008102C4">
        <w:rPr>
          <w:rFonts w:ascii="Times New Roman" w:hAnsi="Times New Roman" w:cs="Times New Roman"/>
          <w:lang w:val="ro-RO"/>
        </w:rPr>
        <w:t>l nr.7 „Raportul privind creanțele și datoriile la cheltuieli și active nefinanciare formate în autoritățile/instituțiile bugetare finanțate de la bugetul de stat conform clasificației economice”</w:t>
      </w:r>
      <w:r>
        <w:rPr>
          <w:rFonts w:ascii="Times New Roman" w:hAnsi="Times New Roman" w:cs="Times New Roman"/>
          <w:lang w:val="ro-RO"/>
        </w:rPr>
        <w:t>,</w:t>
      </w:r>
      <w:r w:rsidRPr="008102C4">
        <w:rPr>
          <w:rFonts w:ascii="Times New Roman" w:hAnsi="Times New Roman" w:cs="Times New Roman"/>
          <w:lang w:val="ro-RO"/>
        </w:rPr>
        <w:t xml:space="preserve"> aprobat prin Ordinul MF nr.44 din 12.02.2018</w:t>
      </w:r>
      <w:r>
        <w:rPr>
          <w:rFonts w:ascii="Times New Roman" w:hAnsi="Times New Roman" w:cs="Times New Roman"/>
          <w:lang w:val="ro-RO"/>
        </w:rPr>
        <w:t>.</w:t>
      </w:r>
    </w:p>
  </w:footnote>
  <w:footnote w:id="69">
    <w:p w:rsidR="00E754FE" w:rsidRPr="008102C4" w:rsidRDefault="00E754FE" w:rsidP="004C4CF1">
      <w:pPr>
        <w:pStyle w:val="a7"/>
        <w:rPr>
          <w:rFonts w:ascii="Times New Roman" w:hAnsi="Times New Roman" w:cs="Times New Roman"/>
          <w:lang w:val="ro-RO"/>
        </w:rPr>
      </w:pPr>
      <w:r w:rsidRPr="008102C4">
        <w:rPr>
          <w:rStyle w:val="a9"/>
          <w:rFonts w:ascii="Times New Roman" w:hAnsi="Times New Roman" w:cs="Times New Roman"/>
          <w:lang w:val="ro-RO"/>
        </w:rPr>
        <w:footnoteRef/>
      </w:r>
      <w:r w:rsidRPr="008102C4">
        <w:rPr>
          <w:rFonts w:ascii="Times New Roman" w:hAnsi="Times New Roman" w:cs="Times New Roman"/>
          <w:lang w:val="ro-RO"/>
        </w:rPr>
        <w:t xml:space="preserve"> Ordinul MF nr.06 din 10.01.2018 </w:t>
      </w:r>
      <w:r>
        <w:rPr>
          <w:rFonts w:ascii="Times New Roman" w:hAnsi="Times New Roman" w:cs="Times New Roman"/>
          <w:lang w:val="ro-RO"/>
        </w:rPr>
        <w:t>„C</w:t>
      </w:r>
      <w:r w:rsidRPr="00A322AC">
        <w:rPr>
          <w:rFonts w:ascii="Times New Roman" w:hAnsi="Times New Roman" w:cs="Times New Roman"/>
          <w:lang w:val="ro-RO"/>
        </w:rPr>
        <w:t>u privire la aprobarea termenelor de prezentare a rapoartelor financiare pentru anul 2017</w:t>
      </w:r>
      <w:r>
        <w:rPr>
          <w:rFonts w:ascii="Times New Roman" w:hAnsi="Times New Roman" w:cs="Times New Roman"/>
          <w:lang w:val="ro-RO"/>
        </w:rPr>
        <w:t>”</w:t>
      </w:r>
      <w:r w:rsidRPr="00A322AC">
        <w:rPr>
          <w:rFonts w:ascii="Times New Roman" w:hAnsi="Times New Roman" w:cs="Times New Roman"/>
          <w:lang w:val="ro-RO"/>
        </w:rPr>
        <w:t>.</w:t>
      </w:r>
    </w:p>
  </w:footnote>
  <w:footnote w:id="70">
    <w:p w:rsidR="00E754FE" w:rsidRPr="00DA404B" w:rsidRDefault="00E754FE" w:rsidP="00DA404B">
      <w:pPr>
        <w:pStyle w:val="a7"/>
      </w:pPr>
      <w:r w:rsidRPr="00DA404B">
        <w:rPr>
          <w:rStyle w:val="a9"/>
          <w:rFonts w:ascii="Times New Roman" w:hAnsi="Times New Roman" w:cs="Times New Roman"/>
        </w:rPr>
        <w:footnoteRef/>
      </w:r>
      <w:r w:rsidRPr="00DA404B">
        <w:rPr>
          <w:rFonts w:ascii="Times New Roman" w:hAnsi="Times New Roman" w:cs="Times New Roman"/>
        </w:rPr>
        <w:t xml:space="preserve"> </w:t>
      </w:r>
      <w:r w:rsidRPr="00417159">
        <w:rPr>
          <w:rFonts w:ascii="Times New Roman" w:hAnsi="Times New Roman" w:cs="Times New Roman"/>
          <w:lang w:val="ro-MD"/>
        </w:rPr>
        <w:t>Art.7</w:t>
      </w:r>
      <w:r>
        <w:rPr>
          <w:rFonts w:ascii="Times New Roman" w:hAnsi="Times New Roman" w:cs="Times New Roman"/>
          <w:lang w:val="ro-MD"/>
        </w:rPr>
        <w:t>3 alin. (1)</w:t>
      </w:r>
      <w:r w:rsidRPr="00417159">
        <w:rPr>
          <w:rFonts w:ascii="Times New Roman" w:hAnsi="Times New Roman" w:cs="Times New Roman"/>
          <w:lang w:val="ro-MD"/>
        </w:rPr>
        <w:t xml:space="preserve"> din Legea </w:t>
      </w:r>
      <w:r>
        <w:rPr>
          <w:rFonts w:ascii="Times New Roman" w:hAnsi="Times New Roman" w:cs="Times New Roman"/>
          <w:lang w:val="ro-MD"/>
        </w:rPr>
        <w:t>nr.</w:t>
      </w:r>
      <w:r w:rsidRPr="00417159">
        <w:rPr>
          <w:rFonts w:ascii="Times New Roman" w:hAnsi="Times New Roman" w:cs="Times New Roman"/>
          <w:lang w:val="ro-MD"/>
        </w:rPr>
        <w:t>181 din</w:t>
      </w:r>
      <w:r>
        <w:rPr>
          <w:rFonts w:ascii="Times New Roman" w:hAnsi="Times New Roman" w:cs="Times New Roman"/>
          <w:lang w:val="ro-MD"/>
        </w:rPr>
        <w:t xml:space="preserve"> </w:t>
      </w:r>
      <w:r w:rsidRPr="00AC3673">
        <w:rPr>
          <w:rFonts w:ascii="Times New Roman" w:hAnsi="Times New Roman" w:cs="Times New Roman"/>
          <w:lang w:val="ro-RO"/>
        </w:rPr>
        <w:t>25.07.2014.</w:t>
      </w:r>
    </w:p>
  </w:footnote>
  <w:footnote w:id="71">
    <w:p w:rsidR="00E754FE" w:rsidRPr="00E43320" w:rsidRDefault="00E754FE" w:rsidP="00DA404B">
      <w:pPr>
        <w:pStyle w:val="a7"/>
        <w:rPr>
          <w:rFonts w:ascii="Times New Roman" w:hAnsi="Times New Roman" w:cs="Times New Roman"/>
          <w:lang w:val="ro-RO"/>
        </w:rPr>
      </w:pPr>
      <w:r w:rsidRPr="00E43320">
        <w:rPr>
          <w:rFonts w:ascii="Times New Roman" w:hAnsi="Times New Roman" w:cs="Times New Roman"/>
          <w:vertAlign w:val="superscript"/>
          <w:lang w:val="ro-RO"/>
        </w:rPr>
        <w:footnoteRef/>
      </w:r>
      <w:r w:rsidRPr="00E43320">
        <w:rPr>
          <w:rFonts w:ascii="Times New Roman" w:hAnsi="Times New Roman" w:cs="Times New Roman"/>
          <w:lang w:val="ro-RO"/>
        </w:rPr>
        <w:t xml:space="preserve"> Ordinul MF nr.44 din 12.02.2018.</w:t>
      </w:r>
    </w:p>
  </w:footnote>
  <w:footnote w:id="72">
    <w:p w:rsidR="00E754FE" w:rsidRPr="00A00434" w:rsidRDefault="00E754FE" w:rsidP="00097A12">
      <w:pPr>
        <w:pStyle w:val="a7"/>
        <w:rPr>
          <w:rFonts w:ascii="Times New Roman" w:hAnsi="Times New Roman" w:cs="Times New Roman"/>
          <w:lang w:val="ro-MD"/>
        </w:rPr>
      </w:pPr>
      <w:r w:rsidRPr="00417159">
        <w:rPr>
          <w:rStyle w:val="a9"/>
          <w:rFonts w:ascii="Times New Roman" w:hAnsi="Times New Roman" w:cs="Times New Roman"/>
          <w:lang w:val="ro-MD"/>
        </w:rPr>
        <w:footnoteRef/>
      </w:r>
      <w:r w:rsidRPr="00417159">
        <w:rPr>
          <w:rFonts w:ascii="Times New Roman" w:hAnsi="Times New Roman" w:cs="Times New Roman"/>
          <w:lang w:val="ro-MD"/>
        </w:rPr>
        <w:t xml:space="preserve"> Art.74 din Legea </w:t>
      </w:r>
      <w:r>
        <w:rPr>
          <w:rFonts w:ascii="Times New Roman" w:hAnsi="Times New Roman" w:cs="Times New Roman"/>
          <w:lang w:val="ro-MD"/>
        </w:rPr>
        <w:t>nr.</w:t>
      </w:r>
      <w:r w:rsidRPr="00417159">
        <w:rPr>
          <w:rFonts w:ascii="Times New Roman" w:hAnsi="Times New Roman" w:cs="Times New Roman"/>
          <w:lang w:val="ro-MD"/>
        </w:rPr>
        <w:t>181 din</w:t>
      </w:r>
      <w:r>
        <w:rPr>
          <w:rFonts w:ascii="Times New Roman" w:hAnsi="Times New Roman" w:cs="Times New Roman"/>
          <w:lang w:val="ro-MD"/>
        </w:rPr>
        <w:t xml:space="preserve"> </w:t>
      </w:r>
      <w:r w:rsidRPr="00AC3673">
        <w:rPr>
          <w:rFonts w:ascii="Times New Roman" w:hAnsi="Times New Roman" w:cs="Times New Roman"/>
          <w:lang w:val="ro-RO"/>
        </w:rPr>
        <w:t>25.07.2014.</w:t>
      </w:r>
      <w:r w:rsidRPr="00A00434">
        <w:rPr>
          <w:rFonts w:ascii="Times New Roman" w:hAnsi="Times New Roman" w:cs="Times New Roman"/>
          <w:lang w:val="ro-MD"/>
        </w:rPr>
        <w:t xml:space="preserve"> </w:t>
      </w:r>
    </w:p>
  </w:footnote>
  <w:footnote w:id="73">
    <w:p w:rsidR="00E754FE" w:rsidRPr="00097A12" w:rsidRDefault="00E754FE">
      <w:pPr>
        <w:pStyle w:val="a7"/>
      </w:pPr>
      <w:r>
        <w:rPr>
          <w:rStyle w:val="a9"/>
        </w:rPr>
        <w:footnoteRef/>
      </w:r>
      <w:r>
        <w:t xml:space="preserve"> </w:t>
      </w:r>
      <w:r w:rsidRPr="00E43320">
        <w:rPr>
          <w:rFonts w:ascii="Times New Roman" w:hAnsi="Times New Roman" w:cs="Times New Roman"/>
          <w:lang w:val="ro-RO"/>
        </w:rPr>
        <w:t>Pct.4.1.1.</w:t>
      </w:r>
      <w:r>
        <w:rPr>
          <w:rFonts w:ascii="Times New Roman" w:hAnsi="Times New Roman" w:cs="Times New Roman"/>
          <w:lang w:val="ro-RO"/>
        </w:rPr>
        <w:t xml:space="preserve"> și pct.4.1.2</w:t>
      </w:r>
      <w:r w:rsidRPr="00E43320">
        <w:rPr>
          <w:rFonts w:ascii="Times New Roman" w:hAnsi="Times New Roman" w:cs="Times New Roman"/>
          <w:lang w:val="ro-RO"/>
        </w:rPr>
        <w:t xml:space="preserve"> din Ordinul MF nr.216 din 28.12.2015 </w:t>
      </w:r>
      <w:r>
        <w:rPr>
          <w:rFonts w:ascii="Times New Roman" w:hAnsi="Times New Roman" w:cs="Times New Roman"/>
          <w:lang w:val="ro-RO"/>
        </w:rPr>
        <w:t>„C</w:t>
      </w:r>
      <w:r w:rsidRPr="00E43320">
        <w:rPr>
          <w:rFonts w:ascii="Times New Roman" w:hAnsi="Times New Roman" w:cs="Times New Roman"/>
          <w:lang w:val="ro-RO"/>
        </w:rPr>
        <w:t xml:space="preserve">u privire la aprobarea Planului de conturi contabile în sistemul bugetar și a Normelor metodologice privind evidența contabilă și raportarea financiară în sistemul bugetar (în continuare – Ordinul </w:t>
      </w:r>
      <w:r>
        <w:rPr>
          <w:rFonts w:ascii="Times New Roman" w:hAnsi="Times New Roman" w:cs="Times New Roman"/>
          <w:lang w:val="ro-RO"/>
        </w:rPr>
        <w:t xml:space="preserve">MF </w:t>
      </w:r>
      <w:r w:rsidRPr="00E43320">
        <w:rPr>
          <w:rFonts w:ascii="Times New Roman" w:hAnsi="Times New Roman" w:cs="Times New Roman"/>
          <w:lang w:val="ro-RO"/>
        </w:rPr>
        <w:t>nr.216 din 28.12.2015).</w:t>
      </w:r>
    </w:p>
  </w:footnote>
  <w:footnote w:id="74">
    <w:p w:rsidR="00E754FE" w:rsidRPr="00097A12" w:rsidRDefault="00E754FE" w:rsidP="00097A12">
      <w:pPr>
        <w:pStyle w:val="a7"/>
      </w:pPr>
      <w:r>
        <w:rPr>
          <w:rStyle w:val="a9"/>
        </w:rPr>
        <w:footnoteRef/>
      </w:r>
      <w:r>
        <w:t xml:space="preserve"> </w:t>
      </w:r>
      <w:r w:rsidRPr="00097A12">
        <w:rPr>
          <w:rFonts w:ascii="Times New Roman" w:hAnsi="Times New Roman" w:cs="Times New Roman"/>
        </w:rPr>
        <w:t xml:space="preserve">Pct.4.2 </w:t>
      </w:r>
      <w:r w:rsidRPr="000C09AE">
        <w:rPr>
          <w:rFonts w:ascii="Times New Roman" w:hAnsi="Times New Roman" w:cs="Times New Roman"/>
          <w:lang w:val="ro-MD"/>
        </w:rPr>
        <w:t>și</w:t>
      </w:r>
      <w:r>
        <w:rPr>
          <w:rFonts w:ascii="Times New Roman" w:hAnsi="Times New Roman" w:cs="Times New Roman"/>
        </w:rPr>
        <w:t xml:space="preserve"> pct.4.3 </w:t>
      </w:r>
      <w:r w:rsidRPr="00097A12">
        <w:rPr>
          <w:rFonts w:ascii="Times New Roman" w:hAnsi="Times New Roman" w:cs="Times New Roman"/>
        </w:rPr>
        <w:t>din</w:t>
      </w:r>
      <w:r>
        <w:t xml:space="preserve"> </w:t>
      </w:r>
      <w:r w:rsidRPr="00E43320">
        <w:rPr>
          <w:rFonts w:ascii="Times New Roman" w:hAnsi="Times New Roman" w:cs="Times New Roman"/>
          <w:lang w:val="ro-RO"/>
        </w:rPr>
        <w:t>Ordinul MF nr.216 din 28.12.2015.</w:t>
      </w:r>
    </w:p>
  </w:footnote>
  <w:footnote w:id="75">
    <w:p w:rsidR="00E754FE" w:rsidRPr="0070561C" w:rsidRDefault="00E754FE">
      <w:pPr>
        <w:pStyle w:val="a7"/>
        <w:rPr>
          <w:rFonts w:ascii="Times New Roman" w:hAnsi="Times New Roman" w:cs="Times New Roman"/>
          <w:lang w:val="ro-MD"/>
        </w:rPr>
      </w:pPr>
      <w:r w:rsidRPr="0070561C">
        <w:rPr>
          <w:rStyle w:val="a9"/>
          <w:rFonts w:ascii="Times New Roman" w:hAnsi="Times New Roman" w:cs="Times New Roman"/>
          <w:lang w:val="ro-MD"/>
        </w:rPr>
        <w:footnoteRef/>
      </w:r>
      <w:r w:rsidRPr="0070561C">
        <w:rPr>
          <w:rFonts w:ascii="Times New Roman" w:hAnsi="Times New Roman" w:cs="Times New Roman"/>
          <w:lang w:val="ro-MD"/>
        </w:rPr>
        <w:t xml:space="preserve"> Sbpct.4.5.2 din Ordinul MF nr.216 din 28.12.2015.</w:t>
      </w:r>
    </w:p>
  </w:footnote>
  <w:footnote w:id="76">
    <w:p w:rsidR="00E754FE" w:rsidRPr="0059476A" w:rsidRDefault="00E754FE" w:rsidP="00E43320">
      <w:pPr>
        <w:pStyle w:val="a7"/>
        <w:jc w:val="both"/>
        <w:rPr>
          <w:rFonts w:ascii="Times New Roman" w:hAnsi="Times New Roman" w:cs="Times New Roman"/>
          <w:lang w:val="ro-RO"/>
        </w:rPr>
      </w:pPr>
      <w:r w:rsidRPr="00E43320">
        <w:rPr>
          <w:rStyle w:val="a9"/>
          <w:rFonts w:ascii="Times New Roman" w:hAnsi="Times New Roman" w:cs="Times New Roman"/>
          <w:lang w:val="ro-RO"/>
        </w:rPr>
        <w:footnoteRef/>
      </w:r>
      <w:r w:rsidRPr="00E43320">
        <w:rPr>
          <w:rFonts w:ascii="Times New Roman" w:hAnsi="Times New Roman" w:cs="Times New Roman"/>
          <w:lang w:val="ro-RO"/>
        </w:rPr>
        <w:t xml:space="preserve"> </w:t>
      </w:r>
      <w:r w:rsidRPr="0059476A">
        <w:rPr>
          <w:rFonts w:ascii="Times New Roman" w:hAnsi="Times New Roman" w:cs="Times New Roman"/>
          <w:lang w:val="ro-RO"/>
        </w:rPr>
        <w:t>HG nr.696 din 30.08.2017.</w:t>
      </w:r>
    </w:p>
  </w:footnote>
  <w:footnote w:id="77">
    <w:p w:rsidR="00E754FE" w:rsidRPr="00E43320" w:rsidRDefault="00E754FE" w:rsidP="00F625E0">
      <w:pPr>
        <w:pStyle w:val="a7"/>
        <w:rPr>
          <w:rFonts w:ascii="Times New Roman" w:hAnsi="Times New Roman" w:cs="Times New Roman"/>
          <w:lang w:val="ro-RO"/>
        </w:rPr>
      </w:pPr>
      <w:r w:rsidRPr="00E43320">
        <w:rPr>
          <w:rStyle w:val="a9"/>
          <w:rFonts w:ascii="Times New Roman" w:hAnsi="Times New Roman" w:cs="Times New Roman"/>
          <w:lang w:val="ro-RO"/>
        </w:rPr>
        <w:footnoteRef/>
      </w:r>
      <w:r w:rsidRPr="00E43320">
        <w:rPr>
          <w:rFonts w:ascii="Times New Roman" w:hAnsi="Times New Roman" w:cs="Times New Roman"/>
          <w:lang w:val="ro-RO"/>
        </w:rPr>
        <w:t xml:space="preserve"> Art.19 din Legea nr.181 din 25.07.2014.</w:t>
      </w:r>
    </w:p>
  </w:footnote>
  <w:footnote w:id="78">
    <w:p w:rsidR="00E754FE" w:rsidRPr="00E43320" w:rsidRDefault="00E754FE" w:rsidP="00F625E0">
      <w:pPr>
        <w:pStyle w:val="a7"/>
        <w:rPr>
          <w:rFonts w:ascii="Times New Roman" w:hAnsi="Times New Roman" w:cs="Times New Roman"/>
          <w:lang w:val="ro-RO"/>
        </w:rPr>
      </w:pPr>
      <w:r w:rsidRPr="00E43320">
        <w:rPr>
          <w:rStyle w:val="a9"/>
          <w:rFonts w:ascii="Times New Roman" w:hAnsi="Times New Roman" w:cs="Times New Roman"/>
          <w:lang w:val="ro-RO"/>
        </w:rPr>
        <w:footnoteRef/>
      </w:r>
      <w:r w:rsidRPr="00E43320">
        <w:rPr>
          <w:rFonts w:ascii="Times New Roman" w:hAnsi="Times New Roman" w:cs="Times New Roman"/>
          <w:lang w:val="ro-RO"/>
        </w:rPr>
        <w:t xml:space="preserve"> Art.20 din Legea nr.181 din 25.07.2014</w:t>
      </w:r>
      <w:r>
        <w:rPr>
          <w:rFonts w:ascii="Times New Roman" w:hAnsi="Times New Roman" w:cs="Times New Roman"/>
          <w:lang w:val="ro-RO"/>
        </w:rPr>
        <w:t>.</w:t>
      </w:r>
    </w:p>
  </w:footnote>
  <w:footnote w:id="79">
    <w:p w:rsidR="00E754FE" w:rsidRPr="00E43320" w:rsidRDefault="00E754FE" w:rsidP="00F625E0">
      <w:pPr>
        <w:jc w:val="both"/>
        <w:rPr>
          <w:rFonts w:ascii="Times New Roman" w:hAnsi="Times New Roman" w:cs="Times New Roman"/>
          <w:sz w:val="20"/>
          <w:szCs w:val="20"/>
        </w:rPr>
      </w:pPr>
      <w:r w:rsidRPr="00E43320">
        <w:rPr>
          <w:rStyle w:val="a9"/>
          <w:rFonts w:ascii="Times New Roman" w:hAnsi="Times New Roman" w:cs="Times New Roman"/>
          <w:sz w:val="20"/>
          <w:szCs w:val="20"/>
        </w:rPr>
        <w:footnoteRef/>
      </w:r>
      <w:r w:rsidRPr="00E43320">
        <w:rPr>
          <w:rFonts w:ascii="Times New Roman" w:hAnsi="Times New Roman" w:cs="Times New Roman"/>
          <w:sz w:val="20"/>
          <w:szCs w:val="20"/>
        </w:rPr>
        <w:t xml:space="preserve"> </w:t>
      </w:r>
      <w:r w:rsidRPr="00E43320">
        <w:rPr>
          <w:rFonts w:ascii="Times New Roman" w:eastAsia="Times New Roman" w:hAnsi="Times New Roman" w:cs="Times New Roman"/>
          <w:sz w:val="20"/>
          <w:szCs w:val="20"/>
        </w:rPr>
        <w:t xml:space="preserve">Ordinul MF nr.208 din 24.12.2015 </w:t>
      </w:r>
      <w:r>
        <w:rPr>
          <w:rFonts w:ascii="Times New Roman" w:eastAsia="Times New Roman" w:hAnsi="Times New Roman" w:cs="Times New Roman"/>
          <w:sz w:val="20"/>
          <w:szCs w:val="20"/>
        </w:rPr>
        <w:t>„P</w:t>
      </w:r>
      <w:r w:rsidRPr="00E43320">
        <w:rPr>
          <w:rFonts w:ascii="Times New Roman" w:eastAsia="Times New Roman" w:hAnsi="Times New Roman" w:cs="Times New Roman"/>
          <w:sz w:val="20"/>
          <w:szCs w:val="20"/>
        </w:rPr>
        <w:t>rivind Clasificația bugetară</w:t>
      </w:r>
      <w:r>
        <w:rPr>
          <w:rFonts w:ascii="Times New Roman" w:eastAsia="Times New Roman" w:hAnsi="Times New Roman" w:cs="Times New Roman"/>
          <w:sz w:val="20"/>
          <w:szCs w:val="20"/>
        </w:rPr>
        <w:t>”</w:t>
      </w:r>
      <w:r w:rsidRPr="00E43320">
        <w:rPr>
          <w:rFonts w:ascii="Times New Roman" w:eastAsia="Times New Roman" w:hAnsi="Times New Roman" w:cs="Times New Roman"/>
          <w:sz w:val="20"/>
          <w:szCs w:val="20"/>
        </w:rPr>
        <w:t>.</w:t>
      </w:r>
    </w:p>
  </w:footnote>
  <w:footnote w:id="80">
    <w:p w:rsidR="00E754FE" w:rsidRPr="00725C7B" w:rsidRDefault="00E754FE" w:rsidP="00F2597C">
      <w:pPr>
        <w:pStyle w:val="a7"/>
        <w:jc w:val="both"/>
        <w:rPr>
          <w:rFonts w:ascii="Times New Roman" w:hAnsi="Times New Roman" w:cs="Times New Roman"/>
          <w:lang w:val="ro-RO"/>
        </w:rPr>
      </w:pPr>
      <w:r w:rsidRPr="00725C7B">
        <w:rPr>
          <w:rStyle w:val="a9"/>
          <w:rFonts w:ascii="Times New Roman" w:hAnsi="Times New Roman" w:cs="Times New Roman"/>
          <w:lang w:val="ro-RO"/>
        </w:rPr>
        <w:footnoteRef/>
      </w:r>
      <w:r w:rsidRPr="00725C7B">
        <w:rPr>
          <w:rFonts w:ascii="Times New Roman" w:hAnsi="Times New Roman" w:cs="Times New Roman"/>
          <w:lang w:val="ro-RO"/>
        </w:rPr>
        <w:t xml:space="preserve"> Art.15 lit.a), art.31 alin.1) lit.a) și art.32 alin.3) lit.a) din Legea privind organizarea și funcționarea Curții de Conturi a Republicii Moldova nr.260 din 07.12.2017.</w:t>
      </w:r>
    </w:p>
  </w:footnote>
  <w:footnote w:id="81">
    <w:p w:rsidR="00E754FE" w:rsidRPr="00725C7B" w:rsidRDefault="00E754FE">
      <w:pPr>
        <w:pStyle w:val="a7"/>
        <w:rPr>
          <w:rFonts w:ascii="Times New Roman" w:hAnsi="Times New Roman" w:cs="Times New Roman"/>
          <w:lang w:val="ro-RO"/>
        </w:rPr>
      </w:pPr>
      <w:r w:rsidRPr="00725C7B">
        <w:rPr>
          <w:rStyle w:val="a9"/>
          <w:rFonts w:ascii="Times New Roman" w:hAnsi="Times New Roman" w:cs="Times New Roman"/>
          <w:lang w:val="ro-RO"/>
        </w:rPr>
        <w:footnoteRef/>
      </w:r>
      <w:r w:rsidRPr="00725C7B">
        <w:rPr>
          <w:rFonts w:ascii="Times New Roman" w:hAnsi="Times New Roman" w:cs="Times New Roman"/>
          <w:lang w:val="ro-RO"/>
        </w:rPr>
        <w:t xml:space="preserve"> Art.47 lit.g) din Legea nr.181 din 25.07.2014</w:t>
      </w:r>
    </w:p>
  </w:footnote>
  <w:footnote w:id="82">
    <w:p w:rsidR="00E754FE" w:rsidRPr="00725C7B" w:rsidRDefault="00E754FE" w:rsidP="00F2597C">
      <w:pPr>
        <w:pStyle w:val="a7"/>
        <w:jc w:val="both"/>
        <w:rPr>
          <w:rFonts w:ascii="Times New Roman" w:hAnsi="Times New Roman" w:cs="Times New Roman"/>
          <w:lang w:val="ro-RO"/>
        </w:rPr>
      </w:pPr>
      <w:r w:rsidRPr="00725C7B">
        <w:rPr>
          <w:rStyle w:val="a9"/>
          <w:rFonts w:ascii="Times New Roman" w:hAnsi="Times New Roman" w:cs="Times New Roman"/>
          <w:lang w:val="ro-RO"/>
        </w:rPr>
        <w:footnoteRef/>
      </w:r>
      <w:r w:rsidRPr="00725C7B">
        <w:rPr>
          <w:rFonts w:ascii="Times New Roman" w:hAnsi="Times New Roman" w:cs="Times New Roman"/>
          <w:lang w:val="ro-RO"/>
        </w:rPr>
        <w:t xml:space="preserve"> Hotărârea Curții de Conturi nr.75 din 29.12.2017 „Privind aprobarea Programului activității de audit a Curții de Conturi pe anul 2018”.</w:t>
      </w:r>
    </w:p>
  </w:footnote>
  <w:footnote w:id="83">
    <w:p w:rsidR="00E754FE" w:rsidRPr="00725C7B" w:rsidRDefault="00E754FE">
      <w:pPr>
        <w:pStyle w:val="a7"/>
        <w:rPr>
          <w:rFonts w:ascii="Times New Roman" w:hAnsi="Times New Roman" w:cs="Times New Roman"/>
          <w:lang w:val="ro-RO"/>
        </w:rPr>
      </w:pPr>
      <w:r w:rsidRPr="00725C7B">
        <w:rPr>
          <w:rStyle w:val="a9"/>
          <w:rFonts w:ascii="Times New Roman" w:hAnsi="Times New Roman" w:cs="Times New Roman"/>
          <w:lang w:val="ro-RO"/>
        </w:rPr>
        <w:footnoteRef/>
      </w:r>
      <w:r w:rsidRPr="00725C7B">
        <w:rPr>
          <w:rFonts w:ascii="Times New Roman" w:hAnsi="Times New Roman" w:cs="Times New Roman"/>
          <w:lang w:val="ro-RO"/>
        </w:rPr>
        <w:t xml:space="preserve"> </w:t>
      </w:r>
      <w:r w:rsidRPr="00725C7B">
        <w:rPr>
          <w:rFonts w:ascii="Times New Roman" w:eastAsia="Times New Roman" w:hAnsi="Times New Roman" w:cs="Times New Roman"/>
          <w:lang w:val="ro-RO"/>
        </w:rPr>
        <w:t>ISSAI 100, ISSAI 200, ISSAI 1000-9999.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C786F"/>
    <w:multiLevelType w:val="hybridMultilevel"/>
    <w:tmpl w:val="E4DE9B32"/>
    <w:lvl w:ilvl="0" w:tplc="627C93B6">
      <w:start w:val="1"/>
      <w:numFmt w:val="decimal"/>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4B498E"/>
    <w:multiLevelType w:val="hybridMultilevel"/>
    <w:tmpl w:val="1A9C34A4"/>
    <w:lvl w:ilvl="0" w:tplc="04190001">
      <w:start w:val="1"/>
      <w:numFmt w:val="bullet"/>
      <w:lvlText w:val=""/>
      <w:lvlJc w:val="left"/>
      <w:pPr>
        <w:ind w:left="1436" w:hanging="360"/>
      </w:pPr>
      <w:rPr>
        <w:rFonts w:ascii="Symbol" w:hAnsi="Symbol" w:hint="default"/>
      </w:rPr>
    </w:lvl>
    <w:lvl w:ilvl="1" w:tplc="04190003" w:tentative="1">
      <w:start w:val="1"/>
      <w:numFmt w:val="bullet"/>
      <w:lvlText w:val="o"/>
      <w:lvlJc w:val="left"/>
      <w:pPr>
        <w:ind w:left="2156" w:hanging="360"/>
      </w:pPr>
      <w:rPr>
        <w:rFonts w:ascii="Courier New" w:hAnsi="Courier New" w:cs="Courier New" w:hint="default"/>
      </w:rPr>
    </w:lvl>
    <w:lvl w:ilvl="2" w:tplc="04190005" w:tentative="1">
      <w:start w:val="1"/>
      <w:numFmt w:val="bullet"/>
      <w:lvlText w:val=""/>
      <w:lvlJc w:val="left"/>
      <w:pPr>
        <w:ind w:left="2876" w:hanging="360"/>
      </w:pPr>
      <w:rPr>
        <w:rFonts w:ascii="Wingdings" w:hAnsi="Wingdings" w:hint="default"/>
      </w:rPr>
    </w:lvl>
    <w:lvl w:ilvl="3" w:tplc="04190001" w:tentative="1">
      <w:start w:val="1"/>
      <w:numFmt w:val="bullet"/>
      <w:lvlText w:val=""/>
      <w:lvlJc w:val="left"/>
      <w:pPr>
        <w:ind w:left="3596" w:hanging="360"/>
      </w:pPr>
      <w:rPr>
        <w:rFonts w:ascii="Symbol" w:hAnsi="Symbol" w:hint="default"/>
      </w:rPr>
    </w:lvl>
    <w:lvl w:ilvl="4" w:tplc="04190003" w:tentative="1">
      <w:start w:val="1"/>
      <w:numFmt w:val="bullet"/>
      <w:lvlText w:val="o"/>
      <w:lvlJc w:val="left"/>
      <w:pPr>
        <w:ind w:left="4316" w:hanging="360"/>
      </w:pPr>
      <w:rPr>
        <w:rFonts w:ascii="Courier New" w:hAnsi="Courier New" w:cs="Courier New" w:hint="default"/>
      </w:rPr>
    </w:lvl>
    <w:lvl w:ilvl="5" w:tplc="04190005" w:tentative="1">
      <w:start w:val="1"/>
      <w:numFmt w:val="bullet"/>
      <w:lvlText w:val=""/>
      <w:lvlJc w:val="left"/>
      <w:pPr>
        <w:ind w:left="5036" w:hanging="360"/>
      </w:pPr>
      <w:rPr>
        <w:rFonts w:ascii="Wingdings" w:hAnsi="Wingdings" w:hint="default"/>
      </w:rPr>
    </w:lvl>
    <w:lvl w:ilvl="6" w:tplc="04190001" w:tentative="1">
      <w:start w:val="1"/>
      <w:numFmt w:val="bullet"/>
      <w:lvlText w:val=""/>
      <w:lvlJc w:val="left"/>
      <w:pPr>
        <w:ind w:left="5756" w:hanging="360"/>
      </w:pPr>
      <w:rPr>
        <w:rFonts w:ascii="Symbol" w:hAnsi="Symbol" w:hint="default"/>
      </w:rPr>
    </w:lvl>
    <w:lvl w:ilvl="7" w:tplc="04190003" w:tentative="1">
      <w:start w:val="1"/>
      <w:numFmt w:val="bullet"/>
      <w:lvlText w:val="o"/>
      <w:lvlJc w:val="left"/>
      <w:pPr>
        <w:ind w:left="6476" w:hanging="360"/>
      </w:pPr>
      <w:rPr>
        <w:rFonts w:ascii="Courier New" w:hAnsi="Courier New" w:cs="Courier New" w:hint="default"/>
      </w:rPr>
    </w:lvl>
    <w:lvl w:ilvl="8" w:tplc="04190005" w:tentative="1">
      <w:start w:val="1"/>
      <w:numFmt w:val="bullet"/>
      <w:lvlText w:val=""/>
      <w:lvlJc w:val="left"/>
      <w:pPr>
        <w:ind w:left="7196" w:hanging="360"/>
      </w:pPr>
      <w:rPr>
        <w:rFonts w:ascii="Wingdings" w:hAnsi="Wingdings" w:hint="default"/>
      </w:rPr>
    </w:lvl>
  </w:abstractNum>
  <w:abstractNum w:abstractNumId="2" w15:restartNumberingAfterBreak="0">
    <w:nsid w:val="296671AE"/>
    <w:multiLevelType w:val="hybridMultilevel"/>
    <w:tmpl w:val="C09256D2"/>
    <w:lvl w:ilvl="0" w:tplc="41F84F40">
      <w:start w:val="4"/>
      <w:numFmt w:val="bullet"/>
      <w:lvlText w:val="-"/>
      <w:lvlJc w:val="left"/>
      <w:pPr>
        <w:ind w:left="1080" w:hanging="360"/>
      </w:pPr>
      <w:rPr>
        <w:rFonts w:ascii="Times New Roman" w:eastAsiaTheme="minorHAnsi" w:hAnsi="Times New Roman" w:cs="Times New Roman"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F051938"/>
    <w:multiLevelType w:val="hybridMultilevel"/>
    <w:tmpl w:val="8EB8CDE2"/>
    <w:lvl w:ilvl="0" w:tplc="36CC9938">
      <w:numFmt w:val="bullet"/>
      <w:lvlText w:val="-"/>
      <w:lvlJc w:val="left"/>
      <w:pPr>
        <w:ind w:left="1069" w:hanging="360"/>
      </w:pPr>
      <w:rPr>
        <w:rFonts w:ascii="Times New Roman" w:eastAsiaTheme="minorHAnsi" w:hAnsi="Times New Roman" w:cs="Times New Roman" w:hint="default"/>
        <w:b w:val="0"/>
        <w:i w:val="0"/>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0">
    <w:nsid w:val="41633192"/>
    <w:multiLevelType w:val="hybridMultilevel"/>
    <w:tmpl w:val="75FE189A"/>
    <w:lvl w:ilvl="0" w:tplc="32740D16">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1D7B0C"/>
    <w:multiLevelType w:val="hybridMultilevel"/>
    <w:tmpl w:val="E102A83E"/>
    <w:lvl w:ilvl="0" w:tplc="F2461522">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CC907A1"/>
    <w:multiLevelType w:val="hybridMultilevel"/>
    <w:tmpl w:val="6CB868E8"/>
    <w:lvl w:ilvl="0" w:tplc="22BE5C5E">
      <w:start w:val="1"/>
      <w:numFmt w:val="decimal"/>
      <w:lvlText w:val="%1)"/>
      <w:lvlJc w:val="left"/>
      <w:pPr>
        <w:ind w:left="1069" w:hanging="360"/>
      </w:pPr>
      <w:rPr>
        <w:rFonts w:hint="default"/>
        <w:b/>
        <w:i/>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4F8441AA"/>
    <w:multiLevelType w:val="multilevel"/>
    <w:tmpl w:val="1578E3B2"/>
    <w:lvl w:ilvl="0">
      <w:start w:val="4"/>
      <w:numFmt w:val="decimal"/>
      <w:lvlText w:val="%1"/>
      <w:lvlJc w:val="left"/>
      <w:pPr>
        <w:ind w:left="600" w:hanging="600"/>
      </w:pPr>
      <w:rPr>
        <w:rFonts w:cstheme="minorBidi" w:hint="default"/>
        <w:color w:val="000000" w:themeColor="text1"/>
      </w:rPr>
    </w:lvl>
    <w:lvl w:ilvl="1">
      <w:start w:val="2"/>
      <w:numFmt w:val="decimal"/>
      <w:lvlText w:val="%1.%2"/>
      <w:lvlJc w:val="left"/>
      <w:pPr>
        <w:ind w:left="957" w:hanging="600"/>
      </w:pPr>
      <w:rPr>
        <w:rFonts w:cstheme="minorBidi" w:hint="default"/>
        <w:color w:val="000000" w:themeColor="text1"/>
      </w:rPr>
    </w:lvl>
    <w:lvl w:ilvl="2">
      <w:start w:val="1"/>
      <w:numFmt w:val="decimal"/>
      <w:lvlText w:val="%1.%2.%3"/>
      <w:lvlJc w:val="left"/>
      <w:pPr>
        <w:ind w:left="3981" w:hanging="720"/>
      </w:pPr>
      <w:rPr>
        <w:rFonts w:cstheme="minorBidi" w:hint="default"/>
        <w:b/>
        <w:i/>
        <w:color w:val="000000" w:themeColor="text1"/>
      </w:rPr>
    </w:lvl>
    <w:lvl w:ilvl="3">
      <w:start w:val="1"/>
      <w:numFmt w:val="decimal"/>
      <w:lvlText w:val="%1.%2.%3.%4"/>
      <w:lvlJc w:val="left"/>
      <w:pPr>
        <w:ind w:left="2151" w:hanging="1080"/>
      </w:pPr>
      <w:rPr>
        <w:rFonts w:cstheme="minorBidi" w:hint="default"/>
        <w:color w:val="000000" w:themeColor="text1"/>
      </w:rPr>
    </w:lvl>
    <w:lvl w:ilvl="4">
      <w:start w:val="1"/>
      <w:numFmt w:val="decimal"/>
      <w:lvlText w:val="%1.%2.%3.%4.%5"/>
      <w:lvlJc w:val="left"/>
      <w:pPr>
        <w:ind w:left="2508" w:hanging="1080"/>
      </w:pPr>
      <w:rPr>
        <w:rFonts w:cstheme="minorBidi" w:hint="default"/>
        <w:color w:val="000000" w:themeColor="text1"/>
      </w:rPr>
    </w:lvl>
    <w:lvl w:ilvl="5">
      <w:start w:val="1"/>
      <w:numFmt w:val="decimal"/>
      <w:lvlText w:val="%1.%2.%3.%4.%5.%6"/>
      <w:lvlJc w:val="left"/>
      <w:pPr>
        <w:ind w:left="3225" w:hanging="1440"/>
      </w:pPr>
      <w:rPr>
        <w:rFonts w:cstheme="minorBidi" w:hint="default"/>
        <w:color w:val="000000" w:themeColor="text1"/>
      </w:rPr>
    </w:lvl>
    <w:lvl w:ilvl="6">
      <w:start w:val="1"/>
      <w:numFmt w:val="decimal"/>
      <w:lvlText w:val="%1.%2.%3.%4.%5.%6.%7"/>
      <w:lvlJc w:val="left"/>
      <w:pPr>
        <w:ind w:left="3582" w:hanging="1440"/>
      </w:pPr>
      <w:rPr>
        <w:rFonts w:cstheme="minorBidi" w:hint="default"/>
        <w:color w:val="000000" w:themeColor="text1"/>
      </w:rPr>
    </w:lvl>
    <w:lvl w:ilvl="7">
      <w:start w:val="1"/>
      <w:numFmt w:val="decimal"/>
      <w:lvlText w:val="%1.%2.%3.%4.%5.%6.%7.%8"/>
      <w:lvlJc w:val="left"/>
      <w:pPr>
        <w:ind w:left="4299" w:hanging="1800"/>
      </w:pPr>
      <w:rPr>
        <w:rFonts w:cstheme="minorBidi" w:hint="default"/>
        <w:color w:val="000000" w:themeColor="text1"/>
      </w:rPr>
    </w:lvl>
    <w:lvl w:ilvl="8">
      <w:start w:val="1"/>
      <w:numFmt w:val="decimal"/>
      <w:lvlText w:val="%1.%2.%3.%4.%5.%6.%7.%8.%9"/>
      <w:lvlJc w:val="left"/>
      <w:pPr>
        <w:ind w:left="5016" w:hanging="2160"/>
      </w:pPr>
      <w:rPr>
        <w:rFonts w:cstheme="minorBidi" w:hint="default"/>
        <w:color w:val="000000" w:themeColor="text1"/>
      </w:rPr>
    </w:lvl>
  </w:abstractNum>
  <w:abstractNum w:abstractNumId="8" w15:restartNumberingAfterBreak="0">
    <w:nsid w:val="52153DF6"/>
    <w:multiLevelType w:val="hybridMultilevel"/>
    <w:tmpl w:val="0F208EFC"/>
    <w:lvl w:ilvl="0" w:tplc="01FA4BCA">
      <w:start w:val="1"/>
      <w:numFmt w:val="bullet"/>
      <w:lvlText w:val="-"/>
      <w:lvlJc w:val="left"/>
      <w:pPr>
        <w:ind w:left="1069" w:hanging="360"/>
      </w:pPr>
      <w:rPr>
        <w:rFonts w:ascii="Times New Roman" w:eastAsiaTheme="minorEastAsia"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15:restartNumberingAfterBreak="0">
    <w:nsid w:val="5F2A1FFE"/>
    <w:multiLevelType w:val="hybridMultilevel"/>
    <w:tmpl w:val="5B4A8B4C"/>
    <w:lvl w:ilvl="0" w:tplc="1200C9B2">
      <w:start w:val="1"/>
      <w:numFmt w:val="lowerRoman"/>
      <w:lvlText w:val="%1)"/>
      <w:lvlJc w:val="left"/>
      <w:pPr>
        <w:ind w:left="1429" w:hanging="720"/>
      </w:pPr>
      <w:rPr>
        <w:rFonts w:hint="default"/>
        <w:i/>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6C204D5C"/>
    <w:multiLevelType w:val="multilevel"/>
    <w:tmpl w:val="AAE819C6"/>
    <w:lvl w:ilvl="0">
      <w:start w:val="1"/>
      <w:numFmt w:val="upperRoman"/>
      <w:lvlText w:val="%1."/>
      <w:lvlJc w:val="left"/>
      <w:pPr>
        <w:ind w:left="5399" w:hanging="720"/>
      </w:pPr>
      <w:rPr>
        <w:rFonts w:hint="default"/>
      </w:rPr>
    </w:lvl>
    <w:lvl w:ilvl="1">
      <w:start w:val="1"/>
      <w:numFmt w:val="decimal"/>
      <w:isLgl/>
      <w:lvlText w:val="%1.%2"/>
      <w:lvlJc w:val="left"/>
      <w:pPr>
        <w:ind w:left="3398" w:hanging="420"/>
      </w:pPr>
      <w:rPr>
        <w:rFonts w:hint="default"/>
        <w:i/>
        <w:sz w:val="28"/>
        <w:szCs w:val="28"/>
      </w:rPr>
    </w:lvl>
    <w:lvl w:ilvl="2">
      <w:start w:val="1"/>
      <w:numFmt w:val="decimal"/>
      <w:isLgl/>
      <w:lvlText w:val="%1.%2.%3"/>
      <w:lvlJc w:val="left"/>
      <w:pPr>
        <w:ind w:left="1080" w:hanging="720"/>
      </w:pPr>
      <w:rPr>
        <w:rFonts w:hint="default"/>
        <w:b/>
        <w:i/>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7A5E4546"/>
    <w:multiLevelType w:val="hybridMultilevel"/>
    <w:tmpl w:val="1090B60E"/>
    <w:lvl w:ilvl="0" w:tplc="60D41C3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7"/>
  </w:num>
  <w:num w:numId="4">
    <w:abstractNumId w:val="8"/>
  </w:num>
  <w:num w:numId="5">
    <w:abstractNumId w:val="11"/>
  </w:num>
  <w:num w:numId="6">
    <w:abstractNumId w:val="9"/>
  </w:num>
  <w:num w:numId="7">
    <w:abstractNumId w:val="1"/>
  </w:num>
  <w:num w:numId="8">
    <w:abstractNumId w:val="0"/>
  </w:num>
  <w:num w:numId="9">
    <w:abstractNumId w:val="6"/>
  </w:num>
  <w:num w:numId="10">
    <w:abstractNumId w:val="4"/>
  </w:num>
  <w:num w:numId="11">
    <w:abstractNumId w:val="3"/>
  </w:num>
  <w:num w:numId="12">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DA8"/>
    <w:rsid w:val="00001FE3"/>
    <w:rsid w:val="000023E2"/>
    <w:rsid w:val="000055D8"/>
    <w:rsid w:val="00005FD1"/>
    <w:rsid w:val="00007225"/>
    <w:rsid w:val="00007919"/>
    <w:rsid w:val="00007FF1"/>
    <w:rsid w:val="000107AB"/>
    <w:rsid w:val="00010B2F"/>
    <w:rsid w:val="00010CDC"/>
    <w:rsid w:val="00011BE7"/>
    <w:rsid w:val="00011F44"/>
    <w:rsid w:val="00012DE7"/>
    <w:rsid w:val="0001479E"/>
    <w:rsid w:val="00014F96"/>
    <w:rsid w:val="0001576D"/>
    <w:rsid w:val="00015B9F"/>
    <w:rsid w:val="00016738"/>
    <w:rsid w:val="0002065F"/>
    <w:rsid w:val="00022B19"/>
    <w:rsid w:val="0002491C"/>
    <w:rsid w:val="00024D8E"/>
    <w:rsid w:val="000255BC"/>
    <w:rsid w:val="0002602E"/>
    <w:rsid w:val="00027E94"/>
    <w:rsid w:val="00030C52"/>
    <w:rsid w:val="0003351D"/>
    <w:rsid w:val="00033B2B"/>
    <w:rsid w:val="00034AE8"/>
    <w:rsid w:val="00034FF2"/>
    <w:rsid w:val="0003515D"/>
    <w:rsid w:val="000351F9"/>
    <w:rsid w:val="000357F7"/>
    <w:rsid w:val="00035A72"/>
    <w:rsid w:val="00035E95"/>
    <w:rsid w:val="0004077B"/>
    <w:rsid w:val="00041DD3"/>
    <w:rsid w:val="00043191"/>
    <w:rsid w:val="00043537"/>
    <w:rsid w:val="00043FBB"/>
    <w:rsid w:val="00047BC4"/>
    <w:rsid w:val="00050199"/>
    <w:rsid w:val="000508BA"/>
    <w:rsid w:val="00050DE9"/>
    <w:rsid w:val="00051FBA"/>
    <w:rsid w:val="00052A5E"/>
    <w:rsid w:val="00052D7F"/>
    <w:rsid w:val="000531FA"/>
    <w:rsid w:val="00053AD4"/>
    <w:rsid w:val="000541DE"/>
    <w:rsid w:val="00054E60"/>
    <w:rsid w:val="000553CD"/>
    <w:rsid w:val="000562C7"/>
    <w:rsid w:val="000562FB"/>
    <w:rsid w:val="00057F83"/>
    <w:rsid w:val="00060F30"/>
    <w:rsid w:val="00060FCC"/>
    <w:rsid w:val="00061024"/>
    <w:rsid w:val="000616DC"/>
    <w:rsid w:val="00061F3B"/>
    <w:rsid w:val="00063A6D"/>
    <w:rsid w:val="00063B3C"/>
    <w:rsid w:val="00063E6A"/>
    <w:rsid w:val="000641CB"/>
    <w:rsid w:val="00064718"/>
    <w:rsid w:val="00065074"/>
    <w:rsid w:val="00065523"/>
    <w:rsid w:val="00065877"/>
    <w:rsid w:val="00067DAF"/>
    <w:rsid w:val="0007002E"/>
    <w:rsid w:val="00070A40"/>
    <w:rsid w:val="000716B3"/>
    <w:rsid w:val="000726D6"/>
    <w:rsid w:val="00072C58"/>
    <w:rsid w:val="000741FD"/>
    <w:rsid w:val="00076768"/>
    <w:rsid w:val="00076DCA"/>
    <w:rsid w:val="00083886"/>
    <w:rsid w:val="00084E02"/>
    <w:rsid w:val="00085321"/>
    <w:rsid w:val="00086B24"/>
    <w:rsid w:val="00086E7B"/>
    <w:rsid w:val="00090913"/>
    <w:rsid w:val="000909FA"/>
    <w:rsid w:val="00091766"/>
    <w:rsid w:val="00092189"/>
    <w:rsid w:val="0009325E"/>
    <w:rsid w:val="00093940"/>
    <w:rsid w:val="00093D50"/>
    <w:rsid w:val="00095070"/>
    <w:rsid w:val="00095B53"/>
    <w:rsid w:val="00095D8B"/>
    <w:rsid w:val="0009672C"/>
    <w:rsid w:val="00097A12"/>
    <w:rsid w:val="00097FFC"/>
    <w:rsid w:val="000A1508"/>
    <w:rsid w:val="000A1D30"/>
    <w:rsid w:val="000A2656"/>
    <w:rsid w:val="000A2F32"/>
    <w:rsid w:val="000A3D1E"/>
    <w:rsid w:val="000A5487"/>
    <w:rsid w:val="000A5850"/>
    <w:rsid w:val="000A58F9"/>
    <w:rsid w:val="000A69BC"/>
    <w:rsid w:val="000A6EFF"/>
    <w:rsid w:val="000A733A"/>
    <w:rsid w:val="000A7924"/>
    <w:rsid w:val="000A7D52"/>
    <w:rsid w:val="000B1214"/>
    <w:rsid w:val="000B265F"/>
    <w:rsid w:val="000B268A"/>
    <w:rsid w:val="000B3033"/>
    <w:rsid w:val="000B3364"/>
    <w:rsid w:val="000B5F83"/>
    <w:rsid w:val="000B735E"/>
    <w:rsid w:val="000B740B"/>
    <w:rsid w:val="000B77A3"/>
    <w:rsid w:val="000B7991"/>
    <w:rsid w:val="000C09AE"/>
    <w:rsid w:val="000C0B4C"/>
    <w:rsid w:val="000C128F"/>
    <w:rsid w:val="000C1BD0"/>
    <w:rsid w:val="000C2AF5"/>
    <w:rsid w:val="000C4C6D"/>
    <w:rsid w:val="000C4F5F"/>
    <w:rsid w:val="000C5B08"/>
    <w:rsid w:val="000C6CDE"/>
    <w:rsid w:val="000C76D0"/>
    <w:rsid w:val="000C7ACD"/>
    <w:rsid w:val="000D1579"/>
    <w:rsid w:val="000D2E5D"/>
    <w:rsid w:val="000D4219"/>
    <w:rsid w:val="000D5783"/>
    <w:rsid w:val="000D5BDF"/>
    <w:rsid w:val="000D757F"/>
    <w:rsid w:val="000E1912"/>
    <w:rsid w:val="000E1BAF"/>
    <w:rsid w:val="000E1DC4"/>
    <w:rsid w:val="000E2123"/>
    <w:rsid w:val="000E2472"/>
    <w:rsid w:val="000E3A83"/>
    <w:rsid w:val="000E475C"/>
    <w:rsid w:val="000E4B59"/>
    <w:rsid w:val="000E5226"/>
    <w:rsid w:val="000E6A1D"/>
    <w:rsid w:val="000E6FB3"/>
    <w:rsid w:val="000F260A"/>
    <w:rsid w:val="000F282D"/>
    <w:rsid w:val="000F3114"/>
    <w:rsid w:val="000F3217"/>
    <w:rsid w:val="000F3BBE"/>
    <w:rsid w:val="000F439E"/>
    <w:rsid w:val="000F45F0"/>
    <w:rsid w:val="000F7305"/>
    <w:rsid w:val="00100EC4"/>
    <w:rsid w:val="00100F3E"/>
    <w:rsid w:val="001026F6"/>
    <w:rsid w:val="00103FDA"/>
    <w:rsid w:val="001043A7"/>
    <w:rsid w:val="001045D7"/>
    <w:rsid w:val="00104972"/>
    <w:rsid w:val="00104B99"/>
    <w:rsid w:val="00106753"/>
    <w:rsid w:val="00112532"/>
    <w:rsid w:val="001144ED"/>
    <w:rsid w:val="001145E3"/>
    <w:rsid w:val="00115633"/>
    <w:rsid w:val="00117331"/>
    <w:rsid w:val="00120D6A"/>
    <w:rsid w:val="001231E3"/>
    <w:rsid w:val="00123BC3"/>
    <w:rsid w:val="00124E68"/>
    <w:rsid w:val="00126249"/>
    <w:rsid w:val="00126DFC"/>
    <w:rsid w:val="00127984"/>
    <w:rsid w:val="001315CD"/>
    <w:rsid w:val="0013549F"/>
    <w:rsid w:val="001369F3"/>
    <w:rsid w:val="0013728D"/>
    <w:rsid w:val="00137351"/>
    <w:rsid w:val="0014188F"/>
    <w:rsid w:val="0014237E"/>
    <w:rsid w:val="0014248C"/>
    <w:rsid w:val="00142633"/>
    <w:rsid w:val="00142744"/>
    <w:rsid w:val="00142A5D"/>
    <w:rsid w:val="00142DF3"/>
    <w:rsid w:val="001438C3"/>
    <w:rsid w:val="001438EF"/>
    <w:rsid w:val="00145272"/>
    <w:rsid w:val="00145BC9"/>
    <w:rsid w:val="00146A0D"/>
    <w:rsid w:val="001526E2"/>
    <w:rsid w:val="00153EC9"/>
    <w:rsid w:val="00154636"/>
    <w:rsid w:val="00154702"/>
    <w:rsid w:val="001567C4"/>
    <w:rsid w:val="001578DB"/>
    <w:rsid w:val="00160878"/>
    <w:rsid w:val="00160F0A"/>
    <w:rsid w:val="00161B4F"/>
    <w:rsid w:val="00163269"/>
    <w:rsid w:val="00164B7E"/>
    <w:rsid w:val="00171E73"/>
    <w:rsid w:val="0017298D"/>
    <w:rsid w:val="00173D6A"/>
    <w:rsid w:val="001774F8"/>
    <w:rsid w:val="00180E34"/>
    <w:rsid w:val="00182F58"/>
    <w:rsid w:val="001841B4"/>
    <w:rsid w:val="0018530C"/>
    <w:rsid w:val="001853A3"/>
    <w:rsid w:val="00185DE5"/>
    <w:rsid w:val="0018739A"/>
    <w:rsid w:val="001904AE"/>
    <w:rsid w:val="00192207"/>
    <w:rsid w:val="001937C1"/>
    <w:rsid w:val="0019387F"/>
    <w:rsid w:val="001947BA"/>
    <w:rsid w:val="00194C15"/>
    <w:rsid w:val="0019517D"/>
    <w:rsid w:val="001952A6"/>
    <w:rsid w:val="00195FA5"/>
    <w:rsid w:val="00196688"/>
    <w:rsid w:val="00196E5C"/>
    <w:rsid w:val="00197078"/>
    <w:rsid w:val="001978CF"/>
    <w:rsid w:val="001A26D5"/>
    <w:rsid w:val="001A2F69"/>
    <w:rsid w:val="001A4401"/>
    <w:rsid w:val="001A49D2"/>
    <w:rsid w:val="001A6366"/>
    <w:rsid w:val="001A6A90"/>
    <w:rsid w:val="001A7180"/>
    <w:rsid w:val="001B21DB"/>
    <w:rsid w:val="001B233B"/>
    <w:rsid w:val="001B53D2"/>
    <w:rsid w:val="001B5412"/>
    <w:rsid w:val="001B613F"/>
    <w:rsid w:val="001B62DF"/>
    <w:rsid w:val="001B6E32"/>
    <w:rsid w:val="001B7A72"/>
    <w:rsid w:val="001C0E69"/>
    <w:rsid w:val="001C121C"/>
    <w:rsid w:val="001C134B"/>
    <w:rsid w:val="001C530F"/>
    <w:rsid w:val="001C58B3"/>
    <w:rsid w:val="001C6245"/>
    <w:rsid w:val="001C65D2"/>
    <w:rsid w:val="001D09BA"/>
    <w:rsid w:val="001D2456"/>
    <w:rsid w:val="001D3D2F"/>
    <w:rsid w:val="001D4205"/>
    <w:rsid w:val="001D4B9C"/>
    <w:rsid w:val="001D4EA7"/>
    <w:rsid w:val="001D4EA8"/>
    <w:rsid w:val="001D55CA"/>
    <w:rsid w:val="001D633E"/>
    <w:rsid w:val="001D76B7"/>
    <w:rsid w:val="001E0019"/>
    <w:rsid w:val="001E03F8"/>
    <w:rsid w:val="001E145D"/>
    <w:rsid w:val="001E14FC"/>
    <w:rsid w:val="001E2080"/>
    <w:rsid w:val="001E3706"/>
    <w:rsid w:val="001E4C99"/>
    <w:rsid w:val="001E4F1C"/>
    <w:rsid w:val="001E5A13"/>
    <w:rsid w:val="001E69D9"/>
    <w:rsid w:val="001F1738"/>
    <w:rsid w:val="001F21C8"/>
    <w:rsid w:val="001F6DCB"/>
    <w:rsid w:val="001F7E14"/>
    <w:rsid w:val="00203312"/>
    <w:rsid w:val="00203F46"/>
    <w:rsid w:val="00207185"/>
    <w:rsid w:val="002104B3"/>
    <w:rsid w:val="00210B0E"/>
    <w:rsid w:val="002112F2"/>
    <w:rsid w:val="00211455"/>
    <w:rsid w:val="00211B4A"/>
    <w:rsid w:val="00211E18"/>
    <w:rsid w:val="002160D5"/>
    <w:rsid w:val="002161D1"/>
    <w:rsid w:val="00217F90"/>
    <w:rsid w:val="002204B9"/>
    <w:rsid w:val="00220616"/>
    <w:rsid w:val="00220732"/>
    <w:rsid w:val="00220AA9"/>
    <w:rsid w:val="00220AB2"/>
    <w:rsid w:val="002214D5"/>
    <w:rsid w:val="0022195A"/>
    <w:rsid w:val="0022361A"/>
    <w:rsid w:val="00224FB0"/>
    <w:rsid w:val="002256AC"/>
    <w:rsid w:val="0022647B"/>
    <w:rsid w:val="00231BBB"/>
    <w:rsid w:val="00234187"/>
    <w:rsid w:val="00234FEB"/>
    <w:rsid w:val="002359E9"/>
    <w:rsid w:val="00237D50"/>
    <w:rsid w:val="002409DA"/>
    <w:rsid w:val="0024290F"/>
    <w:rsid w:val="00243E4C"/>
    <w:rsid w:val="00244A7A"/>
    <w:rsid w:val="00244B35"/>
    <w:rsid w:val="00245638"/>
    <w:rsid w:val="00245A95"/>
    <w:rsid w:val="0024650F"/>
    <w:rsid w:val="00246C27"/>
    <w:rsid w:val="00246D57"/>
    <w:rsid w:val="00246E4D"/>
    <w:rsid w:val="0024707E"/>
    <w:rsid w:val="00250486"/>
    <w:rsid w:val="00250B07"/>
    <w:rsid w:val="00251B23"/>
    <w:rsid w:val="00251E2E"/>
    <w:rsid w:val="00252612"/>
    <w:rsid w:val="002529AE"/>
    <w:rsid w:val="00252BCE"/>
    <w:rsid w:val="0025700A"/>
    <w:rsid w:val="002576F6"/>
    <w:rsid w:val="002608BC"/>
    <w:rsid w:val="00261C87"/>
    <w:rsid w:val="0026323A"/>
    <w:rsid w:val="00263261"/>
    <w:rsid w:val="00263625"/>
    <w:rsid w:val="0026406F"/>
    <w:rsid w:val="002640B2"/>
    <w:rsid w:val="00264215"/>
    <w:rsid w:val="0026470C"/>
    <w:rsid w:val="002671A8"/>
    <w:rsid w:val="00272690"/>
    <w:rsid w:val="00272D54"/>
    <w:rsid w:val="0027414E"/>
    <w:rsid w:val="00275517"/>
    <w:rsid w:val="002762FD"/>
    <w:rsid w:val="00277260"/>
    <w:rsid w:val="002773E6"/>
    <w:rsid w:val="00277C8D"/>
    <w:rsid w:val="00280DE8"/>
    <w:rsid w:val="00281699"/>
    <w:rsid w:val="00281A11"/>
    <w:rsid w:val="00281E4D"/>
    <w:rsid w:val="0028220C"/>
    <w:rsid w:val="002827A3"/>
    <w:rsid w:val="00285B06"/>
    <w:rsid w:val="00285CF9"/>
    <w:rsid w:val="002861E0"/>
    <w:rsid w:val="00286740"/>
    <w:rsid w:val="00286C00"/>
    <w:rsid w:val="00286C38"/>
    <w:rsid w:val="002879DC"/>
    <w:rsid w:val="00287B73"/>
    <w:rsid w:val="00287EAD"/>
    <w:rsid w:val="00290089"/>
    <w:rsid w:val="002900BB"/>
    <w:rsid w:val="00290318"/>
    <w:rsid w:val="00291239"/>
    <w:rsid w:val="0029197D"/>
    <w:rsid w:val="00291A08"/>
    <w:rsid w:val="00291A5D"/>
    <w:rsid w:val="00291F30"/>
    <w:rsid w:val="002959BF"/>
    <w:rsid w:val="00297956"/>
    <w:rsid w:val="002A13DB"/>
    <w:rsid w:val="002A225F"/>
    <w:rsid w:val="002A3477"/>
    <w:rsid w:val="002A39A8"/>
    <w:rsid w:val="002A4256"/>
    <w:rsid w:val="002A6708"/>
    <w:rsid w:val="002A76BA"/>
    <w:rsid w:val="002B20CB"/>
    <w:rsid w:val="002B3A86"/>
    <w:rsid w:val="002B46A4"/>
    <w:rsid w:val="002B4A2E"/>
    <w:rsid w:val="002B6034"/>
    <w:rsid w:val="002B62B5"/>
    <w:rsid w:val="002B73B5"/>
    <w:rsid w:val="002B78F2"/>
    <w:rsid w:val="002C1CCD"/>
    <w:rsid w:val="002C1DE5"/>
    <w:rsid w:val="002C2F63"/>
    <w:rsid w:val="002C585A"/>
    <w:rsid w:val="002D14B7"/>
    <w:rsid w:val="002D1629"/>
    <w:rsid w:val="002D1831"/>
    <w:rsid w:val="002D2D58"/>
    <w:rsid w:val="002D42CE"/>
    <w:rsid w:val="002D42E4"/>
    <w:rsid w:val="002D4603"/>
    <w:rsid w:val="002D530C"/>
    <w:rsid w:val="002D63F2"/>
    <w:rsid w:val="002D682E"/>
    <w:rsid w:val="002D68E1"/>
    <w:rsid w:val="002D7C26"/>
    <w:rsid w:val="002E04ED"/>
    <w:rsid w:val="002E07DC"/>
    <w:rsid w:val="002E1129"/>
    <w:rsid w:val="002E1AC3"/>
    <w:rsid w:val="002E1D49"/>
    <w:rsid w:val="002E651B"/>
    <w:rsid w:val="002E67DB"/>
    <w:rsid w:val="002E7934"/>
    <w:rsid w:val="002F0860"/>
    <w:rsid w:val="002F0ADE"/>
    <w:rsid w:val="002F1B56"/>
    <w:rsid w:val="002F2B3E"/>
    <w:rsid w:val="002F4189"/>
    <w:rsid w:val="002F6AB0"/>
    <w:rsid w:val="002F7573"/>
    <w:rsid w:val="002F79EE"/>
    <w:rsid w:val="00300288"/>
    <w:rsid w:val="00301347"/>
    <w:rsid w:val="00301489"/>
    <w:rsid w:val="00301DE3"/>
    <w:rsid w:val="00302966"/>
    <w:rsid w:val="00302F8C"/>
    <w:rsid w:val="0030345F"/>
    <w:rsid w:val="00303934"/>
    <w:rsid w:val="0030692E"/>
    <w:rsid w:val="00307BAF"/>
    <w:rsid w:val="003120E1"/>
    <w:rsid w:val="0031249A"/>
    <w:rsid w:val="003126DD"/>
    <w:rsid w:val="00313864"/>
    <w:rsid w:val="00313BAB"/>
    <w:rsid w:val="0031473F"/>
    <w:rsid w:val="00314742"/>
    <w:rsid w:val="00314B62"/>
    <w:rsid w:val="003156E0"/>
    <w:rsid w:val="00316781"/>
    <w:rsid w:val="00317101"/>
    <w:rsid w:val="00317113"/>
    <w:rsid w:val="003173AB"/>
    <w:rsid w:val="0031790F"/>
    <w:rsid w:val="00317CF4"/>
    <w:rsid w:val="00320240"/>
    <w:rsid w:val="00320644"/>
    <w:rsid w:val="003208B7"/>
    <w:rsid w:val="003209D9"/>
    <w:rsid w:val="00320D18"/>
    <w:rsid w:val="00321291"/>
    <w:rsid w:val="00321671"/>
    <w:rsid w:val="003226F6"/>
    <w:rsid w:val="0032464E"/>
    <w:rsid w:val="00324EA8"/>
    <w:rsid w:val="00325CA7"/>
    <w:rsid w:val="0032678C"/>
    <w:rsid w:val="00327B87"/>
    <w:rsid w:val="00330F6A"/>
    <w:rsid w:val="00331335"/>
    <w:rsid w:val="00331627"/>
    <w:rsid w:val="00333564"/>
    <w:rsid w:val="00333CEB"/>
    <w:rsid w:val="00334D15"/>
    <w:rsid w:val="00334E31"/>
    <w:rsid w:val="003354CA"/>
    <w:rsid w:val="00336C3C"/>
    <w:rsid w:val="00337CAA"/>
    <w:rsid w:val="00341947"/>
    <w:rsid w:val="00342B1B"/>
    <w:rsid w:val="00342DB9"/>
    <w:rsid w:val="00342E8A"/>
    <w:rsid w:val="003462D6"/>
    <w:rsid w:val="003466CF"/>
    <w:rsid w:val="003468BE"/>
    <w:rsid w:val="00346F59"/>
    <w:rsid w:val="00347790"/>
    <w:rsid w:val="003501B3"/>
    <w:rsid w:val="00350ED2"/>
    <w:rsid w:val="00350F71"/>
    <w:rsid w:val="00351180"/>
    <w:rsid w:val="003512AE"/>
    <w:rsid w:val="00352893"/>
    <w:rsid w:val="00352E50"/>
    <w:rsid w:val="003532EF"/>
    <w:rsid w:val="00353726"/>
    <w:rsid w:val="00354691"/>
    <w:rsid w:val="003551E5"/>
    <w:rsid w:val="0035646E"/>
    <w:rsid w:val="003604D7"/>
    <w:rsid w:val="00362600"/>
    <w:rsid w:val="00362E83"/>
    <w:rsid w:val="00362EE9"/>
    <w:rsid w:val="0036394C"/>
    <w:rsid w:val="00364E45"/>
    <w:rsid w:val="003652CD"/>
    <w:rsid w:val="00365394"/>
    <w:rsid w:val="00365D6E"/>
    <w:rsid w:val="00367CD2"/>
    <w:rsid w:val="00370082"/>
    <w:rsid w:val="0037051F"/>
    <w:rsid w:val="003710CC"/>
    <w:rsid w:val="00374412"/>
    <w:rsid w:val="00374462"/>
    <w:rsid w:val="00377116"/>
    <w:rsid w:val="00377369"/>
    <w:rsid w:val="00377672"/>
    <w:rsid w:val="00377E46"/>
    <w:rsid w:val="0038232D"/>
    <w:rsid w:val="00382A47"/>
    <w:rsid w:val="00383D42"/>
    <w:rsid w:val="00383DBB"/>
    <w:rsid w:val="0038461D"/>
    <w:rsid w:val="003863B0"/>
    <w:rsid w:val="003908B8"/>
    <w:rsid w:val="00390A4A"/>
    <w:rsid w:val="0039242B"/>
    <w:rsid w:val="003929E9"/>
    <w:rsid w:val="003947E3"/>
    <w:rsid w:val="0039481D"/>
    <w:rsid w:val="00395074"/>
    <w:rsid w:val="003953F6"/>
    <w:rsid w:val="00395D3A"/>
    <w:rsid w:val="003960E0"/>
    <w:rsid w:val="00396246"/>
    <w:rsid w:val="0039681F"/>
    <w:rsid w:val="00397715"/>
    <w:rsid w:val="003A0A26"/>
    <w:rsid w:val="003A0A88"/>
    <w:rsid w:val="003A1BF0"/>
    <w:rsid w:val="003A1C78"/>
    <w:rsid w:val="003A2A5F"/>
    <w:rsid w:val="003A2D52"/>
    <w:rsid w:val="003A2E8D"/>
    <w:rsid w:val="003A4030"/>
    <w:rsid w:val="003A595A"/>
    <w:rsid w:val="003A7AB4"/>
    <w:rsid w:val="003B1F8A"/>
    <w:rsid w:val="003B2B70"/>
    <w:rsid w:val="003B2FB5"/>
    <w:rsid w:val="003B38CE"/>
    <w:rsid w:val="003B4CAE"/>
    <w:rsid w:val="003B4CEE"/>
    <w:rsid w:val="003B6A26"/>
    <w:rsid w:val="003C040E"/>
    <w:rsid w:val="003C0B47"/>
    <w:rsid w:val="003C0D8B"/>
    <w:rsid w:val="003C0E4A"/>
    <w:rsid w:val="003C1897"/>
    <w:rsid w:val="003C24F7"/>
    <w:rsid w:val="003C3981"/>
    <w:rsid w:val="003C6EFB"/>
    <w:rsid w:val="003D0EC1"/>
    <w:rsid w:val="003D1475"/>
    <w:rsid w:val="003D32C9"/>
    <w:rsid w:val="003D3F28"/>
    <w:rsid w:val="003D417C"/>
    <w:rsid w:val="003D51D0"/>
    <w:rsid w:val="003D6439"/>
    <w:rsid w:val="003D6840"/>
    <w:rsid w:val="003E001C"/>
    <w:rsid w:val="003E15D0"/>
    <w:rsid w:val="003E30B9"/>
    <w:rsid w:val="003E42D7"/>
    <w:rsid w:val="003E62EC"/>
    <w:rsid w:val="003E6940"/>
    <w:rsid w:val="003E73AF"/>
    <w:rsid w:val="003E7681"/>
    <w:rsid w:val="003F081E"/>
    <w:rsid w:val="003F12B5"/>
    <w:rsid w:val="003F1ED0"/>
    <w:rsid w:val="003F56DB"/>
    <w:rsid w:val="003F5739"/>
    <w:rsid w:val="003F616F"/>
    <w:rsid w:val="003F61FC"/>
    <w:rsid w:val="003F71CD"/>
    <w:rsid w:val="003F79F8"/>
    <w:rsid w:val="00400622"/>
    <w:rsid w:val="004018B5"/>
    <w:rsid w:val="004027D7"/>
    <w:rsid w:val="004044C7"/>
    <w:rsid w:val="00404E89"/>
    <w:rsid w:val="004051BE"/>
    <w:rsid w:val="00405946"/>
    <w:rsid w:val="00405FC4"/>
    <w:rsid w:val="00406684"/>
    <w:rsid w:val="004122D3"/>
    <w:rsid w:val="00412C75"/>
    <w:rsid w:val="00412D21"/>
    <w:rsid w:val="00414930"/>
    <w:rsid w:val="00414A7F"/>
    <w:rsid w:val="0041594C"/>
    <w:rsid w:val="00415A34"/>
    <w:rsid w:val="00415C7D"/>
    <w:rsid w:val="0041653F"/>
    <w:rsid w:val="004165E0"/>
    <w:rsid w:val="00416A69"/>
    <w:rsid w:val="00416BF1"/>
    <w:rsid w:val="00417159"/>
    <w:rsid w:val="004204BB"/>
    <w:rsid w:val="00420C2B"/>
    <w:rsid w:val="00421520"/>
    <w:rsid w:val="00421555"/>
    <w:rsid w:val="0042164E"/>
    <w:rsid w:val="00423399"/>
    <w:rsid w:val="0042398A"/>
    <w:rsid w:val="00423B43"/>
    <w:rsid w:val="00424A4A"/>
    <w:rsid w:val="00425776"/>
    <w:rsid w:val="00425EB7"/>
    <w:rsid w:val="00427BFA"/>
    <w:rsid w:val="00427F15"/>
    <w:rsid w:val="004331A8"/>
    <w:rsid w:val="00433718"/>
    <w:rsid w:val="0043543C"/>
    <w:rsid w:val="00435CEC"/>
    <w:rsid w:val="00435E3B"/>
    <w:rsid w:val="004363F8"/>
    <w:rsid w:val="00437429"/>
    <w:rsid w:val="00437978"/>
    <w:rsid w:val="004379D7"/>
    <w:rsid w:val="00437EF7"/>
    <w:rsid w:val="00440B07"/>
    <w:rsid w:val="004410B0"/>
    <w:rsid w:val="00441CD2"/>
    <w:rsid w:val="004425C9"/>
    <w:rsid w:val="00445D64"/>
    <w:rsid w:val="00447695"/>
    <w:rsid w:val="00447DD8"/>
    <w:rsid w:val="004502A4"/>
    <w:rsid w:val="00450A03"/>
    <w:rsid w:val="00452778"/>
    <w:rsid w:val="00452AAE"/>
    <w:rsid w:val="00454946"/>
    <w:rsid w:val="00455833"/>
    <w:rsid w:val="00455847"/>
    <w:rsid w:val="0045600E"/>
    <w:rsid w:val="004574AA"/>
    <w:rsid w:val="00457858"/>
    <w:rsid w:val="00457963"/>
    <w:rsid w:val="00457DFA"/>
    <w:rsid w:val="00457F49"/>
    <w:rsid w:val="0046002E"/>
    <w:rsid w:val="00461CE1"/>
    <w:rsid w:val="00463443"/>
    <w:rsid w:val="00463862"/>
    <w:rsid w:val="0046568A"/>
    <w:rsid w:val="004665FE"/>
    <w:rsid w:val="00466664"/>
    <w:rsid w:val="00467752"/>
    <w:rsid w:val="00467BC7"/>
    <w:rsid w:val="0047058E"/>
    <w:rsid w:val="004706E6"/>
    <w:rsid w:val="00470A03"/>
    <w:rsid w:val="00470F82"/>
    <w:rsid w:val="00471C43"/>
    <w:rsid w:val="00472FDC"/>
    <w:rsid w:val="00474095"/>
    <w:rsid w:val="00474C4F"/>
    <w:rsid w:val="00476255"/>
    <w:rsid w:val="0047768D"/>
    <w:rsid w:val="00480A28"/>
    <w:rsid w:val="00482607"/>
    <w:rsid w:val="00484561"/>
    <w:rsid w:val="004862D7"/>
    <w:rsid w:val="004870D8"/>
    <w:rsid w:val="004874D4"/>
    <w:rsid w:val="004900B6"/>
    <w:rsid w:val="00492508"/>
    <w:rsid w:val="004930B1"/>
    <w:rsid w:val="004933B4"/>
    <w:rsid w:val="00493D09"/>
    <w:rsid w:val="00494ECD"/>
    <w:rsid w:val="00496BB1"/>
    <w:rsid w:val="00496FC8"/>
    <w:rsid w:val="00497105"/>
    <w:rsid w:val="0049770C"/>
    <w:rsid w:val="00497953"/>
    <w:rsid w:val="004A04C5"/>
    <w:rsid w:val="004A238F"/>
    <w:rsid w:val="004A44F2"/>
    <w:rsid w:val="004A4EA5"/>
    <w:rsid w:val="004A566B"/>
    <w:rsid w:val="004A674D"/>
    <w:rsid w:val="004A6919"/>
    <w:rsid w:val="004A6924"/>
    <w:rsid w:val="004A6A6E"/>
    <w:rsid w:val="004A6F05"/>
    <w:rsid w:val="004B018F"/>
    <w:rsid w:val="004B10E9"/>
    <w:rsid w:val="004B119A"/>
    <w:rsid w:val="004B17FC"/>
    <w:rsid w:val="004B1A19"/>
    <w:rsid w:val="004B20AD"/>
    <w:rsid w:val="004B3612"/>
    <w:rsid w:val="004B4016"/>
    <w:rsid w:val="004B44D9"/>
    <w:rsid w:val="004B5019"/>
    <w:rsid w:val="004B603B"/>
    <w:rsid w:val="004B7765"/>
    <w:rsid w:val="004C1525"/>
    <w:rsid w:val="004C1981"/>
    <w:rsid w:val="004C3A9E"/>
    <w:rsid w:val="004C496E"/>
    <w:rsid w:val="004C49CA"/>
    <w:rsid w:val="004C4CF1"/>
    <w:rsid w:val="004C5D9A"/>
    <w:rsid w:val="004C6360"/>
    <w:rsid w:val="004C6F72"/>
    <w:rsid w:val="004C7C67"/>
    <w:rsid w:val="004C7EE5"/>
    <w:rsid w:val="004D1824"/>
    <w:rsid w:val="004D3AD9"/>
    <w:rsid w:val="004D5DFD"/>
    <w:rsid w:val="004D6673"/>
    <w:rsid w:val="004D6E48"/>
    <w:rsid w:val="004D6F89"/>
    <w:rsid w:val="004D70BD"/>
    <w:rsid w:val="004D74F9"/>
    <w:rsid w:val="004D758D"/>
    <w:rsid w:val="004D76F2"/>
    <w:rsid w:val="004E069B"/>
    <w:rsid w:val="004E0899"/>
    <w:rsid w:val="004E0C02"/>
    <w:rsid w:val="004E0CD6"/>
    <w:rsid w:val="004E10ED"/>
    <w:rsid w:val="004E162B"/>
    <w:rsid w:val="004E4FED"/>
    <w:rsid w:val="004E5348"/>
    <w:rsid w:val="004E6B92"/>
    <w:rsid w:val="004E6D6B"/>
    <w:rsid w:val="004E7073"/>
    <w:rsid w:val="004E7921"/>
    <w:rsid w:val="004F012B"/>
    <w:rsid w:val="004F0182"/>
    <w:rsid w:val="004F16DE"/>
    <w:rsid w:val="004F1FEE"/>
    <w:rsid w:val="004F28F2"/>
    <w:rsid w:val="004F701D"/>
    <w:rsid w:val="004F73C9"/>
    <w:rsid w:val="004F7B45"/>
    <w:rsid w:val="004F7D83"/>
    <w:rsid w:val="005010E5"/>
    <w:rsid w:val="00501B64"/>
    <w:rsid w:val="005021DD"/>
    <w:rsid w:val="00502C0F"/>
    <w:rsid w:val="005030D0"/>
    <w:rsid w:val="005049C7"/>
    <w:rsid w:val="00505C47"/>
    <w:rsid w:val="00510C41"/>
    <w:rsid w:val="00510D43"/>
    <w:rsid w:val="00510ECE"/>
    <w:rsid w:val="005113BA"/>
    <w:rsid w:val="00511D07"/>
    <w:rsid w:val="005123A4"/>
    <w:rsid w:val="00512EEC"/>
    <w:rsid w:val="00513D9F"/>
    <w:rsid w:val="00523CE4"/>
    <w:rsid w:val="00524047"/>
    <w:rsid w:val="005244EE"/>
    <w:rsid w:val="00524748"/>
    <w:rsid w:val="005250C3"/>
    <w:rsid w:val="005251F4"/>
    <w:rsid w:val="00525E5B"/>
    <w:rsid w:val="00525EED"/>
    <w:rsid w:val="005267AA"/>
    <w:rsid w:val="00530224"/>
    <w:rsid w:val="00531B1E"/>
    <w:rsid w:val="005327B9"/>
    <w:rsid w:val="005329C4"/>
    <w:rsid w:val="0053326B"/>
    <w:rsid w:val="005335FA"/>
    <w:rsid w:val="005340C0"/>
    <w:rsid w:val="005356C6"/>
    <w:rsid w:val="00535CF4"/>
    <w:rsid w:val="00536816"/>
    <w:rsid w:val="0054331F"/>
    <w:rsid w:val="005436B8"/>
    <w:rsid w:val="005445B5"/>
    <w:rsid w:val="00547E45"/>
    <w:rsid w:val="00550012"/>
    <w:rsid w:val="00550767"/>
    <w:rsid w:val="005525D9"/>
    <w:rsid w:val="005537E4"/>
    <w:rsid w:val="00554099"/>
    <w:rsid w:val="00555B48"/>
    <w:rsid w:val="005562CE"/>
    <w:rsid w:val="00556750"/>
    <w:rsid w:val="0056082B"/>
    <w:rsid w:val="005623B3"/>
    <w:rsid w:val="00562667"/>
    <w:rsid w:val="00562B31"/>
    <w:rsid w:val="0056371F"/>
    <w:rsid w:val="00565AD4"/>
    <w:rsid w:val="00565F7B"/>
    <w:rsid w:val="00567032"/>
    <w:rsid w:val="005672A8"/>
    <w:rsid w:val="00567883"/>
    <w:rsid w:val="00570641"/>
    <w:rsid w:val="00571BA6"/>
    <w:rsid w:val="00571E2E"/>
    <w:rsid w:val="00572C49"/>
    <w:rsid w:val="00573976"/>
    <w:rsid w:val="005749ED"/>
    <w:rsid w:val="00576CB7"/>
    <w:rsid w:val="005774C9"/>
    <w:rsid w:val="0057789B"/>
    <w:rsid w:val="00577948"/>
    <w:rsid w:val="005808D1"/>
    <w:rsid w:val="005810A4"/>
    <w:rsid w:val="005826A3"/>
    <w:rsid w:val="00583091"/>
    <w:rsid w:val="00583B2A"/>
    <w:rsid w:val="00584138"/>
    <w:rsid w:val="0058414D"/>
    <w:rsid w:val="00584842"/>
    <w:rsid w:val="00584ED2"/>
    <w:rsid w:val="00585989"/>
    <w:rsid w:val="00586008"/>
    <w:rsid w:val="0058651C"/>
    <w:rsid w:val="00586655"/>
    <w:rsid w:val="00586D2F"/>
    <w:rsid w:val="0059355F"/>
    <w:rsid w:val="0059476A"/>
    <w:rsid w:val="005957CD"/>
    <w:rsid w:val="00595E4C"/>
    <w:rsid w:val="0059604A"/>
    <w:rsid w:val="005971A2"/>
    <w:rsid w:val="005978B9"/>
    <w:rsid w:val="00597C08"/>
    <w:rsid w:val="005A0B49"/>
    <w:rsid w:val="005A1085"/>
    <w:rsid w:val="005A1B36"/>
    <w:rsid w:val="005A1F75"/>
    <w:rsid w:val="005A24A2"/>
    <w:rsid w:val="005A3111"/>
    <w:rsid w:val="005A5312"/>
    <w:rsid w:val="005A56B5"/>
    <w:rsid w:val="005A5A52"/>
    <w:rsid w:val="005A6447"/>
    <w:rsid w:val="005A7AA9"/>
    <w:rsid w:val="005B02A8"/>
    <w:rsid w:val="005B0E88"/>
    <w:rsid w:val="005B2659"/>
    <w:rsid w:val="005B5656"/>
    <w:rsid w:val="005B680E"/>
    <w:rsid w:val="005C009C"/>
    <w:rsid w:val="005C1557"/>
    <w:rsid w:val="005C18E2"/>
    <w:rsid w:val="005C22DF"/>
    <w:rsid w:val="005C244C"/>
    <w:rsid w:val="005C2A0B"/>
    <w:rsid w:val="005C2DC4"/>
    <w:rsid w:val="005C3352"/>
    <w:rsid w:val="005C38F4"/>
    <w:rsid w:val="005C4F90"/>
    <w:rsid w:val="005D1B75"/>
    <w:rsid w:val="005D1F8A"/>
    <w:rsid w:val="005D20EA"/>
    <w:rsid w:val="005D2360"/>
    <w:rsid w:val="005D33EC"/>
    <w:rsid w:val="005D3F5A"/>
    <w:rsid w:val="005D4DD6"/>
    <w:rsid w:val="005D4DE3"/>
    <w:rsid w:val="005D675E"/>
    <w:rsid w:val="005D69D9"/>
    <w:rsid w:val="005D7195"/>
    <w:rsid w:val="005E07C7"/>
    <w:rsid w:val="005E090F"/>
    <w:rsid w:val="005E1A9F"/>
    <w:rsid w:val="005E58A3"/>
    <w:rsid w:val="005E5C88"/>
    <w:rsid w:val="005E65A7"/>
    <w:rsid w:val="005F079E"/>
    <w:rsid w:val="005F096E"/>
    <w:rsid w:val="005F214F"/>
    <w:rsid w:val="005F2274"/>
    <w:rsid w:val="005F3769"/>
    <w:rsid w:val="005F44D4"/>
    <w:rsid w:val="005F60A3"/>
    <w:rsid w:val="005F6507"/>
    <w:rsid w:val="005F7472"/>
    <w:rsid w:val="00600AC0"/>
    <w:rsid w:val="00601FE8"/>
    <w:rsid w:val="00602230"/>
    <w:rsid w:val="00602E22"/>
    <w:rsid w:val="006040E8"/>
    <w:rsid w:val="00605639"/>
    <w:rsid w:val="00606394"/>
    <w:rsid w:val="0060639D"/>
    <w:rsid w:val="00607D6A"/>
    <w:rsid w:val="00610B19"/>
    <w:rsid w:val="00610E33"/>
    <w:rsid w:val="00610F54"/>
    <w:rsid w:val="00611715"/>
    <w:rsid w:val="00611D22"/>
    <w:rsid w:val="00613459"/>
    <w:rsid w:val="00613EC1"/>
    <w:rsid w:val="00617BF0"/>
    <w:rsid w:val="0062143A"/>
    <w:rsid w:val="00622893"/>
    <w:rsid w:val="006231F7"/>
    <w:rsid w:val="00623604"/>
    <w:rsid w:val="00624307"/>
    <w:rsid w:val="00626254"/>
    <w:rsid w:val="0062659D"/>
    <w:rsid w:val="0062690B"/>
    <w:rsid w:val="006272AB"/>
    <w:rsid w:val="006273C3"/>
    <w:rsid w:val="00630120"/>
    <w:rsid w:val="006314FB"/>
    <w:rsid w:val="006318D4"/>
    <w:rsid w:val="00631C67"/>
    <w:rsid w:val="006329BC"/>
    <w:rsid w:val="00633CC2"/>
    <w:rsid w:val="00634A77"/>
    <w:rsid w:val="00634B3F"/>
    <w:rsid w:val="00636105"/>
    <w:rsid w:val="00637BA2"/>
    <w:rsid w:val="00637D47"/>
    <w:rsid w:val="0064000D"/>
    <w:rsid w:val="00640772"/>
    <w:rsid w:val="00641BE0"/>
    <w:rsid w:val="0064356E"/>
    <w:rsid w:val="00643F7E"/>
    <w:rsid w:val="00644235"/>
    <w:rsid w:val="006451C3"/>
    <w:rsid w:val="006468C5"/>
    <w:rsid w:val="0065002B"/>
    <w:rsid w:val="0065055D"/>
    <w:rsid w:val="00650FA5"/>
    <w:rsid w:val="006517F4"/>
    <w:rsid w:val="006523D5"/>
    <w:rsid w:val="0065310A"/>
    <w:rsid w:val="00655732"/>
    <w:rsid w:val="006567FD"/>
    <w:rsid w:val="00656BC6"/>
    <w:rsid w:val="00656CA0"/>
    <w:rsid w:val="00660CDC"/>
    <w:rsid w:val="006619A0"/>
    <w:rsid w:val="00663798"/>
    <w:rsid w:val="006637BC"/>
    <w:rsid w:val="00663CDE"/>
    <w:rsid w:val="00664C58"/>
    <w:rsid w:val="00666325"/>
    <w:rsid w:val="00667D64"/>
    <w:rsid w:val="00667D83"/>
    <w:rsid w:val="0067207A"/>
    <w:rsid w:val="006732DB"/>
    <w:rsid w:val="00673CD0"/>
    <w:rsid w:val="006753D9"/>
    <w:rsid w:val="006771F9"/>
    <w:rsid w:val="006807DD"/>
    <w:rsid w:val="0068094E"/>
    <w:rsid w:val="00680CE0"/>
    <w:rsid w:val="00684D5D"/>
    <w:rsid w:val="0068508D"/>
    <w:rsid w:val="0068532A"/>
    <w:rsid w:val="00685683"/>
    <w:rsid w:val="0069075B"/>
    <w:rsid w:val="00692AD0"/>
    <w:rsid w:val="00694675"/>
    <w:rsid w:val="00694A8A"/>
    <w:rsid w:val="00695741"/>
    <w:rsid w:val="006962DE"/>
    <w:rsid w:val="00697114"/>
    <w:rsid w:val="00697C80"/>
    <w:rsid w:val="006A116A"/>
    <w:rsid w:val="006A2078"/>
    <w:rsid w:val="006A3B47"/>
    <w:rsid w:val="006A4365"/>
    <w:rsid w:val="006A51BB"/>
    <w:rsid w:val="006A5C2C"/>
    <w:rsid w:val="006A717A"/>
    <w:rsid w:val="006A72E6"/>
    <w:rsid w:val="006A7FC6"/>
    <w:rsid w:val="006B0058"/>
    <w:rsid w:val="006B1A89"/>
    <w:rsid w:val="006B27F8"/>
    <w:rsid w:val="006B315C"/>
    <w:rsid w:val="006B3EAB"/>
    <w:rsid w:val="006B5C30"/>
    <w:rsid w:val="006B791F"/>
    <w:rsid w:val="006C240A"/>
    <w:rsid w:val="006C3FA5"/>
    <w:rsid w:val="006C5C6A"/>
    <w:rsid w:val="006D049D"/>
    <w:rsid w:val="006D1D32"/>
    <w:rsid w:val="006D25C0"/>
    <w:rsid w:val="006D3860"/>
    <w:rsid w:val="006D5291"/>
    <w:rsid w:val="006D61B1"/>
    <w:rsid w:val="006D7582"/>
    <w:rsid w:val="006D797D"/>
    <w:rsid w:val="006D7982"/>
    <w:rsid w:val="006E16F8"/>
    <w:rsid w:val="006E2B8D"/>
    <w:rsid w:val="006E3AE1"/>
    <w:rsid w:val="006E3E52"/>
    <w:rsid w:val="006E48DB"/>
    <w:rsid w:val="006E5778"/>
    <w:rsid w:val="006E6292"/>
    <w:rsid w:val="006F1CE1"/>
    <w:rsid w:val="006F1F40"/>
    <w:rsid w:val="006F2997"/>
    <w:rsid w:val="006F36B1"/>
    <w:rsid w:val="006F3767"/>
    <w:rsid w:val="006F381F"/>
    <w:rsid w:val="006F38CE"/>
    <w:rsid w:val="006F4802"/>
    <w:rsid w:val="006F6AED"/>
    <w:rsid w:val="006F6D20"/>
    <w:rsid w:val="006F79CB"/>
    <w:rsid w:val="00700979"/>
    <w:rsid w:val="007014D0"/>
    <w:rsid w:val="00702AB7"/>
    <w:rsid w:val="0070463E"/>
    <w:rsid w:val="00705033"/>
    <w:rsid w:val="007053F1"/>
    <w:rsid w:val="0070561C"/>
    <w:rsid w:val="007060F9"/>
    <w:rsid w:val="007074D1"/>
    <w:rsid w:val="00711924"/>
    <w:rsid w:val="007142EE"/>
    <w:rsid w:val="00715E60"/>
    <w:rsid w:val="0072106B"/>
    <w:rsid w:val="00721AFE"/>
    <w:rsid w:val="0072239B"/>
    <w:rsid w:val="0072372E"/>
    <w:rsid w:val="007240DB"/>
    <w:rsid w:val="0072590C"/>
    <w:rsid w:val="00725A2C"/>
    <w:rsid w:val="00725C7B"/>
    <w:rsid w:val="00726CB9"/>
    <w:rsid w:val="00730066"/>
    <w:rsid w:val="00730464"/>
    <w:rsid w:val="007304C0"/>
    <w:rsid w:val="00730AE1"/>
    <w:rsid w:val="007312AC"/>
    <w:rsid w:val="00731782"/>
    <w:rsid w:val="00732AB3"/>
    <w:rsid w:val="00732F22"/>
    <w:rsid w:val="00733F65"/>
    <w:rsid w:val="00734E41"/>
    <w:rsid w:val="00735174"/>
    <w:rsid w:val="007351CB"/>
    <w:rsid w:val="0073681B"/>
    <w:rsid w:val="007374FC"/>
    <w:rsid w:val="007412E7"/>
    <w:rsid w:val="00743853"/>
    <w:rsid w:val="007455AE"/>
    <w:rsid w:val="007461C3"/>
    <w:rsid w:val="0074640B"/>
    <w:rsid w:val="007471CA"/>
    <w:rsid w:val="00747353"/>
    <w:rsid w:val="007519D6"/>
    <w:rsid w:val="00751F96"/>
    <w:rsid w:val="00752156"/>
    <w:rsid w:val="00752885"/>
    <w:rsid w:val="00754532"/>
    <w:rsid w:val="0075464B"/>
    <w:rsid w:val="00754663"/>
    <w:rsid w:val="007564D7"/>
    <w:rsid w:val="00757E42"/>
    <w:rsid w:val="00761E52"/>
    <w:rsid w:val="00762105"/>
    <w:rsid w:val="00762D6C"/>
    <w:rsid w:val="00764D6E"/>
    <w:rsid w:val="0076727A"/>
    <w:rsid w:val="0076772B"/>
    <w:rsid w:val="00771355"/>
    <w:rsid w:val="0077162A"/>
    <w:rsid w:val="0077182B"/>
    <w:rsid w:val="0077235C"/>
    <w:rsid w:val="00772903"/>
    <w:rsid w:val="0077300C"/>
    <w:rsid w:val="007740DB"/>
    <w:rsid w:val="00775930"/>
    <w:rsid w:val="00776E2C"/>
    <w:rsid w:val="007779A6"/>
    <w:rsid w:val="007801BB"/>
    <w:rsid w:val="00780D82"/>
    <w:rsid w:val="00780E03"/>
    <w:rsid w:val="007813D0"/>
    <w:rsid w:val="007819C7"/>
    <w:rsid w:val="00782C57"/>
    <w:rsid w:val="00782D52"/>
    <w:rsid w:val="00782E01"/>
    <w:rsid w:val="007835E9"/>
    <w:rsid w:val="00785B4B"/>
    <w:rsid w:val="00785D5F"/>
    <w:rsid w:val="00786B36"/>
    <w:rsid w:val="007872D8"/>
    <w:rsid w:val="00793268"/>
    <w:rsid w:val="00793995"/>
    <w:rsid w:val="00793F31"/>
    <w:rsid w:val="007944FD"/>
    <w:rsid w:val="0079452C"/>
    <w:rsid w:val="00796523"/>
    <w:rsid w:val="00796605"/>
    <w:rsid w:val="00796B4C"/>
    <w:rsid w:val="007971B5"/>
    <w:rsid w:val="007974EB"/>
    <w:rsid w:val="0079750A"/>
    <w:rsid w:val="007A026B"/>
    <w:rsid w:val="007A08E2"/>
    <w:rsid w:val="007A0970"/>
    <w:rsid w:val="007A1A45"/>
    <w:rsid w:val="007A1C07"/>
    <w:rsid w:val="007A1DB9"/>
    <w:rsid w:val="007A36B9"/>
    <w:rsid w:val="007A382F"/>
    <w:rsid w:val="007A3F0B"/>
    <w:rsid w:val="007A4CBC"/>
    <w:rsid w:val="007A5E84"/>
    <w:rsid w:val="007A64F2"/>
    <w:rsid w:val="007A6980"/>
    <w:rsid w:val="007A6D78"/>
    <w:rsid w:val="007B066C"/>
    <w:rsid w:val="007B1295"/>
    <w:rsid w:val="007B2E46"/>
    <w:rsid w:val="007B4AB6"/>
    <w:rsid w:val="007B6074"/>
    <w:rsid w:val="007B7508"/>
    <w:rsid w:val="007B774C"/>
    <w:rsid w:val="007C1840"/>
    <w:rsid w:val="007C2144"/>
    <w:rsid w:val="007C3C76"/>
    <w:rsid w:val="007C4775"/>
    <w:rsid w:val="007C77D3"/>
    <w:rsid w:val="007D0DAA"/>
    <w:rsid w:val="007D15CB"/>
    <w:rsid w:val="007D3BFC"/>
    <w:rsid w:val="007D3FC3"/>
    <w:rsid w:val="007D5686"/>
    <w:rsid w:val="007D683E"/>
    <w:rsid w:val="007D76D7"/>
    <w:rsid w:val="007D7A9C"/>
    <w:rsid w:val="007E0A9F"/>
    <w:rsid w:val="007E0AAF"/>
    <w:rsid w:val="007E0E3E"/>
    <w:rsid w:val="007E129F"/>
    <w:rsid w:val="007E21FD"/>
    <w:rsid w:val="007E2376"/>
    <w:rsid w:val="007E4411"/>
    <w:rsid w:val="007E63E4"/>
    <w:rsid w:val="007E63EF"/>
    <w:rsid w:val="007E663A"/>
    <w:rsid w:val="007F1776"/>
    <w:rsid w:val="007F26DD"/>
    <w:rsid w:val="007F4673"/>
    <w:rsid w:val="007F49B3"/>
    <w:rsid w:val="00800161"/>
    <w:rsid w:val="00800D02"/>
    <w:rsid w:val="0080200A"/>
    <w:rsid w:val="0080307E"/>
    <w:rsid w:val="00805CA3"/>
    <w:rsid w:val="0080744E"/>
    <w:rsid w:val="00807524"/>
    <w:rsid w:val="008102C4"/>
    <w:rsid w:val="0081045A"/>
    <w:rsid w:val="00810A46"/>
    <w:rsid w:val="00811486"/>
    <w:rsid w:val="00812428"/>
    <w:rsid w:val="008131DA"/>
    <w:rsid w:val="0081465D"/>
    <w:rsid w:val="00814BC2"/>
    <w:rsid w:val="00814E79"/>
    <w:rsid w:val="008150E2"/>
    <w:rsid w:val="00815780"/>
    <w:rsid w:val="00816511"/>
    <w:rsid w:val="008169DD"/>
    <w:rsid w:val="008171A6"/>
    <w:rsid w:val="00817703"/>
    <w:rsid w:val="00820685"/>
    <w:rsid w:val="00820D87"/>
    <w:rsid w:val="00821186"/>
    <w:rsid w:val="0082189A"/>
    <w:rsid w:val="0082201B"/>
    <w:rsid w:val="008224B0"/>
    <w:rsid w:val="00822F67"/>
    <w:rsid w:val="00823876"/>
    <w:rsid w:val="00824429"/>
    <w:rsid w:val="00825523"/>
    <w:rsid w:val="00825EC3"/>
    <w:rsid w:val="00826807"/>
    <w:rsid w:val="00826CCE"/>
    <w:rsid w:val="008279A5"/>
    <w:rsid w:val="00827B5C"/>
    <w:rsid w:val="00830763"/>
    <w:rsid w:val="00831721"/>
    <w:rsid w:val="00831F89"/>
    <w:rsid w:val="00833109"/>
    <w:rsid w:val="00833F97"/>
    <w:rsid w:val="0083528D"/>
    <w:rsid w:val="00835468"/>
    <w:rsid w:val="00835699"/>
    <w:rsid w:val="00836253"/>
    <w:rsid w:val="00837539"/>
    <w:rsid w:val="008375DB"/>
    <w:rsid w:val="00840440"/>
    <w:rsid w:val="008407D8"/>
    <w:rsid w:val="00841510"/>
    <w:rsid w:val="00841699"/>
    <w:rsid w:val="0084182D"/>
    <w:rsid w:val="00841FB6"/>
    <w:rsid w:val="00842D1C"/>
    <w:rsid w:val="00844A9D"/>
    <w:rsid w:val="008457BE"/>
    <w:rsid w:val="008459C0"/>
    <w:rsid w:val="00845FC4"/>
    <w:rsid w:val="00846173"/>
    <w:rsid w:val="008476A8"/>
    <w:rsid w:val="00850AB4"/>
    <w:rsid w:val="008510DA"/>
    <w:rsid w:val="00851E72"/>
    <w:rsid w:val="008528B4"/>
    <w:rsid w:val="00854803"/>
    <w:rsid w:val="00854C85"/>
    <w:rsid w:val="00855F86"/>
    <w:rsid w:val="008563BD"/>
    <w:rsid w:val="008565E9"/>
    <w:rsid w:val="00860C6D"/>
    <w:rsid w:val="00861EAC"/>
    <w:rsid w:val="00864C4E"/>
    <w:rsid w:val="0086574C"/>
    <w:rsid w:val="00867E20"/>
    <w:rsid w:val="00870704"/>
    <w:rsid w:val="00870D78"/>
    <w:rsid w:val="00870FA6"/>
    <w:rsid w:val="0087188F"/>
    <w:rsid w:val="00871EE3"/>
    <w:rsid w:val="008728F2"/>
    <w:rsid w:val="008738F8"/>
    <w:rsid w:val="008745C5"/>
    <w:rsid w:val="008748B3"/>
    <w:rsid w:val="00875379"/>
    <w:rsid w:val="008809EC"/>
    <w:rsid w:val="00880C47"/>
    <w:rsid w:val="0088142A"/>
    <w:rsid w:val="00882168"/>
    <w:rsid w:val="00883181"/>
    <w:rsid w:val="008847E8"/>
    <w:rsid w:val="0088562F"/>
    <w:rsid w:val="00890346"/>
    <w:rsid w:val="0089078B"/>
    <w:rsid w:val="00892CA9"/>
    <w:rsid w:val="00892CDE"/>
    <w:rsid w:val="008944C4"/>
    <w:rsid w:val="00894D71"/>
    <w:rsid w:val="00894DF2"/>
    <w:rsid w:val="00895F7C"/>
    <w:rsid w:val="00896446"/>
    <w:rsid w:val="00896569"/>
    <w:rsid w:val="0089751C"/>
    <w:rsid w:val="008975EF"/>
    <w:rsid w:val="008A056D"/>
    <w:rsid w:val="008A0EA9"/>
    <w:rsid w:val="008A2D59"/>
    <w:rsid w:val="008A3DFD"/>
    <w:rsid w:val="008A3E1B"/>
    <w:rsid w:val="008A49DE"/>
    <w:rsid w:val="008A544C"/>
    <w:rsid w:val="008A5892"/>
    <w:rsid w:val="008A6A31"/>
    <w:rsid w:val="008A7AF4"/>
    <w:rsid w:val="008B00F4"/>
    <w:rsid w:val="008B2584"/>
    <w:rsid w:val="008B2B2C"/>
    <w:rsid w:val="008B4921"/>
    <w:rsid w:val="008B5DCA"/>
    <w:rsid w:val="008B7E13"/>
    <w:rsid w:val="008C0336"/>
    <w:rsid w:val="008C13A8"/>
    <w:rsid w:val="008C1A76"/>
    <w:rsid w:val="008C22E2"/>
    <w:rsid w:val="008C2674"/>
    <w:rsid w:val="008C2C1A"/>
    <w:rsid w:val="008C3EF7"/>
    <w:rsid w:val="008C49CD"/>
    <w:rsid w:val="008C4EEE"/>
    <w:rsid w:val="008C5207"/>
    <w:rsid w:val="008C647D"/>
    <w:rsid w:val="008C6942"/>
    <w:rsid w:val="008C6A9D"/>
    <w:rsid w:val="008D138F"/>
    <w:rsid w:val="008D1461"/>
    <w:rsid w:val="008D1E61"/>
    <w:rsid w:val="008D2AB5"/>
    <w:rsid w:val="008D32C6"/>
    <w:rsid w:val="008D3B4F"/>
    <w:rsid w:val="008D4C2D"/>
    <w:rsid w:val="008D6409"/>
    <w:rsid w:val="008D64B0"/>
    <w:rsid w:val="008E15B4"/>
    <w:rsid w:val="008E3355"/>
    <w:rsid w:val="008E5868"/>
    <w:rsid w:val="008E603E"/>
    <w:rsid w:val="008E7523"/>
    <w:rsid w:val="008E76BD"/>
    <w:rsid w:val="008E7A98"/>
    <w:rsid w:val="008F0AC9"/>
    <w:rsid w:val="008F2278"/>
    <w:rsid w:val="008F2DA8"/>
    <w:rsid w:val="008F32F8"/>
    <w:rsid w:val="008F3534"/>
    <w:rsid w:val="008F4151"/>
    <w:rsid w:val="008F47D4"/>
    <w:rsid w:val="008F4CC3"/>
    <w:rsid w:val="008F54CE"/>
    <w:rsid w:val="008F5FE7"/>
    <w:rsid w:val="008F687D"/>
    <w:rsid w:val="008F76ED"/>
    <w:rsid w:val="00900EE8"/>
    <w:rsid w:val="00900F21"/>
    <w:rsid w:val="00901449"/>
    <w:rsid w:val="009015EC"/>
    <w:rsid w:val="00902499"/>
    <w:rsid w:val="009038BB"/>
    <w:rsid w:val="009047CA"/>
    <w:rsid w:val="00905C20"/>
    <w:rsid w:val="00907623"/>
    <w:rsid w:val="009076A2"/>
    <w:rsid w:val="00910018"/>
    <w:rsid w:val="009107FD"/>
    <w:rsid w:val="00911E49"/>
    <w:rsid w:val="00912AD6"/>
    <w:rsid w:val="009130A7"/>
    <w:rsid w:val="009134E9"/>
    <w:rsid w:val="009155C4"/>
    <w:rsid w:val="009156E5"/>
    <w:rsid w:val="009157AA"/>
    <w:rsid w:val="0091596F"/>
    <w:rsid w:val="00916066"/>
    <w:rsid w:val="00921B09"/>
    <w:rsid w:val="00922CA9"/>
    <w:rsid w:val="0092305B"/>
    <w:rsid w:val="0092330B"/>
    <w:rsid w:val="00923BF4"/>
    <w:rsid w:val="00924D56"/>
    <w:rsid w:val="00925B6C"/>
    <w:rsid w:val="00926474"/>
    <w:rsid w:val="00926A7F"/>
    <w:rsid w:val="00930181"/>
    <w:rsid w:val="00930653"/>
    <w:rsid w:val="009316BB"/>
    <w:rsid w:val="009322E1"/>
    <w:rsid w:val="00932483"/>
    <w:rsid w:val="00932C69"/>
    <w:rsid w:val="009333E2"/>
    <w:rsid w:val="0093496C"/>
    <w:rsid w:val="00935C91"/>
    <w:rsid w:val="00935CEF"/>
    <w:rsid w:val="00936773"/>
    <w:rsid w:val="0093698D"/>
    <w:rsid w:val="009369D6"/>
    <w:rsid w:val="009407D8"/>
    <w:rsid w:val="00942FC3"/>
    <w:rsid w:val="0094337E"/>
    <w:rsid w:val="00943F81"/>
    <w:rsid w:val="009453FF"/>
    <w:rsid w:val="0094652A"/>
    <w:rsid w:val="009465C8"/>
    <w:rsid w:val="0094689E"/>
    <w:rsid w:val="00946D30"/>
    <w:rsid w:val="00947AB0"/>
    <w:rsid w:val="00950DA5"/>
    <w:rsid w:val="00951E2F"/>
    <w:rsid w:val="00951F86"/>
    <w:rsid w:val="00952909"/>
    <w:rsid w:val="009544C0"/>
    <w:rsid w:val="00954757"/>
    <w:rsid w:val="00954ED6"/>
    <w:rsid w:val="00955406"/>
    <w:rsid w:val="00956A9A"/>
    <w:rsid w:val="00957015"/>
    <w:rsid w:val="0096184A"/>
    <w:rsid w:val="00962953"/>
    <w:rsid w:val="00963121"/>
    <w:rsid w:val="00963329"/>
    <w:rsid w:val="00963970"/>
    <w:rsid w:val="00963973"/>
    <w:rsid w:val="00964668"/>
    <w:rsid w:val="00964AD9"/>
    <w:rsid w:val="009659A1"/>
    <w:rsid w:val="00965DDB"/>
    <w:rsid w:val="00966190"/>
    <w:rsid w:val="009661AD"/>
    <w:rsid w:val="00967509"/>
    <w:rsid w:val="00967BFF"/>
    <w:rsid w:val="009711CC"/>
    <w:rsid w:val="00971C86"/>
    <w:rsid w:val="0097213A"/>
    <w:rsid w:val="00972D15"/>
    <w:rsid w:val="00972FD5"/>
    <w:rsid w:val="0097429D"/>
    <w:rsid w:val="00974518"/>
    <w:rsid w:val="00974782"/>
    <w:rsid w:val="00975571"/>
    <w:rsid w:val="00976097"/>
    <w:rsid w:val="009761D0"/>
    <w:rsid w:val="00980C12"/>
    <w:rsid w:val="00980CB0"/>
    <w:rsid w:val="0098174A"/>
    <w:rsid w:val="0098245F"/>
    <w:rsid w:val="0098284D"/>
    <w:rsid w:val="00982D9D"/>
    <w:rsid w:val="009834BD"/>
    <w:rsid w:val="0098368D"/>
    <w:rsid w:val="009836DE"/>
    <w:rsid w:val="009842BD"/>
    <w:rsid w:val="009870FD"/>
    <w:rsid w:val="00991E4D"/>
    <w:rsid w:val="00991FE7"/>
    <w:rsid w:val="00992723"/>
    <w:rsid w:val="0099410B"/>
    <w:rsid w:val="00994A88"/>
    <w:rsid w:val="009959FD"/>
    <w:rsid w:val="00997198"/>
    <w:rsid w:val="009A158E"/>
    <w:rsid w:val="009A26F7"/>
    <w:rsid w:val="009A2717"/>
    <w:rsid w:val="009A34BA"/>
    <w:rsid w:val="009A3DD9"/>
    <w:rsid w:val="009A427D"/>
    <w:rsid w:val="009A588A"/>
    <w:rsid w:val="009A5A07"/>
    <w:rsid w:val="009A6F31"/>
    <w:rsid w:val="009A750B"/>
    <w:rsid w:val="009B00AC"/>
    <w:rsid w:val="009B1E20"/>
    <w:rsid w:val="009B4973"/>
    <w:rsid w:val="009B5857"/>
    <w:rsid w:val="009B6374"/>
    <w:rsid w:val="009B6957"/>
    <w:rsid w:val="009B724D"/>
    <w:rsid w:val="009B7FCF"/>
    <w:rsid w:val="009C047E"/>
    <w:rsid w:val="009C0893"/>
    <w:rsid w:val="009C0D19"/>
    <w:rsid w:val="009C16B1"/>
    <w:rsid w:val="009C2008"/>
    <w:rsid w:val="009C2F7D"/>
    <w:rsid w:val="009C3C34"/>
    <w:rsid w:val="009C48D4"/>
    <w:rsid w:val="009C4F90"/>
    <w:rsid w:val="009C5BC4"/>
    <w:rsid w:val="009C6315"/>
    <w:rsid w:val="009C6630"/>
    <w:rsid w:val="009C7217"/>
    <w:rsid w:val="009D0EC7"/>
    <w:rsid w:val="009D128B"/>
    <w:rsid w:val="009D1F69"/>
    <w:rsid w:val="009D55E9"/>
    <w:rsid w:val="009D5B07"/>
    <w:rsid w:val="009D61F1"/>
    <w:rsid w:val="009D627D"/>
    <w:rsid w:val="009D7A44"/>
    <w:rsid w:val="009D7D56"/>
    <w:rsid w:val="009D7E31"/>
    <w:rsid w:val="009E0007"/>
    <w:rsid w:val="009E0841"/>
    <w:rsid w:val="009E0A1F"/>
    <w:rsid w:val="009E1E25"/>
    <w:rsid w:val="009E1E40"/>
    <w:rsid w:val="009E1FC1"/>
    <w:rsid w:val="009E332E"/>
    <w:rsid w:val="009E415C"/>
    <w:rsid w:val="009E4848"/>
    <w:rsid w:val="009E6DA8"/>
    <w:rsid w:val="009E7EAD"/>
    <w:rsid w:val="009F00B8"/>
    <w:rsid w:val="009F04C8"/>
    <w:rsid w:val="009F0E03"/>
    <w:rsid w:val="009F1372"/>
    <w:rsid w:val="009F2187"/>
    <w:rsid w:val="009F6813"/>
    <w:rsid w:val="009F7CBC"/>
    <w:rsid w:val="00A00434"/>
    <w:rsid w:val="00A01DFE"/>
    <w:rsid w:val="00A01EC4"/>
    <w:rsid w:val="00A01FF8"/>
    <w:rsid w:val="00A03B95"/>
    <w:rsid w:val="00A040C7"/>
    <w:rsid w:val="00A044C7"/>
    <w:rsid w:val="00A04968"/>
    <w:rsid w:val="00A05B50"/>
    <w:rsid w:val="00A071F0"/>
    <w:rsid w:val="00A07ADA"/>
    <w:rsid w:val="00A10D9D"/>
    <w:rsid w:val="00A130D9"/>
    <w:rsid w:val="00A13D71"/>
    <w:rsid w:val="00A1490B"/>
    <w:rsid w:val="00A16180"/>
    <w:rsid w:val="00A16669"/>
    <w:rsid w:val="00A16F47"/>
    <w:rsid w:val="00A17203"/>
    <w:rsid w:val="00A236A8"/>
    <w:rsid w:val="00A23A80"/>
    <w:rsid w:val="00A2464D"/>
    <w:rsid w:val="00A30272"/>
    <w:rsid w:val="00A304C3"/>
    <w:rsid w:val="00A322AC"/>
    <w:rsid w:val="00A32475"/>
    <w:rsid w:val="00A32D34"/>
    <w:rsid w:val="00A34CC3"/>
    <w:rsid w:val="00A35155"/>
    <w:rsid w:val="00A35428"/>
    <w:rsid w:val="00A354A2"/>
    <w:rsid w:val="00A3561D"/>
    <w:rsid w:val="00A35DE6"/>
    <w:rsid w:val="00A37AEB"/>
    <w:rsid w:val="00A40B93"/>
    <w:rsid w:val="00A417E8"/>
    <w:rsid w:val="00A41886"/>
    <w:rsid w:val="00A42769"/>
    <w:rsid w:val="00A430D3"/>
    <w:rsid w:val="00A4434C"/>
    <w:rsid w:val="00A45574"/>
    <w:rsid w:val="00A503AE"/>
    <w:rsid w:val="00A508A8"/>
    <w:rsid w:val="00A50B60"/>
    <w:rsid w:val="00A5417B"/>
    <w:rsid w:val="00A55FD7"/>
    <w:rsid w:val="00A56783"/>
    <w:rsid w:val="00A56B5F"/>
    <w:rsid w:val="00A56CBC"/>
    <w:rsid w:val="00A57A68"/>
    <w:rsid w:val="00A61D39"/>
    <w:rsid w:val="00A622B7"/>
    <w:rsid w:val="00A64899"/>
    <w:rsid w:val="00A648C8"/>
    <w:rsid w:val="00A64F8A"/>
    <w:rsid w:val="00A64FFA"/>
    <w:rsid w:val="00A6558E"/>
    <w:rsid w:val="00A678BE"/>
    <w:rsid w:val="00A70270"/>
    <w:rsid w:val="00A719F4"/>
    <w:rsid w:val="00A72018"/>
    <w:rsid w:val="00A72480"/>
    <w:rsid w:val="00A72818"/>
    <w:rsid w:val="00A731DC"/>
    <w:rsid w:val="00A73437"/>
    <w:rsid w:val="00A75744"/>
    <w:rsid w:val="00A77447"/>
    <w:rsid w:val="00A813BE"/>
    <w:rsid w:val="00A818DC"/>
    <w:rsid w:val="00A82277"/>
    <w:rsid w:val="00A822F3"/>
    <w:rsid w:val="00A8337A"/>
    <w:rsid w:val="00A8347A"/>
    <w:rsid w:val="00A844C4"/>
    <w:rsid w:val="00A8466E"/>
    <w:rsid w:val="00A8519D"/>
    <w:rsid w:val="00A85306"/>
    <w:rsid w:val="00A90058"/>
    <w:rsid w:val="00A90E5D"/>
    <w:rsid w:val="00A92888"/>
    <w:rsid w:val="00A9296E"/>
    <w:rsid w:val="00A93147"/>
    <w:rsid w:val="00A93944"/>
    <w:rsid w:val="00A93DD3"/>
    <w:rsid w:val="00A953DE"/>
    <w:rsid w:val="00A958DB"/>
    <w:rsid w:val="00A9749C"/>
    <w:rsid w:val="00AA0102"/>
    <w:rsid w:val="00AA148D"/>
    <w:rsid w:val="00AA15B9"/>
    <w:rsid w:val="00AA2C9B"/>
    <w:rsid w:val="00AA301C"/>
    <w:rsid w:val="00AA41C0"/>
    <w:rsid w:val="00AA4D5C"/>
    <w:rsid w:val="00AA50C1"/>
    <w:rsid w:val="00AA5C80"/>
    <w:rsid w:val="00AA69D2"/>
    <w:rsid w:val="00AA6FD2"/>
    <w:rsid w:val="00AA782C"/>
    <w:rsid w:val="00AA7C13"/>
    <w:rsid w:val="00AA7CC5"/>
    <w:rsid w:val="00AB014F"/>
    <w:rsid w:val="00AB0C50"/>
    <w:rsid w:val="00AB1766"/>
    <w:rsid w:val="00AB1986"/>
    <w:rsid w:val="00AB1AB6"/>
    <w:rsid w:val="00AB2D00"/>
    <w:rsid w:val="00AB3288"/>
    <w:rsid w:val="00AB3F63"/>
    <w:rsid w:val="00AB5250"/>
    <w:rsid w:val="00AB5587"/>
    <w:rsid w:val="00AB569E"/>
    <w:rsid w:val="00AB6447"/>
    <w:rsid w:val="00AB7FEA"/>
    <w:rsid w:val="00AC1282"/>
    <w:rsid w:val="00AC164D"/>
    <w:rsid w:val="00AC1C79"/>
    <w:rsid w:val="00AC28EA"/>
    <w:rsid w:val="00AC3673"/>
    <w:rsid w:val="00AC3BE2"/>
    <w:rsid w:val="00AC4570"/>
    <w:rsid w:val="00AC4B0A"/>
    <w:rsid w:val="00AC6E7A"/>
    <w:rsid w:val="00AC7C5F"/>
    <w:rsid w:val="00AC7C6C"/>
    <w:rsid w:val="00AD0627"/>
    <w:rsid w:val="00AD2630"/>
    <w:rsid w:val="00AD2CCA"/>
    <w:rsid w:val="00AD52A0"/>
    <w:rsid w:val="00AD5D6B"/>
    <w:rsid w:val="00AD6168"/>
    <w:rsid w:val="00AD64D0"/>
    <w:rsid w:val="00AD7593"/>
    <w:rsid w:val="00AD7ACF"/>
    <w:rsid w:val="00AE0F57"/>
    <w:rsid w:val="00AE13F6"/>
    <w:rsid w:val="00AE140F"/>
    <w:rsid w:val="00AE1750"/>
    <w:rsid w:val="00AE27EF"/>
    <w:rsid w:val="00AE602E"/>
    <w:rsid w:val="00AE6040"/>
    <w:rsid w:val="00AF0CD1"/>
    <w:rsid w:val="00AF3655"/>
    <w:rsid w:val="00AF3B93"/>
    <w:rsid w:val="00AF6B79"/>
    <w:rsid w:val="00AF7579"/>
    <w:rsid w:val="00AF77E8"/>
    <w:rsid w:val="00B02C7B"/>
    <w:rsid w:val="00B0321C"/>
    <w:rsid w:val="00B039E8"/>
    <w:rsid w:val="00B056FC"/>
    <w:rsid w:val="00B05F38"/>
    <w:rsid w:val="00B06029"/>
    <w:rsid w:val="00B06408"/>
    <w:rsid w:val="00B06443"/>
    <w:rsid w:val="00B06F0C"/>
    <w:rsid w:val="00B07DFC"/>
    <w:rsid w:val="00B10214"/>
    <w:rsid w:val="00B10265"/>
    <w:rsid w:val="00B10D3A"/>
    <w:rsid w:val="00B115FF"/>
    <w:rsid w:val="00B13084"/>
    <w:rsid w:val="00B15896"/>
    <w:rsid w:val="00B160B4"/>
    <w:rsid w:val="00B16C61"/>
    <w:rsid w:val="00B17F5A"/>
    <w:rsid w:val="00B2173A"/>
    <w:rsid w:val="00B21834"/>
    <w:rsid w:val="00B21857"/>
    <w:rsid w:val="00B2225D"/>
    <w:rsid w:val="00B23B67"/>
    <w:rsid w:val="00B25D15"/>
    <w:rsid w:val="00B25D38"/>
    <w:rsid w:val="00B25F6A"/>
    <w:rsid w:val="00B262BB"/>
    <w:rsid w:val="00B26685"/>
    <w:rsid w:val="00B2680C"/>
    <w:rsid w:val="00B269F6"/>
    <w:rsid w:val="00B26B64"/>
    <w:rsid w:val="00B274F1"/>
    <w:rsid w:val="00B30B38"/>
    <w:rsid w:val="00B32E08"/>
    <w:rsid w:val="00B32F1C"/>
    <w:rsid w:val="00B33818"/>
    <w:rsid w:val="00B33F46"/>
    <w:rsid w:val="00B34A8C"/>
    <w:rsid w:val="00B364E0"/>
    <w:rsid w:val="00B37A48"/>
    <w:rsid w:val="00B40E6A"/>
    <w:rsid w:val="00B4192F"/>
    <w:rsid w:val="00B42FC0"/>
    <w:rsid w:val="00B4477F"/>
    <w:rsid w:val="00B44B7C"/>
    <w:rsid w:val="00B45AF1"/>
    <w:rsid w:val="00B45F12"/>
    <w:rsid w:val="00B46416"/>
    <w:rsid w:val="00B46756"/>
    <w:rsid w:val="00B46813"/>
    <w:rsid w:val="00B47651"/>
    <w:rsid w:val="00B47E67"/>
    <w:rsid w:val="00B47FFD"/>
    <w:rsid w:val="00B50015"/>
    <w:rsid w:val="00B5050D"/>
    <w:rsid w:val="00B515C2"/>
    <w:rsid w:val="00B52663"/>
    <w:rsid w:val="00B529BF"/>
    <w:rsid w:val="00B53DE2"/>
    <w:rsid w:val="00B5435F"/>
    <w:rsid w:val="00B56265"/>
    <w:rsid w:val="00B569E8"/>
    <w:rsid w:val="00B57BEB"/>
    <w:rsid w:val="00B62F41"/>
    <w:rsid w:val="00B65A99"/>
    <w:rsid w:val="00B65F23"/>
    <w:rsid w:val="00B65FAB"/>
    <w:rsid w:val="00B679CA"/>
    <w:rsid w:val="00B7046A"/>
    <w:rsid w:val="00B70A63"/>
    <w:rsid w:val="00B70BF1"/>
    <w:rsid w:val="00B70EF2"/>
    <w:rsid w:val="00B71A1D"/>
    <w:rsid w:val="00B71FEA"/>
    <w:rsid w:val="00B72CD7"/>
    <w:rsid w:val="00B73B33"/>
    <w:rsid w:val="00B75608"/>
    <w:rsid w:val="00B7571E"/>
    <w:rsid w:val="00B7742A"/>
    <w:rsid w:val="00B779B4"/>
    <w:rsid w:val="00B77E3A"/>
    <w:rsid w:val="00B80875"/>
    <w:rsid w:val="00B80D6C"/>
    <w:rsid w:val="00B80FF8"/>
    <w:rsid w:val="00B81BF3"/>
    <w:rsid w:val="00B81F81"/>
    <w:rsid w:val="00B83802"/>
    <w:rsid w:val="00B84BB6"/>
    <w:rsid w:val="00B868AF"/>
    <w:rsid w:val="00B86BF0"/>
    <w:rsid w:val="00B8703D"/>
    <w:rsid w:val="00B87233"/>
    <w:rsid w:val="00B90205"/>
    <w:rsid w:val="00B915EF"/>
    <w:rsid w:val="00B9442B"/>
    <w:rsid w:val="00B94B15"/>
    <w:rsid w:val="00B95E2B"/>
    <w:rsid w:val="00B975E2"/>
    <w:rsid w:val="00BA1044"/>
    <w:rsid w:val="00BA1690"/>
    <w:rsid w:val="00BA1E57"/>
    <w:rsid w:val="00BA2FA6"/>
    <w:rsid w:val="00BA34A4"/>
    <w:rsid w:val="00BA3FE7"/>
    <w:rsid w:val="00BA4909"/>
    <w:rsid w:val="00BA4FED"/>
    <w:rsid w:val="00BA5D7A"/>
    <w:rsid w:val="00BA640A"/>
    <w:rsid w:val="00BA6C0F"/>
    <w:rsid w:val="00BA710D"/>
    <w:rsid w:val="00BB01AF"/>
    <w:rsid w:val="00BB0879"/>
    <w:rsid w:val="00BB1638"/>
    <w:rsid w:val="00BB220F"/>
    <w:rsid w:val="00BB2C83"/>
    <w:rsid w:val="00BB3E78"/>
    <w:rsid w:val="00BB4D10"/>
    <w:rsid w:val="00BB5579"/>
    <w:rsid w:val="00BB6C75"/>
    <w:rsid w:val="00BB731E"/>
    <w:rsid w:val="00BC0611"/>
    <w:rsid w:val="00BC0B07"/>
    <w:rsid w:val="00BC1FAC"/>
    <w:rsid w:val="00BC2380"/>
    <w:rsid w:val="00BC39D5"/>
    <w:rsid w:val="00BC4B21"/>
    <w:rsid w:val="00BC4EDC"/>
    <w:rsid w:val="00BC5413"/>
    <w:rsid w:val="00BC5CFC"/>
    <w:rsid w:val="00BD0B01"/>
    <w:rsid w:val="00BD0E71"/>
    <w:rsid w:val="00BD176D"/>
    <w:rsid w:val="00BD26F4"/>
    <w:rsid w:val="00BD312C"/>
    <w:rsid w:val="00BD373A"/>
    <w:rsid w:val="00BD4971"/>
    <w:rsid w:val="00BD4E54"/>
    <w:rsid w:val="00BD5969"/>
    <w:rsid w:val="00BD61E0"/>
    <w:rsid w:val="00BD66BF"/>
    <w:rsid w:val="00BD7C94"/>
    <w:rsid w:val="00BE0653"/>
    <w:rsid w:val="00BE140B"/>
    <w:rsid w:val="00BE39F8"/>
    <w:rsid w:val="00BE3E33"/>
    <w:rsid w:val="00BE44C5"/>
    <w:rsid w:val="00BE46A1"/>
    <w:rsid w:val="00BE64D8"/>
    <w:rsid w:val="00BE75C1"/>
    <w:rsid w:val="00BE7D38"/>
    <w:rsid w:val="00BF03DC"/>
    <w:rsid w:val="00BF0FC5"/>
    <w:rsid w:val="00BF342C"/>
    <w:rsid w:val="00BF3E5D"/>
    <w:rsid w:val="00C008CE"/>
    <w:rsid w:val="00C02768"/>
    <w:rsid w:val="00C02E7C"/>
    <w:rsid w:val="00C05026"/>
    <w:rsid w:val="00C06023"/>
    <w:rsid w:val="00C07DFB"/>
    <w:rsid w:val="00C1160C"/>
    <w:rsid w:val="00C149E9"/>
    <w:rsid w:val="00C17D0F"/>
    <w:rsid w:val="00C2259A"/>
    <w:rsid w:val="00C22BDC"/>
    <w:rsid w:val="00C23581"/>
    <w:rsid w:val="00C25617"/>
    <w:rsid w:val="00C25E81"/>
    <w:rsid w:val="00C27335"/>
    <w:rsid w:val="00C3011F"/>
    <w:rsid w:val="00C32A72"/>
    <w:rsid w:val="00C32BFC"/>
    <w:rsid w:val="00C33AE6"/>
    <w:rsid w:val="00C34B36"/>
    <w:rsid w:val="00C3554B"/>
    <w:rsid w:val="00C36779"/>
    <w:rsid w:val="00C36EAA"/>
    <w:rsid w:val="00C3766A"/>
    <w:rsid w:val="00C40262"/>
    <w:rsid w:val="00C40835"/>
    <w:rsid w:val="00C40D2C"/>
    <w:rsid w:val="00C41486"/>
    <w:rsid w:val="00C426CE"/>
    <w:rsid w:val="00C427AF"/>
    <w:rsid w:val="00C42A14"/>
    <w:rsid w:val="00C43405"/>
    <w:rsid w:val="00C436F6"/>
    <w:rsid w:val="00C43DD1"/>
    <w:rsid w:val="00C454EB"/>
    <w:rsid w:val="00C4649E"/>
    <w:rsid w:val="00C47187"/>
    <w:rsid w:val="00C4777C"/>
    <w:rsid w:val="00C47842"/>
    <w:rsid w:val="00C50168"/>
    <w:rsid w:val="00C515D2"/>
    <w:rsid w:val="00C55B9B"/>
    <w:rsid w:val="00C568B0"/>
    <w:rsid w:val="00C5725B"/>
    <w:rsid w:val="00C602B0"/>
    <w:rsid w:val="00C605E8"/>
    <w:rsid w:val="00C6062F"/>
    <w:rsid w:val="00C60879"/>
    <w:rsid w:val="00C60E64"/>
    <w:rsid w:val="00C61761"/>
    <w:rsid w:val="00C627EE"/>
    <w:rsid w:val="00C634FF"/>
    <w:rsid w:val="00C667C0"/>
    <w:rsid w:val="00C6775A"/>
    <w:rsid w:val="00C70EB8"/>
    <w:rsid w:val="00C73DBE"/>
    <w:rsid w:val="00C7420E"/>
    <w:rsid w:val="00C744D7"/>
    <w:rsid w:val="00C75640"/>
    <w:rsid w:val="00C77052"/>
    <w:rsid w:val="00C775B7"/>
    <w:rsid w:val="00C8026F"/>
    <w:rsid w:val="00C82564"/>
    <w:rsid w:val="00C82A21"/>
    <w:rsid w:val="00C82D4F"/>
    <w:rsid w:val="00C830D9"/>
    <w:rsid w:val="00C83B65"/>
    <w:rsid w:val="00C83C97"/>
    <w:rsid w:val="00C84143"/>
    <w:rsid w:val="00C8546D"/>
    <w:rsid w:val="00C8597A"/>
    <w:rsid w:val="00C85E95"/>
    <w:rsid w:val="00C86643"/>
    <w:rsid w:val="00C87728"/>
    <w:rsid w:val="00C87EDE"/>
    <w:rsid w:val="00C90BA7"/>
    <w:rsid w:val="00C91A42"/>
    <w:rsid w:val="00C92C76"/>
    <w:rsid w:val="00C92E69"/>
    <w:rsid w:val="00C94492"/>
    <w:rsid w:val="00C9451F"/>
    <w:rsid w:val="00C954B6"/>
    <w:rsid w:val="00C96AD4"/>
    <w:rsid w:val="00C9765F"/>
    <w:rsid w:val="00CA03D3"/>
    <w:rsid w:val="00CA132D"/>
    <w:rsid w:val="00CA2233"/>
    <w:rsid w:val="00CA29B8"/>
    <w:rsid w:val="00CA2A36"/>
    <w:rsid w:val="00CA2EB1"/>
    <w:rsid w:val="00CA400E"/>
    <w:rsid w:val="00CA432F"/>
    <w:rsid w:val="00CA4ACC"/>
    <w:rsid w:val="00CA66CA"/>
    <w:rsid w:val="00CB047A"/>
    <w:rsid w:val="00CB15E1"/>
    <w:rsid w:val="00CB1854"/>
    <w:rsid w:val="00CB1FD0"/>
    <w:rsid w:val="00CB4EB3"/>
    <w:rsid w:val="00CB5B47"/>
    <w:rsid w:val="00CC043D"/>
    <w:rsid w:val="00CC0B86"/>
    <w:rsid w:val="00CC1453"/>
    <w:rsid w:val="00CC18FA"/>
    <w:rsid w:val="00CC1D2D"/>
    <w:rsid w:val="00CC2E95"/>
    <w:rsid w:val="00CC4A87"/>
    <w:rsid w:val="00CC5475"/>
    <w:rsid w:val="00CC7018"/>
    <w:rsid w:val="00CD19E8"/>
    <w:rsid w:val="00CD2FB5"/>
    <w:rsid w:val="00CD57FD"/>
    <w:rsid w:val="00CE036F"/>
    <w:rsid w:val="00CE190E"/>
    <w:rsid w:val="00CE2196"/>
    <w:rsid w:val="00CE2A72"/>
    <w:rsid w:val="00CE4B02"/>
    <w:rsid w:val="00CE4B64"/>
    <w:rsid w:val="00CE64FA"/>
    <w:rsid w:val="00CE6EB5"/>
    <w:rsid w:val="00CE773B"/>
    <w:rsid w:val="00CE7A14"/>
    <w:rsid w:val="00CF1DF5"/>
    <w:rsid w:val="00CF2F0F"/>
    <w:rsid w:val="00CF37FF"/>
    <w:rsid w:val="00CF44CD"/>
    <w:rsid w:val="00CF4F99"/>
    <w:rsid w:val="00CF65A1"/>
    <w:rsid w:val="00D00047"/>
    <w:rsid w:val="00D009B3"/>
    <w:rsid w:val="00D018EB"/>
    <w:rsid w:val="00D021C1"/>
    <w:rsid w:val="00D03245"/>
    <w:rsid w:val="00D036C9"/>
    <w:rsid w:val="00D0385E"/>
    <w:rsid w:val="00D04954"/>
    <w:rsid w:val="00D060EC"/>
    <w:rsid w:val="00D10629"/>
    <w:rsid w:val="00D10779"/>
    <w:rsid w:val="00D120CD"/>
    <w:rsid w:val="00D13963"/>
    <w:rsid w:val="00D13A23"/>
    <w:rsid w:val="00D1449C"/>
    <w:rsid w:val="00D15F6E"/>
    <w:rsid w:val="00D165E8"/>
    <w:rsid w:val="00D167A8"/>
    <w:rsid w:val="00D203CC"/>
    <w:rsid w:val="00D23F4F"/>
    <w:rsid w:val="00D25AD1"/>
    <w:rsid w:val="00D26175"/>
    <w:rsid w:val="00D264DE"/>
    <w:rsid w:val="00D305B9"/>
    <w:rsid w:val="00D30D41"/>
    <w:rsid w:val="00D312CE"/>
    <w:rsid w:val="00D31CDD"/>
    <w:rsid w:val="00D34E00"/>
    <w:rsid w:val="00D3532E"/>
    <w:rsid w:val="00D353D7"/>
    <w:rsid w:val="00D37155"/>
    <w:rsid w:val="00D377FC"/>
    <w:rsid w:val="00D3790C"/>
    <w:rsid w:val="00D37D87"/>
    <w:rsid w:val="00D40DB8"/>
    <w:rsid w:val="00D419A3"/>
    <w:rsid w:val="00D42F14"/>
    <w:rsid w:val="00D44E40"/>
    <w:rsid w:val="00D45BC2"/>
    <w:rsid w:val="00D45E35"/>
    <w:rsid w:val="00D461AA"/>
    <w:rsid w:val="00D4650A"/>
    <w:rsid w:val="00D471B5"/>
    <w:rsid w:val="00D503B9"/>
    <w:rsid w:val="00D5155A"/>
    <w:rsid w:val="00D5298A"/>
    <w:rsid w:val="00D52B2F"/>
    <w:rsid w:val="00D53685"/>
    <w:rsid w:val="00D53E90"/>
    <w:rsid w:val="00D54D1B"/>
    <w:rsid w:val="00D5586D"/>
    <w:rsid w:val="00D55C52"/>
    <w:rsid w:val="00D561EC"/>
    <w:rsid w:val="00D563AE"/>
    <w:rsid w:val="00D56EA6"/>
    <w:rsid w:val="00D5732B"/>
    <w:rsid w:val="00D61F6D"/>
    <w:rsid w:val="00D62962"/>
    <w:rsid w:val="00D63977"/>
    <w:rsid w:val="00D6476D"/>
    <w:rsid w:val="00D65851"/>
    <w:rsid w:val="00D65937"/>
    <w:rsid w:val="00D67E74"/>
    <w:rsid w:val="00D70442"/>
    <w:rsid w:val="00D70C4F"/>
    <w:rsid w:val="00D71513"/>
    <w:rsid w:val="00D717F4"/>
    <w:rsid w:val="00D72168"/>
    <w:rsid w:val="00D722D5"/>
    <w:rsid w:val="00D734EC"/>
    <w:rsid w:val="00D73793"/>
    <w:rsid w:val="00D73849"/>
    <w:rsid w:val="00D7443A"/>
    <w:rsid w:val="00D7453F"/>
    <w:rsid w:val="00D74F95"/>
    <w:rsid w:val="00D77318"/>
    <w:rsid w:val="00D805EF"/>
    <w:rsid w:val="00D80771"/>
    <w:rsid w:val="00D82614"/>
    <w:rsid w:val="00D82A4C"/>
    <w:rsid w:val="00D82BE4"/>
    <w:rsid w:val="00D82D0F"/>
    <w:rsid w:val="00D839A2"/>
    <w:rsid w:val="00D86CA8"/>
    <w:rsid w:val="00D86F47"/>
    <w:rsid w:val="00D91446"/>
    <w:rsid w:val="00D92373"/>
    <w:rsid w:val="00D92B49"/>
    <w:rsid w:val="00D93016"/>
    <w:rsid w:val="00D93A19"/>
    <w:rsid w:val="00D93E07"/>
    <w:rsid w:val="00D94D49"/>
    <w:rsid w:val="00D95260"/>
    <w:rsid w:val="00D95DDE"/>
    <w:rsid w:val="00D95E9B"/>
    <w:rsid w:val="00D9714F"/>
    <w:rsid w:val="00D97913"/>
    <w:rsid w:val="00DA2B8C"/>
    <w:rsid w:val="00DA3183"/>
    <w:rsid w:val="00DA3247"/>
    <w:rsid w:val="00DA404B"/>
    <w:rsid w:val="00DA4679"/>
    <w:rsid w:val="00DA47B8"/>
    <w:rsid w:val="00DA4B7D"/>
    <w:rsid w:val="00DA5B88"/>
    <w:rsid w:val="00DA6734"/>
    <w:rsid w:val="00DA752E"/>
    <w:rsid w:val="00DB266C"/>
    <w:rsid w:val="00DB2D14"/>
    <w:rsid w:val="00DB2E0A"/>
    <w:rsid w:val="00DB4167"/>
    <w:rsid w:val="00DB5F7E"/>
    <w:rsid w:val="00DB6CBE"/>
    <w:rsid w:val="00DB7891"/>
    <w:rsid w:val="00DB7D40"/>
    <w:rsid w:val="00DC0944"/>
    <w:rsid w:val="00DC0A0B"/>
    <w:rsid w:val="00DC2FFA"/>
    <w:rsid w:val="00DC354F"/>
    <w:rsid w:val="00DC36EA"/>
    <w:rsid w:val="00DC3AD7"/>
    <w:rsid w:val="00DC5996"/>
    <w:rsid w:val="00DC69D1"/>
    <w:rsid w:val="00DC704E"/>
    <w:rsid w:val="00DC731D"/>
    <w:rsid w:val="00DC7380"/>
    <w:rsid w:val="00DD0555"/>
    <w:rsid w:val="00DD0B79"/>
    <w:rsid w:val="00DD1333"/>
    <w:rsid w:val="00DD186B"/>
    <w:rsid w:val="00DD282B"/>
    <w:rsid w:val="00DD2EF1"/>
    <w:rsid w:val="00DD30C0"/>
    <w:rsid w:val="00DD3F50"/>
    <w:rsid w:val="00DD45B4"/>
    <w:rsid w:val="00DD572E"/>
    <w:rsid w:val="00DD6CE2"/>
    <w:rsid w:val="00DD7534"/>
    <w:rsid w:val="00DD7B59"/>
    <w:rsid w:val="00DE1D7C"/>
    <w:rsid w:val="00DE353B"/>
    <w:rsid w:val="00DE3C0F"/>
    <w:rsid w:val="00DE3E49"/>
    <w:rsid w:val="00DE4BAC"/>
    <w:rsid w:val="00DE5FCF"/>
    <w:rsid w:val="00DE5FEA"/>
    <w:rsid w:val="00DE608E"/>
    <w:rsid w:val="00DE6701"/>
    <w:rsid w:val="00DE71CE"/>
    <w:rsid w:val="00DE7F27"/>
    <w:rsid w:val="00DF0F11"/>
    <w:rsid w:val="00DF1F0D"/>
    <w:rsid w:val="00DF1F3D"/>
    <w:rsid w:val="00DF288C"/>
    <w:rsid w:val="00DF3347"/>
    <w:rsid w:val="00DF339F"/>
    <w:rsid w:val="00DF3C48"/>
    <w:rsid w:val="00DF428A"/>
    <w:rsid w:val="00DF432B"/>
    <w:rsid w:val="00DF5D71"/>
    <w:rsid w:val="00DF6432"/>
    <w:rsid w:val="00DF6964"/>
    <w:rsid w:val="00DF6ED9"/>
    <w:rsid w:val="00DF7B80"/>
    <w:rsid w:val="00E002DB"/>
    <w:rsid w:val="00E017F0"/>
    <w:rsid w:val="00E05FDB"/>
    <w:rsid w:val="00E06DD0"/>
    <w:rsid w:val="00E07AD8"/>
    <w:rsid w:val="00E1023C"/>
    <w:rsid w:val="00E1050F"/>
    <w:rsid w:val="00E1221A"/>
    <w:rsid w:val="00E15775"/>
    <w:rsid w:val="00E15B39"/>
    <w:rsid w:val="00E169DE"/>
    <w:rsid w:val="00E16A24"/>
    <w:rsid w:val="00E16EBD"/>
    <w:rsid w:val="00E227CE"/>
    <w:rsid w:val="00E237EF"/>
    <w:rsid w:val="00E245FC"/>
    <w:rsid w:val="00E24D74"/>
    <w:rsid w:val="00E24DB5"/>
    <w:rsid w:val="00E25CC5"/>
    <w:rsid w:val="00E267B9"/>
    <w:rsid w:val="00E27DF0"/>
    <w:rsid w:val="00E300AE"/>
    <w:rsid w:val="00E30831"/>
    <w:rsid w:val="00E3250B"/>
    <w:rsid w:val="00E37592"/>
    <w:rsid w:val="00E40298"/>
    <w:rsid w:val="00E4079E"/>
    <w:rsid w:val="00E42170"/>
    <w:rsid w:val="00E42320"/>
    <w:rsid w:val="00E43320"/>
    <w:rsid w:val="00E4458B"/>
    <w:rsid w:val="00E4490A"/>
    <w:rsid w:val="00E44913"/>
    <w:rsid w:val="00E463F2"/>
    <w:rsid w:val="00E466BE"/>
    <w:rsid w:val="00E50395"/>
    <w:rsid w:val="00E50C2C"/>
    <w:rsid w:val="00E51D84"/>
    <w:rsid w:val="00E51E8A"/>
    <w:rsid w:val="00E529C5"/>
    <w:rsid w:val="00E5301F"/>
    <w:rsid w:val="00E53355"/>
    <w:rsid w:val="00E5357F"/>
    <w:rsid w:val="00E53E4B"/>
    <w:rsid w:val="00E55222"/>
    <w:rsid w:val="00E61D69"/>
    <w:rsid w:val="00E61DF0"/>
    <w:rsid w:val="00E623A3"/>
    <w:rsid w:val="00E635E2"/>
    <w:rsid w:val="00E64702"/>
    <w:rsid w:val="00E64B82"/>
    <w:rsid w:val="00E64F5A"/>
    <w:rsid w:val="00E65129"/>
    <w:rsid w:val="00E6572F"/>
    <w:rsid w:val="00E66163"/>
    <w:rsid w:val="00E66B17"/>
    <w:rsid w:val="00E67C5E"/>
    <w:rsid w:val="00E67F11"/>
    <w:rsid w:val="00E724D2"/>
    <w:rsid w:val="00E74513"/>
    <w:rsid w:val="00E7459C"/>
    <w:rsid w:val="00E754FE"/>
    <w:rsid w:val="00E75F1D"/>
    <w:rsid w:val="00E771FB"/>
    <w:rsid w:val="00E77E46"/>
    <w:rsid w:val="00E80A03"/>
    <w:rsid w:val="00E80C76"/>
    <w:rsid w:val="00E80E17"/>
    <w:rsid w:val="00E83832"/>
    <w:rsid w:val="00E83B07"/>
    <w:rsid w:val="00E85657"/>
    <w:rsid w:val="00E856CD"/>
    <w:rsid w:val="00E8582E"/>
    <w:rsid w:val="00E8613D"/>
    <w:rsid w:val="00E861D9"/>
    <w:rsid w:val="00E863F9"/>
    <w:rsid w:val="00E8799F"/>
    <w:rsid w:val="00E87B92"/>
    <w:rsid w:val="00E91B0C"/>
    <w:rsid w:val="00E92EA1"/>
    <w:rsid w:val="00E964CF"/>
    <w:rsid w:val="00EA0F07"/>
    <w:rsid w:val="00EA1F2D"/>
    <w:rsid w:val="00EA30B7"/>
    <w:rsid w:val="00EA33C9"/>
    <w:rsid w:val="00EA3959"/>
    <w:rsid w:val="00EA3F66"/>
    <w:rsid w:val="00EA521E"/>
    <w:rsid w:val="00EA5C0B"/>
    <w:rsid w:val="00EA7358"/>
    <w:rsid w:val="00EA7A10"/>
    <w:rsid w:val="00EB05FC"/>
    <w:rsid w:val="00EB26BE"/>
    <w:rsid w:val="00EB318B"/>
    <w:rsid w:val="00EB4620"/>
    <w:rsid w:val="00EB5443"/>
    <w:rsid w:val="00EC1D58"/>
    <w:rsid w:val="00EC1DF7"/>
    <w:rsid w:val="00EC3DCC"/>
    <w:rsid w:val="00EC45AC"/>
    <w:rsid w:val="00EC479B"/>
    <w:rsid w:val="00EC4A34"/>
    <w:rsid w:val="00EC5C92"/>
    <w:rsid w:val="00EC5E28"/>
    <w:rsid w:val="00EC5F6D"/>
    <w:rsid w:val="00EC6564"/>
    <w:rsid w:val="00EC6954"/>
    <w:rsid w:val="00EC6E3B"/>
    <w:rsid w:val="00EC7560"/>
    <w:rsid w:val="00ED0A39"/>
    <w:rsid w:val="00ED161A"/>
    <w:rsid w:val="00ED2DCD"/>
    <w:rsid w:val="00ED33B5"/>
    <w:rsid w:val="00ED3B55"/>
    <w:rsid w:val="00ED3BD5"/>
    <w:rsid w:val="00ED3CA0"/>
    <w:rsid w:val="00ED42E8"/>
    <w:rsid w:val="00ED5203"/>
    <w:rsid w:val="00ED5A1D"/>
    <w:rsid w:val="00ED645D"/>
    <w:rsid w:val="00ED699E"/>
    <w:rsid w:val="00ED75E1"/>
    <w:rsid w:val="00ED7642"/>
    <w:rsid w:val="00ED79FF"/>
    <w:rsid w:val="00EE03B1"/>
    <w:rsid w:val="00EE0689"/>
    <w:rsid w:val="00EE077B"/>
    <w:rsid w:val="00EE0868"/>
    <w:rsid w:val="00EE14BC"/>
    <w:rsid w:val="00EE1AF3"/>
    <w:rsid w:val="00EE1CA9"/>
    <w:rsid w:val="00EE2B1A"/>
    <w:rsid w:val="00EE32F4"/>
    <w:rsid w:val="00EE3629"/>
    <w:rsid w:val="00EE370B"/>
    <w:rsid w:val="00EE37D3"/>
    <w:rsid w:val="00EE42D9"/>
    <w:rsid w:val="00EE4DF6"/>
    <w:rsid w:val="00EE67CA"/>
    <w:rsid w:val="00EE6B37"/>
    <w:rsid w:val="00EE771D"/>
    <w:rsid w:val="00EE77EB"/>
    <w:rsid w:val="00EE7A07"/>
    <w:rsid w:val="00EF0683"/>
    <w:rsid w:val="00EF1325"/>
    <w:rsid w:val="00EF21CD"/>
    <w:rsid w:val="00EF3912"/>
    <w:rsid w:val="00EF67E9"/>
    <w:rsid w:val="00EF7596"/>
    <w:rsid w:val="00EF772B"/>
    <w:rsid w:val="00F00009"/>
    <w:rsid w:val="00F012C8"/>
    <w:rsid w:val="00F01D51"/>
    <w:rsid w:val="00F0297C"/>
    <w:rsid w:val="00F033BE"/>
    <w:rsid w:val="00F036DD"/>
    <w:rsid w:val="00F03713"/>
    <w:rsid w:val="00F042F2"/>
    <w:rsid w:val="00F0592A"/>
    <w:rsid w:val="00F0639E"/>
    <w:rsid w:val="00F065F5"/>
    <w:rsid w:val="00F069A1"/>
    <w:rsid w:val="00F07160"/>
    <w:rsid w:val="00F07F6A"/>
    <w:rsid w:val="00F10FF8"/>
    <w:rsid w:val="00F11FD5"/>
    <w:rsid w:val="00F15214"/>
    <w:rsid w:val="00F152BE"/>
    <w:rsid w:val="00F157A8"/>
    <w:rsid w:val="00F169A7"/>
    <w:rsid w:val="00F176CD"/>
    <w:rsid w:val="00F21328"/>
    <w:rsid w:val="00F231DB"/>
    <w:rsid w:val="00F23E4E"/>
    <w:rsid w:val="00F25184"/>
    <w:rsid w:val="00F2532A"/>
    <w:rsid w:val="00F258B6"/>
    <w:rsid w:val="00F2597C"/>
    <w:rsid w:val="00F26C4B"/>
    <w:rsid w:val="00F27EB3"/>
    <w:rsid w:val="00F27F14"/>
    <w:rsid w:val="00F304E7"/>
    <w:rsid w:val="00F307ED"/>
    <w:rsid w:val="00F30CDA"/>
    <w:rsid w:val="00F30D61"/>
    <w:rsid w:val="00F3103E"/>
    <w:rsid w:val="00F3104D"/>
    <w:rsid w:val="00F31242"/>
    <w:rsid w:val="00F31664"/>
    <w:rsid w:val="00F31ABC"/>
    <w:rsid w:val="00F32007"/>
    <w:rsid w:val="00F32CAF"/>
    <w:rsid w:val="00F32FE3"/>
    <w:rsid w:val="00F339F8"/>
    <w:rsid w:val="00F3504D"/>
    <w:rsid w:val="00F35886"/>
    <w:rsid w:val="00F35AAE"/>
    <w:rsid w:val="00F362C7"/>
    <w:rsid w:val="00F363DB"/>
    <w:rsid w:val="00F3680D"/>
    <w:rsid w:val="00F36A27"/>
    <w:rsid w:val="00F4041D"/>
    <w:rsid w:val="00F40BF6"/>
    <w:rsid w:val="00F443B6"/>
    <w:rsid w:val="00F44A2C"/>
    <w:rsid w:val="00F46FDD"/>
    <w:rsid w:val="00F47596"/>
    <w:rsid w:val="00F47CE3"/>
    <w:rsid w:val="00F503E3"/>
    <w:rsid w:val="00F5078E"/>
    <w:rsid w:val="00F52C02"/>
    <w:rsid w:val="00F534E6"/>
    <w:rsid w:val="00F56313"/>
    <w:rsid w:val="00F5680E"/>
    <w:rsid w:val="00F56F55"/>
    <w:rsid w:val="00F57F44"/>
    <w:rsid w:val="00F6041A"/>
    <w:rsid w:val="00F605AA"/>
    <w:rsid w:val="00F60E27"/>
    <w:rsid w:val="00F611D3"/>
    <w:rsid w:val="00F618BC"/>
    <w:rsid w:val="00F61B4E"/>
    <w:rsid w:val="00F625E0"/>
    <w:rsid w:val="00F62FA0"/>
    <w:rsid w:val="00F633FF"/>
    <w:rsid w:val="00F6376C"/>
    <w:rsid w:val="00F637A6"/>
    <w:rsid w:val="00F63864"/>
    <w:rsid w:val="00F67536"/>
    <w:rsid w:val="00F70B9B"/>
    <w:rsid w:val="00F7273D"/>
    <w:rsid w:val="00F734C5"/>
    <w:rsid w:val="00F74471"/>
    <w:rsid w:val="00F7474A"/>
    <w:rsid w:val="00F74B58"/>
    <w:rsid w:val="00F775F7"/>
    <w:rsid w:val="00F77764"/>
    <w:rsid w:val="00F778FB"/>
    <w:rsid w:val="00F77993"/>
    <w:rsid w:val="00F77FA4"/>
    <w:rsid w:val="00F81571"/>
    <w:rsid w:val="00F832DF"/>
    <w:rsid w:val="00F84EF1"/>
    <w:rsid w:val="00F85D01"/>
    <w:rsid w:val="00F8656A"/>
    <w:rsid w:val="00F866EE"/>
    <w:rsid w:val="00F87492"/>
    <w:rsid w:val="00F9057A"/>
    <w:rsid w:val="00F9070B"/>
    <w:rsid w:val="00F90A10"/>
    <w:rsid w:val="00F91387"/>
    <w:rsid w:val="00F91C49"/>
    <w:rsid w:val="00F92692"/>
    <w:rsid w:val="00F92BCD"/>
    <w:rsid w:val="00F9378A"/>
    <w:rsid w:val="00F93ED2"/>
    <w:rsid w:val="00F95CE2"/>
    <w:rsid w:val="00F9689D"/>
    <w:rsid w:val="00FA06D9"/>
    <w:rsid w:val="00FA0D81"/>
    <w:rsid w:val="00FA14CB"/>
    <w:rsid w:val="00FA1FB5"/>
    <w:rsid w:val="00FA35D6"/>
    <w:rsid w:val="00FA46F3"/>
    <w:rsid w:val="00FA568B"/>
    <w:rsid w:val="00FA5FB4"/>
    <w:rsid w:val="00FA664B"/>
    <w:rsid w:val="00FA6D69"/>
    <w:rsid w:val="00FA7580"/>
    <w:rsid w:val="00FA77F9"/>
    <w:rsid w:val="00FA7E61"/>
    <w:rsid w:val="00FB001B"/>
    <w:rsid w:val="00FB02AA"/>
    <w:rsid w:val="00FB0601"/>
    <w:rsid w:val="00FB06C7"/>
    <w:rsid w:val="00FB076B"/>
    <w:rsid w:val="00FB0DEA"/>
    <w:rsid w:val="00FB5EDA"/>
    <w:rsid w:val="00FB5F21"/>
    <w:rsid w:val="00FB7884"/>
    <w:rsid w:val="00FB7A39"/>
    <w:rsid w:val="00FC0E3D"/>
    <w:rsid w:val="00FC0F27"/>
    <w:rsid w:val="00FC160D"/>
    <w:rsid w:val="00FC255A"/>
    <w:rsid w:val="00FC2733"/>
    <w:rsid w:val="00FC2FA6"/>
    <w:rsid w:val="00FC3B8D"/>
    <w:rsid w:val="00FC3E6D"/>
    <w:rsid w:val="00FC50C0"/>
    <w:rsid w:val="00FC5B51"/>
    <w:rsid w:val="00FC5FD8"/>
    <w:rsid w:val="00FD0507"/>
    <w:rsid w:val="00FD0DC3"/>
    <w:rsid w:val="00FD0E90"/>
    <w:rsid w:val="00FD47D6"/>
    <w:rsid w:val="00FD5765"/>
    <w:rsid w:val="00FE050E"/>
    <w:rsid w:val="00FE1897"/>
    <w:rsid w:val="00FE19C4"/>
    <w:rsid w:val="00FE1C56"/>
    <w:rsid w:val="00FE3BCC"/>
    <w:rsid w:val="00FE3D16"/>
    <w:rsid w:val="00FE523C"/>
    <w:rsid w:val="00FE5416"/>
    <w:rsid w:val="00FF09F9"/>
    <w:rsid w:val="00FF120D"/>
    <w:rsid w:val="00FF2A68"/>
    <w:rsid w:val="00FF2AF0"/>
    <w:rsid w:val="00FF3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113036-FF5D-48D2-A2CA-15D9A2687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5F7E"/>
    <w:rPr>
      <w:lang w:val="ro-RO"/>
    </w:rPr>
  </w:style>
  <w:style w:type="paragraph" w:styleId="1">
    <w:name w:val="heading 1"/>
    <w:basedOn w:val="a"/>
    <w:next w:val="a"/>
    <w:link w:val="10"/>
    <w:uiPriority w:val="9"/>
    <w:qFormat/>
    <w:rsid w:val="007351C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8C13A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8C13A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1">
    <w:name w:val="Table Grid1"/>
    <w:basedOn w:val="a1"/>
    <w:next w:val="a3"/>
    <w:uiPriority w:val="39"/>
    <w:rsid w:val="00DB5F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DB5F7E"/>
    <w:rPr>
      <w:color w:val="0563C1" w:themeColor="hyperlink"/>
      <w:u w:val="single"/>
    </w:rPr>
  </w:style>
  <w:style w:type="table" w:styleId="a3">
    <w:name w:val="Table Grid"/>
    <w:basedOn w:val="a1"/>
    <w:uiPriority w:val="39"/>
    <w:rsid w:val="00DB5F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3-Accent11">
    <w:name w:val="Grid Table 3 - Accent 11"/>
    <w:basedOn w:val="a1"/>
    <w:uiPriority w:val="48"/>
    <w:rsid w:val="004D182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paragraph" w:styleId="a5">
    <w:name w:val="List Paragraph"/>
    <w:aliases w:val="strikethrough"/>
    <w:basedOn w:val="a"/>
    <w:link w:val="a6"/>
    <w:uiPriority w:val="34"/>
    <w:qFormat/>
    <w:rsid w:val="00754663"/>
    <w:pPr>
      <w:ind w:left="720"/>
      <w:contextualSpacing/>
    </w:pPr>
  </w:style>
  <w:style w:type="paragraph" w:styleId="a7">
    <w:name w:val="footnote text"/>
    <w:aliases w:val="Char, Char,Знак1, Знак1, Знак,Знак,single space,footnote text,FOOTNOTES,fn,Footnote Text Char1,Footnote Text Char2 Char,Footnote Text Char1 Char Char,Footnote Text Char2 Char Char Char,Footnote Text Char1 Char Char Char Char, Cha,ft,A,Cha"/>
    <w:basedOn w:val="a"/>
    <w:link w:val="a8"/>
    <w:uiPriority w:val="99"/>
    <w:unhideWhenUsed/>
    <w:qFormat/>
    <w:rsid w:val="005D2360"/>
    <w:pPr>
      <w:spacing w:after="0" w:line="240" w:lineRule="auto"/>
    </w:pPr>
    <w:rPr>
      <w:sz w:val="20"/>
      <w:szCs w:val="20"/>
      <w:lang w:val="en-US"/>
    </w:rPr>
  </w:style>
  <w:style w:type="character" w:customStyle="1" w:styleId="a8">
    <w:name w:val="Текст сноски Знак"/>
    <w:aliases w:val="Char Знак, Char Знак,Знак1 Знак, Знак1 Знак, Знак Знак,Знак Знак,single space Знак,footnote text Знак,FOOTNOTES Знак,fn Знак,Footnote Text Char1 Знак,Footnote Text Char2 Char Знак,Footnote Text Char1 Char Char Знак, Cha Знак,ft Знак"/>
    <w:basedOn w:val="a0"/>
    <w:link w:val="a7"/>
    <w:uiPriority w:val="99"/>
    <w:rsid w:val="005D2360"/>
    <w:rPr>
      <w:sz w:val="20"/>
      <w:szCs w:val="20"/>
    </w:rPr>
  </w:style>
  <w:style w:type="character" w:styleId="a9">
    <w:name w:val="footnote reference"/>
    <w:aliases w:val="ftref,Times 10 Point,Exposant 3 Point,Footnote symbol,Footnote reference number,EN Footnote Reference,note TESI,16 Point,Superscript 6 Point,BVI fnr,Footnote Text Char2,Char Char1,FOOTNOTES Char1,fn Char1,single space Char1,ft Char1"/>
    <w:basedOn w:val="a0"/>
    <w:link w:val="FNRefeCharChar"/>
    <w:uiPriority w:val="99"/>
    <w:unhideWhenUsed/>
    <w:rsid w:val="005D2360"/>
    <w:rPr>
      <w:vertAlign w:val="superscript"/>
    </w:rPr>
  </w:style>
  <w:style w:type="paragraph" w:styleId="aa">
    <w:name w:val="caption"/>
    <w:basedOn w:val="a"/>
    <w:next w:val="a"/>
    <w:uiPriority w:val="35"/>
    <w:unhideWhenUsed/>
    <w:qFormat/>
    <w:rsid w:val="005D2360"/>
    <w:pPr>
      <w:spacing w:after="200" w:line="240" w:lineRule="auto"/>
    </w:pPr>
    <w:rPr>
      <w:i/>
      <w:iCs/>
      <w:color w:val="44546A" w:themeColor="text2"/>
      <w:sz w:val="18"/>
      <w:szCs w:val="18"/>
      <w:lang w:val="en-US"/>
    </w:rPr>
  </w:style>
  <w:style w:type="paragraph" w:styleId="ab">
    <w:name w:val="No Spacing"/>
    <w:link w:val="ac"/>
    <w:uiPriority w:val="1"/>
    <w:qFormat/>
    <w:rsid w:val="003120E1"/>
    <w:pPr>
      <w:spacing w:after="0" w:line="240" w:lineRule="auto"/>
    </w:pPr>
    <w:rPr>
      <w:rFonts w:eastAsiaTheme="minorEastAsia"/>
      <w:lang w:val="ru-RU"/>
    </w:rPr>
  </w:style>
  <w:style w:type="character" w:customStyle="1" w:styleId="ac">
    <w:name w:val="Без интервала Знак"/>
    <w:basedOn w:val="a0"/>
    <w:link w:val="ab"/>
    <w:uiPriority w:val="1"/>
    <w:rsid w:val="003120E1"/>
    <w:rPr>
      <w:rFonts w:eastAsiaTheme="minorEastAsia"/>
      <w:lang w:val="ru-RU"/>
    </w:rPr>
  </w:style>
  <w:style w:type="paragraph" w:styleId="ad">
    <w:name w:val="Normal (Web)"/>
    <w:aliases w:val="Обычный (веб) Знак2,Обычный (веб) Знак1 Знак,Обычный (веб) Знак Знак Знак,Знак Знак Знак Знак,Знак Знак1 Знак,Обычный (веб) Знак Знак1,Знак Знак2"/>
    <w:basedOn w:val="a"/>
    <w:link w:val="ae"/>
    <w:uiPriority w:val="99"/>
    <w:unhideWhenUsed/>
    <w:qFormat/>
    <w:rsid w:val="000562C7"/>
    <w:pPr>
      <w:spacing w:after="0" w:line="240" w:lineRule="auto"/>
      <w:ind w:firstLine="567"/>
      <w:jc w:val="both"/>
    </w:pPr>
    <w:rPr>
      <w:rFonts w:ascii="Times New Roman" w:eastAsia="Times New Roman" w:hAnsi="Times New Roman" w:cs="Times New Roman"/>
      <w:sz w:val="24"/>
      <w:szCs w:val="24"/>
      <w:lang w:val="ru-RU" w:eastAsia="ru-RU"/>
    </w:rPr>
  </w:style>
  <w:style w:type="character" w:customStyle="1" w:styleId="ae">
    <w:name w:val="Обычный (веб) Знак"/>
    <w:aliases w:val="Обычный (веб) Знак2 Знак,Обычный (веб) Знак1 Знак Знак,Обычный (веб) Знак Знак Знак Знак,Знак Знак Знак Знак Знак,Знак Знак1 Знак Знак,Обычный (веб) Знак Знак1 Знак,Знак Знак2 Знак"/>
    <w:link w:val="ad"/>
    <w:uiPriority w:val="99"/>
    <w:rsid w:val="000562C7"/>
    <w:rPr>
      <w:rFonts w:ascii="Times New Roman" w:eastAsia="Times New Roman" w:hAnsi="Times New Roman" w:cs="Times New Roman"/>
      <w:sz w:val="24"/>
      <w:szCs w:val="24"/>
      <w:lang w:val="ru-RU" w:eastAsia="ru-RU"/>
    </w:rPr>
  </w:style>
  <w:style w:type="character" w:customStyle="1" w:styleId="a6">
    <w:name w:val="Абзац списка Знак"/>
    <w:aliases w:val="strikethrough Знак"/>
    <w:link w:val="a5"/>
    <w:uiPriority w:val="34"/>
    <w:rsid w:val="00DF428A"/>
    <w:rPr>
      <w:lang w:val="ro-RO"/>
    </w:rPr>
  </w:style>
  <w:style w:type="table" w:customStyle="1" w:styleId="GridTable1Light-Accent51">
    <w:name w:val="Grid Table 1 Light - Accent 51"/>
    <w:basedOn w:val="a1"/>
    <w:uiPriority w:val="46"/>
    <w:rsid w:val="000C0B4C"/>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5Dark-Accent11">
    <w:name w:val="Grid Table 5 Dark - Accent 11"/>
    <w:basedOn w:val="a1"/>
    <w:uiPriority w:val="50"/>
    <w:rsid w:val="00F92BC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4-Accent21">
    <w:name w:val="Grid Table 4 - Accent 21"/>
    <w:basedOn w:val="a1"/>
    <w:next w:val="GridTable4-Accent22"/>
    <w:uiPriority w:val="49"/>
    <w:rsid w:val="00DD0555"/>
    <w:pPr>
      <w:spacing w:after="0" w:line="240" w:lineRule="auto"/>
    </w:pPr>
    <w:rPr>
      <w:rFonts w:eastAsia="MS Mincho"/>
      <w:lang w:val="ru-RU" w:eastAsia="ru-RU"/>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GridTable4-Accent22">
    <w:name w:val="Grid Table 4 - Accent 22"/>
    <w:basedOn w:val="a1"/>
    <w:uiPriority w:val="49"/>
    <w:rsid w:val="00DD0555"/>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220">
    <w:name w:val="Grid Table 4 - Accent 22"/>
    <w:basedOn w:val="a1"/>
    <w:next w:val="GridTable4-Accent22"/>
    <w:uiPriority w:val="49"/>
    <w:rsid w:val="00C96AD4"/>
    <w:pPr>
      <w:spacing w:after="0" w:line="240" w:lineRule="auto"/>
    </w:pPr>
    <w:rPr>
      <w:rFonts w:eastAsia="MS Mincho"/>
      <w:lang w:val="ru-RU" w:eastAsia="ru-RU"/>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paragraph" w:customStyle="1" w:styleId="11">
    <w:name w:val="Стиль1"/>
    <w:rsid w:val="008728F2"/>
    <w:pPr>
      <w:spacing w:after="0" w:line="240" w:lineRule="auto"/>
    </w:pPr>
    <w:rPr>
      <w:rFonts w:ascii="Times New Roman" w:eastAsia="Times New Roman" w:hAnsi="Times New Roman" w:cs="Times New Roman"/>
      <w:sz w:val="28"/>
      <w:szCs w:val="20"/>
      <w:lang w:val="ro-RO" w:eastAsia="ru-RU"/>
    </w:rPr>
  </w:style>
  <w:style w:type="paragraph" w:styleId="af">
    <w:name w:val="header"/>
    <w:basedOn w:val="a"/>
    <w:link w:val="af0"/>
    <w:uiPriority w:val="99"/>
    <w:unhideWhenUsed/>
    <w:rsid w:val="001B613F"/>
    <w:pPr>
      <w:tabs>
        <w:tab w:val="center" w:pos="4844"/>
        <w:tab w:val="right" w:pos="9689"/>
      </w:tabs>
      <w:spacing w:after="0" w:line="240" w:lineRule="auto"/>
    </w:pPr>
  </w:style>
  <w:style w:type="character" w:customStyle="1" w:styleId="af0">
    <w:name w:val="Верхний колонтитул Знак"/>
    <w:basedOn w:val="a0"/>
    <w:link w:val="af"/>
    <w:uiPriority w:val="99"/>
    <w:rsid w:val="001B613F"/>
    <w:rPr>
      <w:lang w:val="ro-RO"/>
    </w:rPr>
  </w:style>
  <w:style w:type="paragraph" w:styleId="af1">
    <w:name w:val="footer"/>
    <w:basedOn w:val="a"/>
    <w:link w:val="af2"/>
    <w:uiPriority w:val="99"/>
    <w:unhideWhenUsed/>
    <w:rsid w:val="001B613F"/>
    <w:pPr>
      <w:tabs>
        <w:tab w:val="center" w:pos="4844"/>
        <w:tab w:val="right" w:pos="9689"/>
      </w:tabs>
      <w:spacing w:after="0" w:line="240" w:lineRule="auto"/>
    </w:pPr>
  </w:style>
  <w:style w:type="character" w:customStyle="1" w:styleId="af2">
    <w:name w:val="Нижний колонтитул Знак"/>
    <w:basedOn w:val="a0"/>
    <w:link w:val="af1"/>
    <w:uiPriority w:val="99"/>
    <w:rsid w:val="001B613F"/>
    <w:rPr>
      <w:lang w:val="ro-RO"/>
    </w:rPr>
  </w:style>
  <w:style w:type="character" w:customStyle="1" w:styleId="10">
    <w:name w:val="Заголовок 1 Знак"/>
    <w:basedOn w:val="a0"/>
    <w:link w:val="1"/>
    <w:uiPriority w:val="9"/>
    <w:rsid w:val="007351CB"/>
    <w:rPr>
      <w:rFonts w:asciiTheme="majorHAnsi" w:eastAsiaTheme="majorEastAsia" w:hAnsiTheme="majorHAnsi" w:cstheme="majorBidi"/>
      <w:color w:val="2E74B5" w:themeColor="accent1" w:themeShade="BF"/>
      <w:sz w:val="32"/>
      <w:szCs w:val="32"/>
      <w:lang w:val="ro-RO"/>
    </w:rPr>
  </w:style>
  <w:style w:type="paragraph" w:styleId="af3">
    <w:name w:val="TOC Heading"/>
    <w:basedOn w:val="1"/>
    <w:next w:val="a"/>
    <w:uiPriority w:val="39"/>
    <w:unhideWhenUsed/>
    <w:qFormat/>
    <w:rsid w:val="007351CB"/>
    <w:pPr>
      <w:outlineLvl w:val="9"/>
    </w:pPr>
    <w:rPr>
      <w:lang w:val="en-US"/>
    </w:rPr>
  </w:style>
  <w:style w:type="character" w:customStyle="1" w:styleId="30">
    <w:name w:val="Заголовок 3 Знак"/>
    <w:basedOn w:val="a0"/>
    <w:link w:val="3"/>
    <w:uiPriority w:val="9"/>
    <w:rsid w:val="008C13A8"/>
    <w:rPr>
      <w:rFonts w:asciiTheme="majorHAnsi" w:eastAsiaTheme="majorEastAsia" w:hAnsiTheme="majorHAnsi" w:cstheme="majorBidi"/>
      <w:color w:val="1F4D78" w:themeColor="accent1" w:themeShade="7F"/>
      <w:sz w:val="24"/>
      <w:szCs w:val="24"/>
      <w:lang w:val="ro-RO"/>
    </w:rPr>
  </w:style>
  <w:style w:type="character" w:customStyle="1" w:styleId="20">
    <w:name w:val="Заголовок 2 Знак"/>
    <w:basedOn w:val="a0"/>
    <w:link w:val="2"/>
    <w:uiPriority w:val="9"/>
    <w:rsid w:val="008C13A8"/>
    <w:rPr>
      <w:rFonts w:asciiTheme="majorHAnsi" w:eastAsiaTheme="majorEastAsia" w:hAnsiTheme="majorHAnsi" w:cstheme="majorBidi"/>
      <w:color w:val="2E74B5" w:themeColor="accent1" w:themeShade="BF"/>
      <w:sz w:val="26"/>
      <w:szCs w:val="26"/>
      <w:lang w:val="ro-RO"/>
    </w:rPr>
  </w:style>
  <w:style w:type="paragraph" w:styleId="12">
    <w:name w:val="toc 1"/>
    <w:basedOn w:val="a"/>
    <w:next w:val="a"/>
    <w:autoRedefine/>
    <w:uiPriority w:val="39"/>
    <w:unhideWhenUsed/>
    <w:rsid w:val="005F214F"/>
    <w:pPr>
      <w:tabs>
        <w:tab w:val="left" w:pos="426"/>
        <w:tab w:val="left" w:pos="567"/>
        <w:tab w:val="right" w:leader="dot" w:pos="9678"/>
      </w:tabs>
      <w:spacing w:after="100"/>
      <w:jc w:val="both"/>
    </w:pPr>
  </w:style>
  <w:style w:type="paragraph" w:styleId="21">
    <w:name w:val="toc 2"/>
    <w:basedOn w:val="a"/>
    <w:next w:val="a"/>
    <w:autoRedefine/>
    <w:uiPriority w:val="39"/>
    <w:unhideWhenUsed/>
    <w:rsid w:val="005F214F"/>
    <w:pPr>
      <w:tabs>
        <w:tab w:val="left" w:pos="284"/>
        <w:tab w:val="left" w:pos="426"/>
        <w:tab w:val="right" w:leader="dot" w:pos="9678"/>
      </w:tabs>
      <w:spacing w:after="100"/>
      <w:jc w:val="both"/>
    </w:pPr>
  </w:style>
  <w:style w:type="paragraph" w:styleId="31">
    <w:name w:val="toc 3"/>
    <w:basedOn w:val="a"/>
    <w:next w:val="a"/>
    <w:autoRedefine/>
    <w:uiPriority w:val="39"/>
    <w:unhideWhenUsed/>
    <w:rsid w:val="008A3DFD"/>
    <w:pPr>
      <w:tabs>
        <w:tab w:val="left" w:pos="567"/>
        <w:tab w:val="left" w:pos="993"/>
        <w:tab w:val="right" w:leader="dot" w:pos="9639"/>
      </w:tabs>
      <w:spacing w:after="100"/>
      <w:ind w:left="426"/>
      <w:jc w:val="both"/>
    </w:pPr>
  </w:style>
  <w:style w:type="paragraph" w:styleId="af4">
    <w:name w:val="Balloon Text"/>
    <w:basedOn w:val="a"/>
    <w:link w:val="af5"/>
    <w:uiPriority w:val="99"/>
    <w:semiHidden/>
    <w:unhideWhenUsed/>
    <w:rsid w:val="00D1449C"/>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D1449C"/>
    <w:rPr>
      <w:rFonts w:ascii="Segoe UI" w:hAnsi="Segoe UI" w:cs="Segoe UI"/>
      <w:sz w:val="18"/>
      <w:szCs w:val="18"/>
      <w:lang w:val="ro-RO"/>
    </w:rPr>
  </w:style>
  <w:style w:type="paragraph" w:styleId="af6">
    <w:name w:val="Title"/>
    <w:basedOn w:val="a"/>
    <w:link w:val="af7"/>
    <w:qFormat/>
    <w:rsid w:val="00956A9A"/>
    <w:pPr>
      <w:snapToGrid w:val="0"/>
      <w:spacing w:after="0" w:line="240" w:lineRule="atLeast"/>
      <w:jc w:val="center"/>
    </w:pPr>
    <w:rPr>
      <w:rFonts w:ascii="Times New Roman" w:eastAsia="Times New Roman" w:hAnsi="Times New Roman" w:cs="Times New Roman"/>
      <w:b/>
      <w:bCs/>
      <w:color w:val="000000"/>
      <w:sz w:val="24"/>
      <w:szCs w:val="20"/>
      <w:lang w:val="en-US"/>
    </w:rPr>
  </w:style>
  <w:style w:type="character" w:customStyle="1" w:styleId="af7">
    <w:name w:val="Название Знак"/>
    <w:basedOn w:val="a0"/>
    <w:link w:val="af6"/>
    <w:rsid w:val="00956A9A"/>
    <w:rPr>
      <w:rFonts w:ascii="Times New Roman" w:eastAsia="Times New Roman" w:hAnsi="Times New Roman" w:cs="Times New Roman"/>
      <w:b/>
      <w:bCs/>
      <w:color w:val="000000"/>
      <w:sz w:val="24"/>
      <w:szCs w:val="20"/>
    </w:rPr>
  </w:style>
  <w:style w:type="paragraph" w:styleId="32">
    <w:name w:val="Body Text 3"/>
    <w:basedOn w:val="a"/>
    <w:link w:val="33"/>
    <w:uiPriority w:val="99"/>
    <w:semiHidden/>
    <w:unhideWhenUsed/>
    <w:rsid w:val="00935CEF"/>
    <w:pPr>
      <w:spacing w:after="120"/>
    </w:pPr>
    <w:rPr>
      <w:sz w:val="16"/>
      <w:szCs w:val="16"/>
    </w:rPr>
  </w:style>
  <w:style w:type="character" w:customStyle="1" w:styleId="33">
    <w:name w:val="Основной текст 3 Знак"/>
    <w:basedOn w:val="a0"/>
    <w:link w:val="32"/>
    <w:uiPriority w:val="99"/>
    <w:semiHidden/>
    <w:rsid w:val="00935CEF"/>
    <w:rPr>
      <w:sz w:val="16"/>
      <w:szCs w:val="16"/>
      <w:lang w:val="ro-RO"/>
    </w:rPr>
  </w:style>
  <w:style w:type="paragraph" w:styleId="af8">
    <w:name w:val="Revision"/>
    <w:hidden/>
    <w:uiPriority w:val="99"/>
    <w:semiHidden/>
    <w:rsid w:val="0026470C"/>
    <w:pPr>
      <w:spacing w:after="0" w:line="240" w:lineRule="auto"/>
    </w:pPr>
    <w:rPr>
      <w:lang w:val="ro-RO"/>
    </w:rPr>
  </w:style>
  <w:style w:type="table" w:customStyle="1" w:styleId="GridTable4-Accent51">
    <w:name w:val="Grid Table 4 - Accent 51"/>
    <w:basedOn w:val="a1"/>
    <w:uiPriority w:val="49"/>
    <w:rsid w:val="00F625E0"/>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4-Accent61">
    <w:name w:val="List Table 4 - Accent 61"/>
    <w:basedOn w:val="a1"/>
    <w:uiPriority w:val="49"/>
    <w:rsid w:val="000F439E"/>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eGrid2">
    <w:name w:val="Table Grid2"/>
    <w:basedOn w:val="a1"/>
    <w:next w:val="a3"/>
    <w:uiPriority w:val="39"/>
    <w:rsid w:val="00D805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Emphasis"/>
    <w:basedOn w:val="a0"/>
    <w:uiPriority w:val="20"/>
    <w:qFormat/>
    <w:rsid w:val="00BB0879"/>
    <w:rPr>
      <w:i/>
      <w:iCs/>
    </w:rPr>
  </w:style>
  <w:style w:type="character" w:styleId="afa">
    <w:name w:val="Strong"/>
    <w:basedOn w:val="a0"/>
    <w:uiPriority w:val="22"/>
    <w:qFormat/>
    <w:rsid w:val="00BB0879"/>
    <w:rPr>
      <w:b/>
      <w:bCs/>
    </w:rPr>
  </w:style>
  <w:style w:type="table" w:customStyle="1" w:styleId="GridTable4-Accent61">
    <w:name w:val="Grid Table 4 - Accent 61"/>
    <w:basedOn w:val="a1"/>
    <w:uiPriority w:val="49"/>
    <w:rsid w:val="00602230"/>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CM1">
    <w:name w:val="CM1"/>
    <w:basedOn w:val="a"/>
    <w:next w:val="a"/>
    <w:uiPriority w:val="99"/>
    <w:rsid w:val="004930B1"/>
    <w:pPr>
      <w:autoSpaceDE w:val="0"/>
      <w:autoSpaceDN w:val="0"/>
      <w:adjustRightInd w:val="0"/>
      <w:spacing w:after="0" w:line="240" w:lineRule="auto"/>
    </w:pPr>
    <w:rPr>
      <w:rFonts w:ascii="EUAlbertina" w:hAnsi="EUAlbertina"/>
      <w:sz w:val="24"/>
      <w:szCs w:val="24"/>
      <w:lang w:val="en-US"/>
    </w:rPr>
  </w:style>
  <w:style w:type="table" w:customStyle="1" w:styleId="TableGrid3">
    <w:name w:val="Table Grid3"/>
    <w:basedOn w:val="a1"/>
    <w:next w:val="a3"/>
    <w:uiPriority w:val="39"/>
    <w:rsid w:val="001B2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4-Accent51">
    <w:name w:val="List Table 4 - Accent 51"/>
    <w:basedOn w:val="a1"/>
    <w:uiPriority w:val="49"/>
    <w:rsid w:val="00A1490B"/>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Bodytext2">
    <w:name w:val="Body text (2)_"/>
    <w:basedOn w:val="a0"/>
    <w:link w:val="Bodytext20"/>
    <w:rsid w:val="00A90E5D"/>
    <w:rPr>
      <w:rFonts w:ascii="Times New Roman" w:eastAsia="Times New Roman" w:hAnsi="Times New Roman" w:cs="Times New Roman"/>
      <w:sz w:val="20"/>
      <w:szCs w:val="20"/>
      <w:shd w:val="clear" w:color="auto" w:fill="FFFFFF"/>
    </w:rPr>
  </w:style>
  <w:style w:type="character" w:customStyle="1" w:styleId="Bodytext2BookAntiqua">
    <w:name w:val="Body text (2) + Book Antiqua"/>
    <w:aliases w:val="11 pt,9,5 pt,Body text (2) + 9,12 pt,Body text (2) + Franklin Gothic Medium,10,Body text (2) + Tahoma"/>
    <w:basedOn w:val="Bodytext2"/>
    <w:rsid w:val="00A90E5D"/>
    <w:rPr>
      <w:rFonts w:ascii="Book Antiqua" w:eastAsia="Book Antiqua" w:hAnsi="Book Antiqua" w:cs="Book Antiqua"/>
      <w:color w:val="000000"/>
      <w:spacing w:val="0"/>
      <w:w w:val="100"/>
      <w:position w:val="0"/>
      <w:sz w:val="22"/>
      <w:szCs w:val="22"/>
      <w:shd w:val="clear" w:color="auto" w:fill="FFFFFF"/>
      <w:lang w:val="en-US" w:eastAsia="en-US" w:bidi="en-US"/>
    </w:rPr>
  </w:style>
  <w:style w:type="character" w:customStyle="1" w:styleId="Bodytext24pt">
    <w:name w:val="Body text (2) + 4 pt"/>
    <w:aliases w:val="Bold"/>
    <w:basedOn w:val="Bodytext2"/>
    <w:rsid w:val="00A90E5D"/>
    <w:rPr>
      <w:rFonts w:ascii="Times New Roman" w:eastAsia="Times New Roman" w:hAnsi="Times New Roman" w:cs="Times New Roman"/>
      <w:b/>
      <w:bCs/>
      <w:color w:val="000000"/>
      <w:spacing w:val="0"/>
      <w:w w:val="100"/>
      <w:position w:val="0"/>
      <w:sz w:val="8"/>
      <w:szCs w:val="8"/>
      <w:shd w:val="clear" w:color="auto" w:fill="FFFFFF"/>
      <w:lang w:val="en-US" w:eastAsia="en-US" w:bidi="en-US"/>
    </w:rPr>
  </w:style>
  <w:style w:type="character" w:customStyle="1" w:styleId="Bodytext2Italic">
    <w:name w:val="Body text (2) + Italic"/>
    <w:basedOn w:val="Bodytext2"/>
    <w:rsid w:val="00A90E5D"/>
    <w:rPr>
      <w:rFonts w:ascii="Times New Roman" w:eastAsia="Times New Roman" w:hAnsi="Times New Roman" w:cs="Times New Roman"/>
      <w:i/>
      <w:iCs/>
      <w:color w:val="000000"/>
      <w:spacing w:val="0"/>
      <w:w w:val="100"/>
      <w:position w:val="0"/>
      <w:sz w:val="20"/>
      <w:szCs w:val="20"/>
      <w:shd w:val="clear" w:color="auto" w:fill="FFFFFF"/>
      <w:lang w:val="en-US" w:eastAsia="en-US" w:bidi="en-US"/>
    </w:rPr>
  </w:style>
  <w:style w:type="character" w:customStyle="1" w:styleId="Bodytext213pt">
    <w:name w:val="Body text (2) + 13 pt"/>
    <w:basedOn w:val="Bodytext2"/>
    <w:rsid w:val="00A90E5D"/>
    <w:rPr>
      <w:rFonts w:ascii="Times New Roman" w:eastAsia="Times New Roman" w:hAnsi="Times New Roman" w:cs="Times New Roman"/>
      <w:color w:val="000000"/>
      <w:spacing w:val="0"/>
      <w:w w:val="100"/>
      <w:position w:val="0"/>
      <w:sz w:val="26"/>
      <w:szCs w:val="26"/>
      <w:shd w:val="clear" w:color="auto" w:fill="FFFFFF"/>
      <w:lang w:val="en-US" w:eastAsia="en-US" w:bidi="en-US"/>
    </w:rPr>
  </w:style>
  <w:style w:type="paragraph" w:customStyle="1" w:styleId="Bodytext20">
    <w:name w:val="Body text (2)"/>
    <w:basedOn w:val="a"/>
    <w:link w:val="Bodytext2"/>
    <w:rsid w:val="00A90E5D"/>
    <w:pPr>
      <w:widowControl w:val="0"/>
      <w:shd w:val="clear" w:color="auto" w:fill="FFFFFF"/>
      <w:spacing w:after="0" w:line="240" w:lineRule="auto"/>
    </w:pPr>
    <w:rPr>
      <w:rFonts w:ascii="Times New Roman" w:eastAsia="Times New Roman" w:hAnsi="Times New Roman" w:cs="Times New Roman"/>
      <w:sz w:val="20"/>
      <w:szCs w:val="20"/>
      <w:lang w:val="en-US"/>
    </w:rPr>
  </w:style>
  <w:style w:type="character" w:customStyle="1" w:styleId="Bodytext211pt">
    <w:name w:val="Body text (2) + 11 pt"/>
    <w:aliases w:val="Italic,Body text (2) + 29 pt"/>
    <w:basedOn w:val="Bodytext2"/>
    <w:rsid w:val="00A90E5D"/>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en-US" w:eastAsia="en-US" w:bidi="en-US"/>
    </w:rPr>
  </w:style>
  <w:style w:type="character" w:customStyle="1" w:styleId="Bodytext212pt">
    <w:name w:val="Body text (2) + 12 pt"/>
    <w:basedOn w:val="Bodytext2"/>
    <w:rsid w:val="00A90E5D"/>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en-US" w:eastAsia="en-US" w:bidi="en-US"/>
    </w:rPr>
  </w:style>
  <w:style w:type="character" w:customStyle="1" w:styleId="Bodytext2LucidaSansUnicode">
    <w:name w:val="Body text (2) + Lucida Sans Unicode"/>
    <w:basedOn w:val="Bodytext2"/>
    <w:rsid w:val="00A90E5D"/>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en-US" w:eastAsia="en-US" w:bidi="en-US"/>
    </w:rPr>
  </w:style>
  <w:style w:type="character" w:customStyle="1" w:styleId="Bodytext2Candara">
    <w:name w:val="Body text (2) + Candara"/>
    <w:aliases w:val="13 pt"/>
    <w:basedOn w:val="Bodytext2"/>
    <w:rsid w:val="00A90E5D"/>
    <w:rPr>
      <w:rFonts w:ascii="Candara" w:eastAsia="Candara" w:hAnsi="Candara" w:cs="Candara"/>
      <w:b w:val="0"/>
      <w:bCs w:val="0"/>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ListParagraph1">
    <w:name w:val="List Paragraph1"/>
    <w:basedOn w:val="a"/>
    <w:qFormat/>
    <w:rsid w:val="000A2656"/>
    <w:pPr>
      <w:spacing w:after="0" w:line="240" w:lineRule="auto"/>
      <w:ind w:left="720"/>
      <w:contextualSpacing/>
    </w:pPr>
    <w:rPr>
      <w:rFonts w:ascii="Times New Roman" w:eastAsia="Times New Roman" w:hAnsi="Times New Roman" w:cs="Times New Roman"/>
      <w:sz w:val="24"/>
      <w:szCs w:val="24"/>
      <w:lang w:val="lv-LV" w:eastAsia="lv-LV"/>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a"/>
    <w:link w:val="a9"/>
    <w:uiPriority w:val="99"/>
    <w:rsid w:val="001D4EA8"/>
    <w:pPr>
      <w:spacing w:line="240" w:lineRule="exact"/>
    </w:pPr>
    <w:rPr>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17887">
      <w:bodyDiv w:val="1"/>
      <w:marLeft w:val="0"/>
      <w:marRight w:val="0"/>
      <w:marTop w:val="0"/>
      <w:marBottom w:val="0"/>
      <w:divBdr>
        <w:top w:val="none" w:sz="0" w:space="0" w:color="auto"/>
        <w:left w:val="none" w:sz="0" w:space="0" w:color="auto"/>
        <w:bottom w:val="none" w:sz="0" w:space="0" w:color="auto"/>
        <w:right w:val="none" w:sz="0" w:space="0" w:color="auto"/>
      </w:divBdr>
    </w:div>
    <w:div w:id="162473636">
      <w:bodyDiv w:val="1"/>
      <w:marLeft w:val="0"/>
      <w:marRight w:val="0"/>
      <w:marTop w:val="0"/>
      <w:marBottom w:val="0"/>
      <w:divBdr>
        <w:top w:val="none" w:sz="0" w:space="0" w:color="auto"/>
        <w:left w:val="none" w:sz="0" w:space="0" w:color="auto"/>
        <w:bottom w:val="none" w:sz="0" w:space="0" w:color="auto"/>
        <w:right w:val="none" w:sz="0" w:space="0" w:color="auto"/>
      </w:divBdr>
    </w:div>
    <w:div w:id="173887452">
      <w:bodyDiv w:val="1"/>
      <w:marLeft w:val="0"/>
      <w:marRight w:val="0"/>
      <w:marTop w:val="0"/>
      <w:marBottom w:val="0"/>
      <w:divBdr>
        <w:top w:val="none" w:sz="0" w:space="0" w:color="auto"/>
        <w:left w:val="none" w:sz="0" w:space="0" w:color="auto"/>
        <w:bottom w:val="none" w:sz="0" w:space="0" w:color="auto"/>
        <w:right w:val="none" w:sz="0" w:space="0" w:color="auto"/>
      </w:divBdr>
    </w:div>
    <w:div w:id="176118396">
      <w:bodyDiv w:val="1"/>
      <w:marLeft w:val="0"/>
      <w:marRight w:val="0"/>
      <w:marTop w:val="0"/>
      <w:marBottom w:val="0"/>
      <w:divBdr>
        <w:top w:val="none" w:sz="0" w:space="0" w:color="auto"/>
        <w:left w:val="none" w:sz="0" w:space="0" w:color="auto"/>
        <w:bottom w:val="none" w:sz="0" w:space="0" w:color="auto"/>
        <w:right w:val="none" w:sz="0" w:space="0" w:color="auto"/>
      </w:divBdr>
    </w:div>
    <w:div w:id="263542760">
      <w:bodyDiv w:val="1"/>
      <w:marLeft w:val="0"/>
      <w:marRight w:val="0"/>
      <w:marTop w:val="0"/>
      <w:marBottom w:val="0"/>
      <w:divBdr>
        <w:top w:val="none" w:sz="0" w:space="0" w:color="auto"/>
        <w:left w:val="none" w:sz="0" w:space="0" w:color="auto"/>
        <w:bottom w:val="none" w:sz="0" w:space="0" w:color="auto"/>
        <w:right w:val="none" w:sz="0" w:space="0" w:color="auto"/>
      </w:divBdr>
    </w:div>
    <w:div w:id="282805835">
      <w:bodyDiv w:val="1"/>
      <w:marLeft w:val="0"/>
      <w:marRight w:val="0"/>
      <w:marTop w:val="0"/>
      <w:marBottom w:val="0"/>
      <w:divBdr>
        <w:top w:val="none" w:sz="0" w:space="0" w:color="auto"/>
        <w:left w:val="none" w:sz="0" w:space="0" w:color="auto"/>
        <w:bottom w:val="none" w:sz="0" w:space="0" w:color="auto"/>
        <w:right w:val="none" w:sz="0" w:space="0" w:color="auto"/>
      </w:divBdr>
    </w:div>
    <w:div w:id="296692729">
      <w:bodyDiv w:val="1"/>
      <w:marLeft w:val="0"/>
      <w:marRight w:val="0"/>
      <w:marTop w:val="0"/>
      <w:marBottom w:val="0"/>
      <w:divBdr>
        <w:top w:val="none" w:sz="0" w:space="0" w:color="auto"/>
        <w:left w:val="none" w:sz="0" w:space="0" w:color="auto"/>
        <w:bottom w:val="none" w:sz="0" w:space="0" w:color="auto"/>
        <w:right w:val="none" w:sz="0" w:space="0" w:color="auto"/>
      </w:divBdr>
    </w:div>
    <w:div w:id="311373158">
      <w:bodyDiv w:val="1"/>
      <w:marLeft w:val="0"/>
      <w:marRight w:val="0"/>
      <w:marTop w:val="0"/>
      <w:marBottom w:val="0"/>
      <w:divBdr>
        <w:top w:val="none" w:sz="0" w:space="0" w:color="auto"/>
        <w:left w:val="none" w:sz="0" w:space="0" w:color="auto"/>
        <w:bottom w:val="none" w:sz="0" w:space="0" w:color="auto"/>
        <w:right w:val="none" w:sz="0" w:space="0" w:color="auto"/>
      </w:divBdr>
    </w:div>
    <w:div w:id="356006006">
      <w:bodyDiv w:val="1"/>
      <w:marLeft w:val="0"/>
      <w:marRight w:val="0"/>
      <w:marTop w:val="0"/>
      <w:marBottom w:val="0"/>
      <w:divBdr>
        <w:top w:val="none" w:sz="0" w:space="0" w:color="auto"/>
        <w:left w:val="none" w:sz="0" w:space="0" w:color="auto"/>
        <w:bottom w:val="none" w:sz="0" w:space="0" w:color="auto"/>
        <w:right w:val="none" w:sz="0" w:space="0" w:color="auto"/>
      </w:divBdr>
    </w:div>
    <w:div w:id="509875059">
      <w:bodyDiv w:val="1"/>
      <w:marLeft w:val="0"/>
      <w:marRight w:val="0"/>
      <w:marTop w:val="0"/>
      <w:marBottom w:val="0"/>
      <w:divBdr>
        <w:top w:val="none" w:sz="0" w:space="0" w:color="auto"/>
        <w:left w:val="none" w:sz="0" w:space="0" w:color="auto"/>
        <w:bottom w:val="none" w:sz="0" w:space="0" w:color="auto"/>
        <w:right w:val="none" w:sz="0" w:space="0" w:color="auto"/>
      </w:divBdr>
    </w:div>
    <w:div w:id="626473327">
      <w:bodyDiv w:val="1"/>
      <w:marLeft w:val="0"/>
      <w:marRight w:val="0"/>
      <w:marTop w:val="0"/>
      <w:marBottom w:val="0"/>
      <w:divBdr>
        <w:top w:val="none" w:sz="0" w:space="0" w:color="auto"/>
        <w:left w:val="none" w:sz="0" w:space="0" w:color="auto"/>
        <w:bottom w:val="none" w:sz="0" w:space="0" w:color="auto"/>
        <w:right w:val="none" w:sz="0" w:space="0" w:color="auto"/>
      </w:divBdr>
    </w:div>
    <w:div w:id="684021879">
      <w:bodyDiv w:val="1"/>
      <w:marLeft w:val="0"/>
      <w:marRight w:val="0"/>
      <w:marTop w:val="0"/>
      <w:marBottom w:val="0"/>
      <w:divBdr>
        <w:top w:val="none" w:sz="0" w:space="0" w:color="auto"/>
        <w:left w:val="none" w:sz="0" w:space="0" w:color="auto"/>
        <w:bottom w:val="none" w:sz="0" w:space="0" w:color="auto"/>
        <w:right w:val="none" w:sz="0" w:space="0" w:color="auto"/>
      </w:divBdr>
    </w:div>
    <w:div w:id="825513635">
      <w:bodyDiv w:val="1"/>
      <w:marLeft w:val="0"/>
      <w:marRight w:val="0"/>
      <w:marTop w:val="0"/>
      <w:marBottom w:val="0"/>
      <w:divBdr>
        <w:top w:val="none" w:sz="0" w:space="0" w:color="auto"/>
        <w:left w:val="none" w:sz="0" w:space="0" w:color="auto"/>
        <w:bottom w:val="none" w:sz="0" w:space="0" w:color="auto"/>
        <w:right w:val="none" w:sz="0" w:space="0" w:color="auto"/>
      </w:divBdr>
    </w:div>
    <w:div w:id="867639478">
      <w:bodyDiv w:val="1"/>
      <w:marLeft w:val="0"/>
      <w:marRight w:val="0"/>
      <w:marTop w:val="0"/>
      <w:marBottom w:val="0"/>
      <w:divBdr>
        <w:top w:val="none" w:sz="0" w:space="0" w:color="auto"/>
        <w:left w:val="none" w:sz="0" w:space="0" w:color="auto"/>
        <w:bottom w:val="none" w:sz="0" w:space="0" w:color="auto"/>
        <w:right w:val="none" w:sz="0" w:space="0" w:color="auto"/>
      </w:divBdr>
    </w:div>
    <w:div w:id="1060636362">
      <w:bodyDiv w:val="1"/>
      <w:marLeft w:val="0"/>
      <w:marRight w:val="0"/>
      <w:marTop w:val="0"/>
      <w:marBottom w:val="0"/>
      <w:divBdr>
        <w:top w:val="none" w:sz="0" w:space="0" w:color="auto"/>
        <w:left w:val="none" w:sz="0" w:space="0" w:color="auto"/>
        <w:bottom w:val="none" w:sz="0" w:space="0" w:color="auto"/>
        <w:right w:val="none" w:sz="0" w:space="0" w:color="auto"/>
      </w:divBdr>
    </w:div>
    <w:div w:id="1148667988">
      <w:bodyDiv w:val="1"/>
      <w:marLeft w:val="0"/>
      <w:marRight w:val="0"/>
      <w:marTop w:val="0"/>
      <w:marBottom w:val="0"/>
      <w:divBdr>
        <w:top w:val="none" w:sz="0" w:space="0" w:color="auto"/>
        <w:left w:val="none" w:sz="0" w:space="0" w:color="auto"/>
        <w:bottom w:val="none" w:sz="0" w:space="0" w:color="auto"/>
        <w:right w:val="none" w:sz="0" w:space="0" w:color="auto"/>
      </w:divBdr>
    </w:div>
    <w:div w:id="1182012790">
      <w:bodyDiv w:val="1"/>
      <w:marLeft w:val="0"/>
      <w:marRight w:val="0"/>
      <w:marTop w:val="0"/>
      <w:marBottom w:val="0"/>
      <w:divBdr>
        <w:top w:val="none" w:sz="0" w:space="0" w:color="auto"/>
        <w:left w:val="none" w:sz="0" w:space="0" w:color="auto"/>
        <w:bottom w:val="none" w:sz="0" w:space="0" w:color="auto"/>
        <w:right w:val="none" w:sz="0" w:space="0" w:color="auto"/>
      </w:divBdr>
    </w:div>
    <w:div w:id="1197112586">
      <w:bodyDiv w:val="1"/>
      <w:marLeft w:val="0"/>
      <w:marRight w:val="0"/>
      <w:marTop w:val="0"/>
      <w:marBottom w:val="0"/>
      <w:divBdr>
        <w:top w:val="none" w:sz="0" w:space="0" w:color="auto"/>
        <w:left w:val="none" w:sz="0" w:space="0" w:color="auto"/>
        <w:bottom w:val="none" w:sz="0" w:space="0" w:color="auto"/>
        <w:right w:val="none" w:sz="0" w:space="0" w:color="auto"/>
      </w:divBdr>
    </w:div>
    <w:div w:id="1205096594">
      <w:bodyDiv w:val="1"/>
      <w:marLeft w:val="0"/>
      <w:marRight w:val="0"/>
      <w:marTop w:val="0"/>
      <w:marBottom w:val="0"/>
      <w:divBdr>
        <w:top w:val="none" w:sz="0" w:space="0" w:color="auto"/>
        <w:left w:val="none" w:sz="0" w:space="0" w:color="auto"/>
        <w:bottom w:val="none" w:sz="0" w:space="0" w:color="auto"/>
        <w:right w:val="none" w:sz="0" w:space="0" w:color="auto"/>
      </w:divBdr>
    </w:div>
    <w:div w:id="1290472730">
      <w:bodyDiv w:val="1"/>
      <w:marLeft w:val="0"/>
      <w:marRight w:val="0"/>
      <w:marTop w:val="0"/>
      <w:marBottom w:val="0"/>
      <w:divBdr>
        <w:top w:val="none" w:sz="0" w:space="0" w:color="auto"/>
        <w:left w:val="none" w:sz="0" w:space="0" w:color="auto"/>
        <w:bottom w:val="none" w:sz="0" w:space="0" w:color="auto"/>
        <w:right w:val="none" w:sz="0" w:space="0" w:color="auto"/>
      </w:divBdr>
    </w:div>
    <w:div w:id="1405109948">
      <w:bodyDiv w:val="1"/>
      <w:marLeft w:val="0"/>
      <w:marRight w:val="0"/>
      <w:marTop w:val="0"/>
      <w:marBottom w:val="0"/>
      <w:divBdr>
        <w:top w:val="none" w:sz="0" w:space="0" w:color="auto"/>
        <w:left w:val="none" w:sz="0" w:space="0" w:color="auto"/>
        <w:bottom w:val="none" w:sz="0" w:space="0" w:color="auto"/>
        <w:right w:val="none" w:sz="0" w:space="0" w:color="auto"/>
      </w:divBdr>
    </w:div>
    <w:div w:id="1418480882">
      <w:bodyDiv w:val="1"/>
      <w:marLeft w:val="0"/>
      <w:marRight w:val="0"/>
      <w:marTop w:val="0"/>
      <w:marBottom w:val="0"/>
      <w:divBdr>
        <w:top w:val="none" w:sz="0" w:space="0" w:color="auto"/>
        <w:left w:val="none" w:sz="0" w:space="0" w:color="auto"/>
        <w:bottom w:val="none" w:sz="0" w:space="0" w:color="auto"/>
        <w:right w:val="none" w:sz="0" w:space="0" w:color="auto"/>
      </w:divBdr>
    </w:div>
    <w:div w:id="1585455296">
      <w:bodyDiv w:val="1"/>
      <w:marLeft w:val="0"/>
      <w:marRight w:val="0"/>
      <w:marTop w:val="0"/>
      <w:marBottom w:val="0"/>
      <w:divBdr>
        <w:top w:val="none" w:sz="0" w:space="0" w:color="auto"/>
        <w:left w:val="none" w:sz="0" w:space="0" w:color="auto"/>
        <w:bottom w:val="none" w:sz="0" w:space="0" w:color="auto"/>
        <w:right w:val="none" w:sz="0" w:space="0" w:color="auto"/>
      </w:divBdr>
    </w:div>
    <w:div w:id="1613896534">
      <w:bodyDiv w:val="1"/>
      <w:marLeft w:val="0"/>
      <w:marRight w:val="0"/>
      <w:marTop w:val="0"/>
      <w:marBottom w:val="0"/>
      <w:divBdr>
        <w:top w:val="none" w:sz="0" w:space="0" w:color="auto"/>
        <w:left w:val="none" w:sz="0" w:space="0" w:color="auto"/>
        <w:bottom w:val="none" w:sz="0" w:space="0" w:color="auto"/>
        <w:right w:val="none" w:sz="0" w:space="0" w:color="auto"/>
      </w:divBdr>
    </w:div>
    <w:div w:id="1704284874">
      <w:bodyDiv w:val="1"/>
      <w:marLeft w:val="0"/>
      <w:marRight w:val="0"/>
      <w:marTop w:val="0"/>
      <w:marBottom w:val="0"/>
      <w:divBdr>
        <w:top w:val="none" w:sz="0" w:space="0" w:color="auto"/>
        <w:left w:val="none" w:sz="0" w:space="0" w:color="auto"/>
        <w:bottom w:val="none" w:sz="0" w:space="0" w:color="auto"/>
        <w:right w:val="none" w:sz="0" w:space="0" w:color="auto"/>
      </w:divBdr>
    </w:div>
    <w:div w:id="1709449018">
      <w:bodyDiv w:val="1"/>
      <w:marLeft w:val="0"/>
      <w:marRight w:val="0"/>
      <w:marTop w:val="0"/>
      <w:marBottom w:val="0"/>
      <w:divBdr>
        <w:top w:val="none" w:sz="0" w:space="0" w:color="auto"/>
        <w:left w:val="none" w:sz="0" w:space="0" w:color="auto"/>
        <w:bottom w:val="none" w:sz="0" w:space="0" w:color="auto"/>
        <w:right w:val="none" w:sz="0" w:space="0" w:color="auto"/>
      </w:divBdr>
    </w:div>
    <w:div w:id="1743868199">
      <w:bodyDiv w:val="1"/>
      <w:marLeft w:val="0"/>
      <w:marRight w:val="0"/>
      <w:marTop w:val="0"/>
      <w:marBottom w:val="0"/>
      <w:divBdr>
        <w:top w:val="none" w:sz="0" w:space="0" w:color="auto"/>
        <w:left w:val="none" w:sz="0" w:space="0" w:color="auto"/>
        <w:bottom w:val="none" w:sz="0" w:space="0" w:color="auto"/>
        <w:right w:val="none" w:sz="0" w:space="0" w:color="auto"/>
      </w:divBdr>
    </w:div>
    <w:div w:id="1769690433">
      <w:bodyDiv w:val="1"/>
      <w:marLeft w:val="0"/>
      <w:marRight w:val="0"/>
      <w:marTop w:val="0"/>
      <w:marBottom w:val="0"/>
      <w:divBdr>
        <w:top w:val="none" w:sz="0" w:space="0" w:color="auto"/>
        <w:left w:val="none" w:sz="0" w:space="0" w:color="auto"/>
        <w:bottom w:val="none" w:sz="0" w:space="0" w:color="auto"/>
        <w:right w:val="none" w:sz="0" w:space="0" w:color="auto"/>
      </w:divBdr>
    </w:div>
    <w:div w:id="1821917711">
      <w:bodyDiv w:val="1"/>
      <w:marLeft w:val="0"/>
      <w:marRight w:val="0"/>
      <w:marTop w:val="0"/>
      <w:marBottom w:val="0"/>
      <w:divBdr>
        <w:top w:val="none" w:sz="0" w:space="0" w:color="auto"/>
        <w:left w:val="none" w:sz="0" w:space="0" w:color="auto"/>
        <w:bottom w:val="none" w:sz="0" w:space="0" w:color="auto"/>
        <w:right w:val="none" w:sz="0" w:space="0" w:color="auto"/>
      </w:divBdr>
    </w:div>
    <w:div w:id="1909462850">
      <w:bodyDiv w:val="1"/>
      <w:marLeft w:val="0"/>
      <w:marRight w:val="0"/>
      <w:marTop w:val="0"/>
      <w:marBottom w:val="0"/>
      <w:divBdr>
        <w:top w:val="none" w:sz="0" w:space="0" w:color="auto"/>
        <w:left w:val="none" w:sz="0" w:space="0" w:color="auto"/>
        <w:bottom w:val="none" w:sz="0" w:space="0" w:color="auto"/>
        <w:right w:val="none" w:sz="0" w:space="0" w:color="auto"/>
      </w:divBdr>
    </w:div>
    <w:div w:id="2073117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6.xml"/><Relationship Id="rId3" Type="http://schemas.openxmlformats.org/officeDocument/2006/relationships/styles" Target="styles.xml"/><Relationship Id="rId21" Type="http://schemas.openxmlformats.org/officeDocument/2006/relationships/chart" Target="charts/chart1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chart" Target="charts/chart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chart" Target="charts/chart14.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chart" Target="charts/chart18.xml"/><Relationship Id="rId10" Type="http://schemas.openxmlformats.org/officeDocument/2006/relationships/hyperlink" Target="mailto:ccrm@ccrm.md" TargetMode="External"/><Relationship Id="rId19" Type="http://schemas.openxmlformats.org/officeDocument/2006/relationships/chart" Target="charts/chart9.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crm.md" TargetMode="External"/><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chart" Target="charts/chart17.xml"/><Relationship Id="rId30"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1.xml"/></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Excel_Worksheet16.xlsx"/></Relationships>
</file>

<file path=word/charts/_rels/chart17.xml.rels><?xml version="1.0" encoding="UTF-8" standalone="yes"?>
<Relationships xmlns="http://schemas.openxmlformats.org/package/2006/relationships"><Relationship Id="rId3" Type="http://schemas.openxmlformats.org/officeDocument/2006/relationships/package" Target="../embeddings/Microsoft_Excel_Worksheet17.xlsx"/><Relationship Id="rId2" Type="http://schemas.microsoft.com/office/2011/relationships/chartColorStyle" Target="colors1.xml"/><Relationship Id="rId1" Type="http://schemas.microsoft.com/office/2011/relationships/chartStyle" Target="style1.xml"/></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Excel_Worksheet18.xlsx"/></Relationships>
</file>

<file path=word/charts/_rels/chart19.xml.rels><?xml version="1.0" encoding="UTF-8" standalone="yes"?>
<Relationships xmlns="http://schemas.openxmlformats.org/package/2006/relationships"><Relationship Id="rId2" Type="http://schemas.openxmlformats.org/officeDocument/2006/relationships/package" Target="../embeddings/Microsoft_Excel_Worksheet19.xlsx"/><Relationship Id="rId1" Type="http://schemas.openxmlformats.org/officeDocument/2006/relationships/themeOverride" Target="../theme/themeOverride2.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manualLayout>
          <c:layoutTarget val="inner"/>
          <c:xMode val="edge"/>
          <c:yMode val="edge"/>
          <c:x val="6.7054492584562198E-2"/>
          <c:y val="0"/>
          <c:w val="0.90503353747448234"/>
          <c:h val="0.6734435148731408"/>
        </c:manualLayout>
      </c:layout>
      <c:barChart>
        <c:barDir val="col"/>
        <c:grouping val="clustered"/>
        <c:varyColors val="0"/>
        <c:ser>
          <c:idx val="0"/>
          <c:order val="0"/>
          <c:tx>
            <c:strRef>
              <c:f>Sheet1!$B$1</c:f>
              <c:strCache>
                <c:ptCount val="1"/>
                <c:pt idx="0">
                  <c:v>Column2</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0"/>
              <c:tx>
                <c:rich>
                  <a:bodyPr/>
                  <a:lstStyle/>
                  <a:p>
                    <a:fld id="{BB6E7724-5090-4CA7-8B8C-456B0F727007}" type="VALUE">
                      <a:rPr lang="en-US"/>
                      <a:pPr/>
                      <a:t>[ЗНАЧЕНИЕ]</a:t>
                    </a:fld>
                    <a:r>
                      <a:rPr lang="en-US"/>
                      <a:t>%</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67E0-4799-B5FC-BB680B825A38}"/>
                </c:ext>
                <c:ext xmlns:c15="http://schemas.microsoft.com/office/drawing/2012/chart" uri="{CE6537A1-D6FC-4f65-9D91-7224C49458BB}">
                  <c15:dlblFieldTable/>
                  <c15:showDataLabelsRange val="0"/>
                </c:ext>
              </c:extLst>
            </c:dLbl>
            <c:dLbl>
              <c:idx val="1"/>
              <c:tx>
                <c:rich>
                  <a:bodyPr/>
                  <a:lstStyle/>
                  <a:p>
                    <a:fld id="{C8D228E8-DAA9-432A-8140-60C9D5F757E1}" type="VALUE">
                      <a:rPr lang="en-US"/>
                      <a:pPr/>
                      <a:t>[ЗНАЧЕНИЕ]</a:t>
                    </a:fld>
                    <a:r>
                      <a:rPr lang="en-US"/>
                      <a:t>%</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67E0-4799-B5FC-BB680B825A38}"/>
                </c:ext>
                <c:ext xmlns:c15="http://schemas.microsoft.com/office/drawing/2012/chart" uri="{CE6537A1-D6FC-4f65-9D91-7224C49458BB}">
                  <c15:dlblFieldTable/>
                  <c15:showDataLabelsRange val="0"/>
                </c:ext>
              </c:extLst>
            </c:dLbl>
            <c:dLbl>
              <c:idx val="2"/>
              <c:layout>
                <c:manualLayout>
                  <c:x val="-2.3148148148148147E-3"/>
                  <c:y val="0.13236481033091202"/>
                </c:manualLayout>
              </c:layout>
              <c:tx>
                <c:rich>
                  <a:bodyPr/>
                  <a:lstStyle/>
                  <a:p>
                    <a:fld id="{12C7769F-EA83-45D6-81DB-5CFBC82A1A75}" type="VALUE">
                      <a:rPr lang="en-US"/>
                      <a:pPr/>
                      <a:t>[ЗНАЧЕНИЕ]</a:t>
                    </a:fld>
                    <a:r>
                      <a:rPr lang="en-US"/>
                      <a:t>%</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67E0-4799-B5FC-BB680B825A38}"/>
                </c:ext>
                <c:ext xmlns:c15="http://schemas.microsoft.com/office/drawing/2012/chart" uri="{CE6537A1-D6FC-4f65-9D91-7224C49458BB}">
                  <c15:dlblFieldTable/>
                  <c15:showDataLabelsRange val="0"/>
                </c:ext>
              </c:extLst>
            </c:dLbl>
            <c:dLbl>
              <c:idx val="3"/>
              <c:tx>
                <c:rich>
                  <a:bodyPr/>
                  <a:lstStyle/>
                  <a:p>
                    <a:fld id="{16C76A6B-5A0D-438C-BE8D-CF6EF8FEF213}" type="VALUE">
                      <a:rPr lang="en-US"/>
                      <a:pPr/>
                      <a:t>[ЗНАЧЕНИЕ]</a:t>
                    </a:fld>
                    <a:r>
                      <a:rPr lang="en-US"/>
                      <a:t>%</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67E0-4799-B5FC-BB680B825A38}"/>
                </c:ext>
                <c:ext xmlns:c15="http://schemas.microsoft.com/office/drawing/2012/chart" uri="{CE6537A1-D6FC-4f65-9D91-7224C49458BB}">
                  <c15:dlblFieldTable/>
                  <c15:showDataLabelsRange val="0"/>
                </c:ext>
              </c:extLst>
            </c:dLbl>
            <c:dLbl>
              <c:idx val="4"/>
              <c:layout>
                <c:manualLayout>
                  <c:x val="-4.6296296296295869E-3"/>
                  <c:y val="6.7796610169491581E-2"/>
                </c:manualLayout>
              </c:layout>
              <c:tx>
                <c:rich>
                  <a:bodyPr/>
                  <a:lstStyle/>
                  <a:p>
                    <a:fld id="{50A7C937-61F2-4579-87FC-8C121322DD95}" type="VALUE">
                      <a:rPr lang="en-US" b="1"/>
                      <a:pPr/>
                      <a:t>[ЗНАЧЕНИЕ]</a:t>
                    </a:fld>
                    <a:r>
                      <a:rPr lang="en-US" b="1"/>
                      <a:t>%</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67E0-4799-B5FC-BB680B825A38}"/>
                </c:ext>
                <c:ext xmlns:c15="http://schemas.microsoft.com/office/drawing/2012/chart" uri="{CE6537A1-D6FC-4f65-9D91-7224C49458BB}">
                  <c15:dlblFieldTable/>
                  <c15:showDataLabelsRange val="0"/>
                </c:ext>
              </c:extLst>
            </c:dLbl>
            <c:dLbl>
              <c:idx val="5"/>
              <c:tx>
                <c:rich>
                  <a:bodyPr/>
                  <a:lstStyle/>
                  <a:p>
                    <a:fld id="{22F8713B-8200-46A8-960E-D87062E5D540}" type="VALUE">
                      <a:rPr lang="en-US"/>
                      <a:pPr/>
                      <a:t>[ЗНАЧЕНИЕ]</a:t>
                    </a:fld>
                    <a:r>
                      <a:rPr lang="en-US"/>
                      <a:t>%</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67E0-4799-B5FC-BB680B825A38}"/>
                </c:ext>
                <c:ext xmlns:c15="http://schemas.microsoft.com/office/drawing/2012/chart" uri="{CE6537A1-D6FC-4f65-9D91-7224C49458BB}">
                  <c15:dlblFieldTable/>
                  <c15:showDataLabelsRange val="0"/>
                </c:ext>
              </c:extLst>
            </c:dLbl>
            <c:dLbl>
              <c:idx val="6"/>
              <c:tx>
                <c:rich>
                  <a:bodyPr/>
                  <a:lstStyle/>
                  <a:p>
                    <a:fld id="{4D3533EC-B3BE-4A66-AD3C-0BF4068EDA07}" type="VALUE">
                      <a:rPr lang="en-US"/>
                      <a:pPr/>
                      <a:t>[ЗНАЧЕНИЕ]</a:t>
                    </a:fld>
                    <a:r>
                      <a:rPr lang="en-US"/>
                      <a:t>%</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67E0-4799-B5FC-BB680B825A38}"/>
                </c:ext>
                <c:ext xmlns:c15="http://schemas.microsoft.com/office/drawing/2012/chart" uri="{CE6537A1-D6FC-4f65-9D91-7224C49458BB}">
                  <c15:dlblFieldTable/>
                  <c15:showDataLabelsRange val="0"/>
                </c:ext>
              </c:extLst>
            </c:dLbl>
            <c:dLbl>
              <c:idx val="7"/>
              <c:tx>
                <c:rich>
                  <a:bodyPr/>
                  <a:lstStyle/>
                  <a:p>
                    <a:fld id="{092D534F-7FE4-4F11-BF6E-4257C72ADC93}" type="VALUE">
                      <a:rPr lang="en-US"/>
                      <a:pPr/>
                      <a:t>[ЗНАЧЕНИЕ]</a:t>
                    </a:fld>
                    <a:r>
                      <a:rPr lang="en-US"/>
                      <a:t>%</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67E0-4799-B5FC-BB680B825A38}"/>
                </c:ext>
                <c:ext xmlns:c15="http://schemas.microsoft.com/office/drawing/2012/chart" uri="{CE6537A1-D6FC-4f65-9D91-7224C49458BB}">
                  <c15:dlblFieldTable/>
                  <c15:showDataLabelsRange val="0"/>
                </c:ext>
              </c:extLst>
            </c:dLbl>
            <c:dLbl>
              <c:idx val="8"/>
              <c:tx>
                <c:rich>
                  <a:bodyPr/>
                  <a:lstStyle/>
                  <a:p>
                    <a:fld id="{FAFA7268-6874-405D-AC4F-FBE8B102B683}" type="VALUE">
                      <a:rPr lang="en-US"/>
                      <a:pPr/>
                      <a:t>[ЗНАЧЕНИЕ]</a:t>
                    </a:fld>
                    <a:r>
                      <a:rPr lang="en-US"/>
                      <a:t>%</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67E0-4799-B5FC-BB680B825A38}"/>
                </c:ext>
                <c:ext xmlns:c15="http://schemas.microsoft.com/office/drawing/2012/chart" uri="{CE6537A1-D6FC-4f65-9D91-7224C49458BB}">
                  <c15:dlblFieldTable/>
                  <c15:showDataLabelsRange val="0"/>
                </c:ext>
              </c:extLst>
            </c:dLbl>
            <c:dLbl>
              <c:idx val="9"/>
              <c:tx>
                <c:rich>
                  <a:bodyPr/>
                  <a:lstStyle/>
                  <a:p>
                    <a:fld id="{3ACE6CFC-F00D-47AB-B1FC-4ECC7C3BA707}" type="VALUE">
                      <a:rPr lang="en-US"/>
                      <a:pPr/>
                      <a:t>[ЗНАЧЕНИЕ]</a:t>
                    </a:fld>
                    <a:r>
                      <a:rPr lang="en-US"/>
                      <a:t>%</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67E0-4799-B5FC-BB680B825A38}"/>
                </c:ext>
                <c:ext xmlns:c15="http://schemas.microsoft.com/office/drawing/2012/chart" uri="{CE6537A1-D6FC-4f65-9D91-7224C49458BB}">
                  <c15:dlblFieldTable/>
                  <c15:showDataLabelsRange val="0"/>
                </c:ext>
              </c:extLst>
            </c:dLbl>
            <c:dLbl>
              <c:idx val="10"/>
              <c:tx>
                <c:rich>
                  <a:bodyPr/>
                  <a:lstStyle/>
                  <a:p>
                    <a:fld id="{15AC2259-B1DE-436A-95E8-1AA5DFF41029}" type="VALUE">
                      <a:rPr lang="en-US"/>
                      <a:pPr/>
                      <a:t>[ЗНАЧЕНИЕ]</a:t>
                    </a:fld>
                    <a:r>
                      <a:rPr lang="en-US"/>
                      <a:t>%</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67E0-4799-B5FC-BB680B825A38}"/>
                </c:ext>
                <c:ext xmlns:c15="http://schemas.microsoft.com/office/drawing/2012/chart" uri="{CE6537A1-D6FC-4f65-9D91-7224C49458BB}">
                  <c15:dlblFieldTable/>
                  <c15:showDataLabelsRange val="0"/>
                </c:ext>
              </c:extLst>
            </c:dLbl>
            <c:dLbl>
              <c:idx val="11"/>
              <c:tx>
                <c:rich>
                  <a:bodyPr/>
                  <a:lstStyle/>
                  <a:p>
                    <a:fld id="{9BCC40EF-601D-413C-BC9B-E353FB4953E4}" type="VALUE">
                      <a:rPr lang="en-US"/>
                      <a:pPr/>
                      <a:t>[ЗНАЧЕНИЕ]</a:t>
                    </a:fld>
                    <a:r>
                      <a:rPr lang="en-US"/>
                      <a:t>%</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67E0-4799-B5FC-BB680B825A38}"/>
                </c:ext>
                <c:ext xmlns:c15="http://schemas.microsoft.com/office/drawing/2012/chart" uri="{CE6537A1-D6FC-4f65-9D91-7224C49458BB}">
                  <c15:dlblFieldTable/>
                  <c15:showDataLabelsRange val="0"/>
                </c:ext>
              </c:extLst>
            </c:dLbl>
            <c:dLbl>
              <c:idx val="12"/>
              <c:tx>
                <c:rich>
                  <a:bodyPr/>
                  <a:lstStyle/>
                  <a:p>
                    <a:fld id="{68CA7C22-94CB-4D7B-A1A6-E97EC0BC6527}" type="VALUE">
                      <a:rPr lang="en-US"/>
                      <a:pPr/>
                      <a:t>[ЗНАЧЕНИЕ]</a:t>
                    </a:fld>
                    <a:r>
                      <a:rPr lang="en-US"/>
                      <a:t>%</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67E0-4799-B5FC-BB680B825A38}"/>
                </c:ext>
                <c:ext xmlns:c15="http://schemas.microsoft.com/office/drawing/2012/chart" uri="{CE6537A1-D6FC-4f65-9D91-7224C49458BB}">
                  <c15:dlblFieldTable/>
                  <c15:showDataLabelsRange val="0"/>
                </c:ext>
              </c:extLst>
            </c:dLbl>
            <c:dLbl>
              <c:idx val="13"/>
              <c:tx>
                <c:rich>
                  <a:bodyPr/>
                  <a:lstStyle/>
                  <a:p>
                    <a:fld id="{3E369FE7-400C-4D07-9483-D6C10EB4881B}" type="VALUE">
                      <a:rPr lang="en-US"/>
                      <a:pPr/>
                      <a:t>[ЗНАЧЕНИЕ]</a:t>
                    </a:fld>
                    <a:r>
                      <a:rPr lang="en-US"/>
                      <a:t>%</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67E0-4799-B5FC-BB680B825A38}"/>
                </c:ex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Sheet1!$A$2:$A$15</c:f>
              <c:strCache>
                <c:ptCount val="14"/>
                <c:pt idx="0">
                  <c:v>Impozit pe venit</c:v>
                </c:pt>
                <c:pt idx="1">
                  <c:v>TVA</c:v>
                </c:pt>
                <c:pt idx="2">
                  <c:v>Restituirea TVA</c:v>
                </c:pt>
                <c:pt idx="3">
                  <c:v>Accize</c:v>
                </c:pt>
                <c:pt idx="4">
                  <c:v>Retituirea accizelor</c:v>
                </c:pt>
                <c:pt idx="5">
                  <c:v>Taxe pentru servicii specifice</c:v>
                </c:pt>
                <c:pt idx="6">
                  <c:v>Taxe și plăți pentru utilizarea mărfurilor și pentru practicarea unor genuri de activitate</c:v>
                </c:pt>
                <c:pt idx="7">
                  <c:v>Alte taxe pentru mărfuri și servicii</c:v>
                </c:pt>
                <c:pt idx="8">
                  <c:v>Taxe vamale și alte taxe de import</c:v>
                </c:pt>
                <c:pt idx="9">
                  <c:v>Alte taxe asupra comerțului exterior și operațiunilor externe</c:v>
                </c:pt>
                <c:pt idx="10">
                  <c:v>Granturi primite</c:v>
                </c:pt>
                <c:pt idx="11">
                  <c:v>Venituri din proprietate</c:v>
                </c:pt>
                <c:pt idx="12">
                  <c:v>Venituri din vânzarea mărfurilor și serviciilor</c:v>
                </c:pt>
                <c:pt idx="13">
                  <c:v>Amenzi și sancțiuni</c:v>
                </c:pt>
              </c:strCache>
            </c:strRef>
          </c:cat>
          <c:val>
            <c:numRef>
              <c:f>Sheet1!$B$2:$B$15</c:f>
              <c:numCache>
                <c:formatCode>0.0</c:formatCode>
                <c:ptCount val="14"/>
                <c:pt idx="0">
                  <c:v>16.3</c:v>
                </c:pt>
                <c:pt idx="1">
                  <c:v>49.5</c:v>
                </c:pt>
                <c:pt idx="2">
                  <c:v>-7.8</c:v>
                </c:pt>
                <c:pt idx="3">
                  <c:v>17.5</c:v>
                </c:pt>
                <c:pt idx="4">
                  <c:v>-0.6</c:v>
                </c:pt>
                <c:pt idx="5">
                  <c:v>0</c:v>
                </c:pt>
                <c:pt idx="6">
                  <c:v>1.2</c:v>
                </c:pt>
                <c:pt idx="7">
                  <c:v>2.6</c:v>
                </c:pt>
                <c:pt idx="8">
                  <c:v>3.1</c:v>
                </c:pt>
                <c:pt idx="9">
                  <c:v>1.5</c:v>
                </c:pt>
                <c:pt idx="10">
                  <c:v>2.9</c:v>
                </c:pt>
                <c:pt idx="11">
                  <c:v>0.9</c:v>
                </c:pt>
                <c:pt idx="12">
                  <c:v>3</c:v>
                </c:pt>
                <c:pt idx="13">
                  <c:v>1</c:v>
                </c:pt>
              </c:numCache>
            </c:numRef>
          </c:val>
          <c:extLst xmlns:c16r2="http://schemas.microsoft.com/office/drawing/2015/06/chart">
            <c:ext xmlns:c16="http://schemas.microsoft.com/office/drawing/2014/chart" uri="{C3380CC4-5D6E-409C-BE32-E72D297353CC}">
              <c16:uniqueId val="{0000000E-67E0-4799-B5FC-BB680B825A38}"/>
            </c:ext>
          </c:extLst>
        </c:ser>
        <c:dLbls>
          <c:dLblPos val="outEnd"/>
          <c:showLegendKey val="0"/>
          <c:showVal val="1"/>
          <c:showCatName val="0"/>
          <c:showSerName val="0"/>
          <c:showPercent val="0"/>
          <c:showBubbleSize val="0"/>
        </c:dLbls>
        <c:gapWidth val="100"/>
        <c:overlap val="-24"/>
        <c:axId val="196732088"/>
        <c:axId val="196733656"/>
      </c:barChart>
      <c:catAx>
        <c:axId val="196732088"/>
        <c:scaling>
          <c:orientation val="minMax"/>
        </c:scaling>
        <c:delete val="0"/>
        <c:axPos val="b"/>
        <c:numFmt formatCode="General" sourceLinked="1"/>
        <c:majorTickMark val="out"/>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96733656"/>
        <c:crosses val="autoZero"/>
        <c:auto val="1"/>
        <c:lblAlgn val="ctr"/>
        <c:lblOffset val="100"/>
        <c:noMultiLvlLbl val="0"/>
      </c:catAx>
      <c:valAx>
        <c:axId val="196733656"/>
        <c:scaling>
          <c:orientation val="minMax"/>
        </c:scaling>
        <c:delete val="1"/>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0" sourceLinked="1"/>
        <c:majorTickMark val="out"/>
        <c:minorTickMark val="none"/>
        <c:tickLblPos val="nextTo"/>
        <c:crossAx val="1967320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1573999504133645"/>
          <c:y val="6.6429418742585997E-2"/>
          <c:w val="0.64549387022824667"/>
          <c:h val="0.6173407393843211"/>
        </c:manualLayout>
      </c:layout>
      <c:bar3DChart>
        <c:barDir val="col"/>
        <c:grouping val="stacked"/>
        <c:varyColors val="0"/>
        <c:ser>
          <c:idx val="0"/>
          <c:order val="0"/>
          <c:tx>
            <c:strRef>
              <c:f>Sheet1!$B$2</c:f>
              <c:strCache>
                <c:ptCount val="1"/>
                <c:pt idx="0">
                  <c:v>Organele de drept ale RM</c:v>
                </c:pt>
              </c:strCache>
            </c:strRef>
          </c:tx>
          <c:spPr>
            <a:solidFill>
              <a:srgbClr val="445774"/>
            </a:soli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Sheet1!$A$3:$A$5</c:f>
              <c:strCache>
                <c:ptCount val="3"/>
                <c:pt idx="0">
                  <c:v>Total</c:v>
                </c:pt>
                <c:pt idx="1">
                  <c:v>Organele de drept ale RM</c:v>
                </c:pt>
                <c:pt idx="2">
                  <c:v>CEDO</c:v>
                </c:pt>
              </c:strCache>
            </c:strRef>
          </c:cat>
          <c:val>
            <c:numRef>
              <c:f>Sheet1!$B$3:$B$5</c:f>
              <c:numCache>
                <c:formatCode>General</c:formatCode>
                <c:ptCount val="3"/>
                <c:pt idx="0">
                  <c:v>10.3</c:v>
                </c:pt>
              </c:numCache>
            </c:numRef>
          </c:val>
          <c:extLst xmlns:c16r2="http://schemas.microsoft.com/office/drawing/2015/06/chart">
            <c:ext xmlns:c16="http://schemas.microsoft.com/office/drawing/2014/chart" uri="{C3380CC4-5D6E-409C-BE32-E72D297353CC}">
              <c16:uniqueId val="{00000000-5E64-43F9-B65B-B290F203019A}"/>
            </c:ext>
          </c:extLst>
        </c:ser>
        <c:ser>
          <c:idx val="1"/>
          <c:order val="1"/>
          <c:tx>
            <c:strRef>
              <c:f>Sheet1!$C$2</c:f>
              <c:strCache>
                <c:ptCount val="1"/>
                <c:pt idx="0">
                  <c:v>CEDO</c:v>
                </c:pt>
              </c:strCache>
            </c:strRef>
          </c:tx>
          <c:spPr>
            <a:solidFill>
              <a:schemeClr val="accent2">
                <a:lumMod val="40000"/>
                <a:lumOff val="60000"/>
              </a:schemeClr>
            </a:soli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Sheet1!$A$3:$A$5</c:f>
              <c:strCache>
                <c:ptCount val="3"/>
                <c:pt idx="0">
                  <c:v>Total</c:v>
                </c:pt>
                <c:pt idx="1">
                  <c:v>Organele de drept ale RM</c:v>
                </c:pt>
                <c:pt idx="2">
                  <c:v>CEDO</c:v>
                </c:pt>
              </c:strCache>
            </c:strRef>
          </c:cat>
          <c:val>
            <c:numRef>
              <c:f>Sheet1!$C$3:$C$5</c:f>
              <c:numCache>
                <c:formatCode>General</c:formatCode>
                <c:ptCount val="3"/>
                <c:pt idx="0">
                  <c:v>3.3</c:v>
                </c:pt>
              </c:numCache>
            </c:numRef>
          </c:val>
          <c:extLst xmlns:c16r2="http://schemas.microsoft.com/office/drawing/2015/06/chart">
            <c:ext xmlns:c16="http://schemas.microsoft.com/office/drawing/2014/chart" uri="{C3380CC4-5D6E-409C-BE32-E72D297353CC}">
              <c16:uniqueId val="{00000001-5E64-43F9-B65B-B290F203019A}"/>
            </c:ext>
          </c:extLst>
        </c:ser>
        <c:ser>
          <c:idx val="2"/>
          <c:order val="2"/>
          <c:tx>
            <c:strRef>
              <c:f>Sheet1!$D$2</c:f>
              <c:strCache>
                <c:ptCount val="1"/>
                <c:pt idx="0">
                  <c:v>Persoane fizice</c:v>
                </c:pt>
              </c:strCache>
            </c:strRef>
          </c:tx>
          <c:spPr>
            <a:solidFill>
              <a:srgbClr val="4D8F91"/>
            </a:soli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Sheet1!$A$3:$A$5</c:f>
              <c:strCache>
                <c:ptCount val="3"/>
                <c:pt idx="0">
                  <c:v>Total</c:v>
                </c:pt>
                <c:pt idx="1">
                  <c:v>Organele de drept ale RM</c:v>
                </c:pt>
                <c:pt idx="2">
                  <c:v>CEDO</c:v>
                </c:pt>
              </c:strCache>
            </c:strRef>
          </c:cat>
          <c:val>
            <c:numRef>
              <c:f>Sheet1!$D$3:$D$5</c:f>
              <c:numCache>
                <c:formatCode>General</c:formatCode>
                <c:ptCount val="3"/>
                <c:pt idx="1">
                  <c:v>8.3000000000000007</c:v>
                </c:pt>
                <c:pt idx="2">
                  <c:v>2.8</c:v>
                </c:pt>
              </c:numCache>
            </c:numRef>
          </c:val>
          <c:extLst xmlns:c16r2="http://schemas.microsoft.com/office/drawing/2015/06/chart">
            <c:ext xmlns:c16="http://schemas.microsoft.com/office/drawing/2014/chart" uri="{C3380CC4-5D6E-409C-BE32-E72D297353CC}">
              <c16:uniqueId val="{00000002-5E64-43F9-B65B-B290F203019A}"/>
            </c:ext>
          </c:extLst>
        </c:ser>
        <c:ser>
          <c:idx val="3"/>
          <c:order val="3"/>
          <c:tx>
            <c:strRef>
              <c:f>Sheet1!$E$2</c:f>
              <c:strCache>
                <c:ptCount val="1"/>
                <c:pt idx="0">
                  <c:v>Persoane juridice</c:v>
                </c:pt>
              </c:strCache>
            </c:strRef>
          </c:tx>
          <c:spPr>
            <a:solidFill>
              <a:schemeClr val="accent5">
                <a:lumMod val="20000"/>
                <a:lumOff val="80000"/>
              </a:schemeClr>
            </a:soli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Sheet1!$A$3:$A$5</c:f>
              <c:strCache>
                <c:ptCount val="3"/>
                <c:pt idx="0">
                  <c:v>Total</c:v>
                </c:pt>
                <c:pt idx="1">
                  <c:v>Organele de drept ale RM</c:v>
                </c:pt>
                <c:pt idx="2">
                  <c:v>CEDO</c:v>
                </c:pt>
              </c:strCache>
            </c:strRef>
          </c:cat>
          <c:val>
            <c:numRef>
              <c:f>Sheet1!$E$3:$E$5</c:f>
              <c:numCache>
                <c:formatCode>0.0</c:formatCode>
                <c:ptCount val="3"/>
                <c:pt idx="1">
                  <c:v>2</c:v>
                </c:pt>
                <c:pt idx="2" formatCode="General">
                  <c:v>0.5</c:v>
                </c:pt>
              </c:numCache>
            </c:numRef>
          </c:val>
          <c:extLst xmlns:c16r2="http://schemas.microsoft.com/office/drawing/2015/06/chart">
            <c:ext xmlns:c16="http://schemas.microsoft.com/office/drawing/2014/chart" uri="{C3380CC4-5D6E-409C-BE32-E72D297353CC}">
              <c16:uniqueId val="{00000003-5E64-43F9-B65B-B290F203019A}"/>
            </c:ext>
          </c:extLst>
        </c:ser>
        <c:dLbls>
          <c:showLegendKey val="0"/>
          <c:showVal val="1"/>
          <c:showCatName val="0"/>
          <c:showSerName val="0"/>
          <c:showPercent val="0"/>
          <c:showBubbleSize val="0"/>
        </c:dLbls>
        <c:gapWidth val="55"/>
        <c:gapDepth val="55"/>
        <c:shape val="box"/>
        <c:axId val="409328632"/>
        <c:axId val="409329024"/>
        <c:axId val="0"/>
      </c:bar3DChart>
      <c:catAx>
        <c:axId val="409328632"/>
        <c:scaling>
          <c:orientation val="minMax"/>
        </c:scaling>
        <c:delete val="0"/>
        <c:axPos val="b"/>
        <c:numFmt formatCode="General" sourceLinked="1"/>
        <c:majorTickMark val="out"/>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050" b="1" i="0" u="none" strike="noStrike" kern="1200" baseline="0">
                <a:solidFill>
                  <a:schemeClr val="tx1">
                    <a:lumMod val="65000"/>
                    <a:lumOff val="35000"/>
                  </a:schemeClr>
                </a:solidFill>
                <a:latin typeface="+mn-lt"/>
                <a:ea typeface="+mn-ea"/>
                <a:cs typeface="+mn-cs"/>
              </a:defRPr>
            </a:pPr>
            <a:endParaRPr lang="ru-RU"/>
          </a:p>
        </c:txPr>
        <c:crossAx val="409329024"/>
        <c:crosses val="autoZero"/>
        <c:auto val="1"/>
        <c:lblAlgn val="ctr"/>
        <c:lblOffset val="100"/>
        <c:noMultiLvlLbl val="0"/>
      </c:catAx>
      <c:valAx>
        <c:axId val="4093290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09328632"/>
        <c:crosses val="autoZero"/>
        <c:crossBetween val="between"/>
      </c:valAx>
      <c:spPr>
        <a:pattFill prst="pct5">
          <a:fgClr>
            <a:schemeClr val="accent1">
              <a:lumMod val="20000"/>
              <a:lumOff val="80000"/>
            </a:schemeClr>
          </a:fgClr>
          <a:bgClr>
            <a:schemeClr val="bg1"/>
          </a:bgClr>
        </a:pattFill>
        <a:ln>
          <a:noFill/>
        </a:ln>
        <a:effectLst/>
      </c:spPr>
    </c:plotArea>
    <c:legend>
      <c:legendPos val="r"/>
      <c:layout>
        <c:manualLayout>
          <c:xMode val="edge"/>
          <c:yMode val="edge"/>
          <c:x val="0.75614865731360126"/>
          <c:y val="0.17971287396904567"/>
          <c:w val="0.23950823736609475"/>
          <c:h val="0.6500637954063571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0361852316301097"/>
          <c:y val="9.1362126245847178E-2"/>
          <c:w val="0.64409662898589637"/>
          <c:h val="0.32361616135192406"/>
        </c:manualLayout>
      </c:layout>
      <c:lineChart>
        <c:grouping val="standard"/>
        <c:varyColors val="0"/>
        <c:ser>
          <c:idx val="0"/>
          <c:order val="0"/>
          <c:tx>
            <c:strRef>
              <c:f>Sheet1!$B$1</c:f>
              <c:strCache>
                <c:ptCount val="1"/>
                <c:pt idx="0">
                  <c:v>% în PIB</c:v>
                </c:pt>
              </c:strCache>
            </c:strRef>
          </c:tx>
          <c:spPr>
            <a:ln w="28575" cap="rnd">
              <a:solidFill>
                <a:srgbClr val="FF0000"/>
              </a:solidFill>
              <a:round/>
            </a:ln>
            <a:effectLst/>
          </c:spPr>
          <c:marker>
            <c:symbol val="circle"/>
            <c:size val="5"/>
            <c:spPr>
              <a:solidFill>
                <a:srgbClr val="FF0000"/>
              </a:solidFill>
              <a:ln w="9525">
                <a:solidFill>
                  <a:srgbClr val="FF0000"/>
                </a:solidFill>
              </a:ln>
              <a:effectLst/>
            </c:spPr>
          </c:marker>
          <c:cat>
            <c:numRef>
              <c:f>Sheet1!$A$2:$A$4</c:f>
              <c:numCache>
                <c:formatCode>General</c:formatCode>
                <c:ptCount val="3"/>
                <c:pt idx="0">
                  <c:v>2015</c:v>
                </c:pt>
                <c:pt idx="1">
                  <c:v>2016</c:v>
                </c:pt>
                <c:pt idx="2">
                  <c:v>2017</c:v>
                </c:pt>
              </c:numCache>
            </c:numRef>
          </c:cat>
          <c:val>
            <c:numRef>
              <c:f>Sheet1!$B$2:$B$4</c:f>
              <c:numCache>
                <c:formatCode>0.0%</c:formatCode>
                <c:ptCount val="3"/>
                <c:pt idx="0">
                  <c:v>1.9E-2</c:v>
                </c:pt>
                <c:pt idx="1">
                  <c:v>7.0000000000000001E-3</c:v>
                </c:pt>
                <c:pt idx="2">
                  <c:v>5.0000000000000001E-3</c:v>
                </c:pt>
              </c:numCache>
            </c:numRef>
          </c:val>
          <c:smooth val="0"/>
          <c:extLst xmlns:c16r2="http://schemas.microsoft.com/office/drawing/2015/06/chart">
            <c:ext xmlns:c16="http://schemas.microsoft.com/office/drawing/2014/chart" uri="{C3380CC4-5D6E-409C-BE32-E72D297353CC}">
              <c16:uniqueId val="{00000000-859C-4308-B039-2E8394586B2A}"/>
            </c:ext>
          </c:extLst>
        </c:ser>
        <c:ser>
          <c:idx val="1"/>
          <c:order val="1"/>
          <c:tx>
            <c:strRef>
              <c:f>Sheet1!$C$1</c:f>
              <c:strCache>
                <c:ptCount val="1"/>
                <c:pt idx="0">
                  <c:v>% în totalul cheltuielilor</c:v>
                </c:pt>
              </c:strCache>
            </c:strRef>
          </c:tx>
          <c:spPr>
            <a:ln w="28575" cap="rnd">
              <a:solidFill>
                <a:srgbClr val="7030A0"/>
              </a:solidFill>
              <a:round/>
            </a:ln>
            <a:effectLst/>
          </c:spPr>
          <c:marker>
            <c:symbol val="circle"/>
            <c:size val="5"/>
            <c:spPr>
              <a:solidFill>
                <a:srgbClr val="7030A0"/>
              </a:solidFill>
              <a:ln w="9525">
                <a:solidFill>
                  <a:srgbClr val="7030A0"/>
                </a:solidFill>
              </a:ln>
              <a:effectLst/>
            </c:spPr>
          </c:marker>
          <c:cat>
            <c:numRef>
              <c:f>Sheet1!$A$2:$A$4</c:f>
              <c:numCache>
                <c:formatCode>General</c:formatCode>
                <c:ptCount val="3"/>
                <c:pt idx="0">
                  <c:v>2015</c:v>
                </c:pt>
                <c:pt idx="1">
                  <c:v>2016</c:v>
                </c:pt>
                <c:pt idx="2">
                  <c:v>2017</c:v>
                </c:pt>
              </c:numCache>
            </c:numRef>
          </c:cat>
          <c:val>
            <c:numRef>
              <c:f>Sheet1!$C$2:$C$4</c:f>
              <c:numCache>
                <c:formatCode>0.0%</c:formatCode>
                <c:ptCount val="3"/>
                <c:pt idx="0">
                  <c:v>7.3999999999999996E-2</c:v>
                </c:pt>
                <c:pt idx="1">
                  <c:v>0.03</c:v>
                </c:pt>
                <c:pt idx="2">
                  <c:v>2.4E-2</c:v>
                </c:pt>
              </c:numCache>
            </c:numRef>
          </c:val>
          <c:smooth val="0"/>
          <c:extLst xmlns:c16r2="http://schemas.microsoft.com/office/drawing/2015/06/chart">
            <c:ext xmlns:c16="http://schemas.microsoft.com/office/drawing/2014/chart" uri="{C3380CC4-5D6E-409C-BE32-E72D297353CC}">
              <c16:uniqueId val="{00000001-859C-4308-B039-2E8394586B2A}"/>
            </c:ext>
          </c:extLst>
        </c:ser>
        <c:dLbls>
          <c:showLegendKey val="0"/>
          <c:showVal val="0"/>
          <c:showCatName val="0"/>
          <c:showSerName val="0"/>
          <c:showPercent val="0"/>
          <c:showBubbleSize val="0"/>
        </c:dLbls>
        <c:marker val="1"/>
        <c:smooth val="0"/>
        <c:axId val="409329808"/>
        <c:axId val="409330200"/>
      </c:lineChart>
      <c:catAx>
        <c:axId val="4093298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ru-RU"/>
          </a:p>
        </c:txPr>
        <c:crossAx val="409330200"/>
        <c:crosses val="autoZero"/>
        <c:auto val="1"/>
        <c:lblAlgn val="ctr"/>
        <c:lblOffset val="100"/>
        <c:noMultiLvlLbl val="0"/>
      </c:catAx>
      <c:valAx>
        <c:axId val="40933020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ru-RU"/>
          </a:p>
        </c:txPr>
        <c:crossAx val="40932980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1" i="0" u="none" strike="noStrike" kern="1200" baseline="0">
                <a:solidFill>
                  <a:sysClr val="windowText" lastClr="000000"/>
                </a:solidFill>
                <a:latin typeface="+mn-lt"/>
                <a:ea typeface="+mn-ea"/>
                <a:cs typeface="+mn-cs"/>
              </a:defRPr>
            </a:pPr>
            <a:endParaRPr lang="ru-RU"/>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1">
          <a:solidFill>
            <a:sysClr val="windowText" lastClr="000000"/>
          </a:solidFill>
        </a:defRPr>
      </a:pPr>
      <a:endParaRPr lang="ru-RU"/>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pattFill prst="pct5">
          <a:fgClr>
            <a:schemeClr val="accent1"/>
          </a:fgClr>
          <a:bgClr>
            <a:schemeClr val="bg1"/>
          </a:bgClr>
        </a:pattFill>
        <a:ln>
          <a:noFill/>
        </a:ln>
        <a:effectLst/>
        <a:sp3d/>
      </c:spPr>
    </c:sideWall>
    <c:backWall>
      <c:thickness val="0"/>
      <c:spPr>
        <a:pattFill prst="pct5">
          <a:fgClr>
            <a:schemeClr val="accent1"/>
          </a:fgClr>
          <a:bgClr>
            <a:schemeClr val="bg1"/>
          </a:bgClr>
        </a:pattFill>
        <a:ln>
          <a:noFill/>
        </a:ln>
        <a:effectLst/>
        <a:sp3d/>
      </c:spPr>
    </c:backWall>
    <c:plotArea>
      <c:layout>
        <c:manualLayout>
          <c:layoutTarget val="inner"/>
          <c:xMode val="edge"/>
          <c:yMode val="edge"/>
          <c:x val="0.15595754964384551"/>
          <c:y val="5.0056882821387941E-2"/>
          <c:w val="0.78929206316009626"/>
          <c:h val="0.45090179492916277"/>
        </c:manualLayout>
      </c:layout>
      <c:bar3DChart>
        <c:barDir val="col"/>
        <c:grouping val="clustered"/>
        <c:varyColors val="0"/>
        <c:ser>
          <c:idx val="0"/>
          <c:order val="0"/>
          <c:tx>
            <c:strRef>
              <c:f>Sheet1!$B$1</c:f>
              <c:strCache>
                <c:ptCount val="1"/>
                <c:pt idx="0">
                  <c:v>Aprobat</c:v>
                </c:pt>
              </c:strCache>
            </c:strRef>
          </c:tx>
          <c:spPr>
            <a:solidFill>
              <a:schemeClr val="accent1">
                <a:lumMod val="50000"/>
              </a:schemeClr>
            </a:solidFill>
            <a:ln>
              <a:noFill/>
            </a:ln>
            <a:effectLst/>
            <a:sp3d/>
          </c:spPr>
          <c:invertIfNegative val="0"/>
          <c:cat>
            <c:strRef>
              <c:f>Sheet1!$A$2:$A$5</c:f>
              <c:strCache>
                <c:ptCount val="4"/>
                <c:pt idx="0">
                  <c:v>total</c:v>
                </c:pt>
                <c:pt idx="1">
                  <c:v>resurse generale</c:v>
                </c:pt>
                <c:pt idx="2">
                  <c:v>surse externe</c:v>
                </c:pt>
                <c:pt idx="3">
                  <c:v>venituri colectate</c:v>
                </c:pt>
              </c:strCache>
            </c:strRef>
          </c:cat>
          <c:val>
            <c:numRef>
              <c:f>Sheet1!$B$2:$B$5</c:f>
              <c:numCache>
                <c:formatCode>General</c:formatCode>
                <c:ptCount val="4"/>
                <c:pt idx="0">
                  <c:v>1802.8</c:v>
                </c:pt>
                <c:pt idx="1">
                  <c:v>327.3</c:v>
                </c:pt>
                <c:pt idx="2" formatCode="0.0">
                  <c:v>1472</c:v>
                </c:pt>
                <c:pt idx="3">
                  <c:v>3.5</c:v>
                </c:pt>
              </c:numCache>
            </c:numRef>
          </c:val>
          <c:extLst xmlns:c16r2="http://schemas.microsoft.com/office/drawing/2015/06/chart">
            <c:ext xmlns:c16="http://schemas.microsoft.com/office/drawing/2014/chart" uri="{C3380CC4-5D6E-409C-BE32-E72D297353CC}">
              <c16:uniqueId val="{00000000-183F-494F-8BF2-414AB7E11293}"/>
            </c:ext>
          </c:extLst>
        </c:ser>
        <c:ser>
          <c:idx val="1"/>
          <c:order val="1"/>
          <c:tx>
            <c:strRef>
              <c:f>Sheet1!$C$1</c:f>
              <c:strCache>
                <c:ptCount val="1"/>
                <c:pt idx="0">
                  <c:v>Precizat</c:v>
                </c:pt>
              </c:strCache>
            </c:strRef>
          </c:tx>
          <c:spPr>
            <a:solidFill>
              <a:schemeClr val="accent1">
                <a:lumMod val="75000"/>
              </a:schemeClr>
            </a:solidFill>
            <a:ln>
              <a:noFill/>
            </a:ln>
            <a:effectLst/>
            <a:sp3d/>
          </c:spPr>
          <c:invertIfNegative val="0"/>
          <c:cat>
            <c:strRef>
              <c:f>Sheet1!$A$2:$A$5</c:f>
              <c:strCache>
                <c:ptCount val="4"/>
                <c:pt idx="0">
                  <c:v>total</c:v>
                </c:pt>
                <c:pt idx="1">
                  <c:v>resurse generale</c:v>
                </c:pt>
                <c:pt idx="2">
                  <c:v>surse externe</c:v>
                </c:pt>
                <c:pt idx="3">
                  <c:v>venituri colectate</c:v>
                </c:pt>
              </c:strCache>
            </c:strRef>
          </c:cat>
          <c:val>
            <c:numRef>
              <c:f>Sheet1!$C$2:$C$5</c:f>
              <c:numCache>
                <c:formatCode>General</c:formatCode>
                <c:ptCount val="4"/>
                <c:pt idx="0">
                  <c:v>1363.2</c:v>
                </c:pt>
                <c:pt idx="1">
                  <c:v>319.39999999999998</c:v>
                </c:pt>
                <c:pt idx="2">
                  <c:v>1040.5999999999999</c:v>
                </c:pt>
                <c:pt idx="3">
                  <c:v>3.2</c:v>
                </c:pt>
              </c:numCache>
            </c:numRef>
          </c:val>
          <c:extLst xmlns:c16r2="http://schemas.microsoft.com/office/drawing/2015/06/chart">
            <c:ext xmlns:c16="http://schemas.microsoft.com/office/drawing/2014/chart" uri="{C3380CC4-5D6E-409C-BE32-E72D297353CC}">
              <c16:uniqueId val="{00000001-183F-494F-8BF2-414AB7E11293}"/>
            </c:ext>
          </c:extLst>
        </c:ser>
        <c:ser>
          <c:idx val="2"/>
          <c:order val="2"/>
          <c:tx>
            <c:strRef>
              <c:f>Sheet1!$D$1</c:f>
              <c:strCache>
                <c:ptCount val="1"/>
                <c:pt idx="0">
                  <c:v>Executat</c:v>
                </c:pt>
              </c:strCache>
            </c:strRef>
          </c:tx>
          <c:spPr>
            <a:solidFill>
              <a:schemeClr val="accent1">
                <a:lumMod val="40000"/>
                <a:lumOff val="60000"/>
              </a:schemeClr>
            </a:solidFill>
            <a:ln>
              <a:noFill/>
            </a:ln>
            <a:effectLst/>
            <a:sp3d/>
          </c:spPr>
          <c:invertIfNegative val="0"/>
          <c:cat>
            <c:strRef>
              <c:f>Sheet1!$A$2:$A$5</c:f>
              <c:strCache>
                <c:ptCount val="4"/>
                <c:pt idx="0">
                  <c:v>total</c:v>
                </c:pt>
                <c:pt idx="1">
                  <c:v>resurse generale</c:v>
                </c:pt>
                <c:pt idx="2">
                  <c:v>surse externe</c:v>
                </c:pt>
                <c:pt idx="3">
                  <c:v>venituri colectate</c:v>
                </c:pt>
              </c:strCache>
            </c:strRef>
          </c:cat>
          <c:val>
            <c:numRef>
              <c:f>Sheet1!$D$2:$D$5</c:f>
              <c:numCache>
                <c:formatCode>General</c:formatCode>
                <c:ptCount val="4"/>
                <c:pt idx="0">
                  <c:v>824.4</c:v>
                </c:pt>
                <c:pt idx="1">
                  <c:v>248.9</c:v>
                </c:pt>
                <c:pt idx="2">
                  <c:v>575.29999999999995</c:v>
                </c:pt>
                <c:pt idx="3">
                  <c:v>0.2</c:v>
                </c:pt>
              </c:numCache>
            </c:numRef>
          </c:val>
          <c:extLst xmlns:c16r2="http://schemas.microsoft.com/office/drawing/2015/06/chart">
            <c:ext xmlns:c16="http://schemas.microsoft.com/office/drawing/2014/chart" uri="{C3380CC4-5D6E-409C-BE32-E72D297353CC}">
              <c16:uniqueId val="{00000002-183F-494F-8BF2-414AB7E11293}"/>
            </c:ext>
          </c:extLst>
        </c:ser>
        <c:dLbls>
          <c:showLegendKey val="0"/>
          <c:showVal val="0"/>
          <c:showCatName val="0"/>
          <c:showSerName val="0"/>
          <c:showPercent val="0"/>
          <c:showBubbleSize val="0"/>
        </c:dLbls>
        <c:gapWidth val="150"/>
        <c:shape val="box"/>
        <c:axId val="409331376"/>
        <c:axId val="409331768"/>
        <c:axId val="0"/>
      </c:bar3DChart>
      <c:catAx>
        <c:axId val="409331376"/>
        <c:scaling>
          <c:orientation val="minMax"/>
        </c:scaling>
        <c:delete val="0"/>
        <c:axPos val="b"/>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09331768"/>
        <c:crosses val="autoZero"/>
        <c:auto val="1"/>
        <c:lblAlgn val="ctr"/>
        <c:lblOffset val="100"/>
        <c:noMultiLvlLbl val="0"/>
      </c:catAx>
      <c:valAx>
        <c:axId val="409331768"/>
        <c:scaling>
          <c:orientation val="minMax"/>
        </c:scaling>
        <c:delete val="0"/>
        <c:axPos val="l"/>
        <c:majorGridlines>
          <c:spPr>
            <a:ln w="9525" cap="flat" cmpd="sng" algn="ctr">
              <a:solidFill>
                <a:srgbClr val="00B0F0"/>
              </a:solidFill>
              <a:round/>
            </a:ln>
            <a:effectLst/>
          </c:spPr>
        </c:majorGridlines>
        <c:title>
          <c:tx>
            <c:rich>
              <a:bodyPr/>
              <a:lstStyle/>
              <a:p>
                <a:pPr>
                  <a:defRPr/>
                </a:pPr>
                <a:r>
                  <a:rPr lang="ro-MD"/>
                  <a:t>mil.lei</a:t>
                </a:r>
                <a:endParaRPr lang="en-US"/>
              </a:p>
            </c:rich>
          </c:tx>
          <c:overlay val="0"/>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crossAx val="40933137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1" i="0" u="none" strike="noStrike" kern="1200" baseline="0">
                <a:solidFill>
                  <a:schemeClr val="tx1">
                    <a:lumMod val="65000"/>
                    <a:lumOff val="35000"/>
                  </a:schemeClr>
                </a:solidFill>
                <a:latin typeface="+mn-lt"/>
                <a:ea typeface="+mn-ea"/>
                <a:cs typeface="+mn-cs"/>
              </a:defRPr>
            </a:pPr>
            <a:endParaRPr lang="ru-RU"/>
          </a:p>
        </c:txPr>
      </c:dTable>
      <c:spPr>
        <a:noFill/>
        <a:ln>
          <a:noFill/>
        </a:ln>
        <a:effectLst/>
      </c:spPr>
    </c:plotArea>
    <c:legend>
      <c:legendPos val="b"/>
      <c:layout>
        <c:manualLayout>
          <c:xMode val="edge"/>
          <c:yMode val="edge"/>
          <c:x val="0.11058954169190389"/>
          <c:y val="0.9018645024320765"/>
          <c:w val="0.76994082033452826"/>
          <c:h val="9.7714603448357126E-2"/>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nr.obiecte</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0%</c:v>
                </c:pt>
                <c:pt idx="1">
                  <c:v>0%-20%</c:v>
                </c:pt>
                <c:pt idx="2">
                  <c:v>20-%-50%</c:v>
                </c:pt>
                <c:pt idx="3">
                  <c:v>50%-90%</c:v>
                </c:pt>
                <c:pt idx="4">
                  <c:v>90%-100%</c:v>
                </c:pt>
                <c:pt idx="5">
                  <c:v>100%</c:v>
                </c:pt>
              </c:strCache>
            </c:strRef>
          </c:cat>
          <c:val>
            <c:numRef>
              <c:f>Sheet1!$B$2:$B$7</c:f>
              <c:numCache>
                <c:formatCode>General</c:formatCode>
                <c:ptCount val="6"/>
                <c:pt idx="0">
                  <c:v>9</c:v>
                </c:pt>
                <c:pt idx="1">
                  <c:v>8</c:v>
                </c:pt>
                <c:pt idx="2">
                  <c:v>8</c:v>
                </c:pt>
                <c:pt idx="3">
                  <c:v>8</c:v>
                </c:pt>
                <c:pt idx="4">
                  <c:v>7</c:v>
                </c:pt>
                <c:pt idx="5">
                  <c:v>24</c:v>
                </c:pt>
              </c:numCache>
            </c:numRef>
          </c:val>
          <c:shape val="cylinder"/>
          <c:extLst xmlns:c16r2="http://schemas.microsoft.com/office/drawing/2015/06/chart">
            <c:ext xmlns:c16="http://schemas.microsoft.com/office/drawing/2014/chart" uri="{C3380CC4-5D6E-409C-BE32-E72D297353CC}">
              <c16:uniqueId val="{00000000-DA1E-4D16-84C1-E987CB8B0A2D}"/>
            </c:ext>
          </c:extLst>
        </c:ser>
        <c:ser>
          <c:idx val="1"/>
          <c:order val="1"/>
          <c:tx>
            <c:strRef>
              <c:f>Sheet1!$C$1</c:f>
              <c:strCache>
                <c:ptCount val="1"/>
                <c:pt idx="0">
                  <c:v>executat</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Sheet1!$A$2:$A$7</c:f>
              <c:strCache>
                <c:ptCount val="6"/>
                <c:pt idx="0">
                  <c:v>0%</c:v>
                </c:pt>
                <c:pt idx="1">
                  <c:v>0%-20%</c:v>
                </c:pt>
                <c:pt idx="2">
                  <c:v>20-%-50%</c:v>
                </c:pt>
                <c:pt idx="3">
                  <c:v>50%-90%</c:v>
                </c:pt>
                <c:pt idx="4">
                  <c:v>90%-100%</c:v>
                </c:pt>
                <c:pt idx="5">
                  <c:v>100%</c:v>
                </c:pt>
              </c:strCache>
            </c:strRef>
          </c:cat>
          <c:val>
            <c:numRef>
              <c:f>Sheet1!$C$2:$C$7</c:f>
              <c:numCache>
                <c:formatCode>General</c:formatCode>
                <c:ptCount val="6"/>
                <c:pt idx="0">
                  <c:v>230.7</c:v>
                </c:pt>
                <c:pt idx="1">
                  <c:v>2.4</c:v>
                </c:pt>
                <c:pt idx="2">
                  <c:v>452.5</c:v>
                </c:pt>
                <c:pt idx="3">
                  <c:v>99.2</c:v>
                </c:pt>
                <c:pt idx="4">
                  <c:v>139.4</c:v>
                </c:pt>
                <c:pt idx="5">
                  <c:v>130.9</c:v>
                </c:pt>
              </c:numCache>
            </c:numRef>
          </c:val>
          <c:shape val="cylinder"/>
          <c:extLst xmlns:c16r2="http://schemas.microsoft.com/office/drawing/2015/06/chart">
            <c:ext xmlns:c16="http://schemas.microsoft.com/office/drawing/2014/chart" uri="{C3380CC4-5D6E-409C-BE32-E72D297353CC}">
              <c16:uniqueId val="{00000002-DA1E-4D16-84C1-E987CB8B0A2D}"/>
            </c:ext>
          </c:extLst>
        </c:ser>
        <c:dLbls>
          <c:showLegendKey val="0"/>
          <c:showVal val="1"/>
          <c:showCatName val="0"/>
          <c:showSerName val="0"/>
          <c:showPercent val="0"/>
          <c:showBubbleSize val="0"/>
        </c:dLbls>
        <c:gapWidth val="150"/>
        <c:shape val="box"/>
        <c:axId val="409542040"/>
        <c:axId val="409542432"/>
        <c:axId val="0"/>
      </c:bar3DChart>
      <c:catAx>
        <c:axId val="40954204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09542432"/>
        <c:crosses val="autoZero"/>
        <c:auto val="1"/>
        <c:lblAlgn val="ctr"/>
        <c:lblOffset val="100"/>
        <c:noMultiLvlLbl val="0"/>
      </c:catAx>
      <c:valAx>
        <c:axId val="40954243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o-RO"/>
                  <a:t>mil. lei</a:t>
                </a:r>
                <a:r>
                  <a:rPr lang="en-US"/>
                  <a:t> </a:t>
                </a:r>
              </a:p>
            </c:rich>
          </c:tx>
          <c:overlay val="0"/>
          <c:spPr>
            <a:noFill/>
            <a:ln>
              <a:noFill/>
            </a:ln>
            <a:effectLst>
              <a:softEdge rad="114300"/>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0954204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1" i="0" u="none" strike="noStrike" kern="1200" baseline="0">
                <a:solidFill>
                  <a:schemeClr val="tx1">
                    <a:lumMod val="65000"/>
                    <a:lumOff val="35000"/>
                  </a:schemeClr>
                </a:solidFill>
                <a:latin typeface="+mn-lt"/>
                <a:ea typeface="+mn-ea"/>
                <a:cs typeface="+mn-cs"/>
              </a:defRPr>
            </a:pPr>
            <a:endParaRPr lang="ru-RU"/>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31196020205503511"/>
          <c:y val="4.7865095294460744E-2"/>
          <c:w val="0.65235447758811171"/>
          <c:h val="0.54194774672773749"/>
        </c:manualLayout>
      </c:layout>
      <c:bar3DChart>
        <c:barDir val="col"/>
        <c:grouping val="stacked"/>
        <c:varyColors val="0"/>
        <c:ser>
          <c:idx val="0"/>
          <c:order val="0"/>
          <c:tx>
            <c:strRef>
              <c:f>Sheet1!$B$1</c:f>
              <c:strCache>
                <c:ptCount val="1"/>
                <c:pt idx="0">
                  <c:v>Curente</c:v>
                </c:pt>
              </c:strCache>
            </c:strRef>
          </c:tx>
          <c:spPr>
            <a:solidFill>
              <a:schemeClr val="accent4">
                <a:lumMod val="50000"/>
              </a:schemeClr>
            </a:solidFill>
            <a:ln>
              <a:noFill/>
            </a:ln>
            <a:effectLst/>
            <a:scene3d>
              <a:camera prst="orthographicFront"/>
              <a:lightRig rig="threePt" dir="t"/>
            </a:scene3d>
            <a:sp3d prstMaterial="metal">
              <a:bevelT/>
            </a:sp3d>
          </c:spPr>
          <c:invertIfNegative val="0"/>
          <c:cat>
            <c:strRef>
              <c:f>Sheet1!$A$2:$A$5</c:f>
              <c:strCache>
                <c:ptCount val="2"/>
                <c:pt idx="0">
                  <c:v>Creanțe</c:v>
                </c:pt>
                <c:pt idx="1">
                  <c:v>Datorii</c:v>
                </c:pt>
              </c:strCache>
            </c:strRef>
          </c:cat>
          <c:val>
            <c:numRef>
              <c:f>Sheet1!$B$2:$B$5</c:f>
              <c:numCache>
                <c:formatCode>General</c:formatCode>
                <c:ptCount val="2"/>
                <c:pt idx="0" formatCode="0.0">
                  <c:v>893.3</c:v>
                </c:pt>
                <c:pt idx="1">
                  <c:v>616.9</c:v>
                </c:pt>
              </c:numCache>
            </c:numRef>
          </c:val>
          <c:extLst xmlns:c16r2="http://schemas.microsoft.com/office/drawing/2015/06/chart">
            <c:ext xmlns:c16="http://schemas.microsoft.com/office/drawing/2014/chart" uri="{C3380CC4-5D6E-409C-BE32-E72D297353CC}">
              <c16:uniqueId val="{00000000-B3BF-4B9F-9242-545A93229765}"/>
            </c:ext>
          </c:extLst>
        </c:ser>
        <c:ser>
          <c:idx val="1"/>
          <c:order val="1"/>
          <c:tx>
            <c:strRef>
              <c:f>Sheet1!$C$1</c:f>
              <c:strCache>
                <c:ptCount val="1"/>
                <c:pt idx="0">
                  <c:v>Cu termen expirat</c:v>
                </c:pt>
              </c:strCache>
            </c:strRef>
          </c:tx>
          <c:spPr>
            <a:solidFill>
              <a:schemeClr val="accent4">
                <a:lumMod val="20000"/>
                <a:lumOff val="80000"/>
              </a:schemeClr>
            </a:solidFill>
            <a:ln>
              <a:noFill/>
            </a:ln>
            <a:effectLst/>
            <a:scene3d>
              <a:camera prst="orthographicFront"/>
              <a:lightRig rig="threePt" dir="t"/>
            </a:scene3d>
            <a:sp3d prstMaterial="plastic">
              <a:bevelT/>
            </a:sp3d>
          </c:spPr>
          <c:invertIfNegative val="0"/>
          <c:cat>
            <c:strRef>
              <c:f>Sheet1!$A$2:$A$5</c:f>
              <c:strCache>
                <c:ptCount val="2"/>
                <c:pt idx="0">
                  <c:v>Creanțe</c:v>
                </c:pt>
                <c:pt idx="1">
                  <c:v>Datorii</c:v>
                </c:pt>
              </c:strCache>
            </c:strRef>
          </c:cat>
          <c:val>
            <c:numRef>
              <c:f>Sheet1!$C$2:$C$5</c:f>
              <c:numCache>
                <c:formatCode>General</c:formatCode>
                <c:ptCount val="2"/>
                <c:pt idx="0">
                  <c:v>61.3</c:v>
                </c:pt>
                <c:pt idx="1">
                  <c:v>13.6</c:v>
                </c:pt>
              </c:numCache>
            </c:numRef>
          </c:val>
          <c:extLst xmlns:c16r2="http://schemas.microsoft.com/office/drawing/2015/06/chart">
            <c:ext xmlns:c16="http://schemas.microsoft.com/office/drawing/2014/chart" uri="{C3380CC4-5D6E-409C-BE32-E72D297353CC}">
              <c16:uniqueId val="{00000001-B3BF-4B9F-9242-545A93229765}"/>
            </c:ext>
          </c:extLst>
        </c:ser>
        <c:dLbls>
          <c:showLegendKey val="0"/>
          <c:showVal val="0"/>
          <c:showCatName val="0"/>
          <c:showSerName val="0"/>
          <c:showPercent val="0"/>
          <c:showBubbleSize val="0"/>
        </c:dLbls>
        <c:gapWidth val="95"/>
        <c:gapDepth val="95"/>
        <c:shape val="cylinder"/>
        <c:axId val="409544000"/>
        <c:axId val="409544392"/>
        <c:axId val="0"/>
      </c:bar3DChart>
      <c:catAx>
        <c:axId val="40954400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09544392"/>
        <c:crosses val="autoZero"/>
        <c:auto val="1"/>
        <c:lblAlgn val="ctr"/>
        <c:lblOffset val="100"/>
        <c:noMultiLvlLbl val="0"/>
      </c:catAx>
      <c:valAx>
        <c:axId val="40954439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0954400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1" i="0" u="none" strike="noStrike" kern="1200" baseline="0">
                <a:ln w="0" cap="sq">
                  <a:noFill/>
                </a:ln>
                <a:solidFill>
                  <a:schemeClr val="tx1">
                    <a:lumMod val="65000"/>
                    <a:lumOff val="35000"/>
                  </a:schemeClr>
                </a:solidFill>
                <a:latin typeface="+mn-lt"/>
                <a:ea typeface="+mn-ea"/>
                <a:cs typeface="+mn-cs"/>
              </a:defRPr>
            </a:pPr>
            <a:endParaRPr lang="ru-RU"/>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31196020205503511"/>
          <c:y val="4.7865095294460744E-2"/>
          <c:w val="0.65235447758811171"/>
          <c:h val="0.54194774672773749"/>
        </c:manualLayout>
      </c:layout>
      <c:bar3DChart>
        <c:barDir val="col"/>
        <c:grouping val="stacked"/>
        <c:varyColors val="0"/>
        <c:ser>
          <c:idx val="0"/>
          <c:order val="0"/>
          <c:tx>
            <c:strRef>
              <c:f>Sheet1!$B$1</c:f>
              <c:strCache>
                <c:ptCount val="1"/>
                <c:pt idx="0">
                  <c:v>Curente</c:v>
                </c:pt>
              </c:strCache>
            </c:strRef>
          </c:tx>
          <c:spPr>
            <a:solidFill>
              <a:schemeClr val="accent4">
                <a:lumMod val="50000"/>
              </a:schemeClr>
            </a:solidFill>
            <a:ln>
              <a:noFill/>
            </a:ln>
            <a:effectLst/>
            <a:scene3d>
              <a:camera prst="orthographicFront"/>
              <a:lightRig rig="threePt" dir="t"/>
            </a:scene3d>
            <a:sp3d prstMaterial="metal">
              <a:bevelT/>
            </a:sp3d>
          </c:spPr>
          <c:invertIfNegative val="0"/>
          <c:cat>
            <c:strRef>
              <c:f>Sheet1!$A$2:$A$5</c:f>
              <c:strCache>
                <c:ptCount val="2"/>
                <c:pt idx="0">
                  <c:v>Creanțe</c:v>
                </c:pt>
                <c:pt idx="1">
                  <c:v>Datorii</c:v>
                </c:pt>
              </c:strCache>
            </c:strRef>
          </c:cat>
          <c:val>
            <c:numRef>
              <c:f>Sheet1!$B$2:$B$5</c:f>
              <c:numCache>
                <c:formatCode>General</c:formatCode>
                <c:ptCount val="2"/>
                <c:pt idx="0" formatCode="0.0">
                  <c:v>927</c:v>
                </c:pt>
                <c:pt idx="1">
                  <c:v>740.5</c:v>
                </c:pt>
              </c:numCache>
            </c:numRef>
          </c:val>
          <c:extLst xmlns:c16r2="http://schemas.microsoft.com/office/drawing/2015/06/chart">
            <c:ext xmlns:c16="http://schemas.microsoft.com/office/drawing/2014/chart" uri="{C3380CC4-5D6E-409C-BE32-E72D297353CC}">
              <c16:uniqueId val="{00000000-32F7-4B66-981A-FD5ACFF3738C}"/>
            </c:ext>
          </c:extLst>
        </c:ser>
        <c:ser>
          <c:idx val="1"/>
          <c:order val="1"/>
          <c:tx>
            <c:strRef>
              <c:f>Sheet1!$C$1</c:f>
              <c:strCache>
                <c:ptCount val="1"/>
                <c:pt idx="0">
                  <c:v>Cu termen expirat</c:v>
                </c:pt>
              </c:strCache>
            </c:strRef>
          </c:tx>
          <c:spPr>
            <a:solidFill>
              <a:schemeClr val="accent4">
                <a:lumMod val="20000"/>
                <a:lumOff val="80000"/>
              </a:schemeClr>
            </a:solidFill>
            <a:ln>
              <a:noFill/>
            </a:ln>
            <a:effectLst/>
            <a:scene3d>
              <a:camera prst="orthographicFront"/>
              <a:lightRig rig="threePt" dir="t"/>
            </a:scene3d>
            <a:sp3d prstMaterial="plastic">
              <a:bevelT/>
            </a:sp3d>
          </c:spPr>
          <c:invertIfNegative val="0"/>
          <c:cat>
            <c:strRef>
              <c:f>Sheet1!$A$2:$A$5</c:f>
              <c:strCache>
                <c:ptCount val="2"/>
                <c:pt idx="0">
                  <c:v>Creanțe</c:v>
                </c:pt>
                <c:pt idx="1">
                  <c:v>Datorii</c:v>
                </c:pt>
              </c:strCache>
            </c:strRef>
          </c:cat>
          <c:val>
            <c:numRef>
              <c:f>Sheet1!$C$2:$C$5</c:f>
              <c:numCache>
                <c:formatCode>General</c:formatCode>
                <c:ptCount val="2"/>
                <c:pt idx="0">
                  <c:v>54.5</c:v>
                </c:pt>
                <c:pt idx="1">
                  <c:v>2.6</c:v>
                </c:pt>
              </c:numCache>
            </c:numRef>
          </c:val>
          <c:extLst xmlns:c16r2="http://schemas.microsoft.com/office/drawing/2015/06/chart">
            <c:ext xmlns:c16="http://schemas.microsoft.com/office/drawing/2014/chart" uri="{C3380CC4-5D6E-409C-BE32-E72D297353CC}">
              <c16:uniqueId val="{00000001-32F7-4B66-981A-FD5ACFF3738C}"/>
            </c:ext>
          </c:extLst>
        </c:ser>
        <c:dLbls>
          <c:showLegendKey val="0"/>
          <c:showVal val="0"/>
          <c:showCatName val="0"/>
          <c:showSerName val="0"/>
          <c:showPercent val="0"/>
          <c:showBubbleSize val="0"/>
        </c:dLbls>
        <c:gapWidth val="95"/>
        <c:gapDepth val="95"/>
        <c:shape val="cylinder"/>
        <c:axId val="409545568"/>
        <c:axId val="409545960"/>
        <c:axId val="0"/>
      </c:bar3DChart>
      <c:catAx>
        <c:axId val="40954556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09545960"/>
        <c:crosses val="autoZero"/>
        <c:auto val="1"/>
        <c:lblAlgn val="ctr"/>
        <c:lblOffset val="100"/>
        <c:noMultiLvlLbl val="0"/>
      </c:catAx>
      <c:valAx>
        <c:axId val="40954596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0954556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1" i="0" u="none" strike="noStrike" kern="1200" baseline="0">
                <a:ln w="0" cap="sq">
                  <a:noFill/>
                </a:ln>
                <a:solidFill>
                  <a:schemeClr val="tx1">
                    <a:lumMod val="65000"/>
                    <a:lumOff val="35000"/>
                  </a:schemeClr>
                </a:solidFill>
                <a:latin typeface="+mn-lt"/>
                <a:ea typeface="+mn-ea"/>
                <a:cs typeface="+mn-cs"/>
              </a:defRPr>
            </a:pPr>
            <a:endParaRPr lang="ru-RU"/>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3.0188679245283019E-2"/>
          <c:y val="2.6867275658248254E-2"/>
          <c:w val="0.94465408805031448"/>
          <c:h val="0.67785713379057067"/>
        </c:manualLayout>
      </c:layout>
      <c:bar3DChart>
        <c:barDir val="col"/>
        <c:grouping val="stacked"/>
        <c:varyColors val="0"/>
        <c:ser>
          <c:idx val="0"/>
          <c:order val="0"/>
          <c:tx>
            <c:strRef>
              <c:f>Sheet1!$B$2</c:f>
              <c:strCache>
                <c:ptCount val="1"/>
                <c:pt idx="0">
                  <c:v>SFS</c:v>
                </c:pt>
              </c:strCache>
            </c:strRef>
          </c:tx>
          <c:spPr>
            <a:solidFill>
              <a:schemeClr val="accent4">
                <a:lumMod val="40000"/>
                <a:lumOff val="60000"/>
              </a:schemeClr>
            </a:solidFill>
            <a:ln>
              <a:noFill/>
            </a:ln>
            <a:effectLst>
              <a:outerShdw blurRad="57150" dist="19050" dir="5400000" algn="ctr" rotWithShape="0">
                <a:srgbClr val="000000">
                  <a:alpha val="63000"/>
                </a:srgbClr>
              </a:outerShdw>
            </a:effectLst>
            <a:sp3d/>
          </c:spPr>
          <c:invertIfNegative val="0"/>
          <c:dLbls>
            <c:dLbl>
              <c:idx val="0"/>
              <c:tx>
                <c:rich>
                  <a:bodyPr/>
                  <a:lstStyle/>
                  <a:p>
                    <a:r>
                      <a:rPr lang="en-US" b="1">
                        <a:latin typeface="Times New Roman" panose="02020603050405020304" pitchFamily="18" charset="0"/>
                        <a:cs typeface="Times New Roman" panose="02020603050405020304" pitchFamily="18" charset="0"/>
                      </a:rPr>
                      <a:t>SFS</a:t>
                    </a:r>
                  </a:p>
                  <a:p>
                    <a:fld id="{20082426-26E2-4DFD-81E9-A8774AB64E01}" type="VALUE">
                      <a:rPr lang="en-US" b="1">
                        <a:latin typeface="Times New Roman" panose="02020603050405020304" pitchFamily="18" charset="0"/>
                        <a:cs typeface="Times New Roman" panose="02020603050405020304" pitchFamily="18" charset="0"/>
                      </a:rPr>
                      <a:pPr/>
                      <a:t>[ЗНАЧЕНИЕ]</a:t>
                    </a:fld>
                    <a:endParaRPr lang="ru-RU"/>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A941-4D21-BBB1-81F7AA60665F}"/>
                </c:ex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Sheet1!$A$3:$A$5</c:f>
              <c:strCache>
                <c:ptCount val="3"/>
                <c:pt idx="0">
                  <c:v>Total</c:v>
                </c:pt>
                <c:pt idx="1">
                  <c:v>SFS</c:v>
                </c:pt>
                <c:pt idx="2">
                  <c:v>SV</c:v>
                </c:pt>
              </c:strCache>
            </c:strRef>
          </c:cat>
          <c:val>
            <c:numRef>
              <c:f>Sheet1!$B$3:$B$5</c:f>
              <c:numCache>
                <c:formatCode>General</c:formatCode>
                <c:ptCount val="3"/>
                <c:pt idx="0">
                  <c:v>1466.9</c:v>
                </c:pt>
              </c:numCache>
            </c:numRef>
          </c:val>
          <c:extLst xmlns:c16r2="http://schemas.microsoft.com/office/drawing/2015/06/chart">
            <c:ext xmlns:c16="http://schemas.microsoft.com/office/drawing/2014/chart" uri="{C3380CC4-5D6E-409C-BE32-E72D297353CC}">
              <c16:uniqueId val="{00000001-A941-4D21-BBB1-81F7AA60665F}"/>
            </c:ext>
          </c:extLst>
        </c:ser>
        <c:ser>
          <c:idx val="1"/>
          <c:order val="1"/>
          <c:tx>
            <c:strRef>
              <c:f>Sheet1!$C$2</c:f>
              <c:strCache>
                <c:ptCount val="1"/>
                <c:pt idx="0">
                  <c:v>SV</c:v>
                </c:pt>
              </c:strCache>
            </c:strRef>
          </c:tx>
          <c:spPr>
            <a:solidFill>
              <a:schemeClr val="accent2">
                <a:lumMod val="40000"/>
                <a:lumOff val="60000"/>
              </a:schemeClr>
            </a:solidFill>
            <a:ln>
              <a:noFill/>
            </a:ln>
            <a:effectLst>
              <a:outerShdw blurRad="57150" dist="19050" dir="5400000" algn="ctr" rotWithShape="0">
                <a:srgbClr val="000000">
                  <a:alpha val="63000"/>
                </a:srgbClr>
              </a:outerShdw>
            </a:effectLst>
            <a:sp3d/>
          </c:spPr>
          <c:invertIfNegative val="0"/>
          <c:dLbls>
            <c:dLbl>
              <c:idx val="0"/>
              <c:tx>
                <c:rich>
                  <a:bodyPr/>
                  <a:lstStyle/>
                  <a:p>
                    <a:r>
                      <a:rPr lang="en-US"/>
                      <a:t>SV</a:t>
                    </a:r>
                  </a:p>
                  <a:p>
                    <a:fld id="{2888B0CD-9844-4F94-B7E8-D4276A22DA38}" type="VALUE">
                      <a:rPr lang="en-US"/>
                      <a:pPr/>
                      <a:t>[ЗНАЧЕНИЕ]</a:t>
                    </a:fld>
                    <a:endParaRPr lang="ru-RU"/>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A941-4D21-BBB1-81F7AA60665F}"/>
                </c:ex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Sheet1!$A$3:$A$5</c:f>
              <c:strCache>
                <c:ptCount val="3"/>
                <c:pt idx="0">
                  <c:v>Total</c:v>
                </c:pt>
                <c:pt idx="1">
                  <c:v>SFS</c:v>
                </c:pt>
                <c:pt idx="2">
                  <c:v>SV</c:v>
                </c:pt>
              </c:strCache>
            </c:strRef>
          </c:cat>
          <c:val>
            <c:numRef>
              <c:f>Sheet1!$C$3:$C$5</c:f>
              <c:numCache>
                <c:formatCode>General</c:formatCode>
                <c:ptCount val="3"/>
                <c:pt idx="0">
                  <c:v>385.8</c:v>
                </c:pt>
              </c:numCache>
            </c:numRef>
          </c:val>
          <c:extLst xmlns:c16r2="http://schemas.microsoft.com/office/drawing/2015/06/chart">
            <c:ext xmlns:c16="http://schemas.microsoft.com/office/drawing/2014/chart" uri="{C3380CC4-5D6E-409C-BE32-E72D297353CC}">
              <c16:uniqueId val="{00000003-A941-4D21-BBB1-81F7AA60665F}"/>
            </c:ext>
          </c:extLst>
        </c:ser>
        <c:ser>
          <c:idx val="2"/>
          <c:order val="2"/>
          <c:tx>
            <c:strRef>
              <c:f>Sheet1!$D$2</c:f>
              <c:strCache>
                <c:ptCount val="1"/>
                <c:pt idx="0">
                  <c:v>Plăți de bază</c:v>
                </c:pt>
              </c:strCache>
            </c:strRef>
          </c:tx>
          <c:spPr>
            <a:solidFill>
              <a:schemeClr val="accent6">
                <a:lumMod val="60000"/>
                <a:lumOff val="40000"/>
              </a:schemeClr>
            </a:solidFill>
            <a:ln>
              <a:noFill/>
            </a:ln>
            <a:effectLst>
              <a:outerShdw blurRad="57150" dist="19050" dir="5400000" algn="ctr" rotWithShape="0">
                <a:srgbClr val="000000">
                  <a:alpha val="63000"/>
                </a:srgbClr>
              </a:outerShdw>
            </a:effectLst>
            <a:sp3d/>
          </c:spPr>
          <c:invertIfNegative val="0"/>
          <c:dLbls>
            <c:dLbl>
              <c:idx val="2"/>
              <c:layout>
                <c:manualLayout>
                  <c:x val="-9.2242120993956171E-17"/>
                  <c:y val="1.074691026329930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A941-4D21-BBB1-81F7AA60665F}"/>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Sheet1!$A$3:$A$5</c:f>
              <c:strCache>
                <c:ptCount val="3"/>
                <c:pt idx="0">
                  <c:v>Total</c:v>
                </c:pt>
                <c:pt idx="1">
                  <c:v>SFS</c:v>
                </c:pt>
                <c:pt idx="2">
                  <c:v>SV</c:v>
                </c:pt>
              </c:strCache>
            </c:strRef>
          </c:cat>
          <c:val>
            <c:numRef>
              <c:f>Sheet1!$D$3:$D$5</c:f>
              <c:numCache>
                <c:formatCode>General</c:formatCode>
                <c:ptCount val="3"/>
                <c:pt idx="1">
                  <c:v>727.3</c:v>
                </c:pt>
                <c:pt idx="2">
                  <c:v>228.4</c:v>
                </c:pt>
              </c:numCache>
            </c:numRef>
          </c:val>
          <c:extLst xmlns:c16r2="http://schemas.microsoft.com/office/drawing/2015/06/chart">
            <c:ext xmlns:c16="http://schemas.microsoft.com/office/drawing/2014/chart" uri="{C3380CC4-5D6E-409C-BE32-E72D297353CC}">
              <c16:uniqueId val="{00000005-A941-4D21-BBB1-81F7AA60665F}"/>
            </c:ext>
          </c:extLst>
        </c:ser>
        <c:ser>
          <c:idx val="3"/>
          <c:order val="3"/>
          <c:tx>
            <c:strRef>
              <c:f>Sheet1!$E$2</c:f>
              <c:strCache>
                <c:ptCount val="1"/>
                <c:pt idx="0">
                  <c:v>Amenzi</c:v>
                </c:pt>
              </c:strCache>
            </c:strRef>
          </c:tx>
          <c:spPr>
            <a:solidFill>
              <a:schemeClr val="accent6">
                <a:lumMod val="20000"/>
                <a:lumOff val="80000"/>
              </a:schemeClr>
            </a:solidFill>
            <a:ln>
              <a:noFill/>
            </a:ln>
            <a:effectLst>
              <a:outerShdw blurRad="57150" dist="19050" dir="5400000" algn="ctr" rotWithShape="0">
                <a:srgbClr val="000000">
                  <a:alpha val="63000"/>
                </a:srgbClr>
              </a:outerShdw>
            </a:effectLst>
            <a:sp3d/>
          </c:spPr>
          <c:invertIfNegative val="0"/>
          <c:dLbls>
            <c:dLbl>
              <c:idx val="0"/>
              <c:tx>
                <c:rich>
                  <a:bodyPr/>
                  <a:lstStyle/>
                  <a:p>
                    <a:r>
                      <a:rPr lang="en-US" b="1">
                        <a:latin typeface="Times New Roman" panose="02020603050405020304" pitchFamily="18" charset="0"/>
                        <a:cs typeface="Times New Roman" panose="02020603050405020304" pitchFamily="18" charset="0"/>
                      </a:rPr>
                      <a:t>SFS</a:t>
                    </a:r>
                  </a:p>
                  <a:p>
                    <a:fld id="{EA729384-BB86-49C9-B883-20DE86FA8BDE}" type="VALUE">
                      <a:rPr lang="en-US" b="1">
                        <a:latin typeface="Times New Roman" panose="02020603050405020304" pitchFamily="18" charset="0"/>
                        <a:cs typeface="Times New Roman" panose="02020603050405020304" pitchFamily="18" charset="0"/>
                      </a:rPr>
                      <a:pPr/>
                      <a:t>[ЗНАЧЕНИЕ]</a:t>
                    </a:fld>
                    <a:endParaRPr lang="ru-RU"/>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A941-4D21-BBB1-81F7AA60665F}"/>
                </c:ext>
                <c:ext xmlns:c15="http://schemas.microsoft.com/office/drawing/2012/chart" uri="{CE6537A1-D6FC-4f65-9D91-7224C49458BB}">
                  <c15:dlblFieldTable/>
                  <c15:showDataLabelsRange val="0"/>
                </c:ext>
              </c:extLst>
            </c:dLbl>
            <c:dLbl>
              <c:idx val="2"/>
              <c:layout>
                <c:manualLayout>
                  <c:x val="0"/>
                  <c:y val="5.373455131649650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A941-4D21-BBB1-81F7AA60665F}"/>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Sheet1!$A$3:$A$5</c:f>
              <c:strCache>
                <c:ptCount val="3"/>
                <c:pt idx="0">
                  <c:v>Total</c:v>
                </c:pt>
                <c:pt idx="1">
                  <c:v>SFS</c:v>
                </c:pt>
                <c:pt idx="2">
                  <c:v>SV</c:v>
                </c:pt>
              </c:strCache>
            </c:strRef>
          </c:cat>
          <c:val>
            <c:numRef>
              <c:f>Sheet1!$E$3:$E$5</c:f>
              <c:numCache>
                <c:formatCode>General</c:formatCode>
                <c:ptCount val="3"/>
                <c:pt idx="1">
                  <c:v>399.1</c:v>
                </c:pt>
                <c:pt idx="2">
                  <c:v>48.9</c:v>
                </c:pt>
              </c:numCache>
            </c:numRef>
          </c:val>
          <c:extLst xmlns:c16r2="http://schemas.microsoft.com/office/drawing/2015/06/chart">
            <c:ext xmlns:c16="http://schemas.microsoft.com/office/drawing/2014/chart" uri="{C3380CC4-5D6E-409C-BE32-E72D297353CC}">
              <c16:uniqueId val="{00000008-A941-4D21-BBB1-81F7AA60665F}"/>
            </c:ext>
          </c:extLst>
        </c:ser>
        <c:ser>
          <c:idx val="4"/>
          <c:order val="4"/>
          <c:tx>
            <c:strRef>
              <c:f>Sheet1!$F$2</c:f>
              <c:strCache>
                <c:ptCount val="1"/>
                <c:pt idx="0">
                  <c:v>Majorări de întârzieri</c:v>
                </c:pt>
              </c:strCache>
            </c:strRef>
          </c:tx>
          <c:spPr>
            <a:solidFill>
              <a:schemeClr val="accent4">
                <a:lumMod val="20000"/>
                <a:lumOff val="80000"/>
              </a:schemeClr>
            </a:solidFill>
            <a:ln>
              <a:noFill/>
            </a:ln>
            <a:effectLst>
              <a:outerShdw blurRad="57150" dist="19050" dir="5400000" algn="ctr" rotWithShape="0">
                <a:srgbClr val="000000">
                  <a:alpha val="63000"/>
                </a:srgbClr>
              </a:outerShdw>
            </a:effectLst>
            <a:sp3d/>
          </c:spPr>
          <c:invertIfNegative val="0"/>
          <c:dLbls>
            <c:dLbl>
              <c:idx val="2"/>
              <c:layout>
                <c:manualLayout>
                  <c:x val="-9.2242120993956171E-17"/>
                  <c:y val="-2.149382052659860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A941-4D21-BBB1-81F7AA60665F}"/>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Sheet1!$A$3:$A$5</c:f>
              <c:strCache>
                <c:ptCount val="3"/>
                <c:pt idx="0">
                  <c:v>Total</c:v>
                </c:pt>
                <c:pt idx="1">
                  <c:v>SFS</c:v>
                </c:pt>
                <c:pt idx="2">
                  <c:v>SV</c:v>
                </c:pt>
              </c:strCache>
            </c:strRef>
          </c:cat>
          <c:val>
            <c:numRef>
              <c:f>Sheet1!$F$3:$F$5</c:f>
              <c:numCache>
                <c:formatCode>General</c:formatCode>
                <c:ptCount val="3"/>
                <c:pt idx="1">
                  <c:v>340.5</c:v>
                </c:pt>
                <c:pt idx="2">
                  <c:v>108.5</c:v>
                </c:pt>
              </c:numCache>
            </c:numRef>
          </c:val>
          <c:extLst xmlns:c16r2="http://schemas.microsoft.com/office/drawing/2015/06/chart">
            <c:ext xmlns:c16="http://schemas.microsoft.com/office/drawing/2014/chart" uri="{C3380CC4-5D6E-409C-BE32-E72D297353CC}">
              <c16:uniqueId val="{0000000A-A941-4D21-BBB1-81F7AA60665F}"/>
            </c:ext>
          </c:extLst>
        </c:ser>
        <c:dLbls>
          <c:showLegendKey val="0"/>
          <c:showVal val="1"/>
          <c:showCatName val="0"/>
          <c:showSerName val="0"/>
          <c:showPercent val="0"/>
          <c:showBubbleSize val="0"/>
        </c:dLbls>
        <c:gapWidth val="150"/>
        <c:shape val="box"/>
        <c:axId val="409547136"/>
        <c:axId val="409547528"/>
        <c:axId val="0"/>
      </c:bar3DChart>
      <c:catAx>
        <c:axId val="40954713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050" b="1" i="0" u="none" strike="noStrike" kern="1200" baseline="0">
                <a:solidFill>
                  <a:schemeClr val="tx1">
                    <a:lumMod val="65000"/>
                    <a:lumOff val="35000"/>
                  </a:schemeClr>
                </a:solidFill>
                <a:latin typeface="+mn-lt"/>
                <a:ea typeface="+mn-ea"/>
                <a:cs typeface="+mn-cs"/>
              </a:defRPr>
            </a:pPr>
            <a:endParaRPr lang="ru-RU"/>
          </a:p>
        </c:txPr>
        <c:crossAx val="409547528"/>
        <c:crosses val="autoZero"/>
        <c:auto val="1"/>
        <c:lblAlgn val="ctr"/>
        <c:lblOffset val="100"/>
        <c:noMultiLvlLbl val="0"/>
      </c:catAx>
      <c:valAx>
        <c:axId val="409547528"/>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409547136"/>
        <c:crosses val="autoZero"/>
        <c:crossBetween val="between"/>
      </c:valAx>
      <c:spPr>
        <a:pattFill prst="pct5">
          <a:fgClr>
            <a:schemeClr val="accent1">
              <a:lumMod val="20000"/>
              <a:lumOff val="80000"/>
            </a:schemeClr>
          </a:fgClr>
          <a:bgClr>
            <a:schemeClr val="bg1"/>
          </a:bgClr>
        </a:pattFill>
        <a:ln>
          <a:noFill/>
        </a:ln>
        <a:effectLst/>
      </c:spPr>
    </c:plotArea>
    <c:legend>
      <c:legendPos val="b"/>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40" b="0" i="0" u="none" strike="noStrike" kern="1200" spc="0" baseline="0">
                <a:solidFill>
                  <a:schemeClr val="tx1">
                    <a:lumMod val="65000"/>
                    <a:lumOff val="35000"/>
                  </a:schemeClr>
                </a:solidFill>
                <a:latin typeface="+mn-lt"/>
                <a:ea typeface="+mn-ea"/>
                <a:cs typeface="+mn-cs"/>
              </a:defRPr>
            </a:pPr>
            <a:r>
              <a:rPr lang="ro-MD" sz="1440" b="1" i="0" u="none" strike="noStrike" baseline="0">
                <a:solidFill>
                  <a:schemeClr val="accent5">
                    <a:lumMod val="50000"/>
                  </a:schemeClr>
                </a:solidFill>
                <a:effectLst/>
                <a:latin typeface="Times New Roman" panose="02020603050405020304" pitchFamily="18" charset="0"/>
                <a:cs typeface="Times New Roman" panose="02020603050405020304" pitchFamily="18" charset="0"/>
              </a:rPr>
              <a:t>Structura restanțelor la BS aferente clasificației veniturilor la situația din 31.12.2017</a:t>
            </a:r>
            <a:endParaRPr lang="en-US">
              <a:solidFill>
                <a:schemeClr val="accent5">
                  <a:lumMod val="50000"/>
                </a:schemeClr>
              </a:solidFill>
              <a:latin typeface="Times New Roman" panose="02020603050405020304" pitchFamily="18" charset="0"/>
              <a:cs typeface="Times New Roman" panose="02020603050405020304" pitchFamily="18" charset="0"/>
            </a:endParaRPr>
          </a:p>
        </c:rich>
      </c:tx>
      <c:layout>
        <c:manualLayout>
          <c:xMode val="edge"/>
          <c:yMode val="edge"/>
          <c:x val="0.11884868103277485"/>
          <c:y val="0"/>
        </c:manualLayout>
      </c:layout>
      <c:overlay val="0"/>
      <c:spPr>
        <a:noFill/>
        <a:ln>
          <a:noFill/>
        </a:ln>
        <a:effectLst/>
      </c:spPr>
      <c:txPr>
        <a:bodyPr rot="0" spcFirstLastPara="1" vertOverflow="ellipsis" vert="horz" wrap="square" anchor="ctr" anchorCtr="1"/>
        <a:lstStyle/>
        <a:p>
          <a:pPr>
            <a:defRPr sz="144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0.12384228189477967"/>
          <c:y val="0.1963831360382953"/>
          <c:w val="0.71692555771569022"/>
          <c:h val="0.65876733381198493"/>
        </c:manualLayout>
      </c:layout>
      <c:ofPieChart>
        <c:ofPieType val="pie"/>
        <c:varyColors val="1"/>
        <c:ser>
          <c:idx val="0"/>
          <c:order val="0"/>
          <c:tx>
            <c:strRef>
              <c:f>Sheet1!$B$1</c:f>
              <c:strCache>
                <c:ptCount val="1"/>
                <c:pt idx="0">
                  <c:v>Sales</c:v>
                </c:pt>
              </c:strCache>
            </c:strRef>
          </c:tx>
          <c:spPr>
            <a:ln>
              <a:solidFill>
                <a:schemeClr val="tx2">
                  <a:lumMod val="75000"/>
                </a:schemeClr>
              </a:solidFill>
            </a:ln>
          </c:spPr>
          <c:dPt>
            <c:idx val="0"/>
            <c:bubble3D val="0"/>
            <c:spPr>
              <a:solidFill>
                <a:schemeClr val="accent4">
                  <a:lumMod val="40000"/>
                  <a:lumOff val="60000"/>
                </a:schemeClr>
              </a:solidFill>
              <a:ln w="19050">
                <a:solidFill>
                  <a:schemeClr val="tx2">
                    <a:lumMod val="75000"/>
                  </a:schemeClr>
                </a:solidFill>
              </a:ln>
              <a:effectLst/>
            </c:spPr>
            <c:extLst xmlns:c16r2="http://schemas.microsoft.com/office/drawing/2015/06/chart">
              <c:ext xmlns:c16="http://schemas.microsoft.com/office/drawing/2014/chart" uri="{C3380CC4-5D6E-409C-BE32-E72D297353CC}">
                <c16:uniqueId val="{00000001-FFA0-4FA3-AAE7-C6C7F7DD8026}"/>
              </c:ext>
            </c:extLst>
          </c:dPt>
          <c:dPt>
            <c:idx val="1"/>
            <c:bubble3D val="0"/>
            <c:spPr>
              <a:solidFill>
                <a:schemeClr val="accent6">
                  <a:lumMod val="60000"/>
                  <a:lumOff val="40000"/>
                </a:schemeClr>
              </a:solidFill>
              <a:ln w="19050">
                <a:solidFill>
                  <a:schemeClr val="tx2">
                    <a:lumMod val="75000"/>
                  </a:schemeClr>
                </a:solidFill>
              </a:ln>
              <a:effectLst/>
            </c:spPr>
            <c:extLst xmlns:c16r2="http://schemas.microsoft.com/office/drawing/2015/06/chart">
              <c:ext xmlns:c16="http://schemas.microsoft.com/office/drawing/2014/chart" uri="{C3380CC4-5D6E-409C-BE32-E72D297353CC}">
                <c16:uniqueId val="{00000003-FFA0-4FA3-AAE7-C6C7F7DD8026}"/>
              </c:ext>
            </c:extLst>
          </c:dPt>
          <c:dPt>
            <c:idx val="2"/>
            <c:bubble3D val="0"/>
            <c:spPr>
              <a:solidFill>
                <a:srgbClr val="A50021"/>
              </a:solidFill>
              <a:ln w="19050">
                <a:solidFill>
                  <a:schemeClr val="tx2">
                    <a:lumMod val="75000"/>
                  </a:schemeClr>
                </a:solidFill>
              </a:ln>
              <a:effectLst/>
            </c:spPr>
            <c:extLst xmlns:c16r2="http://schemas.microsoft.com/office/drawing/2015/06/chart">
              <c:ext xmlns:c16="http://schemas.microsoft.com/office/drawing/2014/chart" uri="{C3380CC4-5D6E-409C-BE32-E72D297353CC}">
                <c16:uniqueId val="{00000005-FFA0-4FA3-AAE7-C6C7F7DD8026}"/>
              </c:ext>
            </c:extLst>
          </c:dPt>
          <c:dPt>
            <c:idx val="3"/>
            <c:bubble3D val="0"/>
            <c:spPr>
              <a:solidFill>
                <a:schemeClr val="accent4"/>
              </a:solidFill>
              <a:ln w="19050">
                <a:solidFill>
                  <a:schemeClr val="tx2">
                    <a:lumMod val="75000"/>
                  </a:schemeClr>
                </a:solidFill>
              </a:ln>
              <a:effectLst/>
            </c:spPr>
            <c:extLst xmlns:c16r2="http://schemas.microsoft.com/office/drawing/2015/06/chart">
              <c:ext xmlns:c16="http://schemas.microsoft.com/office/drawing/2014/chart" uri="{C3380CC4-5D6E-409C-BE32-E72D297353CC}">
                <c16:uniqueId val="{00000007-FFA0-4FA3-AAE7-C6C7F7DD8026}"/>
              </c:ext>
            </c:extLst>
          </c:dPt>
          <c:dPt>
            <c:idx val="4"/>
            <c:bubble3D val="0"/>
            <c:spPr>
              <a:solidFill>
                <a:schemeClr val="accent4">
                  <a:lumMod val="50000"/>
                </a:schemeClr>
              </a:solidFill>
              <a:ln w="19050">
                <a:solidFill>
                  <a:schemeClr val="tx2">
                    <a:lumMod val="75000"/>
                  </a:schemeClr>
                </a:solidFill>
              </a:ln>
              <a:effectLst/>
            </c:spPr>
            <c:extLst xmlns:c16r2="http://schemas.microsoft.com/office/drawing/2015/06/chart">
              <c:ext xmlns:c16="http://schemas.microsoft.com/office/drawing/2014/chart" uri="{C3380CC4-5D6E-409C-BE32-E72D297353CC}">
                <c16:uniqueId val="{00000009-FFA0-4FA3-AAE7-C6C7F7DD8026}"/>
              </c:ext>
            </c:extLst>
          </c:dPt>
          <c:dPt>
            <c:idx val="5"/>
            <c:bubble3D val="0"/>
            <c:spPr>
              <a:solidFill>
                <a:srgbClr val="008080"/>
              </a:solidFill>
              <a:ln w="19050">
                <a:solidFill>
                  <a:schemeClr val="tx2">
                    <a:lumMod val="75000"/>
                  </a:schemeClr>
                </a:solidFill>
              </a:ln>
              <a:effectLst/>
            </c:spPr>
            <c:extLst xmlns:c16r2="http://schemas.microsoft.com/office/drawing/2015/06/chart">
              <c:ext xmlns:c16="http://schemas.microsoft.com/office/drawing/2014/chart" uri="{C3380CC4-5D6E-409C-BE32-E72D297353CC}">
                <c16:uniqueId val="{0000000B-FFA0-4FA3-AAE7-C6C7F7DD8026}"/>
              </c:ext>
            </c:extLst>
          </c:dPt>
          <c:dPt>
            <c:idx val="6"/>
            <c:bubble3D val="0"/>
            <c:spPr>
              <a:solidFill>
                <a:schemeClr val="accent5">
                  <a:lumMod val="60000"/>
                  <a:lumOff val="40000"/>
                </a:schemeClr>
              </a:solidFill>
              <a:ln w="19050">
                <a:solidFill>
                  <a:schemeClr val="tx2">
                    <a:lumMod val="75000"/>
                  </a:schemeClr>
                </a:solidFill>
              </a:ln>
              <a:effectLst/>
            </c:spPr>
            <c:extLst xmlns:c16r2="http://schemas.microsoft.com/office/drawing/2015/06/chart">
              <c:ext xmlns:c16="http://schemas.microsoft.com/office/drawing/2014/chart" uri="{C3380CC4-5D6E-409C-BE32-E72D297353CC}">
                <c16:uniqueId val="{0000000D-FFA0-4FA3-AAE7-C6C7F7DD8026}"/>
              </c:ext>
            </c:extLst>
          </c:dPt>
          <c:dLbls>
            <c:dLbl>
              <c:idx val="0"/>
              <c:layout>
                <c:manualLayout>
                  <c:x val="8.9670913531641874E-2"/>
                  <c:y val="-0.15646669166354205"/>
                </c:manualLayout>
              </c:layout>
              <c:tx>
                <c:rich>
                  <a:bodyPr/>
                  <a:lstStyle/>
                  <a:p>
                    <a:fld id="{641847D7-C194-4917-9B86-71A7427CEBC0}" type="CATEGORYNAME">
                      <a:rPr lang="en-US"/>
                      <a:pPr/>
                      <a:t>[ИМЯ КАТЕГОРИИ]</a:t>
                    </a:fld>
                    <a:endParaRPr lang="en-US" baseline="0"/>
                  </a:p>
                  <a:p>
                    <a:r>
                      <a:rPr lang="en-US" baseline="0"/>
                      <a:t> </a:t>
                    </a:r>
                    <a:fld id="{957B37F3-09FE-4042-80BB-629D7E67FE88}" type="VALUE">
                      <a:rPr lang="en-US" baseline="0"/>
                      <a:pPr/>
                      <a:t>[ЗНАЧЕНИЕ]</a:t>
                    </a:fld>
                    <a:endParaRPr lang="en-US" baseline="0"/>
                  </a:p>
                </c:rich>
              </c:tx>
              <c:dLblPos val="bestFi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1-FFA0-4FA3-AAE7-C6C7F7DD8026}"/>
                </c:ext>
                <c:ext xmlns:c15="http://schemas.microsoft.com/office/drawing/2012/chart" uri="{CE6537A1-D6FC-4f65-9D91-7224C49458BB}">
                  <c15:dlblFieldTable/>
                  <c15:showDataLabelsRange val="0"/>
                </c:ext>
              </c:extLst>
            </c:dLbl>
            <c:dLbl>
              <c:idx val="1"/>
              <c:layout>
                <c:manualLayout>
                  <c:x val="0.10912396867422137"/>
                  <c:y val="0.19233407779497069"/>
                </c:manualLayout>
              </c:layout>
              <c:tx>
                <c:rich>
                  <a:bodyPr/>
                  <a:lstStyle/>
                  <a:p>
                    <a:fld id="{BE1604AE-D64A-4B15-956A-C4D699D321B5}" type="CATEGORYNAME">
                      <a:rPr lang="en-US"/>
                      <a:pPr/>
                      <a:t>[ИМЯ КАТЕГОРИИ]</a:t>
                    </a:fld>
                    <a:endParaRPr lang="en-US" baseline="0"/>
                  </a:p>
                  <a:p>
                    <a:r>
                      <a:rPr lang="en-US" baseline="0"/>
                      <a:t> </a:t>
                    </a:r>
                    <a:fld id="{65E1E30D-3F7C-4312-AB27-17E59BCCC7C5}" type="VALUE">
                      <a:rPr lang="en-US" baseline="0"/>
                      <a:pPr/>
                      <a:t>[ЗНАЧЕНИЕ]</a:t>
                    </a:fld>
                    <a:endParaRPr lang="en-US" baseline="0"/>
                  </a:p>
                </c:rich>
              </c:tx>
              <c:dLblPos val="bestFi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3-FFA0-4FA3-AAE7-C6C7F7DD8026}"/>
                </c:ext>
                <c:ext xmlns:c15="http://schemas.microsoft.com/office/drawing/2012/chart" uri="{CE6537A1-D6FC-4f65-9D91-7224C49458BB}">
                  <c15:dlblFieldTable/>
                  <c15:showDataLabelsRange val="0"/>
                </c:ext>
              </c:extLst>
            </c:dLbl>
            <c:dLbl>
              <c:idx val="2"/>
              <c:layout>
                <c:manualLayout>
                  <c:x val="0.10013360309128017"/>
                  <c:y val="8.2309711286089243E-2"/>
                </c:manualLayout>
              </c:layout>
              <c:tx>
                <c:rich>
                  <a:bodyPr/>
                  <a:lstStyle/>
                  <a:p>
                    <a:fld id="{B2409B90-1EDF-417B-B24B-060BB18666A8}" type="CATEGORYNAME">
                      <a:rPr lang="en-US"/>
                      <a:pPr/>
                      <a:t>[ИМЯ КАТЕГОРИИ]</a:t>
                    </a:fld>
                    <a:endParaRPr lang="en-US"/>
                  </a:p>
                  <a:p>
                    <a:r>
                      <a:rPr lang="en-US" baseline="0"/>
                      <a:t> </a:t>
                    </a:r>
                    <a:fld id="{37C7561C-8F6C-4C7D-9EC3-41A8647B929E}" type="VALUE">
                      <a:rPr lang="en-US" baseline="0"/>
                      <a:pPr/>
                      <a:t>[ЗНАЧЕНИЕ]</a:t>
                    </a:fld>
                    <a:endParaRPr lang="en-US" baseline="0"/>
                  </a:p>
                </c:rich>
              </c:tx>
              <c:dLblPos val="bestFi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5-FFA0-4FA3-AAE7-C6C7F7DD8026}"/>
                </c:ext>
                <c:ext xmlns:c15="http://schemas.microsoft.com/office/drawing/2012/chart" uri="{CE6537A1-D6FC-4f65-9D91-7224C49458BB}">
                  <c15:dlblFieldTable/>
                  <c15:showDataLabelsRange val="0"/>
                </c:ext>
              </c:extLst>
            </c:dLbl>
            <c:dLbl>
              <c:idx val="3"/>
              <c:layout>
                <c:manualLayout>
                  <c:x val="-9.7532079323419604E-3"/>
                  <c:y val="1.8958567679040118E-2"/>
                </c:manualLayout>
              </c:layout>
              <c:tx>
                <c:rich>
                  <a:bodyPr/>
                  <a:lstStyle/>
                  <a:p>
                    <a:fld id="{5A41820D-48F6-457A-B756-B240F5DA5979}" type="CATEGORYNAME">
                      <a:rPr lang="en-US"/>
                      <a:pPr/>
                      <a:t>[ИМЯ КАТЕГОРИИ]</a:t>
                    </a:fld>
                    <a:endParaRPr lang="en-US"/>
                  </a:p>
                  <a:p>
                    <a:r>
                      <a:rPr lang="en-US" baseline="0"/>
                      <a:t> </a:t>
                    </a:r>
                    <a:fld id="{67371578-D515-4D36-B6C0-246D90EAF4C0}" type="VALUE">
                      <a:rPr lang="en-US" baseline="0"/>
                      <a:pPr/>
                      <a:t>[ЗНАЧЕНИЕ]</a:t>
                    </a:fld>
                    <a:endParaRPr lang="en-US" baseline="0"/>
                  </a:p>
                </c:rich>
              </c:tx>
              <c:dLblPos val="bestFi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7-FFA0-4FA3-AAE7-C6C7F7DD8026}"/>
                </c:ext>
                <c:ext xmlns:c15="http://schemas.microsoft.com/office/drawing/2012/chart" uri="{CE6537A1-D6FC-4f65-9D91-7224C49458BB}">
                  <c15:dlblFieldTable/>
                  <c15:showDataLabelsRange val="0"/>
                </c:ext>
              </c:extLst>
            </c:dLbl>
            <c:dLbl>
              <c:idx val="4"/>
              <c:layout>
                <c:manualLayout>
                  <c:x val="-1.6691761589256338E-3"/>
                  <c:y val="-1.1510126456845363E-2"/>
                </c:manualLayout>
              </c:layout>
              <c:tx>
                <c:rich>
                  <a:bodyPr rot="0" spcFirstLastPara="1" vertOverflow="ellipsis" vert="horz" wrap="square" lIns="38100" tIns="19050" rIns="38100" bIns="19050" anchor="ctr" anchorCtr="1">
                    <a:noAutofit/>
                  </a:bodyPr>
                  <a:lstStyle/>
                  <a:p>
                    <a:pPr>
                      <a:defRPr sz="900" b="1" i="0" u="none" strike="noStrike" kern="1200" baseline="0">
                        <a:solidFill>
                          <a:schemeClr val="tx1"/>
                        </a:solidFill>
                        <a:latin typeface="+mn-lt"/>
                        <a:ea typeface="+mn-ea"/>
                        <a:cs typeface="+mn-cs"/>
                      </a:defRPr>
                    </a:pPr>
                    <a:fld id="{197611A4-B015-4788-B714-D5AF006EE3C8}" type="CATEGORYNAME">
                      <a:rPr lang="en-US"/>
                      <a:pPr>
                        <a:defRPr b="1">
                          <a:solidFill>
                            <a:schemeClr val="tx1"/>
                          </a:solidFill>
                        </a:defRPr>
                      </a:pPr>
                      <a:t>[ИМЯ КАТЕГОРИИ]</a:t>
                    </a:fld>
                    <a:endParaRPr lang="en-US" baseline="0"/>
                  </a:p>
                  <a:p>
                    <a:pPr>
                      <a:defRPr b="1">
                        <a:solidFill>
                          <a:schemeClr val="tx1"/>
                        </a:solidFill>
                      </a:defRPr>
                    </a:pPr>
                    <a:r>
                      <a:rPr lang="en-US" baseline="0"/>
                      <a:t> </a:t>
                    </a:r>
                    <a:fld id="{ADB8960B-81F4-4103-ABFE-6C055ACE03FF}" type="VALUE">
                      <a:rPr lang="en-US" baseline="0"/>
                      <a:pPr>
                        <a:defRPr b="1">
                          <a:solidFill>
                            <a:schemeClr val="tx1"/>
                          </a:solidFill>
                        </a:defRPr>
                      </a:pPr>
                      <a:t>[ЗНАЧЕНИЕ]</a:t>
                    </a:fld>
                    <a:endParaRPr lang="en-US" baseline="0"/>
                  </a:p>
                </c:rich>
              </c:tx>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tx1"/>
                      </a:solidFill>
                      <a:latin typeface="+mn-lt"/>
                      <a:ea typeface="+mn-ea"/>
                      <a:cs typeface="+mn-cs"/>
                    </a:defRPr>
                  </a:pPr>
                  <a:endParaRPr lang="ru-RU"/>
                </a:p>
              </c:txPr>
              <c:dLblPos val="bestFi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9-FFA0-4FA3-AAE7-C6C7F7DD8026}"/>
                </c:ext>
                <c:ext xmlns:c15="http://schemas.microsoft.com/office/drawing/2012/chart" uri="{CE6537A1-D6FC-4f65-9D91-7224C49458BB}">
                  <c15:layout>
                    <c:manualLayout>
                      <c:w val="0.16771272707344281"/>
                      <c:h val="0.19747460883886905"/>
                    </c:manualLayout>
                  </c15:layout>
                  <c15:dlblFieldTable/>
                  <c15:showDataLabelsRange val="0"/>
                </c:ext>
              </c:extLst>
            </c:dLbl>
            <c:dLbl>
              <c:idx val="5"/>
              <c:layout>
                <c:manualLayout>
                  <c:x val="-1.5650686108497378E-2"/>
                  <c:y val="-1.7113610181104626E-2"/>
                </c:manualLayout>
              </c:layout>
              <c:tx>
                <c:rich>
                  <a:bodyPr/>
                  <a:lstStyle/>
                  <a:p>
                    <a:fld id="{5763A7BC-2EC9-4B95-AD4C-EF508B8C6F4F}" type="CATEGORYNAME">
                      <a:rPr lang="en-US"/>
                      <a:pPr/>
                      <a:t>[ИМЯ КАТЕГОРИИ]</a:t>
                    </a:fld>
                    <a:r>
                      <a:rPr lang="en-US" baseline="0"/>
                      <a:t>  </a:t>
                    </a:r>
                    <a:fld id="{536B0226-F78B-44F8-A5FD-DBF751E20B6A}" type="VALUE">
                      <a:rPr lang="en-US" baseline="0"/>
                      <a:pPr/>
                      <a:t>[ЗНАЧЕНИЕ]</a:t>
                    </a:fld>
                    <a:endParaRPr lang="en-US" baseline="0"/>
                  </a:p>
                </c:rich>
              </c:tx>
              <c:dLblPos val="bestFi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B-FFA0-4FA3-AAE7-C6C7F7DD8026}"/>
                </c:ext>
                <c:ext xmlns:c15="http://schemas.microsoft.com/office/drawing/2012/chart" uri="{CE6537A1-D6FC-4f65-9D91-7224C49458BB}">
                  <c15:layout>
                    <c:manualLayout>
                      <c:w val="0.20235932523298336"/>
                      <c:h val="0.19739247526806886"/>
                    </c:manualLayout>
                  </c15:layout>
                  <c15:dlblFieldTable/>
                  <c15:showDataLabelsRange val="0"/>
                </c:ext>
              </c:extLst>
            </c:dLbl>
            <c:dLbl>
              <c:idx val="6"/>
              <c:layout>
                <c:manualLayout>
                  <c:x val="-0.14430521512321876"/>
                  <c:y val="-2.1764831428985221E-2"/>
                </c:manualLayout>
              </c:layout>
              <c:tx>
                <c:rich>
                  <a:bodyPr/>
                  <a:lstStyle/>
                  <a:p>
                    <a:r>
                      <a:rPr lang="en-US" baseline="0"/>
                      <a:t>Plăți de bază</a:t>
                    </a:r>
                  </a:p>
                  <a:p>
                    <a:r>
                      <a:rPr lang="en-US" baseline="0"/>
                      <a:t> 955,7</a:t>
                    </a:r>
                  </a:p>
                </c:rich>
              </c:tx>
              <c:dLblPos val="bestFi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D-FFA0-4FA3-AAE7-C6C7F7DD8026}"/>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dLblPos val="bestFit"/>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Sheet1!$A$2:$A$7</c:f>
              <c:strCache>
                <c:ptCount val="6"/>
                <c:pt idx="0">
                  <c:v>Amenzi</c:v>
                </c:pt>
                <c:pt idx="1">
                  <c:v>Majorări de întârziere</c:v>
                </c:pt>
                <c:pt idx="2">
                  <c:v>TVA</c:v>
                </c:pt>
                <c:pt idx="3">
                  <c:v>Accize</c:v>
                </c:pt>
                <c:pt idx="4">
                  <c:v>Alte impozite, plăți și taxe</c:v>
                </c:pt>
                <c:pt idx="5">
                  <c:v>Imp. pe venit din act. de întreprinzător</c:v>
                </c:pt>
              </c:strCache>
            </c:strRef>
          </c:cat>
          <c:val>
            <c:numRef>
              <c:f>Sheet1!$B$2:$B$7</c:f>
              <c:numCache>
                <c:formatCode>0.0</c:formatCode>
                <c:ptCount val="6"/>
                <c:pt idx="0">
                  <c:v>448</c:v>
                </c:pt>
                <c:pt idx="1">
                  <c:v>449</c:v>
                </c:pt>
                <c:pt idx="2">
                  <c:v>610.9</c:v>
                </c:pt>
                <c:pt idx="3">
                  <c:v>57.8</c:v>
                </c:pt>
                <c:pt idx="4">
                  <c:v>142.1</c:v>
                </c:pt>
                <c:pt idx="5">
                  <c:v>144.80000000000001</c:v>
                </c:pt>
              </c:numCache>
            </c:numRef>
          </c:val>
          <c:extLst xmlns:c16r2="http://schemas.microsoft.com/office/drawing/2015/06/chart">
            <c:ext xmlns:c16="http://schemas.microsoft.com/office/drawing/2014/chart" uri="{C3380CC4-5D6E-409C-BE32-E72D297353CC}">
              <c16:uniqueId val="{0000000E-FFA0-4FA3-AAE7-C6C7F7DD8026}"/>
            </c:ext>
          </c:extLst>
        </c:ser>
        <c:dLbls>
          <c:dLblPos val="bestFit"/>
          <c:showLegendKey val="0"/>
          <c:showVal val="1"/>
          <c:showCatName val="1"/>
          <c:showSerName val="0"/>
          <c:showPercent val="0"/>
          <c:showBubbleSize val="0"/>
          <c:showLeaderLines val="1"/>
        </c:dLbls>
        <c:gapWidth val="100"/>
        <c:splitType val="pos"/>
        <c:splitPos val="4"/>
        <c:secondPieSize val="75"/>
        <c:serLines>
          <c:spPr>
            <a:ln w="9525" cap="flat" cmpd="sng" algn="ctr">
              <a:solidFill>
                <a:schemeClr val="tx1">
                  <a:lumMod val="35000"/>
                  <a:lumOff val="65000"/>
                </a:schemeClr>
              </a:solidFill>
              <a:round/>
            </a:ln>
            <a:effectLst/>
          </c:spPr>
        </c:serLines>
      </c:ofPieChart>
      <c:spPr>
        <a:noFill/>
        <a:ln>
          <a:noFill/>
        </a:ln>
        <a:effectLst/>
      </c:spPr>
    </c:plotArea>
    <c:plotVisOnly val="1"/>
    <c:dispBlanksAs val="gap"/>
    <c:showDLblsOverMax val="0"/>
  </c:chart>
  <c:spPr>
    <a:gradFill>
      <a:gsLst>
        <a:gs pos="0">
          <a:schemeClr val="accent4">
            <a:lumMod val="20000"/>
            <a:lumOff val="80000"/>
          </a:schemeClr>
        </a:gs>
        <a:gs pos="45000">
          <a:schemeClr val="accent4">
            <a:lumMod val="20000"/>
            <a:lumOff val="80000"/>
          </a:schemeClr>
        </a:gs>
        <a:gs pos="72000">
          <a:schemeClr val="accent6">
            <a:lumMod val="20000"/>
            <a:lumOff val="80000"/>
          </a:schemeClr>
        </a:gs>
        <a:gs pos="100000">
          <a:schemeClr val="accent6">
            <a:lumMod val="40000"/>
            <a:lumOff val="60000"/>
          </a:schemeClr>
        </a:gs>
      </a:gsLst>
      <a:lin ang="5400000" scaled="1"/>
    </a:gra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Aprobat</c:v>
                </c:pt>
              </c:strCache>
            </c:strRef>
          </c:tx>
          <c:spPr>
            <a:solidFill>
              <a:schemeClr val="accent1"/>
            </a:solidFill>
            <a:ln>
              <a:solidFill>
                <a:schemeClr val="accent1">
                  <a:lumMod val="50000"/>
                </a:schemeClr>
              </a:solidFill>
            </a:ln>
            <a:effectLst/>
            <a:sp3d>
              <a:contourClr>
                <a:schemeClr val="accent1">
                  <a:lumMod val="50000"/>
                </a:schemeClr>
              </a:contourClr>
            </a:sp3d>
          </c:spPr>
          <c:invertIfNegative val="0"/>
          <c:dLbls>
            <c:dLbl>
              <c:idx val="0"/>
              <c:spPr>
                <a:noFill/>
                <a:ln>
                  <a:noFill/>
                </a:ln>
                <a:effectLst/>
              </c:spPr>
              <c:txPr>
                <a:bodyPr rot="-3000000" spcFirstLastPara="1" vertOverflow="ellipsis" vert="horz" wrap="square" lIns="38100" tIns="19050" rIns="38100" bIns="19050" anchor="ctr" anchorCtr="1">
                  <a:noAutofit/>
                </a:bodyPr>
                <a:lstStyle/>
                <a:p>
                  <a:pPr>
                    <a:defRPr sz="900" b="0" i="0" u="none" strike="noStrike" kern="1200" baseline="0">
                      <a:ln>
                        <a:solidFill>
                          <a:schemeClr val="tx1">
                            <a:lumMod val="85000"/>
                            <a:lumOff val="15000"/>
                          </a:schemeClr>
                        </a:solidFill>
                      </a:ln>
                      <a:solidFill>
                        <a:schemeClr val="tx1"/>
                      </a:solidFill>
                      <a:latin typeface="+mn-lt"/>
                      <a:ea typeface="+mn-ea"/>
                      <a:cs typeface="+mn-cs"/>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9874-4882-AEA5-A5E2EC367457}"/>
                </c:ext>
                <c:ext xmlns:c15="http://schemas.microsoft.com/office/drawing/2012/chart" uri="{CE6537A1-D6FC-4f65-9D91-7224C49458BB}">
                  <c15:spPr xmlns:c15="http://schemas.microsoft.com/office/drawing/2012/chart">
                    <a:prstGeom prst="rect">
                      <a:avLst/>
                    </a:prstGeom>
                  </c15:spPr>
                </c:ext>
              </c:extLst>
            </c:dLbl>
            <c:spPr>
              <a:noFill/>
              <a:ln>
                <a:noFill/>
              </a:ln>
              <a:effectLst/>
            </c:spPr>
            <c:txPr>
              <a:bodyPr rot="-3000000" spcFirstLastPara="1" vertOverflow="ellipsis" vert="horz" wrap="square" lIns="38100" tIns="19050" rIns="38100" bIns="19050" anchor="ctr" anchorCtr="1">
                <a:spAutoFit/>
              </a:bodyPr>
              <a:lstStyle/>
              <a:p>
                <a:pPr>
                  <a:defRPr sz="900" b="0" i="0" u="none" strike="noStrike" kern="1200" baseline="0">
                    <a:ln>
                      <a:solidFill>
                        <a:schemeClr val="tx1">
                          <a:lumMod val="85000"/>
                          <a:lumOff val="15000"/>
                        </a:schemeClr>
                      </a:solidFill>
                    </a:ln>
                    <a:solidFill>
                      <a:schemeClr val="tx1"/>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Sheet1!$A$2:$A$9</c:f>
              <c:strCache>
                <c:ptCount val="8"/>
                <c:pt idx="0">
                  <c:v>Servicii de stat cu destinație generală</c:v>
                </c:pt>
                <c:pt idx="1">
                  <c:v>Ordine publică și securitate națională</c:v>
                </c:pt>
                <c:pt idx="2">
                  <c:v>Servicii în domeniul economiei
</c:v>
                </c:pt>
                <c:pt idx="3">
                  <c:v>Gospodaria  de locuinte și gospodăria serviciilor comunale
</c:v>
                </c:pt>
                <c:pt idx="4">
                  <c:v>Ocrotirea sănătății</c:v>
                </c:pt>
                <c:pt idx="5">
                  <c:v>Cultură, sport, tineret, culte și odihnă</c:v>
                </c:pt>
                <c:pt idx="6">
                  <c:v>Învățământ</c:v>
                </c:pt>
                <c:pt idx="7">
                  <c:v>Protecție socială
</c:v>
                </c:pt>
              </c:strCache>
            </c:strRef>
          </c:cat>
          <c:val>
            <c:numRef>
              <c:f>Sheet1!$B$2:$B$9</c:f>
              <c:numCache>
                <c:formatCode>0.0</c:formatCode>
                <c:ptCount val="8"/>
                <c:pt idx="0">
                  <c:v>35.5</c:v>
                </c:pt>
                <c:pt idx="1">
                  <c:v>175.1</c:v>
                </c:pt>
                <c:pt idx="2">
                  <c:v>1144.2</c:v>
                </c:pt>
                <c:pt idx="3">
                  <c:v>260.8</c:v>
                </c:pt>
                <c:pt idx="4">
                  <c:v>3</c:v>
                </c:pt>
                <c:pt idx="5">
                  <c:v>37.1</c:v>
                </c:pt>
                <c:pt idx="6">
                  <c:v>120</c:v>
                </c:pt>
                <c:pt idx="7">
                  <c:v>5</c:v>
                </c:pt>
              </c:numCache>
            </c:numRef>
          </c:val>
          <c:extLst xmlns:c16r2="http://schemas.microsoft.com/office/drawing/2015/06/chart">
            <c:ext xmlns:c16="http://schemas.microsoft.com/office/drawing/2014/chart" uri="{C3380CC4-5D6E-409C-BE32-E72D297353CC}">
              <c16:uniqueId val="{00000001-9E9B-48FB-BC7E-A5423CB69EA7}"/>
            </c:ext>
          </c:extLst>
        </c:ser>
        <c:ser>
          <c:idx val="1"/>
          <c:order val="1"/>
          <c:tx>
            <c:strRef>
              <c:f>Sheet1!$C$1</c:f>
              <c:strCache>
                <c:ptCount val="1"/>
                <c:pt idx="0">
                  <c:v>Precizat</c:v>
                </c:pt>
              </c:strCache>
            </c:strRef>
          </c:tx>
          <c:spPr>
            <a:solidFill>
              <a:schemeClr val="accent2"/>
            </a:solidFill>
            <a:ln>
              <a:solidFill>
                <a:schemeClr val="accent2">
                  <a:lumMod val="50000"/>
                </a:schemeClr>
              </a:solidFill>
            </a:ln>
            <a:effectLst/>
            <a:sp3d>
              <a:contourClr>
                <a:schemeClr val="accent2">
                  <a:lumMod val="50000"/>
                </a:schemeClr>
              </a:contourClr>
            </a:sp3d>
          </c:spPr>
          <c:invertIfNegative val="0"/>
          <c:dLbls>
            <c:dLbl>
              <c:idx val="1"/>
              <c:layout>
                <c:manualLayout>
                  <c:x val="1.651186790505672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9E9B-48FB-BC7E-A5423CB69EA7}"/>
                </c:ext>
                <c:ext xmlns:c15="http://schemas.microsoft.com/office/drawing/2012/chart" uri="{CE6537A1-D6FC-4f65-9D91-7224C49458BB}"/>
              </c:extLst>
            </c:dLbl>
            <c:dLbl>
              <c:idx val="2"/>
              <c:layout>
                <c:manualLayout>
                  <c:x val="1.2383982187985016E-2"/>
                  <c:y val="-7.1490996601296314E-3"/>
                </c:manualLayout>
              </c:layout>
              <c:spPr>
                <a:noFill/>
                <a:ln>
                  <a:noFill/>
                </a:ln>
                <a:effectLst/>
              </c:spPr>
              <c:txPr>
                <a:bodyPr rot="-3000000" spcFirstLastPara="1" vertOverflow="ellipsis" vert="horz" wrap="square" lIns="108000" tIns="0" rIns="0" bIns="0" anchor="b" anchorCtr="0">
                  <a:noAutofit/>
                </a:bodyPr>
                <a:lstStyle/>
                <a:p>
                  <a:pPr>
                    <a:defRPr sz="900" b="0" i="0" u="none" strike="noStrike" kern="1200" baseline="0">
                      <a:ln>
                        <a:solidFill>
                          <a:schemeClr val="tx1">
                            <a:lumMod val="85000"/>
                            <a:lumOff val="15000"/>
                          </a:schemeClr>
                        </a:solidFill>
                      </a:ln>
                      <a:solidFill>
                        <a:schemeClr val="tx1"/>
                      </a:solidFill>
                      <a:latin typeface="+mn-lt"/>
                      <a:ea typeface="+mn-ea"/>
                      <a:cs typeface="+mn-cs"/>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9E9B-48FB-BC7E-A5423CB69EA7}"/>
                </c:ext>
                <c:ext xmlns:c15="http://schemas.microsoft.com/office/drawing/2012/chart" uri="{CE6537A1-D6FC-4f65-9D91-7224C49458BB}">
                  <c15:spPr xmlns:c15="http://schemas.microsoft.com/office/drawing/2012/chart">
                    <a:prstGeom prst="rect">
                      <a:avLst/>
                    </a:prstGeom>
                  </c15:spPr>
                  <c15:layout>
                    <c:manualLayout>
                      <c:w val="6.4905924165963039E-2"/>
                      <c:h val="6.1120339409628584E-2"/>
                    </c:manualLayout>
                  </c15:layout>
                </c:ext>
              </c:extLst>
            </c:dLbl>
            <c:dLbl>
              <c:idx val="3"/>
              <c:layout>
                <c:manualLayout>
                  <c:x val="1.0319917440660475E-2"/>
                  <c:y val="-6.5533946550665909E-1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9E9B-48FB-BC7E-A5423CB69EA7}"/>
                </c:ext>
                <c:ext xmlns:c15="http://schemas.microsoft.com/office/drawing/2012/chart" uri="{CE6537A1-D6FC-4f65-9D91-7224C49458BB}"/>
              </c:extLst>
            </c:dLbl>
            <c:dLbl>
              <c:idx val="5"/>
              <c:layout>
                <c:manualLayout>
                  <c:x val="1.0319917440660398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9E9B-48FB-BC7E-A5423CB69EA7}"/>
                </c:ext>
                <c:ext xmlns:c15="http://schemas.microsoft.com/office/drawing/2012/chart" uri="{CE6537A1-D6FC-4f65-9D91-7224C49458BB}"/>
              </c:extLst>
            </c:dLbl>
            <c:dLbl>
              <c:idx val="6"/>
              <c:layout>
                <c:manualLayout>
                  <c:x val="1.3415980416575149E-2"/>
                  <c:y val="-1.6085649187714768E-2"/>
                </c:manualLayout>
              </c:layout>
              <c:spPr>
                <a:noFill/>
                <a:ln>
                  <a:noFill/>
                </a:ln>
                <a:effectLst/>
              </c:spPr>
              <c:txPr>
                <a:bodyPr rot="-3000000" spcFirstLastPara="1" vertOverflow="ellipsis" vert="horz" wrap="square" lIns="0" tIns="0" rIns="38100" bIns="0" anchor="ctr" anchorCtr="1">
                  <a:noAutofit/>
                </a:bodyPr>
                <a:lstStyle/>
                <a:p>
                  <a:pPr>
                    <a:defRPr sz="900" b="0" i="0" u="none" strike="noStrike" kern="1200" baseline="0">
                      <a:ln>
                        <a:solidFill>
                          <a:schemeClr val="tx1">
                            <a:lumMod val="85000"/>
                            <a:lumOff val="15000"/>
                          </a:schemeClr>
                        </a:solidFill>
                      </a:ln>
                      <a:solidFill>
                        <a:schemeClr val="tx1"/>
                      </a:solidFill>
                      <a:latin typeface="+mn-lt"/>
                      <a:ea typeface="+mn-ea"/>
                      <a:cs typeface="+mn-cs"/>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9E9B-48FB-BC7E-A5423CB69EA7}"/>
                </c:ext>
                <c:ext xmlns:c15="http://schemas.microsoft.com/office/drawing/2012/chart" uri="{CE6537A1-D6FC-4f65-9D91-7224C49458BB}">
                  <c15:spPr xmlns:c15="http://schemas.microsoft.com/office/drawing/2012/chart">
                    <a:prstGeom prst="rect">
                      <a:avLst/>
                    </a:prstGeom>
                  </c15:spPr>
                  <c15:layout>
                    <c:manualLayout>
                      <c:w val="5.7714828990029499E-2"/>
                      <c:h val="5.5224504443646946E-2"/>
                    </c:manualLayout>
                  </c15:layout>
                </c:ext>
              </c:extLst>
            </c:dLbl>
            <c:spPr>
              <a:noFill/>
              <a:ln>
                <a:noFill/>
              </a:ln>
              <a:effectLst/>
            </c:spPr>
            <c:txPr>
              <a:bodyPr rot="-3000000" spcFirstLastPara="1" vertOverflow="ellipsis" vert="horz" wrap="square" lIns="0" tIns="0" rIns="38100" bIns="0" anchor="ctr" anchorCtr="1">
                <a:spAutoFit/>
              </a:bodyPr>
              <a:lstStyle/>
              <a:p>
                <a:pPr>
                  <a:defRPr sz="900" b="0" i="0" u="none" strike="noStrike" kern="1200" baseline="0">
                    <a:ln>
                      <a:solidFill>
                        <a:schemeClr val="tx1">
                          <a:lumMod val="85000"/>
                          <a:lumOff val="15000"/>
                        </a:schemeClr>
                      </a:solidFill>
                    </a:ln>
                    <a:solidFill>
                      <a:schemeClr val="tx1"/>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rect">
                    <a:avLst/>
                  </a:prstGeom>
                </c15:spPr>
                <c15:showLeaderLines val="1"/>
                <c15:leaderLines>
                  <c:spPr>
                    <a:ln w="9525" cap="flat" cmpd="sng" algn="ctr">
                      <a:solidFill>
                        <a:schemeClr val="tx1">
                          <a:lumMod val="35000"/>
                          <a:lumOff val="65000"/>
                        </a:schemeClr>
                      </a:solidFill>
                      <a:round/>
                    </a:ln>
                    <a:effectLst/>
                  </c:spPr>
                </c15:leaderLines>
              </c:ext>
            </c:extLst>
          </c:dLbls>
          <c:cat>
            <c:strRef>
              <c:f>Sheet1!$A$2:$A$9</c:f>
              <c:strCache>
                <c:ptCount val="8"/>
                <c:pt idx="0">
                  <c:v>Servicii de stat cu destinație generală</c:v>
                </c:pt>
                <c:pt idx="1">
                  <c:v>Ordine publică și securitate națională</c:v>
                </c:pt>
                <c:pt idx="2">
                  <c:v>Servicii în domeniul economiei
</c:v>
                </c:pt>
                <c:pt idx="3">
                  <c:v>Gospodaria  de locuinte și gospodăria serviciilor comunale
</c:v>
                </c:pt>
                <c:pt idx="4">
                  <c:v>Ocrotirea sănătății</c:v>
                </c:pt>
                <c:pt idx="5">
                  <c:v>Cultură, sport, tineret, culte și odihnă</c:v>
                </c:pt>
                <c:pt idx="6">
                  <c:v>Învățământ</c:v>
                </c:pt>
                <c:pt idx="7">
                  <c:v>Protecție socială
</c:v>
                </c:pt>
              </c:strCache>
            </c:strRef>
          </c:cat>
          <c:val>
            <c:numRef>
              <c:f>Sheet1!$C$2:$C$9</c:f>
              <c:numCache>
                <c:formatCode>0.0</c:formatCode>
                <c:ptCount val="8"/>
                <c:pt idx="0">
                  <c:v>25.2</c:v>
                </c:pt>
                <c:pt idx="1">
                  <c:v>126.4</c:v>
                </c:pt>
                <c:pt idx="2">
                  <c:v>952.8</c:v>
                </c:pt>
                <c:pt idx="3">
                  <c:v>75</c:v>
                </c:pt>
                <c:pt idx="4">
                  <c:v>0</c:v>
                </c:pt>
                <c:pt idx="5">
                  <c:v>34</c:v>
                </c:pt>
                <c:pt idx="6">
                  <c:v>138.80000000000001</c:v>
                </c:pt>
                <c:pt idx="7">
                  <c:v>11</c:v>
                </c:pt>
              </c:numCache>
            </c:numRef>
          </c:val>
          <c:extLst xmlns:c16r2="http://schemas.microsoft.com/office/drawing/2015/06/chart">
            <c:ext xmlns:c16="http://schemas.microsoft.com/office/drawing/2014/chart" uri="{C3380CC4-5D6E-409C-BE32-E72D297353CC}">
              <c16:uniqueId val="{00000007-9E9B-48FB-BC7E-A5423CB69EA7}"/>
            </c:ext>
          </c:extLst>
        </c:ser>
        <c:ser>
          <c:idx val="2"/>
          <c:order val="2"/>
          <c:tx>
            <c:strRef>
              <c:f>Sheet1!$D$1</c:f>
              <c:strCache>
                <c:ptCount val="1"/>
                <c:pt idx="0">
                  <c:v>Executat</c:v>
                </c:pt>
              </c:strCache>
            </c:strRef>
          </c:tx>
          <c:spPr>
            <a:solidFill>
              <a:schemeClr val="accent3"/>
            </a:solidFill>
            <a:ln>
              <a:solidFill>
                <a:schemeClr val="tx1">
                  <a:lumMod val="75000"/>
                  <a:lumOff val="25000"/>
                </a:schemeClr>
              </a:solidFill>
            </a:ln>
            <a:effectLst/>
            <a:sp3d>
              <a:contourClr>
                <a:schemeClr val="tx1">
                  <a:lumMod val="75000"/>
                  <a:lumOff val="25000"/>
                </a:schemeClr>
              </a:contourClr>
            </a:sp3d>
          </c:spPr>
          <c:invertIfNegative val="0"/>
          <c:dLbls>
            <c:dLbl>
              <c:idx val="1"/>
              <c:layout>
                <c:manualLayout>
                  <c:x val="1.238390092879257E-2"/>
                  <c:y val="-6.5533946550665909E-1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9E9B-48FB-BC7E-A5423CB69EA7}"/>
                </c:ext>
                <c:ext xmlns:c15="http://schemas.microsoft.com/office/drawing/2012/chart" uri="{CE6537A1-D6FC-4f65-9D91-7224C49458BB}"/>
              </c:extLst>
            </c:dLbl>
            <c:dLbl>
              <c:idx val="2"/>
              <c:layout>
                <c:manualLayout>
                  <c:x val="2.2703818369453045E-2"/>
                  <c:y val="3.5746201966040782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9E9B-48FB-BC7E-A5423CB69EA7}"/>
                </c:ext>
                <c:ext xmlns:c15="http://schemas.microsoft.com/office/drawing/2012/chart" uri="{CE6537A1-D6FC-4f65-9D91-7224C49458BB}"/>
              </c:extLst>
            </c:dLbl>
            <c:dLbl>
              <c:idx val="3"/>
              <c:layout>
                <c:manualLayout>
                  <c:x val="1.2383900928792494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9E9B-48FB-BC7E-A5423CB69EA7}"/>
                </c:ext>
                <c:ext xmlns:c15="http://schemas.microsoft.com/office/drawing/2012/chart" uri="{CE6537A1-D6FC-4f65-9D91-7224C49458BB}"/>
              </c:extLst>
            </c:dLbl>
            <c:dLbl>
              <c:idx val="5"/>
              <c:layout>
                <c:manualLayout>
                  <c:x val="1.4447884416924664E-2"/>
                  <c:y val="-6.5533946550665909E-1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9E9B-48FB-BC7E-A5423CB69EA7}"/>
                </c:ext>
                <c:ext xmlns:c15="http://schemas.microsoft.com/office/drawing/2012/chart" uri="{CE6537A1-D6FC-4f65-9D91-7224C49458BB}"/>
              </c:extLst>
            </c:dLbl>
            <c:dLbl>
              <c:idx val="6"/>
              <c:layout>
                <c:manualLayout>
                  <c:x val="1.8575851393188854E-2"/>
                  <c:y val="-6.5533946550665909E-1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9E9B-48FB-BC7E-A5423CB69EA7}"/>
                </c:ext>
                <c:ext xmlns:c15="http://schemas.microsoft.com/office/drawing/2012/chart" uri="{CE6537A1-D6FC-4f65-9D91-7224C49458BB}"/>
              </c:extLst>
            </c:dLbl>
            <c:spPr>
              <a:noFill/>
              <a:ln>
                <a:noFill/>
              </a:ln>
              <a:effectLst/>
            </c:spPr>
            <c:txPr>
              <a:bodyPr rot="-3000000" spcFirstLastPara="1" vertOverflow="ellipsis" vert="horz" wrap="square" lIns="38100" tIns="19050" rIns="38100" bIns="19050" anchor="ctr" anchorCtr="1">
                <a:spAutoFit/>
              </a:bodyPr>
              <a:lstStyle/>
              <a:p>
                <a:pPr>
                  <a:defRPr sz="900" b="0" i="0" u="none" strike="noStrike" kern="1200" baseline="0">
                    <a:ln>
                      <a:solidFill>
                        <a:schemeClr val="tx1">
                          <a:lumMod val="85000"/>
                          <a:lumOff val="15000"/>
                        </a:schemeClr>
                      </a:solidFill>
                    </a:ln>
                    <a:solidFill>
                      <a:schemeClr val="tx1"/>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Sheet1!$A$2:$A$9</c:f>
              <c:strCache>
                <c:ptCount val="8"/>
                <c:pt idx="0">
                  <c:v>Servicii de stat cu destinație generală</c:v>
                </c:pt>
                <c:pt idx="1">
                  <c:v>Ordine publică și securitate națională</c:v>
                </c:pt>
                <c:pt idx="2">
                  <c:v>Servicii în domeniul economiei
</c:v>
                </c:pt>
                <c:pt idx="3">
                  <c:v>Gospodaria  de locuinte și gospodăria serviciilor comunale
</c:v>
                </c:pt>
                <c:pt idx="4">
                  <c:v>Ocrotirea sănătății</c:v>
                </c:pt>
                <c:pt idx="5">
                  <c:v>Cultură, sport, tineret, culte și odihnă</c:v>
                </c:pt>
                <c:pt idx="6">
                  <c:v>Învățământ</c:v>
                </c:pt>
                <c:pt idx="7">
                  <c:v>Protecție socială
</c:v>
                </c:pt>
              </c:strCache>
            </c:strRef>
          </c:cat>
          <c:val>
            <c:numRef>
              <c:f>Sheet1!$D$2:$D$9</c:f>
              <c:numCache>
                <c:formatCode>0.0</c:formatCode>
                <c:ptCount val="8"/>
                <c:pt idx="0">
                  <c:v>18.7</c:v>
                </c:pt>
                <c:pt idx="1">
                  <c:v>105.7</c:v>
                </c:pt>
                <c:pt idx="2">
                  <c:v>487.3</c:v>
                </c:pt>
                <c:pt idx="3">
                  <c:v>67.2</c:v>
                </c:pt>
                <c:pt idx="4">
                  <c:v>0</c:v>
                </c:pt>
                <c:pt idx="5">
                  <c:v>23.8</c:v>
                </c:pt>
                <c:pt idx="6">
                  <c:v>110.7</c:v>
                </c:pt>
                <c:pt idx="7">
                  <c:v>11</c:v>
                </c:pt>
              </c:numCache>
            </c:numRef>
          </c:val>
          <c:extLst xmlns:c16r2="http://schemas.microsoft.com/office/drawing/2015/06/chart">
            <c:ext xmlns:c16="http://schemas.microsoft.com/office/drawing/2014/chart" uri="{C3380CC4-5D6E-409C-BE32-E72D297353CC}">
              <c16:uniqueId val="{0000000D-9E9B-48FB-BC7E-A5423CB69EA7}"/>
            </c:ext>
          </c:extLst>
        </c:ser>
        <c:dLbls>
          <c:showLegendKey val="0"/>
          <c:showVal val="1"/>
          <c:showCatName val="0"/>
          <c:showSerName val="0"/>
          <c:showPercent val="0"/>
          <c:showBubbleSize val="0"/>
        </c:dLbls>
        <c:gapWidth val="75"/>
        <c:shape val="box"/>
        <c:axId val="409548704"/>
        <c:axId val="410255464"/>
        <c:axId val="0"/>
      </c:bar3DChart>
      <c:catAx>
        <c:axId val="409548704"/>
        <c:scaling>
          <c:orientation val="minMax"/>
        </c:scaling>
        <c:delete val="0"/>
        <c:axPos val="b"/>
        <c:numFmt formatCode="General" sourceLinked="1"/>
        <c:majorTickMark val="none"/>
        <c:minorTickMark val="none"/>
        <c:tickLblPos val="nextTo"/>
        <c:spPr>
          <a:noFill/>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crossAx val="410255464"/>
        <c:crosses val="autoZero"/>
        <c:auto val="1"/>
        <c:lblAlgn val="ctr"/>
        <c:lblOffset val="100"/>
        <c:noMultiLvlLbl val="0"/>
      </c:catAx>
      <c:valAx>
        <c:axId val="410255464"/>
        <c:scaling>
          <c:orientation val="minMax"/>
        </c:scaling>
        <c:delete val="0"/>
        <c:axPos val="l"/>
        <c:numFmt formatCode="0.0" sourceLinked="1"/>
        <c:majorTickMark val="none"/>
        <c:minorTickMark val="none"/>
        <c:tickLblPos val="nextTo"/>
        <c:spPr>
          <a:noFill/>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crossAx val="409548704"/>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ru-RU"/>
          </a:p>
        </c:txPr>
      </c:legendEntry>
      <c:legendEntry>
        <c:idx val="1"/>
        <c:txPr>
          <a:bodyPr rot="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ru-RU"/>
          </a:p>
        </c:txPr>
      </c:legendEntry>
      <c:legendEntry>
        <c:idx val="2"/>
        <c:txPr>
          <a:bodyPr rot="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ru-RU"/>
          </a:p>
        </c:txPr>
      </c:legendEntry>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solidFill>
            <a:srgbClr val="44546A"/>
          </a:solidFill>
        </a:ln>
        <a:effectLst/>
        <a:sp3d>
          <a:contourClr>
            <a:srgbClr val="7030A0"/>
          </a:contourClr>
        </a:sp3d>
      </c:spPr>
    </c:sideWall>
    <c:backWall>
      <c:thickness val="0"/>
      <c:spPr>
        <a:noFill/>
        <a:ln>
          <a:solidFill>
            <a:srgbClr val="44546A"/>
          </a:solidFill>
        </a:ln>
        <a:effectLst/>
        <a:sp3d>
          <a:contourClr>
            <a:srgbClr val="7030A0"/>
          </a:contourClr>
        </a:sp3d>
      </c:spPr>
    </c:backWall>
    <c:plotArea>
      <c:layout>
        <c:manualLayout>
          <c:layoutTarget val="inner"/>
          <c:xMode val="edge"/>
          <c:yMode val="edge"/>
          <c:x val="1.7220990080675866E-4"/>
          <c:y val="1.6434844682876178E-3"/>
          <c:w val="0.99962426930733073"/>
          <c:h val="0.73051289261919183"/>
        </c:manualLayout>
      </c:layout>
      <c:bar3DChart>
        <c:barDir val="col"/>
        <c:grouping val="percentStacked"/>
        <c:varyColors val="0"/>
        <c:ser>
          <c:idx val="0"/>
          <c:order val="0"/>
          <c:tx>
            <c:strRef>
              <c:f>Sheet1!$B$1</c:f>
              <c:strCache>
                <c:ptCount val="1"/>
                <c:pt idx="0">
                  <c:v>Fondul de Rezervă</c:v>
                </c:pt>
              </c:strCache>
            </c:strRef>
          </c:tx>
          <c:spPr>
            <a:solidFill>
              <a:srgbClr val="70AD47">
                <a:lumMod val="50000"/>
              </a:srgbClr>
            </a:solidFill>
            <a:ln>
              <a:noFill/>
            </a:ln>
            <a:effectLst/>
            <a:sp3d/>
          </c:spPr>
          <c:invertIfNegative val="0"/>
          <c:dLbls>
            <c:spPr>
              <a:solidFill>
                <a:schemeClr val="bg1"/>
              </a:solid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Sheet1!$A$2:$A$5</c:f>
              <c:strCache>
                <c:ptCount val="4"/>
                <c:pt idx="0">
                  <c:v>Aprobat prin legea bugetară</c:v>
                </c:pt>
                <c:pt idx="1">
                  <c:v>HG Emise</c:v>
                </c:pt>
                <c:pt idx="2">
                  <c:v>Finanțat</c:v>
                </c:pt>
                <c:pt idx="3">
                  <c:v>Executat</c:v>
                </c:pt>
              </c:strCache>
            </c:strRef>
          </c:cat>
          <c:val>
            <c:numRef>
              <c:f>Sheet1!$B$2:$B$5</c:f>
              <c:numCache>
                <c:formatCode>General</c:formatCode>
                <c:ptCount val="4"/>
                <c:pt idx="0" formatCode="0.0">
                  <c:v>75</c:v>
                </c:pt>
                <c:pt idx="1">
                  <c:v>45.8</c:v>
                </c:pt>
                <c:pt idx="2">
                  <c:v>45.8</c:v>
                </c:pt>
                <c:pt idx="3">
                  <c:v>43.4</c:v>
                </c:pt>
              </c:numCache>
            </c:numRef>
          </c:val>
          <c:extLst xmlns:c16r2="http://schemas.microsoft.com/office/drawing/2015/06/chart">
            <c:ext xmlns:c16="http://schemas.microsoft.com/office/drawing/2014/chart" uri="{C3380CC4-5D6E-409C-BE32-E72D297353CC}">
              <c16:uniqueId val="{00000000-701F-4B04-8F50-D7CE09EEACB8}"/>
            </c:ext>
          </c:extLst>
        </c:ser>
        <c:ser>
          <c:idx val="1"/>
          <c:order val="1"/>
          <c:tx>
            <c:strRef>
              <c:f>Sheet1!$C$1</c:f>
              <c:strCache>
                <c:ptCount val="1"/>
                <c:pt idx="0">
                  <c:v>Fondul de intervenție</c:v>
                </c:pt>
              </c:strCache>
            </c:strRef>
          </c:tx>
          <c:spPr>
            <a:solidFill>
              <a:srgbClr val="70AD47">
                <a:lumMod val="40000"/>
                <a:lumOff val="60000"/>
              </a:srgbClr>
            </a:solidFill>
            <a:ln>
              <a:noFill/>
            </a:ln>
            <a:effectLst/>
            <a:sp3d/>
          </c:spPr>
          <c:invertIfNegative val="0"/>
          <c:dLbls>
            <c:spPr>
              <a:solidFill>
                <a:schemeClr val="bg1"/>
              </a:solid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Sheet1!$A$2:$A$5</c:f>
              <c:strCache>
                <c:ptCount val="4"/>
                <c:pt idx="0">
                  <c:v>Aprobat prin legea bugetară</c:v>
                </c:pt>
                <c:pt idx="1">
                  <c:v>HG Emise</c:v>
                </c:pt>
                <c:pt idx="2">
                  <c:v>Finanțat</c:v>
                </c:pt>
                <c:pt idx="3">
                  <c:v>Executat</c:v>
                </c:pt>
              </c:strCache>
            </c:strRef>
          </c:cat>
          <c:val>
            <c:numRef>
              <c:f>Sheet1!$C$2:$C$5</c:f>
              <c:numCache>
                <c:formatCode>General</c:formatCode>
                <c:ptCount val="4"/>
                <c:pt idx="0" formatCode="0.0">
                  <c:v>50</c:v>
                </c:pt>
                <c:pt idx="1">
                  <c:v>41.5</c:v>
                </c:pt>
                <c:pt idx="2">
                  <c:v>41.4</c:v>
                </c:pt>
                <c:pt idx="3">
                  <c:v>40.799999999999997</c:v>
                </c:pt>
              </c:numCache>
            </c:numRef>
          </c:val>
          <c:extLst xmlns:c16r2="http://schemas.microsoft.com/office/drawing/2015/06/chart">
            <c:ext xmlns:c16="http://schemas.microsoft.com/office/drawing/2014/chart" uri="{C3380CC4-5D6E-409C-BE32-E72D297353CC}">
              <c16:uniqueId val="{00000001-701F-4B04-8F50-D7CE09EEACB8}"/>
            </c:ext>
          </c:extLst>
        </c:ser>
        <c:dLbls>
          <c:showLegendKey val="0"/>
          <c:showVal val="1"/>
          <c:showCatName val="0"/>
          <c:showSerName val="0"/>
          <c:showPercent val="0"/>
          <c:showBubbleSize val="0"/>
        </c:dLbls>
        <c:gapWidth val="79"/>
        <c:shape val="box"/>
        <c:axId val="410255856"/>
        <c:axId val="410256248"/>
        <c:axId val="0"/>
      </c:bar3DChart>
      <c:catAx>
        <c:axId val="410255856"/>
        <c:scaling>
          <c:orientation val="minMax"/>
        </c:scaling>
        <c:delete val="0"/>
        <c:axPos val="b"/>
        <c:majorGridlines>
          <c:spPr>
            <a:ln w="9525" cap="flat" cmpd="sng" algn="ctr">
              <a:solidFill>
                <a:srgbClr val="7030A0"/>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cap="none" spc="120" normalizeH="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10256248"/>
        <c:crosses val="autoZero"/>
        <c:auto val="1"/>
        <c:lblAlgn val="ctr"/>
        <c:lblOffset val="100"/>
        <c:noMultiLvlLbl val="0"/>
      </c:catAx>
      <c:valAx>
        <c:axId val="410256248"/>
        <c:scaling>
          <c:orientation val="minMax"/>
        </c:scaling>
        <c:delete val="1"/>
        <c:axPos val="l"/>
        <c:numFmt formatCode="0%" sourceLinked="1"/>
        <c:majorTickMark val="none"/>
        <c:minorTickMark val="none"/>
        <c:tickLblPos val="none"/>
        <c:crossAx val="410255856"/>
        <c:crosses val="autoZero"/>
        <c:crossBetween val="between"/>
      </c:valAx>
      <c:spPr>
        <a:pattFill prst="pct5">
          <a:fgClr>
            <a:sysClr val="windowText" lastClr="000000"/>
          </a:fgClr>
          <a:bgClr>
            <a:schemeClr val="bg1"/>
          </a:bgClr>
        </a:pattFill>
        <a:ln>
          <a:solidFill>
            <a:srgbClr val="44546A"/>
          </a:solidFill>
        </a:ln>
        <a:effectLst/>
      </c:spPr>
    </c:plotArea>
    <c:legend>
      <c:legendPos val="b"/>
      <c:layout>
        <c:manualLayout>
          <c:xMode val="edge"/>
          <c:yMode val="edge"/>
          <c:x val="0.25579987963824136"/>
          <c:y val="0.8781293654222897"/>
          <c:w val="0.57092649094972159"/>
          <c:h val="8.9904731540949523E-2"/>
        </c:manualLayout>
      </c:layout>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00" b="1" i="0" u="none" strike="noStrike" kern="1200" spc="0" baseline="0">
                <a:solidFill>
                  <a:schemeClr val="tx1"/>
                </a:solidFill>
                <a:latin typeface="+mn-lt"/>
                <a:ea typeface="+mn-ea"/>
                <a:cs typeface="+mn-cs"/>
              </a:defRPr>
            </a:pPr>
            <a:r>
              <a:rPr lang="ro-RO" sz="800" b="1">
                <a:solidFill>
                  <a:schemeClr val="tx1"/>
                </a:solidFill>
              </a:rPr>
              <a:t>Veniturile BASS 2015-2017</a:t>
            </a:r>
            <a:endParaRPr lang="en-US" sz="800" b="1">
              <a:solidFill>
                <a:schemeClr val="tx1"/>
              </a:solidFill>
            </a:endParaRPr>
          </a:p>
        </c:rich>
      </c:tx>
      <c:overlay val="0"/>
      <c:spPr>
        <a:noFill/>
        <a:ln>
          <a:noFill/>
        </a:ln>
        <a:effectLst/>
      </c:spPr>
    </c:title>
    <c:autoTitleDeleted val="0"/>
    <c:plotArea>
      <c:layout/>
      <c:barChart>
        <c:barDir val="col"/>
        <c:grouping val="clustered"/>
        <c:varyColors val="0"/>
        <c:ser>
          <c:idx val="0"/>
          <c:order val="0"/>
          <c:tx>
            <c:strRef>
              <c:f>Sheet1!$B$1</c:f>
              <c:strCache>
                <c:ptCount val="1"/>
                <c:pt idx="0">
                  <c:v>venituri proprii</c:v>
                </c:pt>
              </c:strCache>
            </c:strRef>
          </c:tx>
          <c:spPr>
            <a:solidFill>
              <a:srgbClr val="92D050"/>
            </a:solidFill>
            <a:ln>
              <a:solidFill>
                <a:schemeClr val="tx1">
                  <a:lumMod val="50000"/>
                  <a:lumOff val="50000"/>
                </a:schemeClr>
              </a:solidFill>
            </a:ln>
            <a:effectLst/>
            <a:sp3d/>
          </c:spPr>
          <c:invertIfNegative val="0"/>
          <c:dPt>
            <c:idx val="0"/>
            <c:invertIfNegative val="0"/>
            <c:bubble3D val="0"/>
            <c:spPr>
              <a:solidFill>
                <a:srgbClr val="92D050"/>
              </a:solidFill>
              <a:ln w="0">
                <a:solidFill>
                  <a:schemeClr val="tx1">
                    <a:lumMod val="50000"/>
                    <a:lumOff val="50000"/>
                  </a:schemeClr>
                </a:solidFill>
              </a:ln>
              <a:effectLst>
                <a:innerShdw blurRad="63500" dist="50800" dir="13500000">
                  <a:prstClr val="black">
                    <a:alpha val="50000"/>
                  </a:prstClr>
                </a:innerShdw>
              </a:effectLst>
              <a:sp3d/>
            </c:spPr>
            <c:extLst xmlns:c16r2="http://schemas.microsoft.com/office/drawing/2015/06/chart">
              <c:ext xmlns:c16="http://schemas.microsoft.com/office/drawing/2014/chart" uri="{C3380CC4-5D6E-409C-BE32-E72D297353CC}">
                <c16:uniqueId val="{00000001-B09D-429A-AEBD-739FBA5E018F}"/>
              </c:ext>
            </c:extLst>
          </c:dPt>
          <c:dPt>
            <c:idx val="1"/>
            <c:invertIfNegative val="0"/>
            <c:bubble3D val="0"/>
            <c:spPr>
              <a:solidFill>
                <a:srgbClr val="92D050"/>
              </a:solidFill>
              <a:ln>
                <a:solidFill>
                  <a:schemeClr val="tx1">
                    <a:lumMod val="50000"/>
                    <a:lumOff val="50000"/>
                  </a:schemeClr>
                </a:solidFill>
              </a:ln>
              <a:effectLst>
                <a:innerShdw blurRad="63500" dist="50800" dir="13500000">
                  <a:prstClr val="black">
                    <a:alpha val="50000"/>
                  </a:prstClr>
                </a:innerShdw>
              </a:effectLst>
              <a:sp3d/>
            </c:spPr>
            <c:extLst xmlns:c16r2="http://schemas.microsoft.com/office/drawing/2015/06/chart">
              <c:ext xmlns:c16="http://schemas.microsoft.com/office/drawing/2014/chart" uri="{C3380CC4-5D6E-409C-BE32-E72D297353CC}">
                <c16:uniqueId val="{00000003-B09D-429A-AEBD-739FBA5E018F}"/>
              </c:ext>
            </c:extLst>
          </c:dPt>
          <c:dPt>
            <c:idx val="2"/>
            <c:invertIfNegative val="0"/>
            <c:bubble3D val="0"/>
            <c:spPr>
              <a:solidFill>
                <a:srgbClr val="92D050"/>
              </a:solidFill>
              <a:ln>
                <a:solidFill>
                  <a:schemeClr val="tx1">
                    <a:lumMod val="50000"/>
                    <a:lumOff val="50000"/>
                  </a:schemeClr>
                </a:solidFill>
              </a:ln>
              <a:effectLst>
                <a:innerShdw blurRad="63500" dist="50800" dir="13500000">
                  <a:prstClr val="black">
                    <a:alpha val="50000"/>
                  </a:prstClr>
                </a:innerShdw>
              </a:effectLst>
              <a:sp3d/>
            </c:spPr>
            <c:extLst xmlns:c16r2="http://schemas.microsoft.com/office/drawing/2015/06/chart">
              <c:ext xmlns:c16="http://schemas.microsoft.com/office/drawing/2014/chart" uri="{C3380CC4-5D6E-409C-BE32-E72D297353CC}">
                <c16:uniqueId val="{00000005-B09D-429A-AEBD-739FBA5E018F}"/>
              </c:ext>
            </c:extLst>
          </c:dPt>
          <c:dLbls>
            <c:dLbl>
              <c:idx val="2"/>
              <c:numFmt formatCode="General" sourceLinked="0"/>
              <c:spPr>
                <a:noFill/>
                <a:ln>
                  <a:noFill/>
                </a:ln>
                <a:effectLst>
                  <a:glow rad="127000">
                    <a:schemeClr val="tx1"/>
                  </a:glow>
                  <a:innerShdw blurRad="63500" dist="50800" dir="13500000">
                    <a:prstClr val="black">
                      <a:alpha val="50000"/>
                    </a:prstClr>
                  </a:innerShdw>
                </a:effectLst>
              </c:spPr>
              <c:txPr>
                <a:bodyPr rot="0" spcFirstLastPara="1" vertOverflow="ellipsis" vert="horz" wrap="square" lIns="38100" tIns="19050" rIns="38100" bIns="19050" anchor="ctr" anchorCtr="1">
                  <a:spAutoFit/>
                </a:bodyPr>
                <a:lstStyle/>
                <a:p>
                  <a:pPr>
                    <a:defRPr sz="800" b="1" i="0" u="none" strike="noStrike" kern="1200" baseline="0">
                      <a:ln>
                        <a:noFill/>
                      </a:ln>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B09D-429A-AEBD-739FBA5E018F}"/>
                </c:ext>
                <c:ext xmlns:c15="http://schemas.microsoft.com/office/drawing/2012/chart" uri="{CE6537A1-D6FC-4f65-9D91-7224C49458BB}"/>
              </c:extLst>
            </c:dLbl>
            <c:spPr>
              <a:noFill/>
              <a:ln>
                <a:noFill/>
              </a:ln>
              <a:effectLst>
                <a:glow rad="127000">
                  <a:schemeClr val="tx1"/>
                </a:glow>
                <a:innerShdw blurRad="63500" dist="50800" dir="13500000">
                  <a:prstClr val="black">
                    <a:alpha val="50000"/>
                  </a:prstClr>
                </a:innerShdw>
              </a:effectLst>
            </c:spPr>
            <c:txPr>
              <a:bodyPr rot="0" spcFirstLastPara="1" vertOverflow="ellipsis" vert="horz" wrap="square" lIns="38100" tIns="19050" rIns="38100" bIns="19050" anchor="ctr" anchorCtr="1">
                <a:spAutoFit/>
              </a:bodyPr>
              <a:lstStyle/>
              <a:p>
                <a:pPr>
                  <a:defRPr sz="800" b="1" i="0" u="none" strike="noStrike" kern="1200" baseline="0">
                    <a:ln>
                      <a:noFill/>
                    </a:ln>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Sheet1!$A$2:$A$5</c:f>
              <c:numCache>
                <c:formatCode>General</c:formatCode>
                <c:ptCount val="4"/>
                <c:pt idx="0">
                  <c:v>2015</c:v>
                </c:pt>
                <c:pt idx="1">
                  <c:v>2016</c:v>
                </c:pt>
                <c:pt idx="2">
                  <c:v>2017</c:v>
                </c:pt>
              </c:numCache>
            </c:numRef>
          </c:cat>
          <c:val>
            <c:numRef>
              <c:f>Sheet1!$B$2:$B$5</c:f>
              <c:numCache>
                <c:formatCode>#,##0.0</c:formatCode>
                <c:ptCount val="4"/>
                <c:pt idx="0">
                  <c:v>9.1999999999999993</c:v>
                </c:pt>
                <c:pt idx="1">
                  <c:v>10</c:v>
                </c:pt>
                <c:pt idx="2">
                  <c:v>11.9</c:v>
                </c:pt>
              </c:numCache>
            </c:numRef>
          </c:val>
          <c:extLst xmlns:c16r2="http://schemas.microsoft.com/office/drawing/2015/06/chart">
            <c:ext xmlns:c16="http://schemas.microsoft.com/office/drawing/2014/chart" uri="{C3380CC4-5D6E-409C-BE32-E72D297353CC}">
              <c16:uniqueId val="{00000006-B09D-429A-AEBD-739FBA5E018F}"/>
            </c:ext>
          </c:extLst>
        </c:ser>
        <c:ser>
          <c:idx val="1"/>
          <c:order val="1"/>
          <c:tx>
            <c:strRef>
              <c:f>Sheet1!$C$1</c:f>
              <c:strCache>
                <c:ptCount val="1"/>
                <c:pt idx="0">
                  <c:v>transferuri</c:v>
                </c:pt>
              </c:strCache>
            </c:strRef>
          </c:tx>
          <c:spPr>
            <a:solidFill>
              <a:srgbClr val="FFFF00"/>
            </a:solidFill>
            <a:ln>
              <a:solidFill>
                <a:schemeClr val="tx1">
                  <a:lumMod val="50000"/>
                  <a:lumOff val="50000"/>
                </a:schemeClr>
              </a:solidFill>
            </a:ln>
            <a:effectLst>
              <a:innerShdw blurRad="63500" dist="50800" dir="13500000">
                <a:prstClr val="black">
                  <a:alpha val="50000"/>
                </a:prstClr>
              </a:inn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Sheet1!$A$2:$A$5</c:f>
              <c:numCache>
                <c:formatCode>General</c:formatCode>
                <c:ptCount val="4"/>
                <c:pt idx="0">
                  <c:v>2015</c:v>
                </c:pt>
                <c:pt idx="1">
                  <c:v>2016</c:v>
                </c:pt>
                <c:pt idx="2">
                  <c:v>2017</c:v>
                </c:pt>
              </c:numCache>
            </c:numRef>
          </c:cat>
          <c:val>
            <c:numRef>
              <c:f>Sheet1!$C$2:$C$5</c:f>
              <c:numCache>
                <c:formatCode>#,##0.0</c:formatCode>
                <c:ptCount val="4"/>
                <c:pt idx="0">
                  <c:v>4.2</c:v>
                </c:pt>
                <c:pt idx="1">
                  <c:v>5</c:v>
                </c:pt>
                <c:pt idx="2">
                  <c:v>5.9</c:v>
                </c:pt>
              </c:numCache>
            </c:numRef>
          </c:val>
          <c:extLst xmlns:c16r2="http://schemas.microsoft.com/office/drawing/2015/06/chart">
            <c:ext xmlns:c16="http://schemas.microsoft.com/office/drawing/2014/chart" uri="{C3380CC4-5D6E-409C-BE32-E72D297353CC}">
              <c16:uniqueId val="{00000007-B09D-429A-AEBD-739FBA5E018F}"/>
            </c:ext>
          </c:extLst>
        </c:ser>
        <c:dLbls>
          <c:showLegendKey val="0"/>
          <c:showVal val="1"/>
          <c:showCatName val="0"/>
          <c:showSerName val="0"/>
          <c:showPercent val="0"/>
          <c:showBubbleSize val="0"/>
        </c:dLbls>
        <c:gapWidth val="80"/>
        <c:axId val="402479432"/>
        <c:axId val="193200496"/>
      </c:barChart>
      <c:catAx>
        <c:axId val="40247943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1" i="0" u="none" strike="noStrike" kern="1200" baseline="0">
                <a:solidFill>
                  <a:sysClr val="windowText" lastClr="000000"/>
                </a:solidFill>
                <a:latin typeface="+mn-lt"/>
                <a:ea typeface="+mn-ea"/>
                <a:cs typeface="+mn-cs"/>
              </a:defRPr>
            </a:pPr>
            <a:endParaRPr lang="ru-RU"/>
          </a:p>
        </c:txPr>
        <c:crossAx val="193200496"/>
        <c:crosses val="autoZero"/>
        <c:auto val="1"/>
        <c:lblAlgn val="ctr"/>
        <c:lblOffset val="100"/>
        <c:noMultiLvlLbl val="0"/>
      </c:catAx>
      <c:valAx>
        <c:axId val="193200496"/>
        <c:scaling>
          <c:orientation val="minMax"/>
        </c:scaling>
        <c:delete val="0"/>
        <c:axPos val="l"/>
        <c:majorGridlines>
          <c:spPr>
            <a:ln w="6350">
              <a:solidFill>
                <a:schemeClr val="tx1">
                  <a:lumMod val="65000"/>
                  <a:lumOff val="35000"/>
                </a:schemeClr>
              </a:solidFill>
            </a:ln>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700" b="1" i="0" u="none" strike="noStrike" kern="1200" baseline="0">
                <a:solidFill>
                  <a:sysClr val="windowText" lastClr="000000"/>
                </a:solidFill>
                <a:latin typeface="+mn-lt"/>
                <a:ea typeface="+mn-ea"/>
                <a:cs typeface="+mn-cs"/>
              </a:defRPr>
            </a:pPr>
            <a:endParaRPr lang="ru-RU"/>
          </a:p>
        </c:txPr>
        <c:crossAx val="402479432"/>
        <c:crosses val="autoZero"/>
        <c:crossBetween val="between"/>
        <c:majorUnit val="5"/>
      </c:valAx>
    </c:plotArea>
    <c:legend>
      <c:legendPos val="b"/>
      <c:overlay val="0"/>
      <c:spPr>
        <a:noFill/>
        <a:ln>
          <a:noFill/>
        </a:ln>
        <a:effectLst/>
      </c:spPr>
      <c:txPr>
        <a:bodyPr rot="0" spcFirstLastPara="1" vertOverflow="ellipsis" vert="horz" wrap="square" anchor="ctr" anchorCtr="1"/>
        <a:lstStyle/>
        <a:p>
          <a:pPr>
            <a:defRPr sz="700" b="1"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rgbClr val="00B0F0"/>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00" b="1" i="0" u="none" strike="noStrike" kern="1200" spc="0" baseline="0">
                <a:solidFill>
                  <a:schemeClr val="tx1"/>
                </a:solidFill>
                <a:latin typeface="+mn-lt"/>
                <a:ea typeface="+mn-ea"/>
                <a:cs typeface="+mn-cs"/>
              </a:defRPr>
            </a:pPr>
            <a:r>
              <a:rPr lang="ro-RO" sz="800" b="1">
                <a:solidFill>
                  <a:schemeClr val="tx1"/>
                </a:solidFill>
              </a:rPr>
              <a:t>Veniturile FAOAM 2015-2017</a:t>
            </a:r>
            <a:endParaRPr lang="en-US" sz="800" b="1">
              <a:solidFill>
                <a:schemeClr val="tx1"/>
              </a:solidFill>
            </a:endParaRPr>
          </a:p>
        </c:rich>
      </c:tx>
      <c:overlay val="0"/>
      <c:spPr>
        <a:noFill/>
        <a:ln>
          <a:noFill/>
        </a:ln>
        <a:effectLst/>
      </c:spPr>
    </c:title>
    <c:autoTitleDeleted val="0"/>
    <c:plotArea>
      <c:layout/>
      <c:barChart>
        <c:barDir val="col"/>
        <c:grouping val="clustered"/>
        <c:varyColors val="0"/>
        <c:ser>
          <c:idx val="0"/>
          <c:order val="0"/>
          <c:tx>
            <c:strRef>
              <c:f>Sheet1!$B$1</c:f>
              <c:strCache>
                <c:ptCount val="1"/>
                <c:pt idx="0">
                  <c:v>venituri proprii</c:v>
                </c:pt>
              </c:strCache>
            </c:strRef>
          </c:tx>
          <c:spPr>
            <a:solidFill>
              <a:srgbClr val="92D050"/>
            </a:solidFill>
            <a:ln>
              <a:solidFill>
                <a:schemeClr val="tx1">
                  <a:lumMod val="50000"/>
                  <a:lumOff val="50000"/>
                </a:schemeClr>
              </a:solidFill>
            </a:ln>
            <a:effectLst>
              <a:innerShdw blurRad="63500" dist="50800" dir="13500000">
                <a:prstClr val="black">
                  <a:alpha val="50000"/>
                </a:prstClr>
              </a:innerShdw>
            </a:effectLst>
            <a:sp3d/>
          </c:spPr>
          <c:invertIfNegative val="0"/>
          <c:dLbls>
            <c:dLbl>
              <c:idx val="1"/>
              <c:spPr>
                <a:noFill/>
                <a:ln>
                  <a:noFill/>
                </a:ln>
                <a:effectLst/>
              </c:spPr>
              <c:txPr>
                <a:bodyPr rot="0" spcFirstLastPara="1" vertOverflow="ellipsis" vert="horz" wrap="square" lIns="38100" tIns="19050" rIns="38100" bIns="19050" anchor="ctr" anchorCtr="1">
                  <a:noAutofit/>
                </a:bodyPr>
                <a:lstStyle/>
                <a:p>
                  <a:pPr>
                    <a:defRPr sz="8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791A-45CA-A072-60CB32432CF6}"/>
                </c:ext>
                <c:ext xmlns:c15="http://schemas.microsoft.com/office/drawing/2012/chart" uri="{CE6537A1-D6FC-4f65-9D91-7224C49458BB}">
                  <c15:spPr xmlns:c15="http://schemas.microsoft.com/office/drawing/2012/chart">
                    <a:prstGeom prst="rect">
                      <a:avLst/>
                    </a:prstGeom>
                  </c15:spPr>
                </c:ext>
              </c:extLst>
            </c:dLbl>
            <c:dLbl>
              <c:idx val="2"/>
              <c:spPr>
                <a:noFill/>
                <a:ln>
                  <a:noFill/>
                </a:ln>
                <a:effectLst/>
              </c:spPr>
              <c:txPr>
                <a:bodyPr rot="0" spcFirstLastPara="1" vertOverflow="ellipsis" vert="horz" wrap="square" lIns="38100" tIns="19050" rIns="38100" bIns="19050" anchor="ctr" anchorCtr="1">
                  <a:noAutofit/>
                </a:bodyPr>
                <a:lstStyle/>
                <a:p>
                  <a:pPr>
                    <a:defRPr sz="8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791A-45CA-A072-60CB32432CF6}"/>
                </c:ext>
                <c:ext xmlns:c15="http://schemas.microsoft.com/office/drawing/2012/chart" uri="{CE6537A1-D6FC-4f65-9D91-7224C49458BB}">
                  <c15:spPr xmlns:c15="http://schemas.microsoft.com/office/drawing/2012/chart">
                    <a:prstGeom prst="rect">
                      <a:avLst/>
                    </a:prstGeom>
                  </c15:spPr>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2015</c:v>
                </c:pt>
                <c:pt idx="1">
                  <c:v>2016</c:v>
                </c:pt>
                <c:pt idx="2">
                  <c:v>2017</c:v>
                </c:pt>
              </c:numCache>
            </c:numRef>
          </c:cat>
          <c:val>
            <c:numRef>
              <c:f>Sheet1!$B$2:$B$4</c:f>
              <c:numCache>
                <c:formatCode>#,##0.0</c:formatCode>
                <c:ptCount val="3"/>
                <c:pt idx="0">
                  <c:v>2.2000000000000002</c:v>
                </c:pt>
                <c:pt idx="1">
                  <c:v>3.3</c:v>
                </c:pt>
                <c:pt idx="2">
                  <c:v>3.6</c:v>
                </c:pt>
              </c:numCache>
            </c:numRef>
          </c:val>
          <c:extLst xmlns:c16r2="http://schemas.microsoft.com/office/drawing/2015/06/chart">
            <c:ext xmlns:c16="http://schemas.microsoft.com/office/drawing/2014/chart" uri="{C3380CC4-5D6E-409C-BE32-E72D297353CC}">
              <c16:uniqueId val="{00000002-4B58-450D-B3A8-F57EC0781C97}"/>
            </c:ext>
          </c:extLst>
        </c:ser>
        <c:ser>
          <c:idx val="1"/>
          <c:order val="1"/>
          <c:tx>
            <c:strRef>
              <c:f>Sheet1!$C$1</c:f>
              <c:strCache>
                <c:ptCount val="1"/>
                <c:pt idx="0">
                  <c:v>transferuri</c:v>
                </c:pt>
              </c:strCache>
            </c:strRef>
          </c:tx>
          <c:spPr>
            <a:solidFill>
              <a:srgbClr val="FFFF00"/>
            </a:solidFill>
            <a:ln>
              <a:solidFill>
                <a:schemeClr val="tx1">
                  <a:lumMod val="50000"/>
                  <a:lumOff val="50000"/>
                </a:schemeClr>
              </a:solidFill>
            </a:ln>
            <a:effectLst>
              <a:innerShdw blurRad="63500" dist="50800" dir="13500000">
                <a:prstClr val="black">
                  <a:alpha val="50000"/>
                </a:prstClr>
              </a:innerShdw>
            </a:effectLst>
            <a:sp3d/>
          </c:spPr>
          <c:invertIfNegative val="0"/>
          <c:dLbls>
            <c:dLbl>
              <c:idx val="0"/>
              <c:spPr>
                <a:noFill/>
                <a:ln>
                  <a:noFill/>
                </a:ln>
                <a:effectLst/>
              </c:spPr>
              <c:txPr>
                <a:bodyPr rot="0" spcFirstLastPara="1" vertOverflow="ellipsis" vert="horz" wrap="square" lIns="38100" tIns="19050" rIns="38100" bIns="19050" anchor="ctr" anchorCtr="1">
                  <a:noAutofit/>
                </a:bodyPr>
                <a:lstStyle/>
                <a:p>
                  <a:pPr>
                    <a:defRPr sz="8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791A-45CA-A072-60CB32432CF6}"/>
                </c:ext>
                <c:ext xmlns:c15="http://schemas.microsoft.com/office/drawing/2012/chart" uri="{CE6537A1-D6FC-4f65-9D91-7224C49458BB}">
                  <c15:spPr xmlns:c15="http://schemas.microsoft.com/office/drawing/2012/chart">
                    <a:prstGeom prst="rect">
                      <a:avLst/>
                    </a:prstGeom>
                  </c15:spPr>
                </c:ext>
              </c:extLst>
            </c:dLbl>
            <c:dLbl>
              <c:idx val="1"/>
              <c:spPr>
                <a:noFill/>
                <a:ln>
                  <a:noFill/>
                </a:ln>
                <a:effectLst/>
              </c:spPr>
              <c:txPr>
                <a:bodyPr rot="0" spcFirstLastPara="1" vertOverflow="ellipsis" vert="horz" wrap="square" lIns="38100" tIns="19050" rIns="38100" bIns="19050" anchor="ctr" anchorCtr="1">
                  <a:noAutofit/>
                </a:bodyPr>
                <a:lstStyle/>
                <a:p>
                  <a:pPr>
                    <a:defRPr sz="8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791A-45CA-A072-60CB32432CF6}"/>
                </c:ext>
                <c:ext xmlns:c15="http://schemas.microsoft.com/office/drawing/2012/chart" uri="{CE6537A1-D6FC-4f65-9D91-7224C49458BB}">
                  <c15:spPr xmlns:c15="http://schemas.microsoft.com/office/drawing/2012/chart">
                    <a:prstGeom prst="rect">
                      <a:avLst/>
                    </a:prstGeom>
                  </c15:spPr>
                </c:ext>
              </c:extLst>
            </c:dLbl>
            <c:dLbl>
              <c:idx val="2"/>
              <c:spPr>
                <a:noFill/>
                <a:ln>
                  <a:noFill/>
                </a:ln>
                <a:effectLst/>
              </c:spPr>
              <c:txPr>
                <a:bodyPr rot="0" spcFirstLastPara="1" vertOverflow="ellipsis" vert="horz" wrap="square" lIns="38100" tIns="19050" rIns="38100" bIns="19050" anchor="ctr" anchorCtr="1">
                  <a:noAutofit/>
                </a:bodyPr>
                <a:lstStyle/>
                <a:p>
                  <a:pPr>
                    <a:defRPr sz="8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791A-45CA-A072-60CB32432CF6}"/>
                </c:ext>
                <c:ext xmlns:c15="http://schemas.microsoft.com/office/drawing/2012/chart" uri="{CE6537A1-D6FC-4f65-9D91-7224C49458BB}">
                  <c15:spPr xmlns:c15="http://schemas.microsoft.com/office/drawing/2012/chart">
                    <a:prstGeom prst="rect">
                      <a:avLst/>
                    </a:prstGeom>
                  </c15:spPr>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2015</c:v>
                </c:pt>
                <c:pt idx="1">
                  <c:v>2016</c:v>
                </c:pt>
                <c:pt idx="2">
                  <c:v>2017</c:v>
                </c:pt>
              </c:numCache>
            </c:numRef>
          </c:cat>
          <c:val>
            <c:numRef>
              <c:f>Sheet1!$C$2:$C$4</c:f>
              <c:numCache>
                <c:formatCode>#,##0.0</c:formatCode>
                <c:ptCount val="3"/>
                <c:pt idx="0">
                  <c:v>2.9</c:v>
                </c:pt>
                <c:pt idx="1">
                  <c:v>2.5</c:v>
                </c:pt>
                <c:pt idx="2">
                  <c:v>2.6</c:v>
                </c:pt>
              </c:numCache>
            </c:numRef>
          </c:val>
          <c:extLst xmlns:c16r2="http://schemas.microsoft.com/office/drawing/2015/06/chart">
            <c:ext xmlns:c16="http://schemas.microsoft.com/office/drawing/2014/chart" uri="{C3380CC4-5D6E-409C-BE32-E72D297353CC}">
              <c16:uniqueId val="{00000006-4B58-450D-B3A8-F57EC0781C97}"/>
            </c:ext>
          </c:extLst>
        </c:ser>
        <c:dLbls>
          <c:showLegendKey val="0"/>
          <c:showVal val="1"/>
          <c:showCatName val="0"/>
          <c:showSerName val="0"/>
          <c:showPercent val="0"/>
          <c:showBubbleSize val="0"/>
        </c:dLbls>
        <c:gapWidth val="121"/>
        <c:axId val="406238192"/>
        <c:axId val="406238584"/>
      </c:barChart>
      <c:catAx>
        <c:axId val="40623819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1" i="0" u="none" strike="noStrike" kern="1200" baseline="0">
                <a:solidFill>
                  <a:sysClr val="windowText" lastClr="000000"/>
                </a:solidFill>
                <a:latin typeface="+mn-lt"/>
                <a:ea typeface="+mn-ea"/>
                <a:cs typeface="+mn-cs"/>
              </a:defRPr>
            </a:pPr>
            <a:endParaRPr lang="ru-RU"/>
          </a:p>
        </c:txPr>
        <c:crossAx val="406238584"/>
        <c:crosses val="autoZero"/>
        <c:auto val="1"/>
        <c:lblAlgn val="ctr"/>
        <c:lblOffset val="100"/>
        <c:noMultiLvlLbl val="0"/>
      </c:catAx>
      <c:valAx>
        <c:axId val="406238584"/>
        <c:scaling>
          <c:orientation val="minMax"/>
          <c:max val="15"/>
        </c:scaling>
        <c:delete val="0"/>
        <c:axPos val="l"/>
        <c:majorGridlines>
          <c:spPr>
            <a:ln w="6350">
              <a:solidFill>
                <a:schemeClr val="tx1">
                  <a:lumMod val="65000"/>
                  <a:lumOff val="35000"/>
                </a:schemeClr>
              </a:solidFill>
            </a:ln>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700" b="1" i="0" u="none" strike="noStrike" kern="1200" baseline="0">
                <a:solidFill>
                  <a:sysClr val="windowText" lastClr="000000"/>
                </a:solidFill>
                <a:latin typeface="+mn-lt"/>
                <a:ea typeface="+mn-ea"/>
                <a:cs typeface="+mn-cs"/>
              </a:defRPr>
            </a:pPr>
            <a:endParaRPr lang="ru-RU"/>
          </a:p>
        </c:txPr>
        <c:crossAx val="406238192"/>
        <c:crosses val="autoZero"/>
        <c:crossBetween val="between"/>
        <c:majorUnit val="5"/>
      </c:valAx>
    </c:plotArea>
    <c:legend>
      <c:legendPos val="b"/>
      <c:overlay val="0"/>
      <c:spPr>
        <a:noFill/>
        <a:ln>
          <a:noFill/>
        </a:ln>
        <a:effectLst/>
      </c:spPr>
      <c:txPr>
        <a:bodyPr rot="0" spcFirstLastPara="1" vertOverflow="ellipsis" vert="horz" wrap="square" anchor="ctr" anchorCtr="1"/>
        <a:lstStyle/>
        <a:p>
          <a:pPr>
            <a:defRPr sz="700" b="1"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rgbClr val="00B0F0"/>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00" b="1" i="0" u="none" strike="noStrike" kern="1200" spc="0" baseline="0">
                <a:solidFill>
                  <a:schemeClr val="tx1"/>
                </a:solidFill>
                <a:latin typeface="+mn-lt"/>
                <a:ea typeface="+mn-ea"/>
                <a:cs typeface="+mn-cs"/>
              </a:defRPr>
            </a:pPr>
            <a:r>
              <a:rPr lang="ro-RO" sz="800" b="1">
                <a:solidFill>
                  <a:schemeClr val="tx1"/>
                </a:solidFill>
              </a:rPr>
              <a:t>Veniturile BUAT 2015-2017</a:t>
            </a:r>
            <a:endParaRPr lang="en-US" sz="800" b="1">
              <a:solidFill>
                <a:schemeClr val="tx1"/>
              </a:solidFill>
            </a:endParaRPr>
          </a:p>
        </c:rich>
      </c:tx>
      <c:overlay val="0"/>
      <c:spPr>
        <a:noFill/>
        <a:ln>
          <a:noFill/>
        </a:ln>
        <a:effectLst/>
      </c:spPr>
    </c:title>
    <c:autoTitleDeleted val="0"/>
    <c:plotArea>
      <c:layout/>
      <c:barChart>
        <c:barDir val="col"/>
        <c:grouping val="clustered"/>
        <c:varyColors val="0"/>
        <c:ser>
          <c:idx val="0"/>
          <c:order val="0"/>
          <c:tx>
            <c:strRef>
              <c:f>Sheet1!$B$1</c:f>
              <c:strCache>
                <c:ptCount val="1"/>
                <c:pt idx="0">
                  <c:v>venituri din alte surse</c:v>
                </c:pt>
              </c:strCache>
            </c:strRef>
          </c:tx>
          <c:spPr>
            <a:solidFill>
              <a:srgbClr val="92D050"/>
            </a:solidFill>
            <a:ln>
              <a:solidFill>
                <a:schemeClr val="tx1">
                  <a:lumMod val="50000"/>
                  <a:lumOff val="50000"/>
                </a:schemeClr>
              </a:solidFill>
            </a:ln>
            <a:effectLst>
              <a:innerShdw blurRad="63500" dist="50800" dir="13500000">
                <a:prstClr val="black">
                  <a:alpha val="50000"/>
                </a:prstClr>
              </a:innerShdw>
            </a:effectLst>
            <a:sp3d/>
          </c:spPr>
          <c:invertIfNegative val="0"/>
          <c:dLbls>
            <c:dLbl>
              <c:idx val="0"/>
              <c:spPr>
                <a:noFill/>
                <a:ln>
                  <a:noFill/>
                </a:ln>
                <a:effectLst/>
              </c:spPr>
              <c:txPr>
                <a:bodyPr rot="0" spcFirstLastPara="1" vertOverflow="ellipsis" vert="horz" wrap="square" lIns="38100" tIns="19050" rIns="38100" bIns="19050" anchor="ctr" anchorCtr="1">
                  <a:noAutofit/>
                </a:bodyPr>
                <a:lstStyle/>
                <a:p>
                  <a:pPr>
                    <a:defRPr sz="8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AB21-467D-BA97-4351B677CE00}"/>
                </c:ext>
                <c:ext xmlns:c15="http://schemas.microsoft.com/office/drawing/2012/chart" uri="{CE6537A1-D6FC-4f65-9D91-7224C49458BB}">
                  <c15:spPr xmlns:c15="http://schemas.microsoft.com/office/drawing/2012/chart">
                    <a:prstGeom prst="rect">
                      <a:avLst/>
                    </a:prstGeom>
                  </c15:spPr>
                </c:ext>
              </c:extLst>
            </c:dLbl>
            <c:dLbl>
              <c:idx val="1"/>
              <c:spPr>
                <a:noFill/>
                <a:ln>
                  <a:noFill/>
                </a:ln>
                <a:effectLst/>
              </c:spPr>
              <c:txPr>
                <a:bodyPr rot="0" spcFirstLastPara="1" vertOverflow="ellipsis" vert="horz" wrap="square" lIns="38100" tIns="19050" rIns="38100" bIns="19050" anchor="ctr" anchorCtr="1">
                  <a:noAutofit/>
                </a:bodyPr>
                <a:lstStyle/>
                <a:p>
                  <a:pPr>
                    <a:defRPr sz="8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AB21-467D-BA97-4351B677CE00}"/>
                </c:ext>
                <c:ext xmlns:c15="http://schemas.microsoft.com/office/drawing/2012/chart" uri="{CE6537A1-D6FC-4f65-9D91-7224C49458BB}">
                  <c15:spPr xmlns:c15="http://schemas.microsoft.com/office/drawing/2012/chart">
                    <a:prstGeom prst="rect">
                      <a:avLst/>
                    </a:prstGeom>
                  </c15:spPr>
                </c:ext>
              </c:extLst>
            </c:dLbl>
            <c:dLbl>
              <c:idx val="2"/>
              <c:spPr>
                <a:noFill/>
                <a:ln>
                  <a:noFill/>
                </a:ln>
                <a:effectLst/>
              </c:spPr>
              <c:txPr>
                <a:bodyPr rot="0" spcFirstLastPara="1" vertOverflow="ellipsis" vert="horz" wrap="square" lIns="38100" tIns="19050" rIns="38100" bIns="19050" anchor="ctr" anchorCtr="1">
                  <a:noAutofit/>
                </a:bodyPr>
                <a:lstStyle/>
                <a:p>
                  <a:pPr>
                    <a:defRPr sz="8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AB21-467D-BA97-4351B677CE00}"/>
                </c:ext>
                <c:ext xmlns:c15="http://schemas.microsoft.com/office/drawing/2012/chart" uri="{CE6537A1-D6FC-4f65-9D91-7224C49458BB}">
                  <c15:spPr xmlns:c15="http://schemas.microsoft.com/office/drawing/2012/chart">
                    <a:prstGeom prst="rect">
                      <a:avLst/>
                    </a:prstGeom>
                  </c15:spPr>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2015</c:v>
                </c:pt>
                <c:pt idx="1">
                  <c:v>2016</c:v>
                </c:pt>
                <c:pt idx="2">
                  <c:v>2017</c:v>
                </c:pt>
              </c:numCache>
            </c:numRef>
          </c:cat>
          <c:val>
            <c:numRef>
              <c:f>Sheet1!$B$2:$B$4</c:f>
              <c:numCache>
                <c:formatCode>#,##0.0</c:formatCode>
                <c:ptCount val="3"/>
                <c:pt idx="0">
                  <c:v>3.5</c:v>
                </c:pt>
                <c:pt idx="1">
                  <c:v>3.8</c:v>
                </c:pt>
                <c:pt idx="2">
                  <c:v>3.9</c:v>
                </c:pt>
              </c:numCache>
            </c:numRef>
          </c:val>
          <c:extLst xmlns:c16r2="http://schemas.microsoft.com/office/drawing/2015/06/chart">
            <c:ext xmlns:c16="http://schemas.microsoft.com/office/drawing/2014/chart" uri="{C3380CC4-5D6E-409C-BE32-E72D297353CC}">
              <c16:uniqueId val="{00000003-CCA9-439C-A866-04BEBBB3CC8E}"/>
            </c:ext>
          </c:extLst>
        </c:ser>
        <c:ser>
          <c:idx val="1"/>
          <c:order val="1"/>
          <c:tx>
            <c:strRef>
              <c:f>Sheet1!$C$1</c:f>
              <c:strCache>
                <c:ptCount val="1"/>
                <c:pt idx="0">
                  <c:v>transferuri</c:v>
                </c:pt>
              </c:strCache>
            </c:strRef>
          </c:tx>
          <c:spPr>
            <a:solidFill>
              <a:srgbClr val="FFFF00"/>
            </a:solidFill>
            <a:ln>
              <a:solidFill>
                <a:schemeClr val="tx1">
                  <a:lumMod val="50000"/>
                  <a:lumOff val="50000"/>
                </a:schemeClr>
              </a:solidFill>
            </a:ln>
            <a:effectLst>
              <a:innerShdw blurRad="63500" dist="50800" dir="13500000">
                <a:prstClr val="black">
                  <a:alpha val="50000"/>
                </a:prstClr>
              </a:innerShdw>
            </a:effectLst>
            <a:sp3d/>
          </c:spPr>
          <c:invertIfNegative val="0"/>
          <c:dLbls>
            <c:dLbl>
              <c:idx val="1"/>
              <c:spPr>
                <a:noFill/>
                <a:ln>
                  <a:noFill/>
                </a:ln>
                <a:effectLst/>
              </c:spPr>
              <c:txPr>
                <a:bodyPr rot="0" spcFirstLastPara="1" vertOverflow="ellipsis" vert="horz" wrap="square" lIns="38100" tIns="19050" rIns="38100" bIns="19050" anchor="ctr" anchorCtr="1">
                  <a:noAutofit/>
                </a:bodyPr>
                <a:lstStyle/>
                <a:p>
                  <a:pPr>
                    <a:defRPr sz="800" b="1" i="0" u="none" strike="noStrike" kern="1200" baseline="0">
                      <a:ln>
                        <a:noFill/>
                      </a:ln>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AB21-467D-BA97-4351B677CE00}"/>
                </c:ext>
                <c:ext xmlns:c15="http://schemas.microsoft.com/office/drawing/2012/chart" uri="{CE6537A1-D6FC-4f65-9D91-7224C49458BB}">
                  <c15:spPr xmlns:c15="http://schemas.microsoft.com/office/drawing/2012/chart">
                    <a:prstGeom prst="rect">
                      <a:avLst/>
                    </a:prstGeom>
                  </c15:spPr>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ln>
                      <a:noFill/>
                    </a:ln>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2015</c:v>
                </c:pt>
                <c:pt idx="1">
                  <c:v>2016</c:v>
                </c:pt>
                <c:pt idx="2">
                  <c:v>2017</c:v>
                </c:pt>
              </c:numCache>
            </c:numRef>
          </c:cat>
          <c:val>
            <c:numRef>
              <c:f>Sheet1!$C$2:$C$4</c:f>
              <c:numCache>
                <c:formatCode>#,##0.0</c:formatCode>
                <c:ptCount val="3"/>
                <c:pt idx="0">
                  <c:v>7.5</c:v>
                </c:pt>
                <c:pt idx="1">
                  <c:v>8.3000000000000007</c:v>
                </c:pt>
                <c:pt idx="2">
                  <c:v>9.6</c:v>
                </c:pt>
              </c:numCache>
            </c:numRef>
          </c:val>
          <c:extLst xmlns:c16r2="http://schemas.microsoft.com/office/drawing/2015/06/chart">
            <c:ext xmlns:c16="http://schemas.microsoft.com/office/drawing/2014/chart" uri="{C3380CC4-5D6E-409C-BE32-E72D297353CC}">
              <c16:uniqueId val="{00000005-CCA9-439C-A866-04BEBBB3CC8E}"/>
            </c:ext>
          </c:extLst>
        </c:ser>
        <c:dLbls>
          <c:showLegendKey val="0"/>
          <c:showVal val="1"/>
          <c:showCatName val="0"/>
          <c:showSerName val="0"/>
          <c:showPercent val="0"/>
          <c:showBubbleSize val="0"/>
        </c:dLbls>
        <c:gapWidth val="119"/>
        <c:axId val="406239368"/>
        <c:axId val="406239760"/>
      </c:barChart>
      <c:catAx>
        <c:axId val="40623936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1" i="0" u="none" strike="noStrike" kern="1200" baseline="0">
                <a:solidFill>
                  <a:sysClr val="windowText" lastClr="000000"/>
                </a:solidFill>
                <a:latin typeface="+mn-lt"/>
                <a:ea typeface="+mn-ea"/>
                <a:cs typeface="+mn-cs"/>
              </a:defRPr>
            </a:pPr>
            <a:endParaRPr lang="ru-RU"/>
          </a:p>
        </c:txPr>
        <c:crossAx val="406239760"/>
        <c:crosses val="autoZero"/>
        <c:auto val="1"/>
        <c:lblAlgn val="ctr"/>
        <c:lblOffset val="100"/>
        <c:noMultiLvlLbl val="0"/>
      </c:catAx>
      <c:valAx>
        <c:axId val="406239760"/>
        <c:scaling>
          <c:orientation val="minMax"/>
          <c:max val="15"/>
        </c:scaling>
        <c:delete val="0"/>
        <c:axPos val="l"/>
        <c:majorGridlines>
          <c:spPr>
            <a:ln w="6350">
              <a:solidFill>
                <a:schemeClr val="tx1">
                  <a:lumMod val="65000"/>
                  <a:lumOff val="35000"/>
                </a:schemeClr>
              </a:solidFill>
            </a:ln>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700" b="1" i="0" u="none" strike="noStrike" kern="1200" baseline="0">
                <a:solidFill>
                  <a:sysClr val="windowText" lastClr="000000"/>
                </a:solidFill>
                <a:latin typeface="+mn-lt"/>
                <a:ea typeface="+mn-ea"/>
                <a:cs typeface="+mn-cs"/>
              </a:defRPr>
            </a:pPr>
            <a:endParaRPr lang="ru-RU"/>
          </a:p>
        </c:txPr>
        <c:crossAx val="406239368"/>
        <c:crosses val="autoZero"/>
        <c:crossBetween val="between"/>
        <c:majorUnit val="5"/>
      </c:valAx>
    </c:plotArea>
    <c:legend>
      <c:legendPos val="b"/>
      <c:overlay val="0"/>
      <c:spPr>
        <a:noFill/>
        <a:ln>
          <a:noFill/>
        </a:ln>
        <a:effectLst/>
      </c:spPr>
      <c:txPr>
        <a:bodyPr rot="0" spcFirstLastPara="1" vertOverflow="ellipsis" vert="horz" wrap="square" anchor="ctr" anchorCtr="1"/>
        <a:lstStyle/>
        <a:p>
          <a:pPr>
            <a:defRPr sz="700" b="1"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rgbClr val="00B0F0"/>
      </a:solidFill>
      <a:round/>
    </a:ln>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3138396056728122E-2"/>
          <c:y val="5.0769714517798534E-2"/>
          <c:w val="0.58828559989323359"/>
          <c:h val="0.83278363789431986"/>
        </c:manualLayout>
      </c:layout>
      <c:barChart>
        <c:barDir val="col"/>
        <c:grouping val="stacked"/>
        <c:varyColors val="0"/>
        <c:ser>
          <c:idx val="0"/>
          <c:order val="0"/>
          <c:tx>
            <c:strRef>
              <c:f>Лист1!$B$1</c:f>
              <c:strCache>
                <c:ptCount val="1"/>
                <c:pt idx="0">
                  <c:v>Plăți de bază</c:v>
                </c:pt>
              </c:strCache>
            </c:strRef>
          </c:tx>
          <c:spPr>
            <a:solidFill>
              <a:srgbClr val="006666"/>
            </a:solidFill>
          </c:spPr>
          <c:invertIfNegative val="0"/>
          <c:dLbls>
            <c:spPr>
              <a:noFill/>
              <a:ln>
                <a:noFill/>
              </a:ln>
              <a:effectLst/>
            </c:spPr>
            <c:txPr>
              <a:bodyPr lIns="38100" tIns="19050" rIns="38100" bIns="19050">
                <a:spAutoFit/>
              </a:bodyPr>
              <a:lstStyle/>
              <a:p>
                <a:pPr>
                  <a:defRPr b="1" i="1"/>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Лист1!$A$2:$A$4</c:f>
              <c:numCache>
                <c:formatCode>General</c:formatCode>
                <c:ptCount val="3"/>
                <c:pt idx="0">
                  <c:v>2015</c:v>
                </c:pt>
                <c:pt idx="1">
                  <c:v>2016</c:v>
                </c:pt>
                <c:pt idx="2">
                  <c:v>2017</c:v>
                </c:pt>
              </c:numCache>
            </c:numRef>
          </c:cat>
          <c:val>
            <c:numRef>
              <c:f>Лист1!$B$2:$B$4</c:f>
              <c:numCache>
                <c:formatCode>0.0</c:formatCode>
                <c:ptCount val="3"/>
                <c:pt idx="0">
                  <c:v>820.3</c:v>
                </c:pt>
                <c:pt idx="1">
                  <c:v>745.2</c:v>
                </c:pt>
                <c:pt idx="2">
                  <c:v>955.7</c:v>
                </c:pt>
              </c:numCache>
            </c:numRef>
          </c:val>
          <c:extLst xmlns:c16r2="http://schemas.microsoft.com/office/drawing/2015/06/chart">
            <c:ext xmlns:c16="http://schemas.microsoft.com/office/drawing/2014/chart" uri="{C3380CC4-5D6E-409C-BE32-E72D297353CC}">
              <c16:uniqueId val="{00000000-DC03-4A53-BD15-2B01254AD0BC}"/>
            </c:ext>
          </c:extLst>
        </c:ser>
        <c:ser>
          <c:idx val="1"/>
          <c:order val="1"/>
          <c:tx>
            <c:strRef>
              <c:f>Лист1!$C$1</c:f>
              <c:strCache>
                <c:ptCount val="1"/>
                <c:pt idx="0">
                  <c:v>Amenzi</c:v>
                </c:pt>
              </c:strCache>
            </c:strRef>
          </c:tx>
          <c:spPr>
            <a:solidFill>
              <a:schemeClr val="accent6">
                <a:lumMod val="60000"/>
                <a:lumOff val="40000"/>
              </a:schemeClr>
            </a:solidFill>
          </c:spPr>
          <c:invertIfNegative val="0"/>
          <c:dLbls>
            <c:spPr>
              <a:noFill/>
              <a:ln>
                <a:noFill/>
              </a:ln>
              <a:effectLst/>
            </c:spPr>
            <c:txPr>
              <a:bodyPr lIns="38100" tIns="19050" rIns="38100" bIns="19050">
                <a:spAutoFit/>
              </a:bodyPr>
              <a:lstStyle/>
              <a:p>
                <a:pPr>
                  <a:defRPr b="1" i="1"/>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Лист1!$A$2:$A$4</c:f>
              <c:numCache>
                <c:formatCode>General</c:formatCode>
                <c:ptCount val="3"/>
                <c:pt idx="0">
                  <c:v>2015</c:v>
                </c:pt>
                <c:pt idx="1">
                  <c:v>2016</c:v>
                </c:pt>
                <c:pt idx="2">
                  <c:v>2017</c:v>
                </c:pt>
              </c:numCache>
            </c:numRef>
          </c:cat>
          <c:val>
            <c:numRef>
              <c:f>Лист1!$C$2:$C$4</c:f>
              <c:numCache>
                <c:formatCode>0.0</c:formatCode>
                <c:ptCount val="3"/>
                <c:pt idx="0">
                  <c:v>392.7</c:v>
                </c:pt>
                <c:pt idx="1">
                  <c:v>336.9</c:v>
                </c:pt>
                <c:pt idx="2">
                  <c:v>448</c:v>
                </c:pt>
              </c:numCache>
            </c:numRef>
          </c:val>
          <c:extLst xmlns:c16r2="http://schemas.microsoft.com/office/drawing/2015/06/chart">
            <c:ext xmlns:c16="http://schemas.microsoft.com/office/drawing/2014/chart" uri="{C3380CC4-5D6E-409C-BE32-E72D297353CC}">
              <c16:uniqueId val="{00000001-DC03-4A53-BD15-2B01254AD0BC}"/>
            </c:ext>
          </c:extLst>
        </c:ser>
        <c:ser>
          <c:idx val="2"/>
          <c:order val="2"/>
          <c:tx>
            <c:strRef>
              <c:f>Лист1!$D$1</c:f>
              <c:strCache>
                <c:ptCount val="1"/>
                <c:pt idx="0">
                  <c:v>Majorări de întârziere</c:v>
                </c:pt>
              </c:strCache>
            </c:strRef>
          </c:tx>
          <c:spPr>
            <a:solidFill>
              <a:schemeClr val="accent4">
                <a:lumMod val="40000"/>
                <a:lumOff val="60000"/>
              </a:schemeClr>
            </a:solidFill>
          </c:spPr>
          <c:invertIfNegative val="0"/>
          <c:dLbls>
            <c:spPr>
              <a:noFill/>
              <a:ln>
                <a:noFill/>
              </a:ln>
              <a:effectLst/>
            </c:spPr>
            <c:txPr>
              <a:bodyPr lIns="38100" tIns="19050" rIns="38100" bIns="19050">
                <a:spAutoFit/>
              </a:bodyPr>
              <a:lstStyle/>
              <a:p>
                <a:pPr>
                  <a:defRPr b="1" i="1"/>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Лист1!$A$2:$A$4</c:f>
              <c:numCache>
                <c:formatCode>General</c:formatCode>
                <c:ptCount val="3"/>
                <c:pt idx="0">
                  <c:v>2015</c:v>
                </c:pt>
                <c:pt idx="1">
                  <c:v>2016</c:v>
                </c:pt>
                <c:pt idx="2">
                  <c:v>2017</c:v>
                </c:pt>
              </c:numCache>
            </c:numRef>
          </c:cat>
          <c:val>
            <c:numRef>
              <c:f>Лист1!$D$2:$D$4</c:f>
              <c:numCache>
                <c:formatCode>0.0</c:formatCode>
                <c:ptCount val="3"/>
                <c:pt idx="0">
                  <c:v>349.9</c:v>
                </c:pt>
                <c:pt idx="1">
                  <c:v>358</c:v>
                </c:pt>
                <c:pt idx="2">
                  <c:v>449</c:v>
                </c:pt>
              </c:numCache>
            </c:numRef>
          </c:val>
          <c:extLst xmlns:c16r2="http://schemas.microsoft.com/office/drawing/2015/06/chart">
            <c:ext xmlns:c16="http://schemas.microsoft.com/office/drawing/2014/chart" uri="{C3380CC4-5D6E-409C-BE32-E72D297353CC}">
              <c16:uniqueId val="{00000002-DC03-4A53-BD15-2B01254AD0BC}"/>
            </c:ext>
          </c:extLst>
        </c:ser>
        <c:dLbls>
          <c:showLegendKey val="0"/>
          <c:showVal val="0"/>
          <c:showCatName val="0"/>
          <c:showSerName val="0"/>
          <c:showPercent val="0"/>
          <c:showBubbleSize val="0"/>
        </c:dLbls>
        <c:gapWidth val="55"/>
        <c:overlap val="100"/>
        <c:axId val="406240544"/>
        <c:axId val="406240936"/>
      </c:barChart>
      <c:lineChart>
        <c:grouping val="standard"/>
        <c:varyColors val="0"/>
        <c:ser>
          <c:idx val="3"/>
          <c:order val="3"/>
          <c:tx>
            <c:strRef>
              <c:f>Лист1!$E$1</c:f>
              <c:strCache>
                <c:ptCount val="1"/>
                <c:pt idx="0">
                  <c:v>Total restanțe</c:v>
                </c:pt>
              </c:strCache>
            </c:strRef>
          </c:tx>
          <c:spPr>
            <a:ln>
              <a:solidFill>
                <a:schemeClr val="accent5">
                  <a:lumMod val="50000"/>
                </a:schemeClr>
              </a:solidFill>
            </a:ln>
          </c:spPr>
          <c:marker>
            <c:symbol val="none"/>
          </c:marker>
          <c:dPt>
            <c:idx val="1"/>
            <c:bubble3D val="0"/>
            <c:spPr>
              <a:ln w="25400">
                <a:solidFill>
                  <a:schemeClr val="accent5">
                    <a:lumMod val="50000"/>
                  </a:schemeClr>
                </a:solidFill>
              </a:ln>
            </c:spPr>
            <c:extLst xmlns:c16r2="http://schemas.microsoft.com/office/drawing/2015/06/chart">
              <c:ext xmlns:c16="http://schemas.microsoft.com/office/drawing/2014/chart" uri="{C3380CC4-5D6E-409C-BE32-E72D297353CC}">
                <c16:uniqueId val="{00000004-DC03-4A53-BD15-2B01254AD0BC}"/>
              </c:ext>
            </c:extLst>
          </c:dPt>
          <c:dPt>
            <c:idx val="2"/>
            <c:bubble3D val="0"/>
            <c:spPr>
              <a:ln w="25400">
                <a:solidFill>
                  <a:schemeClr val="accent5">
                    <a:lumMod val="50000"/>
                  </a:schemeClr>
                </a:solidFill>
              </a:ln>
            </c:spPr>
            <c:extLst xmlns:c16r2="http://schemas.microsoft.com/office/drawing/2015/06/chart">
              <c:ext xmlns:c16="http://schemas.microsoft.com/office/drawing/2014/chart" uri="{C3380CC4-5D6E-409C-BE32-E72D297353CC}">
                <c16:uniqueId val="{00000006-DC03-4A53-BD15-2B01254AD0BC}"/>
              </c:ext>
            </c:extLst>
          </c:dPt>
          <c:dLbls>
            <c:dLbl>
              <c:idx val="0"/>
              <c:layout>
                <c:manualLayout>
                  <c:x val="-4.3085484567593604E-2"/>
                  <c:y val="-6.4465408805031446E-2"/>
                </c:manualLayout>
              </c:layout>
              <c:spPr>
                <a:noFill/>
                <a:ln>
                  <a:noFill/>
                </a:ln>
                <a:effectLst/>
              </c:spPr>
              <c:txPr>
                <a:bodyPr wrap="square" lIns="38100" tIns="19050" rIns="38100" bIns="19050" anchor="ctr">
                  <a:spAutoFit/>
                </a:bodyPr>
                <a:lstStyle/>
                <a:p>
                  <a:pPr>
                    <a:defRPr b="1"/>
                  </a:pPr>
                  <a:endParaRPr lang="ru-RU"/>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DC03-4A53-BD15-2B01254AD0BC}"/>
                </c:ext>
                <c:ext xmlns:c15="http://schemas.microsoft.com/office/drawing/2012/chart" uri="{CE6537A1-D6FC-4f65-9D91-7224C49458BB}"/>
              </c:extLst>
            </c:dLbl>
            <c:dLbl>
              <c:idx val="1"/>
              <c:layout>
                <c:manualLayout>
                  <c:x val="-4.730489385029403E-2"/>
                  <c:y val="-6.5751993264992842E-2"/>
                </c:manualLayout>
              </c:layout>
              <c:spPr>
                <a:noFill/>
                <a:ln>
                  <a:noFill/>
                </a:ln>
                <a:effectLst/>
              </c:spPr>
              <c:txPr>
                <a:bodyPr wrap="square" lIns="38100" tIns="19050" rIns="38100" bIns="19050" anchor="ctr">
                  <a:spAutoFit/>
                </a:bodyPr>
                <a:lstStyle/>
                <a:p>
                  <a:pPr>
                    <a:defRPr b="1"/>
                  </a:pPr>
                  <a:endParaRPr lang="ru-RU"/>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DC03-4A53-BD15-2B01254AD0BC}"/>
                </c:ext>
                <c:ext xmlns:c15="http://schemas.microsoft.com/office/drawing/2012/chart" uri="{CE6537A1-D6FC-4f65-9D91-7224C49458BB}"/>
              </c:extLst>
            </c:dLbl>
            <c:dLbl>
              <c:idx val="2"/>
              <c:layout>
                <c:manualLayout>
                  <c:x val="-4.7304893850294107E-2"/>
                  <c:y val="-4.0451641658000297E-2"/>
                </c:manualLayout>
              </c:layout>
              <c:spPr>
                <a:noFill/>
                <a:ln>
                  <a:noFill/>
                </a:ln>
                <a:effectLst/>
              </c:spPr>
              <c:txPr>
                <a:bodyPr wrap="square" lIns="38100" tIns="19050" rIns="38100" bIns="19050" anchor="ctr">
                  <a:spAutoFit/>
                </a:bodyPr>
                <a:lstStyle/>
                <a:p>
                  <a:pPr>
                    <a:defRPr b="1"/>
                  </a:pPr>
                  <a:endParaRPr lang="ru-RU"/>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DC03-4A53-BD15-2B01254AD0BC}"/>
                </c:ext>
                <c:ext xmlns:c15="http://schemas.microsoft.com/office/drawing/2012/chart" uri="{CE6537A1-D6FC-4f65-9D91-7224C49458BB}"/>
              </c:extLst>
            </c:dLbl>
            <c:spPr>
              <a:noFill/>
              <a:ln>
                <a:noFill/>
              </a:ln>
              <a:effectLst/>
            </c:sp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numRef>
              <c:f>Лист1!$A$2:$A$4</c:f>
              <c:numCache>
                <c:formatCode>General</c:formatCode>
                <c:ptCount val="3"/>
                <c:pt idx="0">
                  <c:v>2015</c:v>
                </c:pt>
                <c:pt idx="1">
                  <c:v>2016</c:v>
                </c:pt>
                <c:pt idx="2">
                  <c:v>2017</c:v>
                </c:pt>
              </c:numCache>
            </c:numRef>
          </c:cat>
          <c:val>
            <c:numRef>
              <c:f>Лист1!$E$2:$E$4</c:f>
              <c:numCache>
                <c:formatCode>0.0</c:formatCode>
                <c:ptCount val="3"/>
                <c:pt idx="0">
                  <c:v>1562.9</c:v>
                </c:pt>
                <c:pt idx="1">
                  <c:v>1440.1</c:v>
                </c:pt>
                <c:pt idx="2">
                  <c:v>1852.7</c:v>
                </c:pt>
              </c:numCache>
            </c:numRef>
          </c:val>
          <c:smooth val="0"/>
          <c:extLst xmlns:c16r2="http://schemas.microsoft.com/office/drawing/2015/06/chart">
            <c:ext xmlns:c16="http://schemas.microsoft.com/office/drawing/2014/chart" uri="{C3380CC4-5D6E-409C-BE32-E72D297353CC}">
              <c16:uniqueId val="{00000008-DC03-4A53-BD15-2B01254AD0BC}"/>
            </c:ext>
          </c:extLst>
        </c:ser>
        <c:dLbls>
          <c:dLblPos val="ctr"/>
          <c:showLegendKey val="0"/>
          <c:showVal val="1"/>
          <c:showCatName val="0"/>
          <c:showSerName val="0"/>
          <c:showPercent val="0"/>
          <c:showBubbleSize val="0"/>
        </c:dLbls>
        <c:marker val="1"/>
        <c:smooth val="0"/>
        <c:axId val="406240544"/>
        <c:axId val="406240936"/>
      </c:lineChart>
      <c:catAx>
        <c:axId val="406240544"/>
        <c:scaling>
          <c:orientation val="minMax"/>
        </c:scaling>
        <c:delete val="0"/>
        <c:axPos val="b"/>
        <c:numFmt formatCode="General" sourceLinked="1"/>
        <c:majorTickMark val="none"/>
        <c:minorTickMark val="none"/>
        <c:tickLblPos val="nextTo"/>
        <c:txPr>
          <a:bodyPr/>
          <a:lstStyle/>
          <a:p>
            <a:pPr>
              <a:defRPr lang="en-US" b="1">
                <a:latin typeface="Times New Roman" panose="02020603050405020304" pitchFamily="18" charset="0"/>
                <a:cs typeface="Times New Roman" panose="02020603050405020304" pitchFamily="18" charset="0"/>
              </a:defRPr>
            </a:pPr>
            <a:endParaRPr lang="ru-RU"/>
          </a:p>
        </c:txPr>
        <c:crossAx val="406240936"/>
        <c:crosses val="autoZero"/>
        <c:auto val="1"/>
        <c:lblAlgn val="ctr"/>
        <c:lblOffset val="100"/>
        <c:noMultiLvlLbl val="0"/>
      </c:catAx>
      <c:valAx>
        <c:axId val="406240936"/>
        <c:scaling>
          <c:orientation val="minMax"/>
        </c:scaling>
        <c:delete val="1"/>
        <c:axPos val="l"/>
        <c:majorGridlines/>
        <c:numFmt formatCode="General" sourceLinked="0"/>
        <c:majorTickMark val="none"/>
        <c:minorTickMark val="none"/>
        <c:tickLblPos val="none"/>
        <c:crossAx val="406240544"/>
        <c:crosses val="autoZero"/>
        <c:crossBetween val="between"/>
      </c:valAx>
      <c:spPr>
        <a:pattFill prst="sphere">
          <a:fgClr>
            <a:schemeClr val="accent4">
              <a:lumMod val="20000"/>
              <a:lumOff val="80000"/>
            </a:schemeClr>
          </a:fgClr>
          <a:bgClr>
            <a:schemeClr val="bg1"/>
          </a:bgClr>
        </a:pattFill>
      </c:spPr>
    </c:plotArea>
    <c:legend>
      <c:legendPos val="r"/>
      <c:layout>
        <c:manualLayout>
          <c:xMode val="edge"/>
          <c:yMode val="edge"/>
          <c:x val="0.69113305752035237"/>
          <c:y val="0.23238399445352351"/>
          <c:w val="0.28852795942880022"/>
          <c:h val="0.59328083989501312"/>
        </c:manualLayout>
      </c:layout>
      <c:overlay val="0"/>
      <c:txPr>
        <a:bodyPr/>
        <a:lstStyle/>
        <a:p>
          <a:pPr>
            <a:defRPr lang="en-US" b="1"/>
          </a:pPr>
          <a:endParaRPr lang="ru-RU"/>
        </a:p>
      </c:txPr>
    </c:legend>
    <c:plotVisOnly val="1"/>
    <c:dispBlanksAs val="gap"/>
    <c:showDLblsOverMax val="0"/>
  </c:chart>
  <c:spPr>
    <a:solidFill>
      <a:schemeClr val="accent4">
        <a:lumMod val="20000"/>
        <a:lumOff val="80000"/>
      </a:schemeClr>
    </a:solidFill>
    <a:effectLst>
      <a:outerShdw blurRad="50800" dist="38100" dir="2700000" algn="tl" rotWithShape="0">
        <a:prstClr val="black">
          <a:alpha val="40000"/>
        </a:prstClr>
      </a:outerShdw>
    </a:effectLst>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clustered"/>
        <c:varyColors val="0"/>
        <c:ser>
          <c:idx val="0"/>
          <c:order val="0"/>
          <c:tx>
            <c:strRef>
              <c:f>Sheet1!$B$1</c:f>
              <c:strCache>
                <c:ptCount val="1"/>
                <c:pt idx="0">
                  <c:v>Cheltuieli executate</c:v>
                </c:pt>
              </c:strCache>
            </c:strRef>
          </c:tx>
          <c:spPr>
            <a:pattFill prst="smCheck">
              <a:fgClr>
                <a:schemeClr val="accent6">
                  <a:lumMod val="50000"/>
                </a:schemeClr>
              </a:fgClr>
              <a:bgClr>
                <a:schemeClr val="bg1"/>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2015</c:v>
                </c:pt>
                <c:pt idx="1">
                  <c:v>2016</c:v>
                </c:pt>
                <c:pt idx="2">
                  <c:v>2017</c:v>
                </c:pt>
              </c:numCache>
            </c:numRef>
          </c:cat>
          <c:val>
            <c:numRef>
              <c:f>Sheet1!$B$2:$B$4</c:f>
              <c:numCache>
                <c:formatCode>0.0</c:formatCode>
                <c:ptCount val="3"/>
                <c:pt idx="0">
                  <c:v>30396.7</c:v>
                </c:pt>
                <c:pt idx="1">
                  <c:v>32313.200000000001</c:v>
                </c:pt>
                <c:pt idx="2">
                  <c:v>35479.1</c:v>
                </c:pt>
              </c:numCache>
            </c:numRef>
          </c:val>
          <c:extLst xmlns:c16r2="http://schemas.microsoft.com/office/drawing/2015/06/chart">
            <c:ext xmlns:c16="http://schemas.microsoft.com/office/drawing/2014/chart" uri="{C3380CC4-5D6E-409C-BE32-E72D297353CC}">
              <c16:uniqueId val="{00000000-BE27-4C39-BD30-6934E6D42558}"/>
            </c:ext>
          </c:extLst>
        </c:ser>
        <c:ser>
          <c:idx val="1"/>
          <c:order val="1"/>
          <c:tx>
            <c:strRef>
              <c:f>Sheet1!$C$1</c:f>
              <c:strCache>
                <c:ptCount val="1"/>
                <c:pt idx="0">
                  <c:v>Alocații nevalorificate</c:v>
                </c:pt>
              </c:strCache>
            </c:strRef>
          </c:tx>
          <c:spPr>
            <a:pattFill prst="dkDnDiag">
              <a:fgClr>
                <a:srgbClr val="002060"/>
              </a:fgClr>
              <a:bgClr>
                <a:schemeClr val="bg1"/>
              </a:bgClr>
            </a:pattFill>
            <a:ln>
              <a:noFill/>
            </a:ln>
            <a:effectLst/>
          </c:spPr>
          <c:invertIfNegative val="0"/>
          <c:dLbls>
            <c:dLbl>
              <c:idx val="0"/>
              <c:layout>
                <c:manualLayout>
                  <c:x val="2.3148148148148147E-3"/>
                  <c:y val="0.11904761904761904"/>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BE27-4C39-BD30-6934E6D42558}"/>
                </c:ext>
                <c:ext xmlns:c15="http://schemas.microsoft.com/office/drawing/2012/chart" uri="{CE6537A1-D6FC-4f65-9D91-7224C49458BB}"/>
              </c:extLst>
            </c:dLbl>
            <c:dLbl>
              <c:idx val="1"/>
              <c:layout>
                <c:manualLayout>
                  <c:x val="4.6296296296296294E-3"/>
                  <c:y val="9.9206349206349353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BE27-4C39-BD30-6934E6D42558}"/>
                </c:ext>
                <c:ext xmlns:c15="http://schemas.microsoft.com/office/drawing/2012/chart" uri="{CE6537A1-D6FC-4f65-9D91-7224C49458BB}"/>
              </c:extLst>
            </c:dLbl>
            <c:dLbl>
              <c:idx val="2"/>
              <c:layout>
                <c:manualLayout>
                  <c:x val="4.6296296296294602E-3"/>
                  <c:y val="0.10714285714285714"/>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BE27-4C39-BD30-6934E6D42558}"/>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2015</c:v>
                </c:pt>
                <c:pt idx="1">
                  <c:v>2016</c:v>
                </c:pt>
                <c:pt idx="2">
                  <c:v>2017</c:v>
                </c:pt>
              </c:numCache>
            </c:numRef>
          </c:cat>
          <c:val>
            <c:numRef>
              <c:f>Sheet1!$C$2:$C$4</c:f>
              <c:numCache>
                <c:formatCode>0.0</c:formatCode>
                <c:ptCount val="3"/>
                <c:pt idx="0">
                  <c:v>-2961.6</c:v>
                </c:pt>
                <c:pt idx="1">
                  <c:v>-1525</c:v>
                </c:pt>
                <c:pt idx="2">
                  <c:v>-2323.4</c:v>
                </c:pt>
              </c:numCache>
            </c:numRef>
          </c:val>
          <c:extLst xmlns:c16r2="http://schemas.microsoft.com/office/drawing/2015/06/chart">
            <c:ext xmlns:c16="http://schemas.microsoft.com/office/drawing/2014/chart" uri="{C3380CC4-5D6E-409C-BE32-E72D297353CC}">
              <c16:uniqueId val="{00000004-BE27-4C39-BD30-6934E6D42558}"/>
            </c:ext>
          </c:extLst>
        </c:ser>
        <c:dLbls>
          <c:dLblPos val="outEnd"/>
          <c:showLegendKey val="0"/>
          <c:showVal val="1"/>
          <c:showCatName val="0"/>
          <c:showSerName val="0"/>
          <c:showPercent val="0"/>
          <c:showBubbleSize val="0"/>
        </c:dLbls>
        <c:gapWidth val="150"/>
        <c:axId val="406241720"/>
        <c:axId val="409861144"/>
      </c:barChart>
      <c:catAx>
        <c:axId val="4062417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09861144"/>
        <c:crosses val="autoZero"/>
        <c:auto val="1"/>
        <c:lblAlgn val="ctr"/>
        <c:lblOffset val="100"/>
        <c:noMultiLvlLbl val="0"/>
      </c:catAx>
      <c:valAx>
        <c:axId val="40986114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06241720"/>
        <c:crosses val="autoZero"/>
        <c:crossBetween val="between"/>
      </c:valAx>
      <c:dTable>
        <c:showHorzBorder val="1"/>
        <c:showVertBorder val="1"/>
        <c:showOutline val="1"/>
        <c:showKeys val="1"/>
        <c:spPr>
          <a:noFill/>
          <a:ln w="9525" cap="flat" cmpd="sng" algn="ctr">
            <a:solidFill>
              <a:schemeClr val="tx1"/>
            </a:solidFill>
            <a:round/>
          </a:ln>
          <a:effectLst/>
        </c:spPr>
        <c:txPr>
          <a:bodyPr rot="0" spcFirstLastPara="1" vertOverflow="ellipsis" vert="horz" wrap="square" anchor="ctr" anchorCtr="1"/>
          <a:lstStyle/>
          <a:p>
            <a:pPr rtl="0">
              <a:defRPr sz="900" b="1" i="0" u="none" strike="noStrike" kern="1200" baseline="0">
                <a:ln cap="rnd">
                  <a:noFill/>
                </a:ln>
                <a:solidFill>
                  <a:schemeClr val="tx1"/>
                </a:solidFill>
                <a:latin typeface="+mn-lt"/>
                <a:ea typeface="+mn-ea"/>
                <a:cs typeface="+mn-cs"/>
              </a:defRPr>
            </a:pPr>
            <a:endParaRPr lang="ru-RU"/>
          </a:p>
        </c:txPr>
      </c:dTable>
      <c:spPr>
        <a:noFill/>
        <a:ln>
          <a:noFill/>
        </a:ln>
        <a:effectLst/>
      </c:spPr>
    </c:plotArea>
    <c:plotVisOnly val="1"/>
    <c:dispBlanksAs val="gap"/>
    <c:showDLblsOverMax val="0"/>
  </c:chart>
  <c:spPr>
    <a:solidFill>
      <a:schemeClr val="accent3">
        <a:lumMod val="20000"/>
        <a:lumOff val="80000"/>
      </a:schemeClr>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x-none" b="1" i="1">
                <a:solidFill>
                  <a:sysClr val="windowText" lastClr="000000"/>
                </a:solidFill>
                <a:latin typeface="Times New Roman" panose="02020603050405020304" pitchFamily="18" charset="0"/>
                <a:cs typeface="Times New Roman" panose="02020603050405020304" pitchFamily="18" charset="0"/>
              </a:rPr>
              <a:t>Ponderea cheltuielilor</a:t>
            </a:r>
            <a:r>
              <a:rPr lang="x-none" b="1" i="1" baseline="0">
                <a:solidFill>
                  <a:sysClr val="windowText" lastClr="000000"/>
                </a:solidFill>
                <a:latin typeface="Times New Roman" panose="02020603050405020304" pitchFamily="18" charset="0"/>
                <a:cs typeface="Times New Roman" panose="02020603050405020304" pitchFamily="18" charset="0"/>
              </a:rPr>
              <a:t> BS sub aspect funcțional</a:t>
            </a:r>
            <a:r>
              <a:rPr lang="x-none" b="1" i="1">
                <a:solidFill>
                  <a:sysClr val="windowText" lastClr="000000"/>
                </a:solidFill>
                <a:latin typeface="Times New Roman" panose="02020603050405020304" pitchFamily="18" charset="0"/>
                <a:cs typeface="Times New Roman" panose="02020603050405020304" pitchFamily="18" charset="0"/>
              </a:rPr>
              <a:t> </a:t>
            </a:r>
            <a:endParaRPr lang="en-US" b="1" i="1">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7962962962962965E-2"/>
          <c:y val="9.3410076457834057E-2"/>
          <c:w val="0.82407407407407407"/>
          <c:h val="0.71571607896838985"/>
        </c:manualLayout>
      </c:layout>
      <c:pie3DChart>
        <c:varyColors val="1"/>
        <c:ser>
          <c:idx val="0"/>
          <c:order val="0"/>
          <c:tx>
            <c:strRef>
              <c:f>Sheet1!$B$1</c:f>
              <c:strCache>
                <c:ptCount val="1"/>
                <c:pt idx="0">
                  <c:v>Sales</c:v>
                </c:pt>
              </c:strCache>
            </c:strRef>
          </c:tx>
          <c:spPr>
            <a:ln>
              <a:solidFill>
                <a:srgbClr val="4D2307"/>
              </a:solidFill>
            </a:ln>
          </c:spPr>
          <c:dPt>
            <c:idx val="0"/>
            <c:bubble3D val="0"/>
            <c:spPr>
              <a:solidFill>
                <a:schemeClr val="accent2">
                  <a:tint val="43000"/>
                </a:schemeClr>
              </a:solidFill>
              <a:ln w="25400">
                <a:solidFill>
                  <a:srgbClr val="4D2307"/>
                </a:solidFill>
              </a:ln>
              <a:effectLst/>
              <a:sp3d contourW="25400">
                <a:contourClr>
                  <a:srgbClr val="4D2307"/>
                </a:contourClr>
              </a:sp3d>
            </c:spPr>
            <c:extLst xmlns:c16r2="http://schemas.microsoft.com/office/drawing/2015/06/chart">
              <c:ext xmlns:c16="http://schemas.microsoft.com/office/drawing/2014/chart" uri="{C3380CC4-5D6E-409C-BE32-E72D297353CC}">
                <c16:uniqueId val="{00000001-3D08-49BE-8D8C-5AD836B7B3E9}"/>
              </c:ext>
            </c:extLst>
          </c:dPt>
          <c:dPt>
            <c:idx val="1"/>
            <c:bubble3D val="0"/>
            <c:spPr>
              <a:solidFill>
                <a:schemeClr val="accent2">
                  <a:tint val="56000"/>
                </a:schemeClr>
              </a:solidFill>
              <a:ln w="25400">
                <a:solidFill>
                  <a:srgbClr val="4D2307"/>
                </a:solidFill>
              </a:ln>
              <a:effectLst/>
              <a:sp3d contourW="25400">
                <a:contourClr>
                  <a:srgbClr val="4D2307"/>
                </a:contourClr>
              </a:sp3d>
            </c:spPr>
            <c:extLst xmlns:c16r2="http://schemas.microsoft.com/office/drawing/2015/06/chart">
              <c:ext xmlns:c16="http://schemas.microsoft.com/office/drawing/2014/chart" uri="{C3380CC4-5D6E-409C-BE32-E72D297353CC}">
                <c16:uniqueId val="{00000003-3D08-49BE-8D8C-5AD836B7B3E9}"/>
              </c:ext>
            </c:extLst>
          </c:dPt>
          <c:dPt>
            <c:idx val="2"/>
            <c:bubble3D val="0"/>
            <c:spPr>
              <a:solidFill>
                <a:schemeClr val="accent2">
                  <a:tint val="69000"/>
                </a:schemeClr>
              </a:solidFill>
              <a:ln w="25400">
                <a:solidFill>
                  <a:srgbClr val="4D2307"/>
                </a:solidFill>
              </a:ln>
              <a:effectLst/>
              <a:sp3d contourW="25400">
                <a:contourClr>
                  <a:srgbClr val="4D2307"/>
                </a:contourClr>
              </a:sp3d>
            </c:spPr>
            <c:extLst xmlns:c16r2="http://schemas.microsoft.com/office/drawing/2015/06/chart">
              <c:ext xmlns:c16="http://schemas.microsoft.com/office/drawing/2014/chart" uri="{C3380CC4-5D6E-409C-BE32-E72D297353CC}">
                <c16:uniqueId val="{00000005-3D08-49BE-8D8C-5AD836B7B3E9}"/>
              </c:ext>
            </c:extLst>
          </c:dPt>
          <c:dPt>
            <c:idx val="3"/>
            <c:bubble3D val="0"/>
            <c:spPr>
              <a:solidFill>
                <a:schemeClr val="accent2">
                  <a:tint val="81000"/>
                </a:schemeClr>
              </a:solidFill>
              <a:ln w="25400">
                <a:solidFill>
                  <a:srgbClr val="4D2307"/>
                </a:solidFill>
              </a:ln>
              <a:effectLst/>
              <a:sp3d contourW="25400">
                <a:contourClr>
                  <a:srgbClr val="4D2307"/>
                </a:contourClr>
              </a:sp3d>
            </c:spPr>
            <c:extLst xmlns:c16r2="http://schemas.microsoft.com/office/drawing/2015/06/chart">
              <c:ext xmlns:c16="http://schemas.microsoft.com/office/drawing/2014/chart" uri="{C3380CC4-5D6E-409C-BE32-E72D297353CC}">
                <c16:uniqueId val="{00000007-3D08-49BE-8D8C-5AD836B7B3E9}"/>
              </c:ext>
            </c:extLst>
          </c:dPt>
          <c:dPt>
            <c:idx val="4"/>
            <c:bubble3D val="0"/>
            <c:spPr>
              <a:solidFill>
                <a:schemeClr val="accent2">
                  <a:tint val="94000"/>
                </a:schemeClr>
              </a:solidFill>
              <a:ln w="25400">
                <a:solidFill>
                  <a:srgbClr val="4D2307"/>
                </a:solidFill>
              </a:ln>
              <a:effectLst/>
              <a:sp3d contourW="25400">
                <a:contourClr>
                  <a:srgbClr val="4D2307"/>
                </a:contourClr>
              </a:sp3d>
            </c:spPr>
            <c:extLst xmlns:c16r2="http://schemas.microsoft.com/office/drawing/2015/06/chart">
              <c:ext xmlns:c16="http://schemas.microsoft.com/office/drawing/2014/chart" uri="{C3380CC4-5D6E-409C-BE32-E72D297353CC}">
                <c16:uniqueId val="{00000009-3D08-49BE-8D8C-5AD836B7B3E9}"/>
              </c:ext>
            </c:extLst>
          </c:dPt>
          <c:dPt>
            <c:idx val="5"/>
            <c:bubble3D val="0"/>
            <c:spPr>
              <a:solidFill>
                <a:schemeClr val="accent2">
                  <a:shade val="93000"/>
                </a:schemeClr>
              </a:solidFill>
              <a:ln w="25400">
                <a:solidFill>
                  <a:srgbClr val="4D2307"/>
                </a:solidFill>
              </a:ln>
              <a:effectLst/>
              <a:sp3d contourW="25400">
                <a:contourClr>
                  <a:srgbClr val="4D2307"/>
                </a:contourClr>
              </a:sp3d>
            </c:spPr>
            <c:extLst xmlns:c16r2="http://schemas.microsoft.com/office/drawing/2015/06/chart">
              <c:ext xmlns:c16="http://schemas.microsoft.com/office/drawing/2014/chart" uri="{C3380CC4-5D6E-409C-BE32-E72D297353CC}">
                <c16:uniqueId val="{0000000B-3D08-49BE-8D8C-5AD836B7B3E9}"/>
              </c:ext>
            </c:extLst>
          </c:dPt>
          <c:dPt>
            <c:idx val="6"/>
            <c:bubble3D val="0"/>
            <c:spPr>
              <a:solidFill>
                <a:schemeClr val="accent2">
                  <a:shade val="80000"/>
                </a:schemeClr>
              </a:solidFill>
              <a:ln w="25400">
                <a:solidFill>
                  <a:srgbClr val="4D2307"/>
                </a:solidFill>
              </a:ln>
              <a:effectLst/>
              <a:sp3d contourW="25400">
                <a:contourClr>
                  <a:srgbClr val="4D2307"/>
                </a:contourClr>
              </a:sp3d>
            </c:spPr>
            <c:extLst xmlns:c16r2="http://schemas.microsoft.com/office/drawing/2015/06/chart">
              <c:ext xmlns:c16="http://schemas.microsoft.com/office/drawing/2014/chart" uri="{C3380CC4-5D6E-409C-BE32-E72D297353CC}">
                <c16:uniqueId val="{0000000D-3D08-49BE-8D8C-5AD836B7B3E9}"/>
              </c:ext>
            </c:extLst>
          </c:dPt>
          <c:dPt>
            <c:idx val="7"/>
            <c:bubble3D val="0"/>
            <c:spPr>
              <a:solidFill>
                <a:schemeClr val="accent2">
                  <a:shade val="68000"/>
                </a:schemeClr>
              </a:solidFill>
              <a:ln w="25400">
                <a:solidFill>
                  <a:srgbClr val="4D2307"/>
                </a:solidFill>
              </a:ln>
              <a:effectLst/>
              <a:sp3d contourW="25400">
                <a:contourClr>
                  <a:srgbClr val="4D2307"/>
                </a:contourClr>
              </a:sp3d>
            </c:spPr>
            <c:extLst xmlns:c16r2="http://schemas.microsoft.com/office/drawing/2015/06/chart">
              <c:ext xmlns:c16="http://schemas.microsoft.com/office/drawing/2014/chart" uri="{C3380CC4-5D6E-409C-BE32-E72D297353CC}">
                <c16:uniqueId val="{0000000F-3D08-49BE-8D8C-5AD836B7B3E9}"/>
              </c:ext>
            </c:extLst>
          </c:dPt>
          <c:dPt>
            <c:idx val="8"/>
            <c:bubble3D val="0"/>
            <c:spPr>
              <a:solidFill>
                <a:schemeClr val="accent2">
                  <a:shade val="55000"/>
                </a:schemeClr>
              </a:solidFill>
              <a:ln w="25400">
                <a:solidFill>
                  <a:srgbClr val="4D2307"/>
                </a:solidFill>
              </a:ln>
              <a:effectLst/>
              <a:sp3d contourW="25400">
                <a:contourClr>
                  <a:srgbClr val="4D2307"/>
                </a:contourClr>
              </a:sp3d>
            </c:spPr>
            <c:extLst xmlns:c16r2="http://schemas.microsoft.com/office/drawing/2015/06/chart">
              <c:ext xmlns:c16="http://schemas.microsoft.com/office/drawing/2014/chart" uri="{C3380CC4-5D6E-409C-BE32-E72D297353CC}">
                <c16:uniqueId val="{00000011-3D08-49BE-8D8C-5AD836B7B3E9}"/>
              </c:ext>
            </c:extLst>
          </c:dPt>
          <c:dPt>
            <c:idx val="9"/>
            <c:bubble3D val="0"/>
            <c:spPr>
              <a:solidFill>
                <a:schemeClr val="accent2">
                  <a:shade val="42000"/>
                </a:schemeClr>
              </a:solidFill>
              <a:ln w="25400">
                <a:solidFill>
                  <a:srgbClr val="4D2307"/>
                </a:solidFill>
              </a:ln>
              <a:effectLst/>
              <a:sp3d contourW="25400">
                <a:contourClr>
                  <a:srgbClr val="4D2307"/>
                </a:contourClr>
              </a:sp3d>
            </c:spPr>
            <c:extLst xmlns:c16r2="http://schemas.microsoft.com/office/drawing/2015/06/chart">
              <c:ext xmlns:c16="http://schemas.microsoft.com/office/drawing/2014/chart" uri="{C3380CC4-5D6E-409C-BE32-E72D297353CC}">
                <c16:uniqueId val="{00000013-3D08-49BE-8D8C-5AD836B7B3E9}"/>
              </c:ext>
            </c:extLst>
          </c:dPt>
          <c:dLbls>
            <c:dLbl>
              <c:idx val="2"/>
              <c:layout>
                <c:manualLayout>
                  <c:x val="-0.13955435258092738"/>
                  <c:y val="1.4685324660504394E-2"/>
                </c:manualLayout>
              </c:layou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5-3D08-49BE-8D8C-5AD836B7B3E9}"/>
                </c:ext>
                <c:ext xmlns:c15="http://schemas.microsoft.com/office/drawing/2012/chart" uri="{CE6537A1-D6FC-4f65-9D91-7224C49458BB}"/>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Sheet1!$A$2:$A$11</c:f>
              <c:strCache>
                <c:ptCount val="10"/>
                <c:pt idx="0">
                  <c:v>Servicii de stat cu destinație generală</c:v>
                </c:pt>
                <c:pt idx="1">
                  <c:v>Apărare națională</c:v>
                </c:pt>
                <c:pt idx="2">
                  <c:v>Ordine publică și securitate națională</c:v>
                </c:pt>
                <c:pt idx="3">
                  <c:v>Servicii în domeniul economiei</c:v>
                </c:pt>
                <c:pt idx="4">
                  <c:v>Protecția mediului</c:v>
                </c:pt>
                <c:pt idx="5">
                  <c:v>Gospodăria de locuințe și gosp. serv. comunale</c:v>
                </c:pt>
                <c:pt idx="6">
                  <c:v>Ocrotirea sănătății</c:v>
                </c:pt>
                <c:pt idx="7">
                  <c:v>Cultură, sport, tineret, culte și odihnă</c:v>
                </c:pt>
                <c:pt idx="8">
                  <c:v>Învățământ</c:v>
                </c:pt>
                <c:pt idx="9">
                  <c:v>Protecție socială</c:v>
                </c:pt>
              </c:strCache>
            </c:strRef>
          </c:cat>
          <c:val>
            <c:numRef>
              <c:f>Sheet1!$B$2:$B$11</c:f>
              <c:numCache>
                <c:formatCode>General</c:formatCode>
                <c:ptCount val="10"/>
                <c:pt idx="0">
                  <c:v>5896.5</c:v>
                </c:pt>
                <c:pt idx="1">
                  <c:v>557.4</c:v>
                </c:pt>
                <c:pt idx="2">
                  <c:v>4021.1</c:v>
                </c:pt>
                <c:pt idx="3">
                  <c:v>4769.8</c:v>
                </c:pt>
                <c:pt idx="4">
                  <c:v>104.2</c:v>
                </c:pt>
                <c:pt idx="5">
                  <c:v>356.3</c:v>
                </c:pt>
                <c:pt idx="6">
                  <c:v>3459.6</c:v>
                </c:pt>
                <c:pt idx="7">
                  <c:v>658.8</c:v>
                </c:pt>
                <c:pt idx="8">
                  <c:v>9001.7000000000007</c:v>
                </c:pt>
                <c:pt idx="9">
                  <c:v>6653.7</c:v>
                </c:pt>
              </c:numCache>
            </c:numRef>
          </c:val>
          <c:extLst xmlns:c16r2="http://schemas.microsoft.com/office/drawing/2015/06/chart">
            <c:ext xmlns:c16="http://schemas.microsoft.com/office/drawing/2014/chart" uri="{C3380CC4-5D6E-409C-BE32-E72D297353CC}">
              <c16:uniqueId val="{00000014-3D08-49BE-8D8C-5AD836B7B3E9}"/>
            </c:ext>
          </c:extLst>
        </c:ser>
        <c:dLbls>
          <c:showLegendKey val="0"/>
          <c:showVal val="0"/>
          <c:showCatName val="1"/>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8.0935586176727914E-2"/>
          <c:y val="0.13442507186601674"/>
          <c:w val="0.89360145086030918"/>
          <c:h val="0.78939132608423945"/>
        </c:manualLayout>
      </c:layout>
      <c:barChart>
        <c:barDir val="col"/>
        <c:grouping val="stacked"/>
        <c:varyColors val="0"/>
        <c:ser>
          <c:idx val="0"/>
          <c:order val="0"/>
          <c:tx>
            <c:strRef>
              <c:f>Sheet1!$B$1</c:f>
              <c:strCache>
                <c:ptCount val="1"/>
                <c:pt idx="0">
                  <c:v>Executorii de buget</c:v>
                </c:pt>
              </c:strCache>
            </c:strRef>
          </c:tx>
          <c:spPr>
            <a:pattFill prst="narHorz">
              <a:fgClr>
                <a:schemeClr val="accent2">
                  <a:tint val="65000"/>
                </a:schemeClr>
              </a:fgClr>
              <a:bgClr>
                <a:schemeClr val="accent2">
                  <a:tint val="65000"/>
                  <a:lumMod val="20000"/>
                  <a:lumOff val="80000"/>
                </a:schemeClr>
              </a:bgClr>
            </a:pattFill>
            <a:ln>
              <a:noFill/>
            </a:ln>
            <a:effectLst>
              <a:innerShdw blurRad="114300">
                <a:schemeClr val="accent2">
                  <a:tint val="65000"/>
                </a:schemeClr>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Sheet1!$A$2:$A$4</c:f>
              <c:numCache>
                <c:formatCode>General</c:formatCode>
                <c:ptCount val="3"/>
                <c:pt idx="0">
                  <c:v>2015</c:v>
                </c:pt>
                <c:pt idx="1">
                  <c:v>2016</c:v>
                </c:pt>
                <c:pt idx="2">
                  <c:v>2017</c:v>
                </c:pt>
              </c:numCache>
            </c:numRef>
          </c:cat>
          <c:val>
            <c:numRef>
              <c:f>Sheet1!$B$2:$B$4</c:f>
              <c:numCache>
                <c:formatCode>0.0</c:formatCode>
                <c:ptCount val="3"/>
                <c:pt idx="0">
                  <c:v>24.2</c:v>
                </c:pt>
                <c:pt idx="1">
                  <c:v>7.4</c:v>
                </c:pt>
                <c:pt idx="2">
                  <c:v>12.9</c:v>
                </c:pt>
              </c:numCache>
            </c:numRef>
          </c:val>
          <c:extLst xmlns:c16r2="http://schemas.microsoft.com/office/drawing/2015/06/chart">
            <c:ext xmlns:c16="http://schemas.microsoft.com/office/drawing/2014/chart" uri="{C3380CC4-5D6E-409C-BE32-E72D297353CC}">
              <c16:uniqueId val="{00000000-6008-49B5-826E-5EA0780E9976}"/>
            </c:ext>
          </c:extLst>
        </c:ser>
        <c:ser>
          <c:idx val="1"/>
          <c:order val="1"/>
          <c:tx>
            <c:strRef>
              <c:f>Sheet1!$C$1</c:f>
              <c:strCache>
                <c:ptCount val="1"/>
                <c:pt idx="0">
                  <c:v>Ministerul Finanțelor</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Sheet1!$A$2:$A$4</c:f>
              <c:numCache>
                <c:formatCode>General</c:formatCode>
                <c:ptCount val="3"/>
                <c:pt idx="0">
                  <c:v>2015</c:v>
                </c:pt>
                <c:pt idx="1">
                  <c:v>2016</c:v>
                </c:pt>
                <c:pt idx="2">
                  <c:v>2017</c:v>
                </c:pt>
              </c:numCache>
            </c:numRef>
          </c:cat>
          <c:val>
            <c:numRef>
              <c:f>Sheet1!$C$2:$C$4</c:f>
              <c:numCache>
                <c:formatCode>0.0</c:formatCode>
                <c:ptCount val="3"/>
                <c:pt idx="0">
                  <c:v>61.6</c:v>
                </c:pt>
                <c:pt idx="1">
                  <c:v>24.9</c:v>
                </c:pt>
                <c:pt idx="2">
                  <c:v>13.6</c:v>
                </c:pt>
              </c:numCache>
            </c:numRef>
          </c:val>
          <c:extLst xmlns:c16r2="http://schemas.microsoft.com/office/drawing/2015/06/chart">
            <c:ext xmlns:c16="http://schemas.microsoft.com/office/drawing/2014/chart" uri="{C3380CC4-5D6E-409C-BE32-E72D297353CC}">
              <c16:uniqueId val="{00000001-6008-49B5-826E-5EA0780E9976}"/>
            </c:ext>
          </c:extLst>
        </c:ser>
        <c:dLbls>
          <c:showLegendKey val="0"/>
          <c:showVal val="0"/>
          <c:showCatName val="0"/>
          <c:showSerName val="0"/>
          <c:showPercent val="0"/>
          <c:showBubbleSize val="0"/>
        </c:dLbls>
        <c:gapWidth val="150"/>
        <c:overlap val="100"/>
        <c:axId val="409862712"/>
        <c:axId val="409863104"/>
      </c:barChart>
      <c:lineChart>
        <c:grouping val="standard"/>
        <c:varyColors val="0"/>
        <c:ser>
          <c:idx val="2"/>
          <c:order val="2"/>
          <c:tx>
            <c:strRef>
              <c:f>Sheet1!$D$1</c:f>
              <c:strCache>
                <c:ptCount val="1"/>
                <c:pt idx="0">
                  <c:v>Total</c:v>
                </c:pt>
              </c:strCache>
            </c:strRef>
          </c:tx>
          <c:spPr>
            <a:ln w="28575" cap="rnd">
              <a:solidFill>
                <a:schemeClr val="accent2">
                  <a:shade val="65000"/>
                </a:schemeClr>
              </a:solidFill>
              <a:round/>
            </a:ln>
            <a:effectLst/>
          </c:spPr>
          <c:marker>
            <c:symbol val="none"/>
          </c:marker>
          <c:dLbls>
            <c:dLbl>
              <c:idx val="0"/>
              <c:layout>
                <c:manualLayout>
                  <c:x val="-3.4364261168384883E-2"/>
                  <c:y val="-3.174603174603176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6008-49B5-826E-5EA0780E9976}"/>
                </c:ext>
                <c:ext xmlns:c15="http://schemas.microsoft.com/office/drawing/2012/chart" uri="{CE6537A1-D6FC-4f65-9D91-7224C49458BB}"/>
              </c:extLst>
            </c:dLbl>
            <c:dLbl>
              <c:idx val="1"/>
              <c:layout>
                <c:manualLayout>
                  <c:x val="-2.5200458190148996E-2"/>
                  <c:y val="-3.174603174603182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6008-49B5-826E-5EA0780E9976}"/>
                </c:ext>
                <c:ext xmlns:c15="http://schemas.microsoft.com/office/drawing/2012/chart" uri="{CE6537A1-D6FC-4f65-9D91-7224C49458BB}"/>
              </c:extLst>
            </c:dLbl>
            <c:dLbl>
              <c:idx val="2"/>
              <c:layout>
                <c:manualLayout>
                  <c:x val="-4.1237113402062021E-2"/>
                  <c:y val="-3.96825396825396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6008-49B5-826E-5EA0780E9976}"/>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Sheet1!$A$2:$A$4</c:f>
              <c:numCache>
                <c:formatCode>General</c:formatCode>
                <c:ptCount val="3"/>
                <c:pt idx="0">
                  <c:v>2015</c:v>
                </c:pt>
                <c:pt idx="1">
                  <c:v>2016</c:v>
                </c:pt>
                <c:pt idx="2">
                  <c:v>2017</c:v>
                </c:pt>
              </c:numCache>
            </c:numRef>
          </c:cat>
          <c:val>
            <c:numRef>
              <c:f>Sheet1!$D$2:$D$4</c:f>
              <c:numCache>
                <c:formatCode>0.0</c:formatCode>
                <c:ptCount val="3"/>
                <c:pt idx="0">
                  <c:v>85.8</c:v>
                </c:pt>
                <c:pt idx="1">
                  <c:v>32.299999999999997</c:v>
                </c:pt>
                <c:pt idx="2">
                  <c:v>26.5</c:v>
                </c:pt>
              </c:numCache>
            </c:numRef>
          </c:val>
          <c:smooth val="0"/>
          <c:extLst xmlns:c16r2="http://schemas.microsoft.com/office/drawing/2015/06/chart">
            <c:ext xmlns:c16="http://schemas.microsoft.com/office/drawing/2014/chart" uri="{C3380CC4-5D6E-409C-BE32-E72D297353CC}">
              <c16:uniqueId val="{00000005-6008-49B5-826E-5EA0780E9976}"/>
            </c:ext>
          </c:extLst>
        </c:ser>
        <c:dLbls>
          <c:showLegendKey val="0"/>
          <c:showVal val="0"/>
          <c:showCatName val="0"/>
          <c:showSerName val="0"/>
          <c:showPercent val="0"/>
          <c:showBubbleSize val="0"/>
        </c:dLbls>
        <c:marker val="1"/>
        <c:smooth val="0"/>
        <c:axId val="409862712"/>
        <c:axId val="409863104"/>
      </c:lineChart>
      <c:catAx>
        <c:axId val="409862712"/>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ru-RU"/>
          </a:p>
        </c:txPr>
        <c:crossAx val="409863104"/>
        <c:crosses val="autoZero"/>
        <c:auto val="1"/>
        <c:lblAlgn val="ctr"/>
        <c:lblOffset val="100"/>
        <c:noMultiLvlLbl val="0"/>
      </c:catAx>
      <c:valAx>
        <c:axId val="409863104"/>
        <c:scaling>
          <c:orientation val="minMax"/>
        </c:scaling>
        <c:delete val="0"/>
        <c:axPos val="l"/>
        <c:majorGridlines>
          <c:spPr>
            <a:ln>
              <a:solidFill>
                <a:schemeClr val="tx1">
                  <a:lumMod val="15000"/>
                  <a:lumOff val="85000"/>
                </a:schemeClr>
              </a:solidFill>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09862712"/>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900" b="1" i="0" u="none" strike="noStrike" kern="1200" baseline="0">
                <a:solidFill>
                  <a:schemeClr val="tx1">
                    <a:lumMod val="65000"/>
                    <a:lumOff val="35000"/>
                  </a:schemeClr>
                </a:solidFill>
                <a:latin typeface="+mn-lt"/>
                <a:ea typeface="+mn-ea"/>
                <a:cs typeface="+mn-cs"/>
              </a:defRPr>
            </a:pPr>
            <a:endParaRPr lang="ru-RU"/>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0705378440072841"/>
          <c:y val="6.6429418742585997E-2"/>
          <c:w val="0.64516817186988995"/>
          <c:h val="0.60712562680637683"/>
        </c:manualLayout>
      </c:layout>
      <c:bar3DChart>
        <c:barDir val="col"/>
        <c:grouping val="stacked"/>
        <c:varyColors val="0"/>
        <c:ser>
          <c:idx val="0"/>
          <c:order val="0"/>
          <c:tx>
            <c:strRef>
              <c:f>Sheet1!$B$2</c:f>
              <c:strCache>
                <c:ptCount val="1"/>
                <c:pt idx="0">
                  <c:v>Organele de drept ale RM</c:v>
                </c:pt>
              </c:strCache>
            </c:strRef>
          </c:tx>
          <c:spPr>
            <a:solidFill>
              <a:srgbClr val="445774"/>
            </a:soli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Sheet1!$A$3:$A$5</c:f>
              <c:strCache>
                <c:ptCount val="3"/>
                <c:pt idx="0">
                  <c:v>Total</c:v>
                </c:pt>
                <c:pt idx="1">
                  <c:v>Organele de drept ale RM</c:v>
                </c:pt>
                <c:pt idx="2">
                  <c:v>CEDO</c:v>
                </c:pt>
              </c:strCache>
            </c:strRef>
          </c:cat>
          <c:val>
            <c:numRef>
              <c:f>Sheet1!$B$3:$B$5</c:f>
              <c:numCache>
                <c:formatCode>General</c:formatCode>
                <c:ptCount val="3"/>
                <c:pt idx="0">
                  <c:v>19.7</c:v>
                </c:pt>
              </c:numCache>
            </c:numRef>
          </c:val>
          <c:extLst xmlns:c16r2="http://schemas.microsoft.com/office/drawing/2015/06/chart">
            <c:ext xmlns:c16="http://schemas.microsoft.com/office/drawing/2014/chart" uri="{C3380CC4-5D6E-409C-BE32-E72D297353CC}">
              <c16:uniqueId val="{00000000-67E5-474E-8D19-A643DAEF5741}"/>
            </c:ext>
          </c:extLst>
        </c:ser>
        <c:ser>
          <c:idx val="1"/>
          <c:order val="1"/>
          <c:tx>
            <c:strRef>
              <c:f>Sheet1!$C$2</c:f>
              <c:strCache>
                <c:ptCount val="1"/>
                <c:pt idx="0">
                  <c:v>CEDO</c:v>
                </c:pt>
              </c:strCache>
            </c:strRef>
          </c:tx>
          <c:spPr>
            <a:solidFill>
              <a:schemeClr val="accent2">
                <a:lumMod val="40000"/>
                <a:lumOff val="60000"/>
              </a:schemeClr>
            </a:soli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Sheet1!$A$3:$A$5</c:f>
              <c:strCache>
                <c:ptCount val="3"/>
                <c:pt idx="0">
                  <c:v>Total</c:v>
                </c:pt>
                <c:pt idx="1">
                  <c:v>Organele de drept ale RM</c:v>
                </c:pt>
                <c:pt idx="2">
                  <c:v>CEDO</c:v>
                </c:pt>
              </c:strCache>
            </c:strRef>
          </c:cat>
          <c:val>
            <c:numRef>
              <c:f>Sheet1!$C$3:$C$5</c:f>
              <c:numCache>
                <c:formatCode>General</c:formatCode>
                <c:ptCount val="3"/>
                <c:pt idx="0">
                  <c:v>5.2</c:v>
                </c:pt>
              </c:numCache>
            </c:numRef>
          </c:val>
          <c:extLst xmlns:c16r2="http://schemas.microsoft.com/office/drawing/2015/06/chart">
            <c:ext xmlns:c16="http://schemas.microsoft.com/office/drawing/2014/chart" uri="{C3380CC4-5D6E-409C-BE32-E72D297353CC}">
              <c16:uniqueId val="{00000001-67E5-474E-8D19-A643DAEF5741}"/>
            </c:ext>
          </c:extLst>
        </c:ser>
        <c:ser>
          <c:idx val="2"/>
          <c:order val="2"/>
          <c:tx>
            <c:strRef>
              <c:f>Sheet1!$D$2</c:f>
              <c:strCache>
                <c:ptCount val="1"/>
                <c:pt idx="0">
                  <c:v>Persoane fizice</c:v>
                </c:pt>
              </c:strCache>
            </c:strRef>
          </c:tx>
          <c:spPr>
            <a:solidFill>
              <a:srgbClr val="4D8F91"/>
            </a:soli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Sheet1!$A$3:$A$5</c:f>
              <c:strCache>
                <c:ptCount val="3"/>
                <c:pt idx="0">
                  <c:v>Total</c:v>
                </c:pt>
                <c:pt idx="1">
                  <c:v>Organele de drept ale RM</c:v>
                </c:pt>
                <c:pt idx="2">
                  <c:v>CEDO</c:v>
                </c:pt>
              </c:strCache>
            </c:strRef>
          </c:cat>
          <c:val>
            <c:numRef>
              <c:f>Sheet1!$D$3:$D$5</c:f>
              <c:numCache>
                <c:formatCode>General</c:formatCode>
                <c:ptCount val="3"/>
                <c:pt idx="1">
                  <c:v>4.5999999999999996</c:v>
                </c:pt>
                <c:pt idx="2">
                  <c:v>3.9</c:v>
                </c:pt>
              </c:numCache>
            </c:numRef>
          </c:val>
          <c:extLst xmlns:c16r2="http://schemas.microsoft.com/office/drawing/2015/06/chart">
            <c:ext xmlns:c16="http://schemas.microsoft.com/office/drawing/2014/chart" uri="{C3380CC4-5D6E-409C-BE32-E72D297353CC}">
              <c16:uniqueId val="{00000002-67E5-474E-8D19-A643DAEF5741}"/>
            </c:ext>
          </c:extLst>
        </c:ser>
        <c:ser>
          <c:idx val="3"/>
          <c:order val="3"/>
          <c:tx>
            <c:strRef>
              <c:f>Sheet1!$E$2</c:f>
              <c:strCache>
                <c:ptCount val="1"/>
                <c:pt idx="0">
                  <c:v>Persoane juridice</c:v>
                </c:pt>
              </c:strCache>
            </c:strRef>
          </c:tx>
          <c:spPr>
            <a:solidFill>
              <a:schemeClr val="accent5">
                <a:lumMod val="20000"/>
                <a:lumOff val="80000"/>
              </a:schemeClr>
            </a:soli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Sheet1!$A$3:$A$5</c:f>
              <c:strCache>
                <c:ptCount val="3"/>
                <c:pt idx="0">
                  <c:v>Total</c:v>
                </c:pt>
                <c:pt idx="1">
                  <c:v>Organele de drept ale RM</c:v>
                </c:pt>
                <c:pt idx="2">
                  <c:v>CEDO</c:v>
                </c:pt>
              </c:strCache>
            </c:strRef>
          </c:cat>
          <c:val>
            <c:numRef>
              <c:f>Sheet1!$E$3:$E$5</c:f>
              <c:numCache>
                <c:formatCode>General</c:formatCode>
                <c:ptCount val="3"/>
                <c:pt idx="1">
                  <c:v>15.1</c:v>
                </c:pt>
                <c:pt idx="2">
                  <c:v>1.3</c:v>
                </c:pt>
              </c:numCache>
            </c:numRef>
          </c:val>
          <c:extLst xmlns:c16r2="http://schemas.microsoft.com/office/drawing/2015/06/chart">
            <c:ext xmlns:c16="http://schemas.microsoft.com/office/drawing/2014/chart" uri="{C3380CC4-5D6E-409C-BE32-E72D297353CC}">
              <c16:uniqueId val="{00000003-67E5-474E-8D19-A643DAEF5741}"/>
            </c:ext>
          </c:extLst>
        </c:ser>
        <c:dLbls>
          <c:showLegendKey val="0"/>
          <c:showVal val="1"/>
          <c:showCatName val="0"/>
          <c:showSerName val="0"/>
          <c:showPercent val="0"/>
          <c:showBubbleSize val="0"/>
        </c:dLbls>
        <c:gapWidth val="55"/>
        <c:gapDepth val="55"/>
        <c:shape val="box"/>
        <c:axId val="409864280"/>
        <c:axId val="409864672"/>
        <c:axId val="0"/>
      </c:bar3DChart>
      <c:catAx>
        <c:axId val="409864280"/>
        <c:scaling>
          <c:orientation val="minMax"/>
        </c:scaling>
        <c:delete val="0"/>
        <c:axPos val="b"/>
        <c:numFmt formatCode="General" sourceLinked="1"/>
        <c:majorTickMark val="out"/>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050" b="1" i="0" u="none" strike="noStrike" kern="1200" baseline="0">
                <a:solidFill>
                  <a:schemeClr val="tx1">
                    <a:lumMod val="65000"/>
                    <a:lumOff val="35000"/>
                  </a:schemeClr>
                </a:solidFill>
                <a:latin typeface="+mn-lt"/>
                <a:ea typeface="+mn-ea"/>
                <a:cs typeface="+mn-cs"/>
              </a:defRPr>
            </a:pPr>
            <a:endParaRPr lang="ru-RU"/>
          </a:p>
        </c:txPr>
        <c:crossAx val="409864672"/>
        <c:crosses val="autoZero"/>
        <c:auto val="1"/>
        <c:lblAlgn val="ctr"/>
        <c:lblOffset val="100"/>
        <c:noMultiLvlLbl val="0"/>
      </c:catAx>
      <c:valAx>
        <c:axId val="4098646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09864280"/>
        <c:crosses val="autoZero"/>
        <c:crossBetween val="between"/>
      </c:valAx>
      <c:spPr>
        <a:pattFill prst="pct5">
          <a:fgClr>
            <a:schemeClr val="accent1">
              <a:lumMod val="20000"/>
              <a:lumOff val="80000"/>
            </a:schemeClr>
          </a:fgClr>
          <a:bgClr>
            <a:schemeClr val="bg1"/>
          </a:bgClr>
        </a:pattFill>
        <a:ln>
          <a:noFill/>
        </a:ln>
        <a:effectLst/>
      </c:spPr>
    </c:plotArea>
    <c:legend>
      <c:legendPos val="r"/>
      <c:layout>
        <c:manualLayout>
          <c:xMode val="edge"/>
          <c:yMode val="edge"/>
          <c:x val="0.74746244667299322"/>
          <c:y val="0.17971287396904567"/>
          <c:w val="0.23950823736609475"/>
          <c:h val="0.6500637954063571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3">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50000"/>
            <a:lumOff val="50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ln w="19050">
        <a:solidFill>
          <a:schemeClr val="lt1"/>
        </a:solidFill>
      </a:ln>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40" b="0" kern="1200" spc="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B0C9D-7EF4-4A75-B740-E679627D9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72</Pages>
  <Words>23876</Words>
  <Characters>136096</Characters>
  <Application>Microsoft Office Word</Application>
  <DocSecurity>0</DocSecurity>
  <Lines>1134</Lines>
  <Paragraphs>319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159653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v_borsevschi@ccrm.md</dc:creator>
  <cp:lastModifiedBy>Paiu Eugenia</cp:lastModifiedBy>
  <cp:revision>3</cp:revision>
  <cp:lastPrinted>2018-06-05T13:51:00Z</cp:lastPrinted>
  <dcterms:created xsi:type="dcterms:W3CDTF">2018-06-06T05:43:00Z</dcterms:created>
  <dcterms:modified xsi:type="dcterms:W3CDTF">2018-06-06T06:12:00Z</dcterms:modified>
</cp:coreProperties>
</file>