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475" w:rsidRPr="00295188" w:rsidRDefault="00223475" w:rsidP="00223475">
      <w:pPr>
        <w:spacing w:before="240"/>
        <w:ind w:right="-68" w:firstLine="567"/>
        <w:jc w:val="right"/>
        <w:rPr>
          <w:rFonts w:eastAsia="Times New Roman"/>
          <w:b/>
          <w:bCs/>
          <w:color w:val="000000"/>
          <w:szCs w:val="28"/>
          <w:lang w:val="ru-MD"/>
        </w:rPr>
      </w:pPr>
      <w:r w:rsidRPr="00295188">
        <w:rPr>
          <w:rFonts w:eastAsia="Times New Roman"/>
          <w:b/>
          <w:bCs/>
          <w:color w:val="000000"/>
          <w:szCs w:val="28"/>
          <w:lang w:val="ru-MD"/>
        </w:rPr>
        <w:t>Приложение</w:t>
      </w:r>
    </w:p>
    <w:p w:rsidR="00223475" w:rsidRPr="00295188" w:rsidRDefault="00223475" w:rsidP="00223475">
      <w:pPr>
        <w:tabs>
          <w:tab w:val="left" w:pos="720"/>
        </w:tabs>
        <w:ind w:right="-68" w:firstLine="567"/>
        <w:jc w:val="right"/>
        <w:rPr>
          <w:rFonts w:eastAsia="Times New Roman"/>
          <w:bCs/>
          <w:color w:val="000000"/>
          <w:szCs w:val="28"/>
          <w:lang w:val="ru-MD"/>
        </w:rPr>
      </w:pPr>
      <w:r w:rsidRPr="00295188">
        <w:rPr>
          <w:rFonts w:eastAsia="Times New Roman"/>
          <w:bCs/>
          <w:color w:val="000000"/>
          <w:szCs w:val="28"/>
          <w:lang w:val="ru-MD"/>
        </w:rPr>
        <w:t xml:space="preserve">к Постановлению Счетной палаты </w:t>
      </w:r>
    </w:p>
    <w:p w:rsidR="00223475" w:rsidRPr="00295188" w:rsidRDefault="00223475" w:rsidP="00223475">
      <w:pPr>
        <w:ind w:firstLine="567"/>
        <w:jc w:val="right"/>
        <w:rPr>
          <w:lang w:val="ru-MD"/>
        </w:rPr>
      </w:pPr>
      <w:r w:rsidRPr="00295188">
        <w:rPr>
          <w:rFonts w:eastAsia="Times New Roman"/>
          <w:bCs/>
          <w:color w:val="000000"/>
          <w:szCs w:val="28"/>
          <w:lang w:val="ru-MD"/>
        </w:rPr>
        <w:t>№60 от 1 августа 2018 года</w:t>
      </w:r>
    </w:p>
    <w:p w:rsidR="00E21D76" w:rsidRPr="00295188" w:rsidRDefault="00E21D76" w:rsidP="00F1635E">
      <w:pPr>
        <w:spacing w:after="0" w:line="240" w:lineRule="auto"/>
        <w:jc w:val="right"/>
        <w:rPr>
          <w:rFonts w:cs="Times New Roman"/>
          <w:szCs w:val="28"/>
          <w:lang w:val="ru-MD"/>
        </w:rPr>
      </w:pPr>
    </w:p>
    <w:p w:rsidR="00E21D76" w:rsidRPr="00295188" w:rsidRDefault="00E21D76" w:rsidP="00F1635E">
      <w:pPr>
        <w:spacing w:after="0" w:line="240" w:lineRule="auto"/>
        <w:jc w:val="right"/>
        <w:rPr>
          <w:rFonts w:cs="Times New Roman"/>
          <w:b/>
          <w:szCs w:val="28"/>
          <w:lang w:val="ru-MD"/>
        </w:rPr>
      </w:pPr>
    </w:p>
    <w:p w:rsidR="00E21D76" w:rsidRPr="00295188" w:rsidRDefault="00E21D76" w:rsidP="00E21D76">
      <w:pPr>
        <w:spacing w:after="0" w:line="240" w:lineRule="auto"/>
        <w:jc w:val="center"/>
        <w:rPr>
          <w:rFonts w:cs="Times New Roman"/>
          <w:b/>
          <w:szCs w:val="28"/>
          <w:lang w:val="ru-MD"/>
        </w:rPr>
      </w:pPr>
    </w:p>
    <w:p w:rsidR="00E21D76" w:rsidRPr="00295188" w:rsidRDefault="00E21D76" w:rsidP="00E21D76">
      <w:pPr>
        <w:spacing w:after="0" w:line="240" w:lineRule="auto"/>
        <w:jc w:val="center"/>
        <w:rPr>
          <w:rFonts w:cs="Times New Roman"/>
          <w:b/>
          <w:szCs w:val="28"/>
          <w:lang w:val="ru-MD"/>
        </w:rPr>
      </w:pPr>
    </w:p>
    <w:p w:rsidR="00E21D76" w:rsidRPr="00295188" w:rsidRDefault="00F1635E" w:rsidP="00E21D76">
      <w:pPr>
        <w:spacing w:after="0" w:line="240" w:lineRule="auto"/>
        <w:jc w:val="center"/>
        <w:rPr>
          <w:rFonts w:cs="Times New Roman"/>
          <w:b/>
          <w:szCs w:val="28"/>
          <w:lang w:val="ru-MD"/>
        </w:rPr>
      </w:pPr>
      <w:r w:rsidRPr="00295188">
        <w:rPr>
          <w:noProof/>
          <w:lang w:eastAsia="ro-RO"/>
        </w:rPr>
        <w:drawing>
          <wp:anchor distT="0" distB="0" distL="114300" distR="114300" simplePos="0" relativeHeight="251659264" behindDoc="0" locked="0" layoutInCell="1" allowOverlap="1">
            <wp:simplePos x="0" y="0"/>
            <wp:positionH relativeFrom="column">
              <wp:posOffset>9525</wp:posOffset>
            </wp:positionH>
            <wp:positionV relativeFrom="page">
              <wp:posOffset>2561297</wp:posOffset>
            </wp:positionV>
            <wp:extent cx="941832" cy="941832"/>
            <wp:effectExtent l="0" t="0" r="0" b="0"/>
            <wp:wrapSquare wrapText="bothSides"/>
            <wp:docPr id="1" name="Picture 1" descr="C:\Users\a_curchin\AppData\Local\Microsoft\Windows\INetCache\Content.Outlook\K1NJ7J5M\Insigna CCRM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_curchin\AppData\Local\Microsoft\Windows\INetCache\Content.Outlook\K1NJ7J5M\Insigna CCRM blu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832" cy="941832"/>
                    </a:xfrm>
                    <a:prstGeom prst="rect">
                      <a:avLst/>
                    </a:prstGeom>
                    <a:noFill/>
                    <a:ln>
                      <a:noFill/>
                    </a:ln>
                  </pic:spPr>
                </pic:pic>
              </a:graphicData>
            </a:graphic>
          </wp:anchor>
        </w:drawing>
      </w:r>
    </w:p>
    <w:p w:rsidR="00E21D76" w:rsidRPr="00295188" w:rsidRDefault="00E21D76" w:rsidP="00E21D76">
      <w:pPr>
        <w:spacing w:after="0" w:line="240" w:lineRule="auto"/>
        <w:jc w:val="center"/>
        <w:rPr>
          <w:rFonts w:cs="Times New Roman"/>
          <w:b/>
          <w:szCs w:val="28"/>
          <w:lang w:val="ru-MD"/>
        </w:rPr>
      </w:pPr>
    </w:p>
    <w:p w:rsidR="00E21D76" w:rsidRPr="00295188" w:rsidRDefault="00E21D76" w:rsidP="00E21D76">
      <w:pPr>
        <w:spacing w:after="0" w:line="240" w:lineRule="auto"/>
        <w:jc w:val="center"/>
        <w:rPr>
          <w:rFonts w:cs="Times New Roman"/>
          <w:b/>
          <w:szCs w:val="28"/>
          <w:lang w:val="ru-MD"/>
        </w:rPr>
      </w:pPr>
    </w:p>
    <w:p w:rsidR="00E21D76" w:rsidRPr="00295188" w:rsidRDefault="00E21D76" w:rsidP="00E21D76">
      <w:pPr>
        <w:spacing w:after="0" w:line="240" w:lineRule="auto"/>
        <w:jc w:val="center"/>
        <w:rPr>
          <w:rFonts w:cs="Times New Roman"/>
          <w:b/>
          <w:szCs w:val="28"/>
          <w:lang w:val="ru-MD"/>
        </w:rPr>
      </w:pPr>
    </w:p>
    <w:p w:rsidR="00223475" w:rsidRPr="00295188" w:rsidRDefault="00223475" w:rsidP="00223475">
      <w:pPr>
        <w:ind w:firstLine="567"/>
        <w:jc w:val="center"/>
        <w:rPr>
          <w:b/>
          <w:szCs w:val="28"/>
          <w:lang w:val="ru-MD"/>
        </w:rPr>
      </w:pPr>
      <w:r w:rsidRPr="00295188">
        <w:rPr>
          <w:b/>
          <w:szCs w:val="28"/>
          <w:lang w:val="ru-MD"/>
        </w:rPr>
        <w:t>СЧЕТНАЯ ПАЛАТА РЕСПУБЛИКИ МОЛДОВА</w:t>
      </w:r>
    </w:p>
    <w:p w:rsidR="00E21D76" w:rsidRPr="00295188" w:rsidRDefault="00E21D76" w:rsidP="00E21D76">
      <w:pPr>
        <w:tabs>
          <w:tab w:val="left" w:pos="720"/>
        </w:tabs>
        <w:spacing w:after="0" w:line="240" w:lineRule="auto"/>
        <w:jc w:val="right"/>
        <w:rPr>
          <w:rFonts w:eastAsia="Times New Roman" w:cs="Times New Roman"/>
          <w:b/>
          <w:bCs/>
          <w:sz w:val="24"/>
          <w:szCs w:val="24"/>
          <w:lang w:val="ru-MD"/>
        </w:rPr>
      </w:pPr>
    </w:p>
    <w:tbl>
      <w:tblPr>
        <w:tblStyle w:val="TableGrid"/>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E21D76" w:rsidRPr="00295188" w:rsidTr="006F613D">
        <w:trPr>
          <w:trHeight w:val="435"/>
        </w:trPr>
        <w:tc>
          <w:tcPr>
            <w:tcW w:w="9350" w:type="dxa"/>
          </w:tcPr>
          <w:p w:rsidR="00E21D76" w:rsidRPr="00A0135E" w:rsidRDefault="00E21D76" w:rsidP="006F613D">
            <w:pPr>
              <w:tabs>
                <w:tab w:val="left" w:pos="720"/>
              </w:tabs>
              <w:jc w:val="center"/>
              <w:rPr>
                <w:rStyle w:val="Hyperlink"/>
                <w:rFonts w:cs="Times New Roman"/>
                <w:b/>
                <w:color w:val="auto"/>
                <w:sz w:val="18"/>
                <w:szCs w:val="18"/>
              </w:rPr>
            </w:pPr>
            <w:r w:rsidRPr="00A0135E">
              <w:rPr>
                <w:rFonts w:cs="Times New Roman"/>
                <w:sz w:val="18"/>
                <w:szCs w:val="18"/>
                <w:lang w:val="ro-RO"/>
              </w:rPr>
              <w:t>MD-2001, mun. Chiș</w:t>
            </w:r>
            <w:r w:rsidR="006D1E23" w:rsidRPr="00A0135E">
              <w:rPr>
                <w:rFonts w:cs="Times New Roman"/>
                <w:sz w:val="18"/>
                <w:szCs w:val="18"/>
                <w:lang w:val="ro-RO"/>
              </w:rPr>
              <w:t>inău, bd. Ștefan cel Mare și Sfâ</w:t>
            </w:r>
            <w:r w:rsidRPr="00A0135E">
              <w:rPr>
                <w:rFonts w:cs="Times New Roman"/>
                <w:sz w:val="18"/>
                <w:szCs w:val="18"/>
                <w:lang w:val="ro-RO"/>
              </w:rPr>
              <w:t xml:space="preserve">nt,69, tel.: (+373) 22 23 25 79, fax: (+373) 22 23 30 20, </w:t>
            </w:r>
            <w:hyperlink r:id="rId9" w:history="1">
              <w:r w:rsidRPr="00A0135E">
                <w:rPr>
                  <w:rStyle w:val="Hyperlink"/>
                  <w:rFonts w:cs="Times New Roman"/>
                  <w:b/>
                  <w:color w:val="auto"/>
                  <w:sz w:val="18"/>
                  <w:szCs w:val="18"/>
                  <w:lang w:val="ro-RO"/>
                </w:rPr>
                <w:t>www.ccrm.md</w:t>
              </w:r>
            </w:hyperlink>
            <w:r w:rsidRPr="00A0135E">
              <w:rPr>
                <w:rStyle w:val="Hyperlink"/>
                <w:rFonts w:cs="Times New Roman"/>
                <w:b/>
                <w:color w:val="auto"/>
                <w:sz w:val="18"/>
                <w:szCs w:val="18"/>
                <w:lang w:val="ro-RO"/>
              </w:rPr>
              <w:t>;</w:t>
            </w:r>
          </w:p>
          <w:p w:rsidR="00E21D76" w:rsidRPr="00952E8D" w:rsidRDefault="00E21D76" w:rsidP="006F613D">
            <w:pPr>
              <w:tabs>
                <w:tab w:val="left" w:pos="720"/>
              </w:tabs>
              <w:jc w:val="center"/>
              <w:rPr>
                <w:rFonts w:eastAsia="Times New Roman" w:cs="Times New Roman"/>
                <w:b/>
                <w:bCs/>
                <w:sz w:val="24"/>
                <w:szCs w:val="24"/>
              </w:rPr>
            </w:pPr>
            <w:r w:rsidRPr="00952E8D">
              <w:rPr>
                <w:rFonts w:cs="Times New Roman"/>
                <w:sz w:val="18"/>
                <w:szCs w:val="18"/>
              </w:rPr>
              <w:t xml:space="preserve">e-mail: </w:t>
            </w:r>
            <w:hyperlink r:id="rId10" w:history="1">
              <w:r w:rsidRPr="00952E8D">
                <w:rPr>
                  <w:rStyle w:val="Hyperlink"/>
                  <w:rFonts w:cs="Times New Roman"/>
                  <w:b/>
                  <w:color w:val="auto"/>
                  <w:sz w:val="18"/>
                  <w:szCs w:val="18"/>
                </w:rPr>
                <w:t>ccrm@ccrm.md</w:t>
              </w:r>
            </w:hyperlink>
          </w:p>
        </w:tc>
      </w:tr>
    </w:tbl>
    <w:p w:rsidR="00E21D76" w:rsidRPr="00952E8D" w:rsidRDefault="00E21D76" w:rsidP="00E21D76">
      <w:pPr>
        <w:tabs>
          <w:tab w:val="left" w:pos="720"/>
        </w:tabs>
        <w:spacing w:after="0" w:line="240" w:lineRule="auto"/>
        <w:jc w:val="right"/>
        <w:rPr>
          <w:rFonts w:eastAsia="Times New Roman" w:cs="Times New Roman"/>
          <w:b/>
          <w:bCs/>
          <w:sz w:val="24"/>
          <w:szCs w:val="24"/>
          <w:lang w:val="en-US"/>
        </w:rPr>
      </w:pPr>
    </w:p>
    <w:p w:rsidR="00E21D76" w:rsidRPr="00952E8D" w:rsidRDefault="00E21D76" w:rsidP="00E21D76">
      <w:pPr>
        <w:tabs>
          <w:tab w:val="left" w:pos="720"/>
        </w:tabs>
        <w:spacing w:after="0" w:line="240" w:lineRule="auto"/>
        <w:jc w:val="right"/>
        <w:rPr>
          <w:rFonts w:eastAsia="Times New Roman" w:cs="Times New Roman"/>
          <w:b/>
          <w:bCs/>
          <w:sz w:val="24"/>
          <w:szCs w:val="24"/>
          <w:lang w:val="en-US"/>
        </w:rPr>
      </w:pPr>
    </w:p>
    <w:p w:rsidR="00E21D76" w:rsidRPr="00952E8D" w:rsidRDefault="00E21D76" w:rsidP="00E21D76">
      <w:pPr>
        <w:tabs>
          <w:tab w:val="left" w:pos="720"/>
        </w:tabs>
        <w:spacing w:after="0" w:line="240" w:lineRule="auto"/>
        <w:jc w:val="right"/>
        <w:rPr>
          <w:rFonts w:eastAsia="Times New Roman" w:cs="Times New Roman"/>
          <w:b/>
          <w:bCs/>
          <w:sz w:val="24"/>
          <w:szCs w:val="24"/>
          <w:lang w:val="en-US"/>
        </w:rPr>
      </w:pPr>
    </w:p>
    <w:p w:rsidR="00E21D76" w:rsidRPr="00952E8D" w:rsidRDefault="00E21D76" w:rsidP="00E21D76">
      <w:pPr>
        <w:tabs>
          <w:tab w:val="left" w:pos="720"/>
        </w:tabs>
        <w:spacing w:after="0" w:line="240" w:lineRule="auto"/>
        <w:jc w:val="right"/>
        <w:rPr>
          <w:rFonts w:eastAsia="Times New Roman" w:cs="Times New Roman"/>
          <w:b/>
          <w:bCs/>
          <w:sz w:val="24"/>
          <w:szCs w:val="24"/>
          <w:lang w:val="en-US"/>
        </w:rPr>
      </w:pPr>
    </w:p>
    <w:p w:rsidR="00E21D76" w:rsidRPr="00952E8D" w:rsidRDefault="00E21D76" w:rsidP="00E21D76">
      <w:pPr>
        <w:tabs>
          <w:tab w:val="left" w:pos="720"/>
        </w:tabs>
        <w:spacing w:after="0" w:line="240" w:lineRule="auto"/>
        <w:jc w:val="right"/>
        <w:rPr>
          <w:rFonts w:eastAsia="Times New Roman" w:cs="Times New Roman"/>
          <w:b/>
          <w:bCs/>
          <w:sz w:val="24"/>
          <w:szCs w:val="24"/>
          <w:lang w:val="en-US"/>
        </w:rPr>
      </w:pPr>
    </w:p>
    <w:p w:rsidR="00E21D76" w:rsidRPr="00952E8D" w:rsidRDefault="00E21D76" w:rsidP="00E21D76">
      <w:pPr>
        <w:tabs>
          <w:tab w:val="left" w:pos="720"/>
        </w:tabs>
        <w:spacing w:after="0" w:line="240" w:lineRule="auto"/>
        <w:jc w:val="center"/>
        <w:rPr>
          <w:rFonts w:eastAsia="Times New Roman" w:cs="Times New Roman"/>
          <w:b/>
          <w:bCs/>
          <w:sz w:val="24"/>
          <w:szCs w:val="24"/>
          <w:lang w:val="en-US"/>
        </w:rPr>
      </w:pPr>
    </w:p>
    <w:p w:rsidR="00E21D76" w:rsidRPr="00952E8D" w:rsidRDefault="00E21D76" w:rsidP="00E21D76">
      <w:pPr>
        <w:tabs>
          <w:tab w:val="left" w:pos="720"/>
        </w:tabs>
        <w:spacing w:after="0" w:line="240" w:lineRule="auto"/>
        <w:ind w:firstLine="720"/>
        <w:jc w:val="center"/>
        <w:rPr>
          <w:rFonts w:eastAsia="Times New Roman" w:cs="Times New Roman"/>
          <w:b/>
          <w:bCs/>
          <w:sz w:val="32"/>
          <w:szCs w:val="32"/>
          <w:lang w:val="en-US"/>
        </w:rPr>
      </w:pPr>
    </w:p>
    <w:p w:rsidR="00223475" w:rsidRPr="00295188" w:rsidRDefault="00223475" w:rsidP="00223475">
      <w:pPr>
        <w:spacing w:after="0" w:line="240" w:lineRule="auto"/>
        <w:jc w:val="center"/>
        <w:rPr>
          <w:rFonts w:eastAsia="Times New Roman" w:cs="Times New Roman"/>
          <w:b/>
          <w:bCs/>
          <w:szCs w:val="28"/>
          <w:lang w:val="ru-MD"/>
        </w:rPr>
      </w:pPr>
      <w:r w:rsidRPr="00295188">
        <w:rPr>
          <w:rFonts w:eastAsia="Times New Roman" w:cs="Times New Roman"/>
          <w:b/>
          <w:bCs/>
          <w:szCs w:val="28"/>
          <w:lang w:val="ru-MD"/>
        </w:rPr>
        <w:t xml:space="preserve">Отчет аудита </w:t>
      </w:r>
    </w:p>
    <w:p w:rsidR="00223475" w:rsidRPr="00295188" w:rsidRDefault="00223475" w:rsidP="00223475">
      <w:pPr>
        <w:spacing w:after="0" w:line="240" w:lineRule="auto"/>
        <w:jc w:val="center"/>
        <w:rPr>
          <w:rFonts w:eastAsia="Times New Roman" w:cs="Times New Roman"/>
          <w:b/>
          <w:bCs/>
          <w:szCs w:val="28"/>
          <w:lang w:val="ru-MD"/>
        </w:rPr>
      </w:pPr>
      <w:r w:rsidRPr="00295188">
        <w:rPr>
          <w:rFonts w:eastAsia="Times New Roman" w:cs="Times New Roman"/>
          <w:b/>
          <w:bCs/>
          <w:szCs w:val="28"/>
          <w:lang w:val="ru-MD"/>
        </w:rPr>
        <w:t xml:space="preserve">консолидированной финансовой отчетности Министерства финансов </w:t>
      </w:r>
    </w:p>
    <w:p w:rsidR="008742CA" w:rsidRPr="00295188" w:rsidRDefault="005850A8" w:rsidP="00223475">
      <w:pPr>
        <w:spacing w:after="0" w:line="240" w:lineRule="auto"/>
        <w:jc w:val="center"/>
        <w:rPr>
          <w:rFonts w:eastAsia="Times New Roman" w:cs="Times New Roman"/>
          <w:b/>
          <w:bCs/>
          <w:szCs w:val="28"/>
          <w:lang w:val="ru-MD"/>
        </w:rPr>
      </w:pPr>
      <w:r w:rsidRPr="00295188">
        <w:rPr>
          <w:rFonts w:eastAsia="Times New Roman" w:cs="Times New Roman"/>
          <w:b/>
          <w:bCs/>
          <w:szCs w:val="28"/>
          <w:lang w:val="ru-MD"/>
        </w:rPr>
        <w:t>за год, закончившийся</w:t>
      </w:r>
      <w:r w:rsidR="00223475" w:rsidRPr="00295188">
        <w:rPr>
          <w:rFonts w:eastAsia="Times New Roman" w:cs="Times New Roman"/>
          <w:b/>
          <w:bCs/>
          <w:szCs w:val="28"/>
          <w:lang w:val="ru-MD"/>
        </w:rPr>
        <w:t xml:space="preserve"> 31 декабря 2017 года </w:t>
      </w:r>
    </w:p>
    <w:p w:rsidR="00E21D76" w:rsidRPr="00295188" w:rsidRDefault="00E21D76" w:rsidP="00E21D76">
      <w:pPr>
        <w:spacing w:after="0" w:line="240" w:lineRule="auto"/>
        <w:jc w:val="center"/>
        <w:rPr>
          <w:rFonts w:eastAsia="Times New Roman" w:cs="Times New Roman"/>
          <w:b/>
          <w:bCs/>
          <w:color w:val="FF0000"/>
          <w:szCs w:val="28"/>
          <w:lang w:val="ru-MD"/>
        </w:rPr>
        <w:sectPr w:rsidR="00E21D76" w:rsidRPr="00295188" w:rsidSect="000E000D">
          <w:footerReference w:type="default" r:id="rId11"/>
          <w:footerReference w:type="first" r:id="rId12"/>
          <w:pgSz w:w="11906" w:h="16838"/>
          <w:pgMar w:top="1440" w:right="1440" w:bottom="1440" w:left="1440" w:header="708" w:footer="708" w:gutter="0"/>
          <w:cols w:space="708"/>
          <w:titlePg/>
          <w:docGrid w:linePitch="381"/>
        </w:sectPr>
      </w:pPr>
    </w:p>
    <w:p w:rsidR="006F613D" w:rsidRPr="00295188" w:rsidRDefault="006F613D" w:rsidP="00DB4CA4">
      <w:pPr>
        <w:keepNext/>
        <w:keepLines/>
        <w:pBdr>
          <w:bottom w:val="single" w:sz="4" w:space="1" w:color="auto"/>
        </w:pBdr>
        <w:tabs>
          <w:tab w:val="left" w:pos="270"/>
          <w:tab w:val="left" w:pos="360"/>
        </w:tabs>
        <w:spacing w:after="0" w:line="240" w:lineRule="auto"/>
        <w:ind w:right="59"/>
        <w:jc w:val="center"/>
        <w:outlineLvl w:val="0"/>
        <w:rPr>
          <w:rFonts w:eastAsia="Times New Roman" w:cs="Times New Roman"/>
          <w:b/>
          <w:bCs/>
          <w:sz w:val="32"/>
          <w:szCs w:val="32"/>
          <w:lang w:val="ru-MD"/>
        </w:rPr>
      </w:pPr>
      <w:bookmarkStart w:id="0" w:name="_Toc519878939"/>
      <w:bookmarkStart w:id="1" w:name="_Toc482967819"/>
      <w:r w:rsidRPr="00295188">
        <w:rPr>
          <w:rFonts w:eastAsia="Times New Roman" w:cs="Times New Roman"/>
          <w:b/>
          <w:bCs/>
          <w:sz w:val="32"/>
          <w:szCs w:val="32"/>
          <w:lang w:val="ru-MD"/>
        </w:rPr>
        <w:lastRenderedPageBreak/>
        <w:t>I.</w:t>
      </w:r>
      <w:r w:rsidR="002963D9" w:rsidRPr="00295188">
        <w:rPr>
          <w:rFonts w:eastAsia="Times New Roman" w:cs="Times New Roman"/>
          <w:b/>
          <w:bCs/>
          <w:sz w:val="32"/>
          <w:szCs w:val="32"/>
          <w:lang w:val="ru-MD"/>
        </w:rPr>
        <w:t>УСЛОВНОЕ МНЕНИЕ</w:t>
      </w:r>
      <w:bookmarkEnd w:id="0"/>
    </w:p>
    <w:p w:rsidR="006F613D" w:rsidRPr="00295188" w:rsidRDefault="006F613D" w:rsidP="006F613D">
      <w:pPr>
        <w:tabs>
          <w:tab w:val="left" w:pos="720"/>
          <w:tab w:val="left" w:pos="936"/>
        </w:tabs>
        <w:spacing w:after="0" w:line="240" w:lineRule="auto"/>
        <w:ind w:right="-31"/>
        <w:rPr>
          <w:rFonts w:eastAsia="Calibri" w:cs="Times New Roman"/>
          <w:szCs w:val="28"/>
          <w:lang w:val="ru-MD" w:eastAsia="ro-RO"/>
        </w:rPr>
      </w:pPr>
      <w:r w:rsidRPr="00295188">
        <w:rPr>
          <w:rFonts w:eastAsia="Calibri" w:cs="Times New Roman"/>
          <w:color w:val="FF0000"/>
          <w:szCs w:val="28"/>
          <w:lang w:val="ru-MD"/>
        </w:rPr>
        <w:tab/>
      </w:r>
    </w:p>
    <w:p w:rsidR="006F613D" w:rsidRPr="00295188" w:rsidRDefault="00806F69" w:rsidP="00BC6479">
      <w:pPr>
        <w:spacing w:after="0" w:line="276" w:lineRule="auto"/>
        <w:rPr>
          <w:rFonts w:eastAsia="Times New Roman"/>
          <w:szCs w:val="28"/>
          <w:lang w:val="ru-MD"/>
        </w:rPr>
      </w:pPr>
      <w:r w:rsidRPr="00295188">
        <w:rPr>
          <w:rFonts w:eastAsia="Times New Roman"/>
          <w:szCs w:val="28"/>
          <w:lang w:val="ru-MD"/>
        </w:rPr>
        <w:t>Мы проаудировали консолидированную финансовую отчетность</w:t>
      </w:r>
      <w:r w:rsidR="0042779A" w:rsidRPr="00295188">
        <w:rPr>
          <w:rFonts w:eastAsia="Times New Roman"/>
          <w:vertAlign w:val="superscript"/>
          <w:lang w:val="ru-MD"/>
        </w:rPr>
        <w:footnoteReference w:id="1"/>
      </w:r>
      <w:r w:rsidRPr="00295188">
        <w:rPr>
          <w:rFonts w:eastAsia="Times New Roman"/>
          <w:szCs w:val="28"/>
          <w:lang w:val="ru-MD"/>
        </w:rPr>
        <w:t xml:space="preserve"> Министерства финансов, которая включает финансовое положение, финансовые показатели и денежные потоки министерства, заключенную по состоянию на 31 декабря 2017 года. По нашему мнению, за исключением возможных эффектов аспектов, описанных в </w:t>
      </w:r>
      <w:r w:rsidR="003A631E" w:rsidRPr="00295188">
        <w:rPr>
          <w:rFonts w:eastAsia="Times New Roman"/>
          <w:szCs w:val="28"/>
          <w:lang w:val="ru-MD"/>
        </w:rPr>
        <w:t>Разделе</w:t>
      </w:r>
      <w:r w:rsidRPr="00295188">
        <w:rPr>
          <w:rFonts w:eastAsia="Times New Roman"/>
          <w:szCs w:val="28"/>
          <w:lang w:val="ru-MD"/>
        </w:rPr>
        <w:t xml:space="preserve"> II. „Основание для </w:t>
      </w:r>
      <w:r w:rsidR="0042779A" w:rsidRPr="00295188">
        <w:rPr>
          <w:rFonts w:eastAsia="Times New Roman"/>
          <w:szCs w:val="28"/>
          <w:lang w:val="ru-MD"/>
        </w:rPr>
        <w:t xml:space="preserve">условного </w:t>
      </w:r>
      <w:r w:rsidRPr="00295188">
        <w:rPr>
          <w:rFonts w:eastAsia="Times New Roman"/>
          <w:szCs w:val="28"/>
          <w:lang w:val="ru-MD"/>
        </w:rPr>
        <w:t>мнения” Отчет</w:t>
      </w:r>
      <w:r w:rsidR="0042779A" w:rsidRPr="00295188">
        <w:rPr>
          <w:rFonts w:eastAsia="Times New Roman"/>
          <w:szCs w:val="28"/>
          <w:lang w:val="ru-MD"/>
        </w:rPr>
        <w:t>а</w:t>
      </w:r>
      <w:r w:rsidRPr="00295188">
        <w:rPr>
          <w:rFonts w:eastAsia="Times New Roman"/>
          <w:szCs w:val="28"/>
          <w:lang w:val="ru-MD"/>
        </w:rPr>
        <w:t xml:space="preserve"> аудит</w:t>
      </w:r>
      <w:r w:rsidR="0042779A" w:rsidRPr="00295188">
        <w:rPr>
          <w:rFonts w:eastAsia="Times New Roman"/>
          <w:szCs w:val="28"/>
          <w:lang w:val="ru-MD"/>
        </w:rPr>
        <w:t>а</w:t>
      </w:r>
      <w:r w:rsidRPr="00295188">
        <w:rPr>
          <w:rFonts w:eastAsia="Times New Roman"/>
          <w:szCs w:val="28"/>
          <w:lang w:val="ru-MD"/>
        </w:rPr>
        <w:t>, консолидированн</w:t>
      </w:r>
      <w:r w:rsidR="0042779A" w:rsidRPr="00295188">
        <w:rPr>
          <w:rFonts w:eastAsia="Times New Roman"/>
          <w:szCs w:val="28"/>
          <w:lang w:val="ru-MD"/>
        </w:rPr>
        <w:t>ая</w:t>
      </w:r>
      <w:r w:rsidRPr="00295188">
        <w:rPr>
          <w:rFonts w:eastAsia="Times New Roman"/>
          <w:szCs w:val="28"/>
          <w:lang w:val="ru-MD"/>
        </w:rPr>
        <w:t xml:space="preserve"> финансов</w:t>
      </w:r>
      <w:r w:rsidR="0042779A" w:rsidRPr="00295188">
        <w:rPr>
          <w:rFonts w:eastAsia="Times New Roman"/>
          <w:szCs w:val="28"/>
          <w:lang w:val="ru-MD"/>
        </w:rPr>
        <w:t>ая</w:t>
      </w:r>
      <w:r w:rsidRPr="00295188">
        <w:rPr>
          <w:rFonts w:eastAsia="Times New Roman"/>
          <w:szCs w:val="28"/>
          <w:lang w:val="ru-MD"/>
        </w:rPr>
        <w:t xml:space="preserve"> отчет</w:t>
      </w:r>
      <w:r w:rsidR="0042779A" w:rsidRPr="00295188">
        <w:rPr>
          <w:rFonts w:eastAsia="Times New Roman"/>
          <w:szCs w:val="28"/>
          <w:lang w:val="ru-MD"/>
        </w:rPr>
        <w:t>ность</w:t>
      </w:r>
      <w:r w:rsidRPr="00295188">
        <w:rPr>
          <w:rFonts w:eastAsia="Times New Roman"/>
          <w:szCs w:val="28"/>
          <w:lang w:val="ru-MD"/>
        </w:rPr>
        <w:t xml:space="preserve"> Министерств</w:t>
      </w:r>
      <w:r w:rsidR="0042779A" w:rsidRPr="00295188">
        <w:rPr>
          <w:rFonts w:eastAsia="Times New Roman"/>
          <w:szCs w:val="28"/>
          <w:lang w:val="ru-MD"/>
        </w:rPr>
        <w:t>а</w:t>
      </w:r>
      <w:r w:rsidR="00F2288F" w:rsidRPr="00295188">
        <w:rPr>
          <w:rFonts w:eastAsia="Times New Roman"/>
          <w:szCs w:val="28"/>
          <w:lang w:val="ru-MD"/>
        </w:rPr>
        <w:t xml:space="preserve"> </w:t>
      </w:r>
      <w:r w:rsidR="0042779A" w:rsidRPr="00295188">
        <w:rPr>
          <w:rFonts w:eastAsia="Times New Roman"/>
          <w:szCs w:val="28"/>
          <w:lang w:val="ru-MD"/>
        </w:rPr>
        <w:t>ф</w:t>
      </w:r>
      <w:r w:rsidRPr="00295188">
        <w:rPr>
          <w:rFonts w:eastAsia="Times New Roman"/>
          <w:szCs w:val="28"/>
          <w:lang w:val="ru-MD"/>
        </w:rPr>
        <w:t>инансов представляет, во всех существенных аспектах</w:t>
      </w:r>
      <w:r w:rsidR="0042779A" w:rsidRPr="00295188">
        <w:rPr>
          <w:rFonts w:eastAsia="Times New Roman"/>
          <w:szCs w:val="28"/>
          <w:lang w:val="ru-MD"/>
        </w:rPr>
        <w:t>,</w:t>
      </w:r>
      <w:r w:rsidRPr="00295188">
        <w:rPr>
          <w:rFonts w:eastAsia="Times New Roman"/>
          <w:szCs w:val="28"/>
          <w:lang w:val="ru-MD"/>
        </w:rPr>
        <w:t xml:space="preserve"> реальное и достоверное отражение ситуации, в </w:t>
      </w:r>
      <w:r w:rsidR="0042779A" w:rsidRPr="00295188">
        <w:rPr>
          <w:rFonts w:eastAsia="Times New Roman"/>
          <w:szCs w:val="28"/>
          <w:lang w:val="ru-MD"/>
        </w:rPr>
        <w:t xml:space="preserve">соответствии с применимой базой по </w:t>
      </w:r>
      <w:r w:rsidRPr="00295188">
        <w:rPr>
          <w:rFonts w:eastAsia="Times New Roman"/>
          <w:szCs w:val="28"/>
          <w:lang w:val="ru-MD"/>
        </w:rPr>
        <w:t>финансовой отчетности</w:t>
      </w:r>
      <w:r w:rsidR="00076538" w:rsidRPr="00295188">
        <w:rPr>
          <w:rStyle w:val="FootnoteReference"/>
          <w:rFonts w:eastAsia="Times New Roman"/>
          <w:szCs w:val="28"/>
          <w:lang w:val="ru-MD"/>
        </w:rPr>
        <w:footnoteReference w:id="2"/>
      </w:r>
      <w:r w:rsidR="00E41587" w:rsidRPr="00295188">
        <w:rPr>
          <w:rFonts w:cs="Times New Roman"/>
          <w:lang w:val="ru-MD"/>
        </w:rPr>
        <w:t>.</w:t>
      </w:r>
    </w:p>
    <w:bookmarkEnd w:id="1"/>
    <w:p w:rsidR="00876FAC" w:rsidRPr="00295188" w:rsidRDefault="00876FAC" w:rsidP="00876FAC">
      <w:pPr>
        <w:keepNext/>
        <w:keepLines/>
        <w:pBdr>
          <w:bottom w:val="single" w:sz="4" w:space="1" w:color="auto"/>
        </w:pBdr>
        <w:tabs>
          <w:tab w:val="left" w:pos="270"/>
        </w:tabs>
        <w:spacing w:after="0" w:line="240" w:lineRule="auto"/>
        <w:ind w:right="59"/>
        <w:outlineLvl w:val="0"/>
        <w:rPr>
          <w:rFonts w:eastAsia="Times New Roman" w:cs="Times New Roman"/>
          <w:color w:val="FF0000"/>
          <w:szCs w:val="28"/>
          <w:lang w:val="ru-MD" w:eastAsia="ja-JP"/>
        </w:rPr>
      </w:pPr>
    </w:p>
    <w:p w:rsidR="006F613D" w:rsidRPr="00295188" w:rsidRDefault="006F613D" w:rsidP="006F613D">
      <w:pPr>
        <w:tabs>
          <w:tab w:val="left" w:pos="936"/>
        </w:tabs>
        <w:spacing w:after="0" w:line="240" w:lineRule="auto"/>
        <w:rPr>
          <w:rFonts w:eastAsia="Times New Roman" w:cs="Times New Roman"/>
          <w:color w:val="FF0000"/>
          <w:szCs w:val="28"/>
          <w:lang w:val="ru-MD" w:eastAsia="ja-JP"/>
        </w:rPr>
      </w:pPr>
      <w:r w:rsidRPr="00295188">
        <w:rPr>
          <w:rFonts w:eastAsia="Times New Roman" w:cs="Times New Roman"/>
          <w:color w:val="FF0000"/>
          <w:szCs w:val="28"/>
          <w:lang w:val="ru-MD" w:eastAsia="ja-JP"/>
        </w:rPr>
        <w:tab/>
      </w:r>
    </w:p>
    <w:p w:rsidR="0083708F" w:rsidRPr="00295188" w:rsidRDefault="0042779A" w:rsidP="00DB4CA4">
      <w:pPr>
        <w:pStyle w:val="ListParagraph"/>
        <w:keepNext/>
        <w:keepLines/>
        <w:numPr>
          <w:ilvl w:val="0"/>
          <w:numId w:val="21"/>
        </w:numPr>
        <w:tabs>
          <w:tab w:val="left" w:pos="284"/>
        </w:tabs>
        <w:spacing w:before="240" w:after="0" w:line="240" w:lineRule="auto"/>
        <w:ind w:right="-68"/>
        <w:jc w:val="center"/>
        <w:outlineLvl w:val="0"/>
        <w:rPr>
          <w:b/>
          <w:color w:val="000000"/>
          <w:sz w:val="32"/>
          <w:szCs w:val="32"/>
          <w:lang w:val="ru-MD" w:eastAsia="ru-RU"/>
        </w:rPr>
      </w:pPr>
      <w:bookmarkStart w:id="2" w:name="_Toc518977954"/>
      <w:bookmarkStart w:id="3" w:name="_Toc519878940"/>
      <w:r w:rsidRPr="00295188">
        <w:rPr>
          <w:rFonts w:eastAsia="Times New Roman"/>
          <w:b/>
          <w:color w:val="000000"/>
          <w:sz w:val="32"/>
          <w:szCs w:val="32"/>
          <w:lang w:val="ru-MD" w:eastAsia="ru-RU"/>
        </w:rPr>
        <w:t>ОСНОВАНИЕ ДЛЯ УСЛОВНОГО МНЕНИЯ</w:t>
      </w:r>
      <w:bookmarkEnd w:id="2"/>
      <w:bookmarkEnd w:id="3"/>
    </w:p>
    <w:p w:rsidR="00295188" w:rsidRDefault="00295188" w:rsidP="00AE4C2D">
      <w:pPr>
        <w:tabs>
          <w:tab w:val="left" w:pos="936"/>
        </w:tabs>
        <w:spacing w:after="0" w:line="276" w:lineRule="auto"/>
        <w:rPr>
          <w:rFonts w:eastAsia="Times New Roman"/>
          <w:szCs w:val="28"/>
          <w:lang w:val="ru-MD"/>
        </w:rPr>
      </w:pPr>
    </w:p>
    <w:p w:rsidR="0083708F" w:rsidRPr="00295188" w:rsidRDefault="00F22D7A" w:rsidP="00AE4C2D">
      <w:pPr>
        <w:tabs>
          <w:tab w:val="left" w:pos="936"/>
        </w:tabs>
        <w:spacing w:after="0" w:line="276" w:lineRule="auto"/>
        <w:rPr>
          <w:rFonts w:eastAsia="Times New Roman"/>
          <w:szCs w:val="28"/>
          <w:lang w:val="ru-MD"/>
        </w:rPr>
      </w:pPr>
      <w:r w:rsidRPr="00295188">
        <w:rPr>
          <w:rFonts w:eastAsia="Times New Roman"/>
          <w:szCs w:val="28"/>
          <w:lang w:val="ru-MD"/>
        </w:rPr>
        <w:t>Мы провели аудит в соответствии с Международными Стандартами Аудита (ISSAI)</w:t>
      </w:r>
      <w:r w:rsidRPr="00295188">
        <w:rPr>
          <w:rFonts w:eastAsia="Times New Roman"/>
          <w:szCs w:val="28"/>
          <w:vertAlign w:val="superscript"/>
          <w:lang w:val="ru-MD"/>
        </w:rPr>
        <w:footnoteReference w:id="3"/>
      </w:r>
      <w:r w:rsidRPr="00295188">
        <w:rPr>
          <w:rFonts w:eastAsia="Times New Roman"/>
          <w:szCs w:val="28"/>
          <w:lang w:val="ru-MD"/>
        </w:rPr>
        <w:t xml:space="preserve">. Наши обязанности, согласно соответствующим стандартам, изложены в </w:t>
      </w:r>
      <w:r w:rsidR="003A631E" w:rsidRPr="00295188">
        <w:rPr>
          <w:rFonts w:eastAsia="Times New Roman"/>
          <w:szCs w:val="28"/>
          <w:lang w:val="ru-MD"/>
        </w:rPr>
        <w:t>Разделе</w:t>
      </w:r>
      <w:r w:rsidR="00295188">
        <w:rPr>
          <w:rFonts w:eastAsia="Times New Roman"/>
          <w:szCs w:val="28"/>
          <w:lang w:val="ru-MD"/>
        </w:rPr>
        <w:t xml:space="preserve"> </w:t>
      </w:r>
      <w:r w:rsidRPr="00295188">
        <w:rPr>
          <w:rFonts w:eastAsia="Times New Roman"/>
          <w:szCs w:val="28"/>
          <w:lang w:val="ru-MD"/>
        </w:rPr>
        <w:t>V. „Обязанности аудитора в рамках аудита консолидированной финансовой отчетности” настоящего Отчета. Мы независимы от аудируемого учреждения, и выполнили обязанности этики, в соответствии с требованиями Кодекса этики Счетной палаты</w:t>
      </w:r>
      <w:r w:rsidR="0083708F" w:rsidRPr="00295188">
        <w:rPr>
          <w:rFonts w:eastAsia="Times New Roman"/>
          <w:szCs w:val="28"/>
          <w:lang w:val="ru-MD"/>
        </w:rPr>
        <w:t>.</w:t>
      </w:r>
    </w:p>
    <w:p w:rsidR="00AE4C2D" w:rsidRPr="00295188" w:rsidRDefault="00AE4C2D" w:rsidP="00AE4C2D">
      <w:pPr>
        <w:tabs>
          <w:tab w:val="left" w:pos="936"/>
        </w:tabs>
        <w:spacing w:after="0" w:line="276" w:lineRule="auto"/>
        <w:rPr>
          <w:rFonts w:eastAsia="Times New Roman"/>
          <w:szCs w:val="28"/>
          <w:lang w:val="ru-MD"/>
        </w:rPr>
      </w:pPr>
    </w:p>
    <w:p w:rsidR="005646A9" w:rsidRPr="00295188" w:rsidRDefault="00F22D7A" w:rsidP="00BC6479">
      <w:pPr>
        <w:spacing w:line="276" w:lineRule="auto"/>
        <w:rPr>
          <w:szCs w:val="28"/>
          <w:lang w:val="ru-MD"/>
        </w:rPr>
      </w:pPr>
      <w:r w:rsidRPr="00295188">
        <w:rPr>
          <w:rFonts w:cs="Times New Roman"/>
          <w:szCs w:val="28"/>
          <w:lang w:val="ru-MD"/>
        </w:rPr>
        <w:t xml:space="preserve">Условное мнение обусловлено </w:t>
      </w:r>
      <w:r w:rsidRPr="00295188">
        <w:rPr>
          <w:rFonts w:cs="Times New Roman"/>
          <w:b/>
          <w:i/>
          <w:szCs w:val="28"/>
          <w:lang w:val="ru-MD"/>
        </w:rPr>
        <w:t>влиянием существенных искажений</w:t>
      </w:r>
      <w:r w:rsidRPr="00295188">
        <w:rPr>
          <w:rFonts w:cs="Times New Roman"/>
          <w:szCs w:val="28"/>
          <w:lang w:val="ru-MD"/>
        </w:rPr>
        <w:t xml:space="preserve">, на сумму 59,7 </w:t>
      </w:r>
      <w:r w:rsidR="00295188">
        <w:rPr>
          <w:rFonts w:cs="Times New Roman"/>
          <w:szCs w:val="28"/>
          <w:lang w:val="ru-MD"/>
        </w:rPr>
        <w:t>млн. МДЛ</w:t>
      </w:r>
      <w:r w:rsidRPr="00295188">
        <w:rPr>
          <w:rFonts w:cs="Times New Roman"/>
          <w:szCs w:val="28"/>
          <w:lang w:val="ru-MD"/>
        </w:rPr>
        <w:t xml:space="preserve">, связанных с </w:t>
      </w:r>
      <w:r w:rsidRPr="00295188">
        <w:rPr>
          <w:rFonts w:cs="Times New Roman"/>
          <w:i/>
          <w:szCs w:val="28"/>
          <w:lang w:val="ru-MD"/>
        </w:rPr>
        <w:t>неисключением взаимных доходов и расходов</w:t>
      </w:r>
      <w:r w:rsidRPr="00295188">
        <w:rPr>
          <w:rFonts w:cs="Times New Roman"/>
          <w:szCs w:val="28"/>
          <w:lang w:val="ru-MD"/>
        </w:rPr>
        <w:t xml:space="preserve">, проведенных в рамках Министерства финансов, что отрицательно повлияло на Отчет о доходах и расходах министерства, а также </w:t>
      </w:r>
      <w:r w:rsidRPr="00295188">
        <w:rPr>
          <w:rFonts w:cs="Times New Roman"/>
          <w:b/>
          <w:i/>
          <w:szCs w:val="28"/>
          <w:lang w:val="ru-MD"/>
        </w:rPr>
        <w:t>возможным влиянием искажений</w:t>
      </w:r>
      <w:r w:rsidRPr="00295188">
        <w:rPr>
          <w:rFonts w:cs="Times New Roman"/>
          <w:szCs w:val="28"/>
          <w:lang w:val="ru-MD"/>
        </w:rPr>
        <w:t xml:space="preserve">, связанных с невозможностью подтверждения справедливой стоимости имущества (463,9 млн. </w:t>
      </w:r>
      <w:r w:rsidR="00295188">
        <w:rPr>
          <w:rFonts w:cs="Times New Roman"/>
          <w:szCs w:val="28"/>
          <w:lang w:val="ru-MD"/>
        </w:rPr>
        <w:t>МДЛ</w:t>
      </w:r>
      <w:r w:rsidRPr="00295188">
        <w:rPr>
          <w:rFonts w:cs="Times New Roman"/>
          <w:szCs w:val="28"/>
          <w:lang w:val="ru-MD"/>
        </w:rPr>
        <w:t>), котор</w:t>
      </w:r>
      <w:r w:rsidR="003A631E" w:rsidRPr="00295188">
        <w:rPr>
          <w:rFonts w:cs="Times New Roman"/>
          <w:szCs w:val="28"/>
          <w:lang w:val="ru-MD"/>
        </w:rPr>
        <w:t>о</w:t>
      </w:r>
      <w:r w:rsidRPr="00295188">
        <w:rPr>
          <w:rFonts w:cs="Times New Roman"/>
          <w:szCs w:val="28"/>
          <w:lang w:val="ru-MD"/>
        </w:rPr>
        <w:t xml:space="preserve">е, </w:t>
      </w:r>
      <w:r w:rsidR="003A631E" w:rsidRPr="00295188">
        <w:rPr>
          <w:rFonts w:cs="Times New Roman"/>
          <w:szCs w:val="28"/>
          <w:lang w:val="ru-MD"/>
        </w:rPr>
        <w:t>согласно</w:t>
      </w:r>
      <w:r w:rsidRPr="00295188">
        <w:rPr>
          <w:rFonts w:cs="Times New Roman"/>
          <w:szCs w:val="28"/>
          <w:lang w:val="ru-MD"/>
        </w:rPr>
        <w:t xml:space="preserve"> консолидированно</w:t>
      </w:r>
      <w:r w:rsidR="003A631E" w:rsidRPr="00295188">
        <w:rPr>
          <w:rFonts w:cs="Times New Roman"/>
          <w:szCs w:val="28"/>
          <w:lang w:val="ru-MD"/>
        </w:rPr>
        <w:t>му</w:t>
      </w:r>
      <w:r w:rsidRPr="00295188">
        <w:rPr>
          <w:rFonts w:cs="Times New Roman"/>
          <w:szCs w:val="28"/>
          <w:lang w:val="ru-MD"/>
        </w:rPr>
        <w:t xml:space="preserve"> бухгалтерско</w:t>
      </w:r>
      <w:r w:rsidR="003A631E" w:rsidRPr="00295188">
        <w:rPr>
          <w:rFonts w:cs="Times New Roman"/>
          <w:szCs w:val="28"/>
          <w:lang w:val="ru-MD"/>
        </w:rPr>
        <w:t>му</w:t>
      </w:r>
      <w:r w:rsidRPr="00295188">
        <w:rPr>
          <w:rFonts w:cs="Times New Roman"/>
          <w:szCs w:val="28"/>
          <w:lang w:val="ru-MD"/>
        </w:rPr>
        <w:t xml:space="preserve"> баланс</w:t>
      </w:r>
      <w:r w:rsidR="003A631E" w:rsidRPr="00295188">
        <w:rPr>
          <w:rFonts w:cs="Times New Roman"/>
          <w:szCs w:val="28"/>
          <w:lang w:val="ru-MD"/>
        </w:rPr>
        <w:t>у</w:t>
      </w:r>
      <w:r w:rsidRPr="00295188">
        <w:rPr>
          <w:rFonts w:cs="Times New Roman"/>
          <w:szCs w:val="28"/>
          <w:lang w:val="ru-MD"/>
        </w:rPr>
        <w:t xml:space="preserve">, включает: здания (375,6 </w:t>
      </w:r>
      <w:r w:rsidR="00295188">
        <w:rPr>
          <w:rFonts w:cs="Times New Roman"/>
          <w:szCs w:val="28"/>
          <w:lang w:val="ru-MD"/>
        </w:rPr>
        <w:t>млн. МДЛ</w:t>
      </w:r>
      <w:r w:rsidRPr="00295188">
        <w:rPr>
          <w:rFonts w:cs="Times New Roman"/>
          <w:szCs w:val="28"/>
          <w:lang w:val="ru-MD"/>
        </w:rPr>
        <w:t>), зем</w:t>
      </w:r>
      <w:r w:rsidR="003A631E" w:rsidRPr="00295188">
        <w:rPr>
          <w:rFonts w:cs="Times New Roman"/>
          <w:szCs w:val="28"/>
          <w:lang w:val="ru-MD"/>
        </w:rPr>
        <w:t>ельные участки</w:t>
      </w:r>
      <w:r w:rsidRPr="00295188">
        <w:rPr>
          <w:rFonts w:cs="Times New Roman"/>
          <w:szCs w:val="28"/>
          <w:lang w:val="ru-MD"/>
        </w:rPr>
        <w:t xml:space="preserve"> (30,6 </w:t>
      </w:r>
      <w:r w:rsidR="00295188">
        <w:rPr>
          <w:rFonts w:cs="Times New Roman"/>
          <w:szCs w:val="28"/>
          <w:lang w:val="ru-MD"/>
        </w:rPr>
        <w:t>млн. МДЛ</w:t>
      </w:r>
      <w:r w:rsidRPr="00295188">
        <w:rPr>
          <w:rFonts w:cs="Times New Roman"/>
          <w:szCs w:val="28"/>
          <w:lang w:val="ru-MD"/>
        </w:rPr>
        <w:t xml:space="preserve">), </w:t>
      </w:r>
      <w:r w:rsidR="003A631E" w:rsidRPr="00295188">
        <w:rPr>
          <w:rFonts w:cs="Times New Roman"/>
          <w:szCs w:val="28"/>
          <w:lang w:val="ru-MD"/>
        </w:rPr>
        <w:t xml:space="preserve">незавершенные </w:t>
      </w:r>
      <w:r w:rsidRPr="00295188">
        <w:rPr>
          <w:rFonts w:cs="Times New Roman"/>
          <w:szCs w:val="28"/>
          <w:lang w:val="ru-MD"/>
        </w:rPr>
        <w:t>активы (57,7</w:t>
      </w:r>
      <w:r w:rsidR="003A631E" w:rsidRPr="00295188">
        <w:rPr>
          <w:rFonts w:cs="Times New Roman"/>
          <w:szCs w:val="28"/>
          <w:lang w:val="ru-MD"/>
        </w:rPr>
        <w:t xml:space="preserve"> </w:t>
      </w:r>
      <w:r w:rsidR="00295188">
        <w:rPr>
          <w:rFonts w:cs="Times New Roman"/>
          <w:szCs w:val="28"/>
          <w:lang w:val="ru-MD"/>
        </w:rPr>
        <w:t>млн. МДЛ</w:t>
      </w:r>
      <w:r w:rsidRPr="00295188">
        <w:rPr>
          <w:rFonts w:cs="Times New Roman"/>
          <w:szCs w:val="28"/>
          <w:lang w:val="ru-MD"/>
        </w:rPr>
        <w:t xml:space="preserve">). Вместе с тем, влияние ошибки, </w:t>
      </w:r>
      <w:r w:rsidR="003A631E" w:rsidRPr="00295188">
        <w:rPr>
          <w:rFonts w:cs="Times New Roman"/>
          <w:szCs w:val="28"/>
          <w:lang w:val="ru-MD"/>
        </w:rPr>
        <w:lastRenderedPageBreak/>
        <w:t>генерируемой И</w:t>
      </w:r>
      <w:r w:rsidRPr="00295188">
        <w:rPr>
          <w:rFonts w:cs="Times New Roman"/>
          <w:szCs w:val="28"/>
          <w:lang w:val="ru-MD"/>
        </w:rPr>
        <w:t xml:space="preserve">нформационной </w:t>
      </w:r>
      <w:r w:rsidR="003A631E" w:rsidRPr="00295188">
        <w:rPr>
          <w:rFonts w:cs="Times New Roman"/>
          <w:szCs w:val="28"/>
          <w:lang w:val="ru-MD"/>
        </w:rPr>
        <w:t>с</w:t>
      </w:r>
      <w:r w:rsidRPr="00295188">
        <w:rPr>
          <w:rFonts w:cs="Times New Roman"/>
          <w:szCs w:val="28"/>
          <w:lang w:val="ru-MD"/>
        </w:rPr>
        <w:t>истем</w:t>
      </w:r>
      <w:r w:rsidR="003A631E" w:rsidRPr="00295188">
        <w:rPr>
          <w:rFonts w:cs="Times New Roman"/>
          <w:szCs w:val="28"/>
          <w:lang w:val="ru-MD"/>
        </w:rPr>
        <w:t>ой</w:t>
      </w:r>
      <w:r w:rsidRPr="00295188">
        <w:rPr>
          <w:rFonts w:cs="Times New Roman"/>
          <w:szCs w:val="28"/>
          <w:lang w:val="ru-MD"/>
        </w:rPr>
        <w:t xml:space="preserve"> бухгалтерского учета при расчете износа, не может быть </w:t>
      </w:r>
      <w:r w:rsidR="003A631E" w:rsidRPr="00295188">
        <w:rPr>
          <w:rFonts w:cs="Times New Roman"/>
          <w:szCs w:val="28"/>
          <w:lang w:val="ru-MD"/>
        </w:rPr>
        <w:t>измерено</w:t>
      </w:r>
      <w:r w:rsidRPr="00295188">
        <w:rPr>
          <w:rFonts w:cs="Times New Roman"/>
          <w:szCs w:val="28"/>
          <w:lang w:val="ru-MD"/>
        </w:rPr>
        <w:t>. Наши ограничения</w:t>
      </w:r>
      <w:r w:rsidR="003A631E" w:rsidRPr="00295188">
        <w:rPr>
          <w:rFonts w:cs="Times New Roman"/>
          <w:szCs w:val="28"/>
          <w:lang w:val="ru-MD"/>
        </w:rPr>
        <w:t>, касающиеся</w:t>
      </w:r>
      <w:r w:rsidRPr="00295188">
        <w:rPr>
          <w:rFonts w:cs="Times New Roman"/>
          <w:szCs w:val="28"/>
          <w:lang w:val="ru-MD"/>
        </w:rPr>
        <w:t xml:space="preserve"> невозможности подтверждения </w:t>
      </w:r>
      <w:r w:rsidR="003A631E" w:rsidRPr="00295188">
        <w:rPr>
          <w:rFonts w:cs="Times New Roman"/>
          <w:szCs w:val="28"/>
          <w:lang w:val="ru-MD"/>
        </w:rPr>
        <w:t xml:space="preserve">значительных </w:t>
      </w:r>
      <w:r w:rsidRPr="00295188">
        <w:rPr>
          <w:rFonts w:cs="Times New Roman"/>
          <w:szCs w:val="28"/>
          <w:lang w:val="ru-MD"/>
        </w:rPr>
        <w:t>справедлив</w:t>
      </w:r>
      <w:r w:rsidR="003A631E" w:rsidRPr="00295188">
        <w:rPr>
          <w:rFonts w:cs="Times New Roman"/>
          <w:szCs w:val="28"/>
          <w:lang w:val="ru-MD"/>
        </w:rPr>
        <w:t>ых сумм,</w:t>
      </w:r>
      <w:r w:rsidRPr="00295188">
        <w:rPr>
          <w:rFonts w:cs="Times New Roman"/>
          <w:szCs w:val="28"/>
          <w:lang w:val="ru-MD"/>
        </w:rPr>
        <w:t xml:space="preserve"> изложены в </w:t>
      </w:r>
      <w:r w:rsidR="003A631E" w:rsidRPr="00295188">
        <w:rPr>
          <w:rFonts w:cs="Times New Roman"/>
          <w:szCs w:val="28"/>
          <w:lang w:val="ru-MD"/>
        </w:rPr>
        <w:t>Разделе</w:t>
      </w:r>
      <w:r w:rsidRPr="00295188">
        <w:rPr>
          <w:rFonts w:cs="Times New Roman"/>
          <w:szCs w:val="28"/>
          <w:lang w:val="ru-MD"/>
        </w:rPr>
        <w:t xml:space="preserve"> III. „</w:t>
      </w:r>
      <w:r w:rsidR="003A631E" w:rsidRPr="00295188">
        <w:rPr>
          <w:rFonts w:cs="Times New Roman"/>
          <w:szCs w:val="28"/>
          <w:lang w:val="ru-MD"/>
        </w:rPr>
        <w:t>Ключевые</w:t>
      </w:r>
      <w:r w:rsidRPr="00295188">
        <w:rPr>
          <w:rFonts w:cs="Times New Roman"/>
          <w:szCs w:val="28"/>
          <w:lang w:val="ru-MD"/>
        </w:rPr>
        <w:t xml:space="preserve"> аспекты аудита”</w:t>
      </w:r>
      <w:r w:rsidR="00276A70" w:rsidRPr="00295188">
        <w:rPr>
          <w:rFonts w:cs="Times New Roman"/>
          <w:szCs w:val="28"/>
          <w:lang w:val="ru-MD"/>
        </w:rPr>
        <w:t>.</w:t>
      </w:r>
    </w:p>
    <w:p w:rsidR="000F60EA" w:rsidRPr="00295188" w:rsidRDefault="000F60EA" w:rsidP="006F613D">
      <w:pPr>
        <w:tabs>
          <w:tab w:val="left" w:pos="936"/>
        </w:tabs>
        <w:spacing w:after="0" w:line="240" w:lineRule="auto"/>
        <w:rPr>
          <w:color w:val="FF0000"/>
          <w:szCs w:val="28"/>
          <w:shd w:val="clear" w:color="auto" w:fill="FFFFFF"/>
          <w:lang w:val="ru-MD" w:eastAsia="ja-JP"/>
        </w:rPr>
      </w:pPr>
    </w:p>
    <w:p w:rsidR="00276A70" w:rsidRPr="00295188" w:rsidRDefault="00276A70" w:rsidP="00BC6479">
      <w:pPr>
        <w:tabs>
          <w:tab w:val="left" w:pos="426"/>
        </w:tabs>
        <w:spacing w:after="0" w:line="276" w:lineRule="auto"/>
        <w:outlineLvl w:val="0"/>
        <w:rPr>
          <w:rFonts w:cs="Times New Roman"/>
          <w:b/>
          <w:sz w:val="32"/>
          <w:szCs w:val="32"/>
          <w:lang w:val="ru-MD"/>
        </w:rPr>
      </w:pPr>
      <w:bookmarkStart w:id="4" w:name="_Toc506212732"/>
    </w:p>
    <w:p w:rsidR="00CC6E7A" w:rsidRPr="00295188" w:rsidRDefault="004E6E5A" w:rsidP="00276A70">
      <w:pPr>
        <w:pStyle w:val="ListParagraph"/>
        <w:numPr>
          <w:ilvl w:val="0"/>
          <w:numId w:val="21"/>
        </w:numPr>
        <w:tabs>
          <w:tab w:val="left" w:pos="426"/>
        </w:tabs>
        <w:spacing w:after="0" w:line="276" w:lineRule="auto"/>
        <w:jc w:val="center"/>
        <w:outlineLvl w:val="0"/>
        <w:rPr>
          <w:rFonts w:cs="Times New Roman"/>
          <w:b/>
          <w:sz w:val="32"/>
          <w:szCs w:val="32"/>
          <w:lang w:val="ru-MD"/>
        </w:rPr>
      </w:pPr>
      <w:bookmarkStart w:id="5" w:name="_Toc519878941"/>
      <w:r w:rsidRPr="00295188">
        <w:rPr>
          <w:rFonts w:cs="Times New Roman"/>
          <w:b/>
          <w:sz w:val="32"/>
          <w:szCs w:val="32"/>
          <w:lang w:val="ru-MD"/>
        </w:rPr>
        <w:t>КЛЮЧЕВЫЕАСПЕКТЫАУДИТА</w:t>
      </w:r>
      <w:bookmarkEnd w:id="4"/>
      <w:bookmarkEnd w:id="5"/>
    </w:p>
    <w:p w:rsidR="00276A70" w:rsidRPr="00295188" w:rsidRDefault="00276A70" w:rsidP="00276A70">
      <w:pPr>
        <w:pStyle w:val="ListParagraph"/>
        <w:tabs>
          <w:tab w:val="left" w:pos="426"/>
        </w:tabs>
        <w:spacing w:after="0" w:line="276" w:lineRule="auto"/>
        <w:ind w:left="1080"/>
        <w:outlineLvl w:val="0"/>
        <w:rPr>
          <w:rFonts w:cs="Times New Roman"/>
          <w:b/>
          <w:szCs w:val="28"/>
          <w:lang w:val="ru-MD"/>
        </w:rPr>
      </w:pPr>
    </w:p>
    <w:p w:rsidR="00931060" w:rsidRPr="00295188" w:rsidRDefault="00276A70" w:rsidP="00BC6479">
      <w:pPr>
        <w:pStyle w:val="NormalWeb"/>
        <w:spacing w:line="276" w:lineRule="auto"/>
        <w:rPr>
          <w:sz w:val="28"/>
          <w:szCs w:val="28"/>
          <w:lang w:val="ru-MD"/>
        </w:rPr>
      </w:pPr>
      <w:r w:rsidRPr="00295188">
        <w:rPr>
          <w:b/>
          <w:sz w:val="28"/>
          <w:szCs w:val="28"/>
          <w:lang w:val="ru-MD"/>
        </w:rPr>
        <w:t>3</w:t>
      </w:r>
      <w:r w:rsidR="001C796D" w:rsidRPr="00295188">
        <w:rPr>
          <w:b/>
          <w:sz w:val="28"/>
          <w:szCs w:val="28"/>
          <w:lang w:val="ru-MD"/>
        </w:rPr>
        <w:t xml:space="preserve">.1. </w:t>
      </w:r>
      <w:r w:rsidR="004E6E5A" w:rsidRPr="00295188">
        <w:rPr>
          <w:sz w:val="28"/>
          <w:szCs w:val="28"/>
          <w:lang w:val="ru-MD"/>
        </w:rPr>
        <w:t xml:space="preserve">Нормативная база </w:t>
      </w:r>
      <w:r w:rsidR="007367A4" w:rsidRPr="00295188">
        <w:rPr>
          <w:sz w:val="28"/>
          <w:szCs w:val="28"/>
          <w:lang w:val="ru-MD"/>
        </w:rPr>
        <w:t xml:space="preserve">по </w:t>
      </w:r>
      <w:r w:rsidR="004E6E5A" w:rsidRPr="00295188">
        <w:rPr>
          <w:sz w:val="28"/>
          <w:szCs w:val="28"/>
          <w:lang w:val="ru-MD"/>
        </w:rPr>
        <w:t xml:space="preserve">финансовой отчетности, а также </w:t>
      </w:r>
      <w:r w:rsidR="007367A4" w:rsidRPr="00295188">
        <w:rPr>
          <w:sz w:val="28"/>
          <w:szCs w:val="28"/>
          <w:lang w:val="ru-MD"/>
        </w:rPr>
        <w:t>У</w:t>
      </w:r>
      <w:r w:rsidR="004E6E5A" w:rsidRPr="00295188">
        <w:rPr>
          <w:sz w:val="28"/>
          <w:szCs w:val="28"/>
          <w:lang w:val="ru-MD"/>
        </w:rPr>
        <w:t xml:space="preserve">четная </w:t>
      </w:r>
      <w:r w:rsidR="007367A4" w:rsidRPr="00295188">
        <w:rPr>
          <w:sz w:val="28"/>
          <w:szCs w:val="28"/>
          <w:lang w:val="ru-MD"/>
        </w:rPr>
        <w:t>п</w:t>
      </w:r>
      <w:r w:rsidR="004E6E5A" w:rsidRPr="00295188">
        <w:rPr>
          <w:sz w:val="28"/>
          <w:szCs w:val="28"/>
          <w:lang w:val="ru-MD"/>
        </w:rPr>
        <w:t xml:space="preserve">олитика министерства не </w:t>
      </w:r>
      <w:r w:rsidR="007367A4" w:rsidRPr="00295188">
        <w:rPr>
          <w:sz w:val="28"/>
          <w:szCs w:val="28"/>
          <w:lang w:val="ru-MD"/>
        </w:rPr>
        <w:t>предусматр</w:t>
      </w:r>
      <w:r w:rsidR="004E6E5A" w:rsidRPr="00295188">
        <w:rPr>
          <w:sz w:val="28"/>
          <w:szCs w:val="28"/>
          <w:lang w:val="ru-MD"/>
        </w:rPr>
        <w:t xml:space="preserve">ивают правила и процедуры консолидации финансовой информации при составлении </w:t>
      </w:r>
      <w:r w:rsidR="007367A4" w:rsidRPr="00295188">
        <w:rPr>
          <w:sz w:val="28"/>
          <w:szCs w:val="28"/>
          <w:lang w:val="ru-MD"/>
        </w:rPr>
        <w:t xml:space="preserve">консолидированной </w:t>
      </w:r>
      <w:r w:rsidR="004E6E5A" w:rsidRPr="00295188">
        <w:rPr>
          <w:sz w:val="28"/>
          <w:szCs w:val="28"/>
          <w:lang w:val="ru-MD"/>
        </w:rPr>
        <w:t xml:space="preserve">финансовой отчетности. Таким образом, в 2017 году не были </w:t>
      </w:r>
      <w:r w:rsidR="007367A4" w:rsidRPr="00295188">
        <w:rPr>
          <w:sz w:val="28"/>
          <w:szCs w:val="28"/>
          <w:lang w:val="ru-MD"/>
        </w:rPr>
        <w:t>исключ</w:t>
      </w:r>
      <w:r w:rsidR="004E6E5A" w:rsidRPr="00295188">
        <w:rPr>
          <w:sz w:val="28"/>
          <w:szCs w:val="28"/>
          <w:lang w:val="ru-MD"/>
        </w:rPr>
        <w:t>ены взаимны</w:t>
      </w:r>
      <w:r w:rsidR="007367A4" w:rsidRPr="00295188">
        <w:rPr>
          <w:sz w:val="28"/>
          <w:szCs w:val="28"/>
          <w:lang w:val="ru-MD"/>
        </w:rPr>
        <w:t>е операции</w:t>
      </w:r>
      <w:r w:rsidR="004E6E5A" w:rsidRPr="00295188">
        <w:rPr>
          <w:sz w:val="28"/>
          <w:szCs w:val="28"/>
          <w:lang w:val="ru-MD"/>
        </w:rPr>
        <w:t xml:space="preserve">, что привело к увеличению доходов и расходов </w:t>
      </w:r>
      <w:r w:rsidR="007367A4" w:rsidRPr="00295188">
        <w:rPr>
          <w:sz w:val="28"/>
          <w:szCs w:val="28"/>
          <w:lang w:val="ru-MD"/>
        </w:rPr>
        <w:t>на</w:t>
      </w:r>
      <w:r w:rsidR="004E6E5A" w:rsidRPr="00295188">
        <w:rPr>
          <w:sz w:val="28"/>
          <w:szCs w:val="28"/>
          <w:lang w:val="ru-MD"/>
        </w:rPr>
        <w:t xml:space="preserve"> 59,7 </w:t>
      </w:r>
      <w:r w:rsidR="00295188">
        <w:rPr>
          <w:sz w:val="28"/>
          <w:szCs w:val="28"/>
          <w:lang w:val="ru-MD"/>
        </w:rPr>
        <w:t>млн. МДЛ</w:t>
      </w:r>
      <w:r w:rsidR="007367A4" w:rsidRPr="00295188">
        <w:rPr>
          <w:rStyle w:val="FootnoteReference"/>
          <w:sz w:val="28"/>
          <w:szCs w:val="28"/>
          <w:lang w:val="ru-MD"/>
        </w:rPr>
        <w:footnoteReference w:id="4"/>
      </w:r>
      <w:r w:rsidR="004E6E5A" w:rsidRPr="00295188">
        <w:rPr>
          <w:sz w:val="28"/>
          <w:szCs w:val="28"/>
          <w:lang w:val="ru-MD"/>
        </w:rPr>
        <w:t xml:space="preserve">, </w:t>
      </w:r>
      <w:r w:rsidR="007367A4" w:rsidRPr="00295188">
        <w:rPr>
          <w:sz w:val="28"/>
          <w:szCs w:val="28"/>
          <w:lang w:val="ru-MD"/>
        </w:rPr>
        <w:t>чем</w:t>
      </w:r>
      <w:r w:rsidR="004E6E5A" w:rsidRPr="00295188">
        <w:rPr>
          <w:sz w:val="28"/>
          <w:szCs w:val="28"/>
          <w:lang w:val="ru-MD"/>
        </w:rPr>
        <w:t xml:space="preserve"> был</w:t>
      </w:r>
      <w:r w:rsidR="007367A4" w:rsidRPr="00295188">
        <w:rPr>
          <w:sz w:val="28"/>
          <w:szCs w:val="28"/>
          <w:lang w:val="ru-MD"/>
        </w:rPr>
        <w:t>а</w:t>
      </w:r>
      <w:r w:rsidR="004E6E5A" w:rsidRPr="00295188">
        <w:rPr>
          <w:sz w:val="28"/>
          <w:szCs w:val="28"/>
          <w:lang w:val="ru-MD"/>
        </w:rPr>
        <w:t xml:space="preserve"> искажен</w:t>
      </w:r>
      <w:r w:rsidR="007367A4" w:rsidRPr="00295188">
        <w:rPr>
          <w:sz w:val="28"/>
          <w:szCs w:val="28"/>
          <w:lang w:val="ru-MD"/>
        </w:rPr>
        <w:t>а</w:t>
      </w:r>
      <w:r w:rsidR="00295188">
        <w:rPr>
          <w:sz w:val="28"/>
          <w:szCs w:val="28"/>
          <w:lang w:val="ru-MD"/>
        </w:rPr>
        <w:t xml:space="preserve"> к</w:t>
      </w:r>
      <w:r w:rsidR="004E6E5A" w:rsidRPr="00295188">
        <w:rPr>
          <w:sz w:val="28"/>
          <w:szCs w:val="28"/>
          <w:lang w:val="ru-MD"/>
        </w:rPr>
        <w:t>онсолидированн</w:t>
      </w:r>
      <w:r w:rsidR="007367A4" w:rsidRPr="00295188">
        <w:rPr>
          <w:sz w:val="28"/>
          <w:szCs w:val="28"/>
          <w:lang w:val="ru-MD"/>
        </w:rPr>
        <w:t>ая</w:t>
      </w:r>
      <w:r w:rsidR="004E6E5A" w:rsidRPr="00295188">
        <w:rPr>
          <w:sz w:val="28"/>
          <w:szCs w:val="28"/>
          <w:lang w:val="ru-MD"/>
        </w:rPr>
        <w:t xml:space="preserve"> финансов</w:t>
      </w:r>
      <w:r w:rsidR="007367A4" w:rsidRPr="00295188">
        <w:rPr>
          <w:sz w:val="28"/>
          <w:szCs w:val="28"/>
          <w:lang w:val="ru-MD"/>
        </w:rPr>
        <w:t>ая</w:t>
      </w:r>
      <w:r w:rsidR="00295188">
        <w:rPr>
          <w:sz w:val="28"/>
          <w:szCs w:val="28"/>
          <w:lang w:val="ru-MD"/>
        </w:rPr>
        <w:t xml:space="preserve"> </w:t>
      </w:r>
      <w:r w:rsidR="007367A4" w:rsidRPr="00295188">
        <w:rPr>
          <w:sz w:val="28"/>
          <w:szCs w:val="28"/>
          <w:lang w:val="ru-MD"/>
        </w:rPr>
        <w:t>о</w:t>
      </w:r>
      <w:r w:rsidR="004E6E5A" w:rsidRPr="00295188">
        <w:rPr>
          <w:sz w:val="28"/>
          <w:szCs w:val="28"/>
          <w:lang w:val="ru-MD"/>
        </w:rPr>
        <w:t>тчет</w:t>
      </w:r>
      <w:r w:rsidR="007367A4" w:rsidRPr="00295188">
        <w:rPr>
          <w:sz w:val="28"/>
          <w:szCs w:val="28"/>
          <w:lang w:val="ru-MD"/>
        </w:rPr>
        <w:t>ность</w:t>
      </w:r>
      <w:r w:rsidR="004E6E5A" w:rsidRPr="00295188">
        <w:rPr>
          <w:sz w:val="28"/>
          <w:szCs w:val="28"/>
          <w:lang w:val="ru-MD"/>
        </w:rPr>
        <w:t xml:space="preserve"> Министерства </w:t>
      </w:r>
      <w:r w:rsidR="007367A4" w:rsidRPr="00295188">
        <w:rPr>
          <w:sz w:val="28"/>
          <w:szCs w:val="28"/>
          <w:lang w:val="ru-MD"/>
        </w:rPr>
        <w:t>ф</w:t>
      </w:r>
      <w:r w:rsidR="004E6E5A" w:rsidRPr="00295188">
        <w:rPr>
          <w:sz w:val="28"/>
          <w:szCs w:val="28"/>
          <w:lang w:val="ru-MD"/>
        </w:rPr>
        <w:t>инансов</w:t>
      </w:r>
      <w:r w:rsidR="007367A4" w:rsidRPr="00295188">
        <w:rPr>
          <w:sz w:val="28"/>
          <w:szCs w:val="28"/>
          <w:lang w:val="ru-MD"/>
        </w:rPr>
        <w:t xml:space="preserve"> по состоянию</w:t>
      </w:r>
      <w:r w:rsidR="004E6E5A" w:rsidRPr="00295188">
        <w:rPr>
          <w:sz w:val="28"/>
          <w:szCs w:val="28"/>
          <w:lang w:val="ru-MD"/>
        </w:rPr>
        <w:t xml:space="preserve"> на 31 декабря 2017 года</w:t>
      </w:r>
      <w:r w:rsidR="004B447B" w:rsidRPr="00295188">
        <w:rPr>
          <w:rStyle w:val="FootnoteReference"/>
          <w:sz w:val="28"/>
          <w:szCs w:val="28"/>
          <w:lang w:val="ru-MD"/>
        </w:rPr>
        <w:footnoteReference w:id="5"/>
      </w:r>
      <w:r w:rsidR="004B447B" w:rsidRPr="00295188">
        <w:rPr>
          <w:sz w:val="28"/>
          <w:szCs w:val="28"/>
          <w:lang w:val="ru-MD"/>
        </w:rPr>
        <w:t>.</w:t>
      </w:r>
    </w:p>
    <w:p w:rsidR="00AC6E3E" w:rsidRPr="00295188" w:rsidRDefault="00DB4CA4" w:rsidP="00BC6479">
      <w:pPr>
        <w:spacing w:line="276" w:lineRule="auto"/>
        <w:rPr>
          <w:rFonts w:eastAsia="Times New Roman" w:cs="Times New Roman"/>
          <w:i/>
          <w:szCs w:val="28"/>
          <w:lang w:val="ru-MD"/>
        </w:rPr>
      </w:pPr>
      <w:r w:rsidRPr="00295188">
        <w:rPr>
          <w:rFonts w:eastAsia="Times New Roman" w:cs="Times New Roman"/>
          <w:b/>
          <w:szCs w:val="28"/>
          <w:lang w:val="ru-MD"/>
        </w:rPr>
        <w:t>3</w:t>
      </w:r>
      <w:r w:rsidR="008E2744" w:rsidRPr="00295188">
        <w:rPr>
          <w:rFonts w:eastAsia="Times New Roman" w:cs="Times New Roman"/>
          <w:b/>
          <w:szCs w:val="28"/>
          <w:lang w:val="ru-MD"/>
        </w:rPr>
        <w:t xml:space="preserve">.2. </w:t>
      </w:r>
      <w:r w:rsidR="007367A4" w:rsidRPr="00295188">
        <w:rPr>
          <w:rFonts w:eastAsia="Times New Roman" w:cs="Times New Roman"/>
          <w:szCs w:val="28"/>
          <w:lang w:val="ru-MD"/>
        </w:rPr>
        <w:t>Нам не представляется возможным выразить мнение</w:t>
      </w:r>
      <w:r w:rsidR="004E6E5A" w:rsidRPr="00295188">
        <w:rPr>
          <w:rFonts w:eastAsia="Times New Roman" w:cs="Times New Roman"/>
          <w:szCs w:val="28"/>
          <w:lang w:val="ru-MD"/>
        </w:rPr>
        <w:t xml:space="preserve"> о достоверности стоимости активов, представленн</w:t>
      </w:r>
      <w:r w:rsidR="007367A4" w:rsidRPr="00295188">
        <w:rPr>
          <w:rFonts w:eastAsia="Times New Roman" w:cs="Times New Roman"/>
          <w:szCs w:val="28"/>
          <w:lang w:val="ru-MD"/>
        </w:rPr>
        <w:t>ой</w:t>
      </w:r>
      <w:r w:rsidR="004E6E5A" w:rsidRPr="00295188">
        <w:rPr>
          <w:rFonts w:eastAsia="Times New Roman" w:cs="Times New Roman"/>
          <w:szCs w:val="28"/>
          <w:lang w:val="ru-MD"/>
        </w:rPr>
        <w:t xml:space="preserve"> в консолидированн</w:t>
      </w:r>
      <w:r w:rsidR="007367A4" w:rsidRPr="00295188">
        <w:rPr>
          <w:rFonts w:eastAsia="Times New Roman" w:cs="Times New Roman"/>
          <w:szCs w:val="28"/>
          <w:lang w:val="ru-MD"/>
        </w:rPr>
        <w:t>о</w:t>
      </w:r>
      <w:r w:rsidR="004E6E5A" w:rsidRPr="00295188">
        <w:rPr>
          <w:rFonts w:eastAsia="Times New Roman" w:cs="Times New Roman"/>
          <w:szCs w:val="28"/>
          <w:lang w:val="ru-MD"/>
        </w:rPr>
        <w:t>й финансов</w:t>
      </w:r>
      <w:r w:rsidR="007367A4" w:rsidRPr="00295188">
        <w:rPr>
          <w:rFonts w:eastAsia="Times New Roman" w:cs="Times New Roman"/>
          <w:szCs w:val="28"/>
          <w:lang w:val="ru-MD"/>
        </w:rPr>
        <w:t>о</w:t>
      </w:r>
      <w:r w:rsidR="004E6E5A" w:rsidRPr="00295188">
        <w:rPr>
          <w:rFonts w:eastAsia="Times New Roman" w:cs="Times New Roman"/>
          <w:szCs w:val="28"/>
          <w:lang w:val="ru-MD"/>
        </w:rPr>
        <w:t>й отчет</w:t>
      </w:r>
      <w:r w:rsidR="007367A4" w:rsidRPr="00295188">
        <w:rPr>
          <w:rFonts w:eastAsia="Times New Roman" w:cs="Times New Roman"/>
          <w:szCs w:val="28"/>
          <w:lang w:val="ru-MD"/>
        </w:rPr>
        <w:t>ности</w:t>
      </w:r>
      <w:r w:rsidR="004E6E5A" w:rsidRPr="00295188">
        <w:rPr>
          <w:rFonts w:eastAsia="Times New Roman" w:cs="Times New Roman"/>
          <w:szCs w:val="28"/>
          <w:lang w:val="ru-MD"/>
        </w:rPr>
        <w:t xml:space="preserve"> министерства</w:t>
      </w:r>
      <w:r w:rsidR="00C33B6A" w:rsidRPr="00295188">
        <w:rPr>
          <w:rFonts w:eastAsia="Times New Roman" w:cs="Times New Roman"/>
          <w:szCs w:val="28"/>
          <w:lang w:val="ru-MD"/>
        </w:rPr>
        <w:t>.</w:t>
      </w:r>
    </w:p>
    <w:p w:rsidR="00253D18" w:rsidRPr="00295188" w:rsidRDefault="00DB4CA4" w:rsidP="00BC6479">
      <w:pPr>
        <w:spacing w:line="276" w:lineRule="auto"/>
        <w:rPr>
          <w:rFonts w:eastAsia="Times New Roman" w:cs="Times New Roman"/>
          <w:i/>
          <w:szCs w:val="28"/>
          <w:lang w:val="ru-MD"/>
        </w:rPr>
      </w:pPr>
      <w:r w:rsidRPr="00295188">
        <w:rPr>
          <w:rFonts w:eastAsia="Times New Roman" w:cs="Times New Roman"/>
          <w:b/>
          <w:i/>
          <w:szCs w:val="28"/>
          <w:lang w:val="ru-MD"/>
        </w:rPr>
        <w:t>3</w:t>
      </w:r>
      <w:r w:rsidR="008E2744" w:rsidRPr="00295188">
        <w:rPr>
          <w:rFonts w:eastAsia="Times New Roman" w:cs="Times New Roman"/>
          <w:b/>
          <w:i/>
          <w:szCs w:val="28"/>
          <w:lang w:val="ru-MD"/>
        </w:rPr>
        <w:t>.2</w:t>
      </w:r>
      <w:r w:rsidR="00253D18" w:rsidRPr="00295188">
        <w:rPr>
          <w:rFonts w:eastAsia="Times New Roman" w:cs="Times New Roman"/>
          <w:b/>
          <w:i/>
          <w:szCs w:val="28"/>
          <w:lang w:val="ru-MD"/>
        </w:rPr>
        <w:t>.1.</w:t>
      </w:r>
      <w:r w:rsidR="00CF1352">
        <w:rPr>
          <w:rFonts w:eastAsia="Times New Roman" w:cs="Times New Roman"/>
          <w:b/>
          <w:i/>
          <w:szCs w:val="28"/>
          <w:lang w:val="ru-MD"/>
        </w:rPr>
        <w:t xml:space="preserve"> </w:t>
      </w:r>
      <w:r w:rsidR="004E6E5A" w:rsidRPr="00295188">
        <w:rPr>
          <w:i/>
          <w:szCs w:val="28"/>
          <w:lang w:val="ru-MD"/>
        </w:rPr>
        <w:t>Стоимость активов</w:t>
      </w:r>
      <w:r w:rsidR="002F2DB9" w:rsidRPr="00295188">
        <w:rPr>
          <w:i/>
          <w:szCs w:val="28"/>
          <w:lang w:val="ru-MD"/>
        </w:rPr>
        <w:t xml:space="preserve">, отраженная в отчетности, </w:t>
      </w:r>
      <w:r w:rsidR="004E6E5A" w:rsidRPr="00295188">
        <w:rPr>
          <w:i/>
          <w:szCs w:val="28"/>
          <w:lang w:val="ru-MD"/>
        </w:rPr>
        <w:t xml:space="preserve">является </w:t>
      </w:r>
      <w:r w:rsidR="002F2DB9" w:rsidRPr="00295188">
        <w:rPr>
          <w:i/>
          <w:szCs w:val="28"/>
          <w:lang w:val="ru-MD"/>
        </w:rPr>
        <w:t>ненадежной</w:t>
      </w:r>
      <w:r w:rsidR="004E6E5A" w:rsidRPr="00295188">
        <w:rPr>
          <w:i/>
          <w:szCs w:val="28"/>
          <w:lang w:val="ru-MD"/>
        </w:rPr>
        <w:t>,</w:t>
      </w:r>
      <w:r w:rsidR="002F2DB9" w:rsidRPr="00295188">
        <w:rPr>
          <w:i/>
          <w:szCs w:val="28"/>
          <w:lang w:val="ru-MD"/>
        </w:rPr>
        <w:t xml:space="preserve"> учитывая</w:t>
      </w:r>
      <w:r w:rsidR="004E6E5A" w:rsidRPr="00295188">
        <w:rPr>
          <w:i/>
          <w:szCs w:val="28"/>
          <w:lang w:val="ru-MD"/>
        </w:rPr>
        <w:t xml:space="preserve"> несоблюдение </w:t>
      </w:r>
      <w:r w:rsidR="002F2DB9" w:rsidRPr="00295188">
        <w:rPr>
          <w:i/>
          <w:szCs w:val="28"/>
          <w:lang w:val="ru-MD"/>
        </w:rPr>
        <w:t>прудент</w:t>
      </w:r>
      <w:r w:rsidR="004E6E5A" w:rsidRPr="00295188">
        <w:rPr>
          <w:i/>
          <w:szCs w:val="28"/>
          <w:lang w:val="ru-MD"/>
        </w:rPr>
        <w:t>ности при оценке земельных участков и зданий</w:t>
      </w:r>
      <w:r w:rsidR="000078A0" w:rsidRPr="00295188">
        <w:rPr>
          <w:i/>
          <w:szCs w:val="28"/>
          <w:lang w:val="ru-MD"/>
        </w:rPr>
        <w:t>.</w:t>
      </w:r>
    </w:p>
    <w:p w:rsidR="00324FBB" w:rsidRPr="00295188" w:rsidRDefault="004E6E5A" w:rsidP="00324FBB">
      <w:pPr>
        <w:pBdr>
          <w:top w:val="single" w:sz="4" w:space="1" w:color="auto"/>
          <w:left w:val="single" w:sz="4" w:space="4" w:color="auto"/>
          <w:bottom w:val="single" w:sz="4" w:space="1" w:color="auto"/>
          <w:right w:val="single" w:sz="4" w:space="4" w:color="auto"/>
        </w:pBdr>
        <w:shd w:val="clear" w:color="auto" w:fill="DEEAF6" w:themeFill="accent1" w:themeFillTint="33"/>
        <w:rPr>
          <w:rFonts w:eastAsia="Times New Roman" w:cs="Times New Roman"/>
          <w:bCs/>
          <w:szCs w:val="28"/>
          <w:lang w:val="ru-MD"/>
        </w:rPr>
      </w:pPr>
      <w:r w:rsidRPr="00295188">
        <w:rPr>
          <w:rFonts w:eastAsia="Times New Roman" w:cs="Times New Roman"/>
          <w:bCs/>
          <w:szCs w:val="28"/>
          <w:lang w:val="ru-MD"/>
        </w:rPr>
        <w:t xml:space="preserve">Министерство </w:t>
      </w:r>
      <w:r w:rsidR="00C54487" w:rsidRPr="00295188">
        <w:rPr>
          <w:rFonts w:eastAsia="Times New Roman" w:cs="Times New Roman"/>
          <w:bCs/>
          <w:szCs w:val="28"/>
          <w:lang w:val="ru-MD"/>
        </w:rPr>
        <w:t>ф</w:t>
      </w:r>
      <w:r w:rsidRPr="00295188">
        <w:rPr>
          <w:rFonts w:eastAsia="Times New Roman" w:cs="Times New Roman"/>
          <w:bCs/>
          <w:szCs w:val="28"/>
          <w:lang w:val="ru-MD"/>
        </w:rPr>
        <w:t xml:space="preserve">инансов </w:t>
      </w:r>
      <w:r w:rsidR="00C54487" w:rsidRPr="00295188">
        <w:rPr>
          <w:rFonts w:eastAsia="Times New Roman" w:cs="Times New Roman"/>
          <w:bCs/>
          <w:szCs w:val="28"/>
          <w:lang w:val="ru-MD"/>
        </w:rPr>
        <w:t>отразило в отчетности</w:t>
      </w:r>
      <w:r w:rsidRPr="00295188">
        <w:rPr>
          <w:rFonts w:eastAsia="Times New Roman" w:cs="Times New Roman"/>
          <w:bCs/>
          <w:szCs w:val="28"/>
          <w:lang w:val="ru-MD"/>
        </w:rPr>
        <w:t xml:space="preserve"> по состоянию на 31 декабря 2017 здания с балансовой стоимост</w:t>
      </w:r>
      <w:r w:rsidR="00C54487" w:rsidRPr="00295188">
        <w:rPr>
          <w:rFonts w:eastAsia="Times New Roman" w:cs="Times New Roman"/>
          <w:bCs/>
          <w:szCs w:val="28"/>
          <w:lang w:val="ru-MD"/>
        </w:rPr>
        <w:t>ью</w:t>
      </w:r>
      <w:r w:rsidRPr="00295188">
        <w:rPr>
          <w:rFonts w:eastAsia="Times New Roman" w:cs="Times New Roman"/>
          <w:bCs/>
          <w:szCs w:val="28"/>
          <w:lang w:val="ru-MD"/>
        </w:rPr>
        <w:t xml:space="preserve"> 375,6 </w:t>
      </w:r>
      <w:r w:rsidR="00295188">
        <w:rPr>
          <w:rFonts w:eastAsia="Times New Roman" w:cs="Times New Roman"/>
          <w:bCs/>
          <w:szCs w:val="28"/>
          <w:lang w:val="ru-MD"/>
        </w:rPr>
        <w:t>млн. МДЛ</w:t>
      </w:r>
      <w:r w:rsidRPr="00295188">
        <w:rPr>
          <w:rFonts w:eastAsia="Times New Roman" w:cs="Times New Roman"/>
          <w:bCs/>
          <w:szCs w:val="28"/>
          <w:lang w:val="ru-MD"/>
        </w:rPr>
        <w:t xml:space="preserve"> и зем</w:t>
      </w:r>
      <w:r w:rsidR="00C54487" w:rsidRPr="00295188">
        <w:rPr>
          <w:rFonts w:eastAsia="Times New Roman" w:cs="Times New Roman"/>
          <w:bCs/>
          <w:szCs w:val="28"/>
          <w:lang w:val="ru-MD"/>
        </w:rPr>
        <w:t>ельные участки стоимостью</w:t>
      </w:r>
      <w:r w:rsidRPr="00295188">
        <w:rPr>
          <w:rFonts w:eastAsia="Times New Roman" w:cs="Times New Roman"/>
          <w:bCs/>
          <w:szCs w:val="28"/>
          <w:lang w:val="ru-MD"/>
        </w:rPr>
        <w:t xml:space="preserve"> 30,6 </w:t>
      </w:r>
      <w:r w:rsidR="00295188">
        <w:rPr>
          <w:rFonts w:eastAsia="Times New Roman" w:cs="Times New Roman"/>
          <w:bCs/>
          <w:szCs w:val="28"/>
          <w:lang w:val="ru-MD"/>
        </w:rPr>
        <w:t>млн. МДЛ</w:t>
      </w:r>
      <w:r w:rsidR="00324FBB" w:rsidRPr="00295188">
        <w:rPr>
          <w:rFonts w:eastAsia="Times New Roman" w:cs="Times New Roman"/>
          <w:bCs/>
          <w:szCs w:val="28"/>
          <w:lang w:val="ru-MD"/>
        </w:rPr>
        <w:t>.</w:t>
      </w:r>
    </w:p>
    <w:p w:rsidR="004E6E5A" w:rsidRPr="00295188" w:rsidRDefault="004E6E5A" w:rsidP="004E6E5A">
      <w:pPr>
        <w:spacing w:line="276" w:lineRule="auto"/>
        <w:rPr>
          <w:rFonts w:eastAsia="Times New Roman" w:cs="Times New Roman"/>
          <w:szCs w:val="28"/>
          <w:lang w:val="ru-MD"/>
        </w:rPr>
      </w:pPr>
      <w:r w:rsidRPr="00295188">
        <w:rPr>
          <w:rFonts w:eastAsia="Times New Roman" w:cs="Times New Roman"/>
          <w:szCs w:val="28"/>
          <w:lang w:val="ru-MD"/>
        </w:rPr>
        <w:t xml:space="preserve">Учетная политика министерства не предусматривает методы и </w:t>
      </w:r>
      <w:r w:rsidR="00C54487" w:rsidRPr="00295188">
        <w:rPr>
          <w:rFonts w:eastAsia="Times New Roman" w:cs="Times New Roman"/>
          <w:szCs w:val="28"/>
          <w:lang w:val="ru-MD"/>
        </w:rPr>
        <w:t>процедуры</w:t>
      </w:r>
      <w:r w:rsidRPr="00295188">
        <w:rPr>
          <w:rFonts w:eastAsia="Times New Roman" w:cs="Times New Roman"/>
          <w:szCs w:val="28"/>
          <w:lang w:val="ru-MD"/>
        </w:rPr>
        <w:t xml:space="preserve"> оценки и переоценки зданий и земельных участков, которые должны быть применены на уровне </w:t>
      </w:r>
      <w:r w:rsidR="00C54487" w:rsidRPr="00295188">
        <w:rPr>
          <w:rFonts w:eastAsia="Times New Roman" w:cs="Times New Roman"/>
          <w:szCs w:val="28"/>
          <w:lang w:val="ru-MD"/>
        </w:rPr>
        <w:t>аппарата</w:t>
      </w:r>
      <w:r w:rsidRPr="00295188">
        <w:rPr>
          <w:rFonts w:eastAsia="Times New Roman" w:cs="Times New Roman"/>
          <w:szCs w:val="28"/>
          <w:lang w:val="ru-MD"/>
        </w:rPr>
        <w:t xml:space="preserve"> и подведомственных учреждени</w:t>
      </w:r>
      <w:r w:rsidR="00C54487" w:rsidRPr="00295188">
        <w:rPr>
          <w:rFonts w:eastAsia="Times New Roman" w:cs="Times New Roman"/>
          <w:szCs w:val="28"/>
          <w:lang w:val="ru-MD"/>
        </w:rPr>
        <w:t>й</w:t>
      </w:r>
      <w:r w:rsidRPr="00295188">
        <w:rPr>
          <w:rFonts w:eastAsia="Times New Roman" w:cs="Times New Roman"/>
          <w:szCs w:val="28"/>
          <w:lang w:val="ru-MD"/>
        </w:rPr>
        <w:t xml:space="preserve">, для </w:t>
      </w:r>
      <w:r w:rsidR="00C54487" w:rsidRPr="00295188">
        <w:rPr>
          <w:rFonts w:eastAsia="Times New Roman" w:cs="Times New Roman"/>
          <w:szCs w:val="28"/>
          <w:lang w:val="ru-MD"/>
        </w:rPr>
        <w:t>призн</w:t>
      </w:r>
      <w:r w:rsidRPr="00295188">
        <w:rPr>
          <w:rFonts w:eastAsia="Times New Roman" w:cs="Times New Roman"/>
          <w:szCs w:val="28"/>
          <w:lang w:val="ru-MD"/>
        </w:rPr>
        <w:t>ания и достоверно</w:t>
      </w:r>
      <w:r w:rsidR="00C54487" w:rsidRPr="00295188">
        <w:rPr>
          <w:rFonts w:eastAsia="Times New Roman" w:cs="Times New Roman"/>
          <w:szCs w:val="28"/>
          <w:lang w:val="ru-MD"/>
        </w:rPr>
        <w:t>го</w:t>
      </w:r>
      <w:r w:rsidR="00295188">
        <w:rPr>
          <w:rFonts w:eastAsia="Times New Roman" w:cs="Times New Roman"/>
          <w:szCs w:val="28"/>
          <w:lang w:val="ru-MD"/>
        </w:rPr>
        <w:t xml:space="preserve"> </w:t>
      </w:r>
      <w:r w:rsidR="00C54487" w:rsidRPr="00295188">
        <w:rPr>
          <w:rFonts w:eastAsia="Times New Roman" w:cs="Times New Roman"/>
          <w:szCs w:val="28"/>
          <w:lang w:val="ru-MD"/>
        </w:rPr>
        <w:t xml:space="preserve">представления в </w:t>
      </w:r>
      <w:r w:rsidRPr="00295188">
        <w:rPr>
          <w:rFonts w:eastAsia="Times New Roman" w:cs="Times New Roman"/>
          <w:szCs w:val="28"/>
          <w:lang w:val="ru-MD"/>
        </w:rPr>
        <w:t xml:space="preserve">финансовой отчетности </w:t>
      </w:r>
      <w:r w:rsidR="00C54487" w:rsidRPr="00295188">
        <w:rPr>
          <w:rFonts w:eastAsia="Times New Roman" w:cs="Times New Roman"/>
          <w:szCs w:val="28"/>
          <w:lang w:val="ru-MD"/>
        </w:rPr>
        <w:t xml:space="preserve">их консолидированной </w:t>
      </w:r>
      <w:r w:rsidRPr="00295188">
        <w:rPr>
          <w:rFonts w:eastAsia="Times New Roman" w:cs="Times New Roman"/>
          <w:szCs w:val="28"/>
          <w:lang w:val="ru-MD"/>
        </w:rPr>
        <w:t xml:space="preserve">стоимости. </w:t>
      </w:r>
    </w:p>
    <w:p w:rsidR="00324FBB" w:rsidRPr="00295188" w:rsidRDefault="004E6E5A" w:rsidP="00BC6479">
      <w:pPr>
        <w:spacing w:line="276" w:lineRule="auto"/>
        <w:rPr>
          <w:rFonts w:eastAsia="Times New Roman" w:cs="Times New Roman"/>
          <w:szCs w:val="28"/>
          <w:lang w:val="ru-MD"/>
        </w:rPr>
      </w:pPr>
      <w:r w:rsidRPr="00295188">
        <w:rPr>
          <w:rFonts w:eastAsia="Times New Roman" w:cs="Times New Roman"/>
          <w:szCs w:val="28"/>
          <w:lang w:val="ru-MD"/>
        </w:rPr>
        <w:lastRenderedPageBreak/>
        <w:t>В то же время, национальн</w:t>
      </w:r>
      <w:r w:rsidR="00C54487" w:rsidRPr="00295188">
        <w:rPr>
          <w:rFonts w:eastAsia="Times New Roman" w:cs="Times New Roman"/>
          <w:szCs w:val="28"/>
          <w:lang w:val="ru-MD"/>
        </w:rPr>
        <w:t>ая</w:t>
      </w:r>
      <w:r w:rsidRPr="00295188">
        <w:rPr>
          <w:rFonts w:eastAsia="Times New Roman" w:cs="Times New Roman"/>
          <w:szCs w:val="28"/>
          <w:lang w:val="ru-MD"/>
        </w:rPr>
        <w:t xml:space="preserve"> нормативн</w:t>
      </w:r>
      <w:r w:rsidR="00C54487" w:rsidRPr="00295188">
        <w:rPr>
          <w:rFonts w:eastAsia="Times New Roman" w:cs="Times New Roman"/>
          <w:szCs w:val="28"/>
          <w:lang w:val="ru-MD"/>
        </w:rPr>
        <w:t>ая</w:t>
      </w:r>
      <w:r w:rsidRPr="00295188">
        <w:rPr>
          <w:rFonts w:eastAsia="Times New Roman" w:cs="Times New Roman"/>
          <w:szCs w:val="28"/>
          <w:lang w:val="ru-MD"/>
        </w:rPr>
        <w:t xml:space="preserve"> баз</w:t>
      </w:r>
      <w:r w:rsidR="00C54487" w:rsidRPr="00295188">
        <w:rPr>
          <w:rFonts w:eastAsia="Times New Roman" w:cs="Times New Roman"/>
          <w:szCs w:val="28"/>
          <w:lang w:val="ru-MD"/>
        </w:rPr>
        <w:t>а</w:t>
      </w:r>
      <w:r w:rsidRPr="00295188">
        <w:rPr>
          <w:rFonts w:eastAsia="Times New Roman" w:cs="Times New Roman"/>
          <w:szCs w:val="28"/>
          <w:lang w:val="ru-MD"/>
        </w:rPr>
        <w:t xml:space="preserve"> по оценке имущества публично</w:t>
      </w:r>
      <w:r w:rsidR="00C54487" w:rsidRPr="00295188">
        <w:rPr>
          <w:rFonts w:eastAsia="Times New Roman" w:cs="Times New Roman"/>
          <w:szCs w:val="28"/>
          <w:lang w:val="ru-MD"/>
        </w:rPr>
        <w:t>й сферы</w:t>
      </w:r>
      <w:r w:rsidRPr="00295188">
        <w:rPr>
          <w:rFonts w:eastAsia="Times New Roman" w:cs="Times New Roman"/>
          <w:szCs w:val="28"/>
          <w:lang w:val="ru-MD"/>
        </w:rPr>
        <w:t xml:space="preserve"> и частно</w:t>
      </w:r>
      <w:r w:rsidR="00C54487" w:rsidRPr="00295188">
        <w:rPr>
          <w:rFonts w:eastAsia="Times New Roman" w:cs="Times New Roman"/>
          <w:szCs w:val="28"/>
          <w:lang w:val="ru-MD"/>
        </w:rPr>
        <w:t>й сферы</w:t>
      </w:r>
      <w:r w:rsidRPr="00295188">
        <w:rPr>
          <w:rFonts w:eastAsia="Times New Roman" w:cs="Times New Roman"/>
          <w:szCs w:val="28"/>
          <w:lang w:val="ru-MD"/>
        </w:rPr>
        <w:t xml:space="preserve"> государства не предлагает единых критериев определения справедливой стоимости</w:t>
      </w:r>
      <w:r w:rsidR="00D25A19" w:rsidRPr="00295188">
        <w:rPr>
          <w:rFonts w:eastAsia="Times New Roman" w:cs="Times New Roman"/>
          <w:bCs/>
          <w:szCs w:val="28"/>
          <w:lang w:val="ru-MD"/>
        </w:rPr>
        <w:t>.</w:t>
      </w:r>
    </w:p>
    <w:p w:rsidR="004E6E5A" w:rsidRPr="00295188" w:rsidRDefault="004E6E5A" w:rsidP="004E6E5A">
      <w:pPr>
        <w:pStyle w:val="ListParagraph"/>
        <w:tabs>
          <w:tab w:val="left" w:pos="0"/>
        </w:tabs>
        <w:spacing w:after="0" w:line="276" w:lineRule="auto"/>
        <w:ind w:left="0"/>
        <w:rPr>
          <w:rFonts w:cs="Times New Roman"/>
          <w:szCs w:val="28"/>
          <w:lang w:val="ru-MD"/>
        </w:rPr>
      </w:pPr>
      <w:r w:rsidRPr="00295188">
        <w:rPr>
          <w:rFonts w:cs="Times New Roman"/>
          <w:szCs w:val="28"/>
          <w:lang w:val="ru-MD"/>
        </w:rPr>
        <w:t>Путем сопоставления информации из различных источников</w:t>
      </w:r>
      <w:r w:rsidR="00C54487" w:rsidRPr="00295188">
        <w:rPr>
          <w:rStyle w:val="FootnoteReference"/>
          <w:rFonts w:cs="Times New Roman"/>
          <w:szCs w:val="28"/>
          <w:lang w:val="ru-MD"/>
        </w:rPr>
        <w:footnoteReference w:id="6"/>
      </w:r>
      <w:r w:rsidRPr="00295188">
        <w:rPr>
          <w:rFonts w:cs="Times New Roman"/>
          <w:szCs w:val="28"/>
          <w:lang w:val="ru-MD"/>
        </w:rPr>
        <w:t xml:space="preserve">, были </w:t>
      </w:r>
      <w:r w:rsidR="006179FA" w:rsidRPr="00295188">
        <w:rPr>
          <w:rFonts w:cs="Times New Roman"/>
          <w:szCs w:val="28"/>
          <w:lang w:val="ru-MD"/>
        </w:rPr>
        <w:t>выявл</w:t>
      </w:r>
      <w:r w:rsidRPr="00295188">
        <w:rPr>
          <w:rFonts w:cs="Times New Roman"/>
          <w:szCs w:val="28"/>
          <w:lang w:val="ru-MD"/>
        </w:rPr>
        <w:t>ены:</w:t>
      </w:r>
    </w:p>
    <w:p w:rsidR="00D022AC" w:rsidRPr="00295188" w:rsidRDefault="00962D5D" w:rsidP="00BC6479">
      <w:pPr>
        <w:pStyle w:val="ListParagraph"/>
        <w:numPr>
          <w:ilvl w:val="0"/>
          <w:numId w:val="13"/>
        </w:numPr>
        <w:tabs>
          <w:tab w:val="left" w:pos="270"/>
        </w:tabs>
        <w:spacing w:after="0" w:line="276" w:lineRule="auto"/>
        <w:ind w:left="630" w:hanging="270"/>
        <w:rPr>
          <w:rFonts w:cs="Times New Roman"/>
          <w:szCs w:val="28"/>
          <w:lang w:val="ru-MD"/>
        </w:rPr>
      </w:pPr>
      <w:r w:rsidRPr="00295188">
        <w:rPr>
          <w:rFonts w:eastAsia="Times New Roman" w:cs="Times New Roman"/>
          <w:color w:val="000000"/>
          <w:szCs w:val="28"/>
          <w:lang w:val="ru-MD"/>
        </w:rPr>
        <w:t xml:space="preserve">8 </w:t>
      </w:r>
      <w:r w:rsidR="006179FA" w:rsidRPr="00295188">
        <w:rPr>
          <w:rFonts w:eastAsia="Times New Roman" w:cs="Times New Roman"/>
          <w:color w:val="000000"/>
          <w:szCs w:val="28"/>
          <w:lang w:val="ru-MD"/>
        </w:rPr>
        <w:t>объектов недвижимости</w:t>
      </w:r>
      <w:r w:rsidR="00295188">
        <w:rPr>
          <w:rFonts w:eastAsia="Times New Roman" w:cs="Times New Roman"/>
          <w:color w:val="000000"/>
          <w:szCs w:val="28"/>
          <w:lang w:val="ru-MD"/>
        </w:rPr>
        <w:t xml:space="preserve"> </w:t>
      </w:r>
      <w:r w:rsidR="006179FA" w:rsidRPr="00295188">
        <w:rPr>
          <w:rFonts w:eastAsia="Times New Roman" w:cs="Times New Roman"/>
          <w:color w:val="000000"/>
          <w:szCs w:val="28"/>
          <w:lang w:val="ru-MD"/>
        </w:rPr>
        <w:t>–</w:t>
      </w:r>
      <w:r w:rsidR="00295188">
        <w:rPr>
          <w:rFonts w:eastAsia="Times New Roman" w:cs="Times New Roman"/>
          <w:color w:val="000000"/>
          <w:szCs w:val="28"/>
          <w:lang w:val="ru-MD"/>
        </w:rPr>
        <w:t xml:space="preserve"> </w:t>
      </w:r>
      <w:r w:rsidR="006179FA" w:rsidRPr="00295188">
        <w:rPr>
          <w:rFonts w:eastAsia="Times New Roman" w:cs="Times New Roman"/>
          <w:i/>
          <w:color w:val="000000"/>
          <w:szCs w:val="28"/>
          <w:lang w:val="ru-MD"/>
        </w:rPr>
        <w:t xml:space="preserve">стоимость занижена </w:t>
      </w:r>
      <w:r w:rsidR="006179FA" w:rsidRPr="00295188">
        <w:rPr>
          <w:rFonts w:eastAsia="Times New Roman" w:cs="Times New Roman"/>
          <w:color w:val="000000"/>
          <w:szCs w:val="28"/>
          <w:lang w:val="ru-MD"/>
        </w:rPr>
        <w:t>на</w:t>
      </w:r>
      <w:r w:rsidRPr="00295188">
        <w:rPr>
          <w:rFonts w:eastAsia="Times New Roman" w:cs="Times New Roman"/>
          <w:color w:val="000000"/>
          <w:szCs w:val="28"/>
          <w:lang w:val="ru-MD"/>
        </w:rPr>
        <w:t>15</w:t>
      </w:r>
      <w:r w:rsidR="000140F9" w:rsidRPr="00295188">
        <w:rPr>
          <w:rFonts w:eastAsia="Times New Roman" w:cs="Times New Roman"/>
          <w:color w:val="000000"/>
          <w:szCs w:val="28"/>
          <w:lang w:val="ru-MD"/>
        </w:rPr>
        <w:t>,0</w:t>
      </w:r>
      <w:r w:rsidR="006179FA" w:rsidRPr="00295188">
        <w:rPr>
          <w:rFonts w:eastAsia="Times New Roman" w:cs="Times New Roman"/>
          <w:color w:val="000000"/>
          <w:szCs w:val="28"/>
          <w:lang w:val="ru-MD"/>
        </w:rPr>
        <w:t xml:space="preserve">млн. </w:t>
      </w:r>
      <w:r w:rsidR="00295188">
        <w:rPr>
          <w:rFonts w:eastAsia="Times New Roman" w:cs="Times New Roman"/>
          <w:color w:val="000000"/>
          <w:szCs w:val="28"/>
          <w:lang w:val="ru-MD"/>
        </w:rPr>
        <w:t>МДЛ</w:t>
      </w:r>
      <w:r w:rsidR="000140F9" w:rsidRPr="00295188">
        <w:rPr>
          <w:rFonts w:eastAsia="Times New Roman" w:cs="Times New Roman"/>
          <w:color w:val="000000"/>
          <w:szCs w:val="28"/>
          <w:lang w:val="ru-MD"/>
        </w:rPr>
        <w:t>,</w:t>
      </w:r>
      <w:r w:rsidR="00295188">
        <w:rPr>
          <w:rFonts w:eastAsia="Times New Roman" w:cs="Times New Roman"/>
          <w:color w:val="000000"/>
          <w:szCs w:val="28"/>
          <w:lang w:val="ru-MD"/>
        </w:rPr>
        <w:t xml:space="preserve"> </w:t>
      </w:r>
      <w:r w:rsidR="006179FA" w:rsidRPr="00295188">
        <w:rPr>
          <w:rFonts w:eastAsia="Times New Roman" w:cs="Times New Roman"/>
          <w:color w:val="000000"/>
          <w:szCs w:val="28"/>
          <w:lang w:val="ru-MD"/>
        </w:rPr>
        <w:t>и</w:t>
      </w:r>
      <w:r w:rsidRPr="00295188">
        <w:rPr>
          <w:rFonts w:eastAsia="Times New Roman" w:cs="Times New Roman"/>
          <w:color w:val="000000"/>
          <w:szCs w:val="28"/>
          <w:lang w:val="ru-MD"/>
        </w:rPr>
        <w:t xml:space="preserve"> 16 </w:t>
      </w:r>
      <w:r w:rsidR="006179FA" w:rsidRPr="00295188">
        <w:rPr>
          <w:rFonts w:eastAsia="Times New Roman" w:cs="Times New Roman"/>
          <w:color w:val="000000"/>
          <w:szCs w:val="28"/>
          <w:lang w:val="ru-MD"/>
        </w:rPr>
        <w:t>объектов недвижимости</w:t>
      </w:r>
      <w:r w:rsidR="00295188">
        <w:rPr>
          <w:rFonts w:eastAsia="Times New Roman" w:cs="Times New Roman"/>
          <w:color w:val="000000"/>
          <w:szCs w:val="28"/>
          <w:lang w:val="ru-MD"/>
        </w:rPr>
        <w:t xml:space="preserve"> </w:t>
      </w:r>
      <w:r w:rsidR="006179FA" w:rsidRPr="00295188">
        <w:rPr>
          <w:rFonts w:eastAsia="Times New Roman" w:cs="Times New Roman"/>
          <w:color w:val="000000"/>
          <w:szCs w:val="28"/>
          <w:lang w:val="ru-MD"/>
        </w:rPr>
        <w:t>–</w:t>
      </w:r>
      <w:r w:rsidR="00295188">
        <w:rPr>
          <w:rFonts w:eastAsia="Times New Roman" w:cs="Times New Roman"/>
          <w:color w:val="000000"/>
          <w:szCs w:val="28"/>
          <w:lang w:val="ru-MD"/>
        </w:rPr>
        <w:t xml:space="preserve"> </w:t>
      </w:r>
      <w:r w:rsidR="006179FA" w:rsidRPr="00295188">
        <w:rPr>
          <w:rFonts w:eastAsia="Times New Roman" w:cs="Times New Roman"/>
          <w:i/>
          <w:color w:val="000000"/>
          <w:szCs w:val="28"/>
          <w:lang w:val="ru-MD"/>
        </w:rPr>
        <w:t xml:space="preserve">стоимость завышена </w:t>
      </w:r>
      <w:r w:rsidR="006179FA" w:rsidRPr="00295188">
        <w:rPr>
          <w:rFonts w:eastAsia="Times New Roman" w:cs="Times New Roman"/>
          <w:color w:val="000000"/>
          <w:szCs w:val="28"/>
          <w:lang w:val="ru-MD"/>
        </w:rPr>
        <w:t>на</w:t>
      </w:r>
      <w:r w:rsidRPr="00295188">
        <w:rPr>
          <w:rFonts w:eastAsia="Times New Roman" w:cs="Times New Roman"/>
          <w:color w:val="000000"/>
          <w:szCs w:val="28"/>
          <w:lang w:val="ru-MD"/>
        </w:rPr>
        <w:t xml:space="preserve"> 127,8 </w:t>
      </w:r>
      <w:r w:rsidR="006179FA" w:rsidRPr="00295188">
        <w:rPr>
          <w:rFonts w:eastAsia="Times New Roman" w:cs="Times New Roman"/>
          <w:color w:val="000000"/>
          <w:szCs w:val="28"/>
          <w:lang w:val="ru-MD"/>
        </w:rPr>
        <w:t xml:space="preserve">млн. </w:t>
      </w:r>
      <w:r w:rsidR="00295188">
        <w:rPr>
          <w:rFonts w:eastAsia="Times New Roman" w:cs="Times New Roman"/>
          <w:color w:val="000000"/>
          <w:szCs w:val="28"/>
          <w:lang w:val="ru-MD"/>
        </w:rPr>
        <w:t>МДЛ</w:t>
      </w:r>
      <w:r w:rsidR="006179FA" w:rsidRPr="00295188">
        <w:rPr>
          <w:rFonts w:eastAsia="Times New Roman" w:cs="Times New Roman"/>
          <w:color w:val="000000"/>
          <w:szCs w:val="28"/>
          <w:lang w:val="ru-MD"/>
        </w:rPr>
        <w:t xml:space="preserve"> по отношению к кадастровой стоимости</w:t>
      </w:r>
      <w:r w:rsidRPr="00295188">
        <w:rPr>
          <w:rFonts w:eastAsia="Times New Roman" w:cs="Times New Roman"/>
          <w:color w:val="000000"/>
          <w:szCs w:val="28"/>
          <w:lang w:val="ru-MD"/>
        </w:rPr>
        <w:t>;</w:t>
      </w:r>
    </w:p>
    <w:p w:rsidR="00D022AC" w:rsidRPr="00295188" w:rsidRDefault="00324FBB" w:rsidP="00BC6479">
      <w:pPr>
        <w:pStyle w:val="ListParagraph"/>
        <w:numPr>
          <w:ilvl w:val="0"/>
          <w:numId w:val="13"/>
        </w:numPr>
        <w:tabs>
          <w:tab w:val="left" w:pos="270"/>
        </w:tabs>
        <w:spacing w:after="0" w:line="276" w:lineRule="auto"/>
        <w:ind w:left="630" w:hanging="270"/>
        <w:rPr>
          <w:rFonts w:cs="Times New Roman"/>
          <w:szCs w:val="28"/>
          <w:lang w:val="ru-MD"/>
        </w:rPr>
      </w:pPr>
      <w:r w:rsidRPr="00295188">
        <w:rPr>
          <w:rFonts w:cs="Times New Roman"/>
          <w:szCs w:val="28"/>
          <w:lang w:val="ru-MD"/>
        </w:rPr>
        <w:t xml:space="preserve">40 </w:t>
      </w:r>
      <w:r w:rsidR="006179FA" w:rsidRPr="00295188">
        <w:rPr>
          <w:rFonts w:cs="Times New Roman"/>
          <w:szCs w:val="28"/>
          <w:lang w:val="ru-MD"/>
        </w:rPr>
        <w:t>земельных участков</w:t>
      </w:r>
      <w:r w:rsidRPr="00295188">
        <w:rPr>
          <w:rFonts w:cs="Times New Roman"/>
          <w:szCs w:val="28"/>
          <w:lang w:val="ru-MD"/>
        </w:rPr>
        <w:t xml:space="preserve"> - </w:t>
      </w:r>
      <w:r w:rsidR="006179FA" w:rsidRPr="00295188">
        <w:rPr>
          <w:rFonts w:eastAsia="Times New Roman" w:cs="Times New Roman"/>
          <w:i/>
          <w:color w:val="000000"/>
          <w:szCs w:val="28"/>
          <w:lang w:val="ru-MD"/>
        </w:rPr>
        <w:t xml:space="preserve">стоимость занижена </w:t>
      </w:r>
      <w:r w:rsidR="006179FA" w:rsidRPr="00295188">
        <w:rPr>
          <w:rFonts w:eastAsia="Times New Roman" w:cs="Times New Roman"/>
          <w:color w:val="000000"/>
          <w:szCs w:val="28"/>
          <w:lang w:val="ru-MD"/>
        </w:rPr>
        <w:t>на</w:t>
      </w:r>
      <w:r w:rsidR="00295188">
        <w:rPr>
          <w:rFonts w:eastAsia="Times New Roman" w:cs="Times New Roman"/>
          <w:color w:val="000000"/>
          <w:szCs w:val="28"/>
          <w:lang w:val="ru-MD"/>
        </w:rPr>
        <w:t xml:space="preserve"> </w:t>
      </w:r>
      <w:r w:rsidRPr="00295188">
        <w:rPr>
          <w:rFonts w:cs="Times New Roman"/>
          <w:szCs w:val="28"/>
          <w:lang w:val="ru-MD"/>
        </w:rPr>
        <w:t xml:space="preserve">37,9 </w:t>
      </w:r>
      <w:r w:rsidR="006179FA" w:rsidRPr="00295188">
        <w:rPr>
          <w:rFonts w:cs="Times New Roman"/>
          <w:szCs w:val="28"/>
          <w:lang w:val="ru-MD"/>
        </w:rPr>
        <w:t xml:space="preserve">млн. </w:t>
      </w:r>
      <w:r w:rsidR="00295188">
        <w:rPr>
          <w:rFonts w:cs="Times New Roman"/>
          <w:szCs w:val="28"/>
          <w:lang w:val="ru-MD"/>
        </w:rPr>
        <w:t>МДЛ</w:t>
      </w:r>
      <w:r w:rsidR="000140F9" w:rsidRPr="00295188">
        <w:rPr>
          <w:rFonts w:cs="Times New Roman"/>
          <w:szCs w:val="28"/>
          <w:lang w:val="ru-MD"/>
        </w:rPr>
        <w:t>,</w:t>
      </w:r>
      <w:r w:rsidR="00295188">
        <w:rPr>
          <w:rFonts w:cs="Times New Roman"/>
          <w:szCs w:val="28"/>
          <w:lang w:val="ru-MD"/>
        </w:rPr>
        <w:t xml:space="preserve"> </w:t>
      </w:r>
      <w:r w:rsidR="006179FA" w:rsidRPr="00295188">
        <w:rPr>
          <w:rFonts w:cs="Times New Roman"/>
          <w:szCs w:val="28"/>
          <w:lang w:val="ru-MD"/>
        </w:rPr>
        <w:t>и</w:t>
      </w:r>
      <w:r w:rsidRPr="00295188">
        <w:rPr>
          <w:rFonts w:cs="Times New Roman"/>
          <w:szCs w:val="28"/>
          <w:lang w:val="ru-MD"/>
        </w:rPr>
        <w:t xml:space="preserve"> 7 </w:t>
      </w:r>
      <w:r w:rsidR="006179FA" w:rsidRPr="00295188">
        <w:rPr>
          <w:rFonts w:cs="Times New Roman"/>
          <w:szCs w:val="28"/>
          <w:lang w:val="ru-MD"/>
        </w:rPr>
        <w:t>земельных участков</w:t>
      </w:r>
      <w:r w:rsidRPr="00295188">
        <w:rPr>
          <w:rFonts w:cs="Times New Roman"/>
          <w:szCs w:val="28"/>
          <w:lang w:val="ru-MD"/>
        </w:rPr>
        <w:t xml:space="preserve"> - </w:t>
      </w:r>
      <w:r w:rsidR="006179FA" w:rsidRPr="00295188">
        <w:rPr>
          <w:rFonts w:eastAsia="Times New Roman" w:cs="Times New Roman"/>
          <w:i/>
          <w:color w:val="000000"/>
          <w:szCs w:val="28"/>
          <w:lang w:val="ru-MD"/>
        </w:rPr>
        <w:t xml:space="preserve">стоимость завышена </w:t>
      </w:r>
      <w:r w:rsidR="006179FA" w:rsidRPr="00295188">
        <w:rPr>
          <w:rFonts w:eastAsia="Times New Roman" w:cs="Times New Roman"/>
          <w:color w:val="000000"/>
          <w:szCs w:val="28"/>
          <w:lang w:val="ru-MD"/>
        </w:rPr>
        <w:t>на</w:t>
      </w:r>
      <w:r w:rsidRPr="00295188">
        <w:rPr>
          <w:rFonts w:cs="Times New Roman"/>
          <w:szCs w:val="28"/>
          <w:lang w:val="ru-MD"/>
        </w:rPr>
        <w:t xml:space="preserve"> 11,8 </w:t>
      </w:r>
      <w:r w:rsidR="006179FA" w:rsidRPr="00295188">
        <w:rPr>
          <w:rFonts w:cs="Times New Roman"/>
          <w:szCs w:val="28"/>
          <w:lang w:val="ru-MD"/>
        </w:rPr>
        <w:t xml:space="preserve">млн. </w:t>
      </w:r>
      <w:r w:rsidR="00295188">
        <w:rPr>
          <w:rFonts w:cs="Times New Roman"/>
          <w:szCs w:val="28"/>
          <w:lang w:val="ru-MD"/>
        </w:rPr>
        <w:t xml:space="preserve">МДЛ </w:t>
      </w:r>
      <w:r w:rsidR="006179FA" w:rsidRPr="00295188">
        <w:rPr>
          <w:rFonts w:cs="Times New Roman"/>
          <w:i/>
          <w:szCs w:val="28"/>
          <w:lang w:val="ru-MD"/>
        </w:rPr>
        <w:t>по сравнению с нормативной ценой</w:t>
      </w:r>
      <w:r w:rsidRPr="00295188">
        <w:rPr>
          <w:rFonts w:cs="Times New Roman"/>
          <w:szCs w:val="28"/>
          <w:lang w:val="ru-MD"/>
        </w:rPr>
        <w:t>;</w:t>
      </w:r>
    </w:p>
    <w:p w:rsidR="00962D5D" w:rsidRPr="00295188" w:rsidRDefault="00324FBB" w:rsidP="00BC6479">
      <w:pPr>
        <w:pStyle w:val="ListParagraph"/>
        <w:numPr>
          <w:ilvl w:val="0"/>
          <w:numId w:val="13"/>
        </w:numPr>
        <w:tabs>
          <w:tab w:val="left" w:pos="270"/>
        </w:tabs>
        <w:spacing w:after="0" w:line="276" w:lineRule="auto"/>
        <w:ind w:left="630" w:hanging="270"/>
        <w:rPr>
          <w:rFonts w:cs="Times New Roman"/>
          <w:b/>
          <w:szCs w:val="28"/>
          <w:lang w:val="ru-MD"/>
        </w:rPr>
      </w:pPr>
      <w:r w:rsidRPr="00295188">
        <w:rPr>
          <w:rFonts w:cs="Times New Roman"/>
          <w:szCs w:val="28"/>
          <w:lang w:val="ru-MD"/>
        </w:rPr>
        <w:t xml:space="preserve">19 </w:t>
      </w:r>
      <w:r w:rsidR="006179FA" w:rsidRPr="00295188">
        <w:rPr>
          <w:rFonts w:cs="Times New Roman"/>
          <w:szCs w:val="28"/>
          <w:lang w:val="ru-MD"/>
        </w:rPr>
        <w:t>земельных участков</w:t>
      </w:r>
      <w:r w:rsidRPr="00295188">
        <w:rPr>
          <w:rFonts w:cs="Times New Roman"/>
          <w:szCs w:val="28"/>
          <w:lang w:val="ru-MD"/>
        </w:rPr>
        <w:t xml:space="preserve"> - </w:t>
      </w:r>
      <w:r w:rsidR="006179FA" w:rsidRPr="00295188">
        <w:rPr>
          <w:rFonts w:eastAsia="Times New Roman" w:cs="Times New Roman"/>
          <w:i/>
          <w:color w:val="000000"/>
          <w:szCs w:val="28"/>
          <w:lang w:val="ru-MD"/>
        </w:rPr>
        <w:t xml:space="preserve">стоимость занижена </w:t>
      </w:r>
      <w:r w:rsidR="006179FA" w:rsidRPr="00295188">
        <w:rPr>
          <w:rFonts w:eastAsia="Times New Roman" w:cs="Times New Roman"/>
          <w:color w:val="000000"/>
          <w:szCs w:val="28"/>
          <w:lang w:val="ru-MD"/>
        </w:rPr>
        <w:t>на</w:t>
      </w:r>
      <w:r w:rsidRPr="00295188">
        <w:rPr>
          <w:rFonts w:cs="Times New Roman"/>
          <w:szCs w:val="28"/>
          <w:lang w:val="ru-MD"/>
        </w:rPr>
        <w:t xml:space="preserve"> 33,6 </w:t>
      </w:r>
      <w:r w:rsidR="006179FA" w:rsidRPr="00295188">
        <w:rPr>
          <w:rFonts w:cs="Times New Roman"/>
          <w:szCs w:val="28"/>
          <w:lang w:val="ru-MD"/>
        </w:rPr>
        <w:t xml:space="preserve">млн. </w:t>
      </w:r>
      <w:r w:rsidR="00295188">
        <w:rPr>
          <w:rFonts w:cs="Times New Roman"/>
          <w:szCs w:val="28"/>
          <w:lang w:val="ru-MD"/>
        </w:rPr>
        <w:t>МДЛ</w:t>
      </w:r>
      <w:r w:rsidR="000140F9" w:rsidRPr="00295188">
        <w:rPr>
          <w:rFonts w:cs="Times New Roman"/>
          <w:szCs w:val="28"/>
          <w:lang w:val="ru-MD"/>
        </w:rPr>
        <w:t>,</w:t>
      </w:r>
      <w:r w:rsidR="00295188">
        <w:rPr>
          <w:rFonts w:cs="Times New Roman"/>
          <w:szCs w:val="28"/>
          <w:lang w:val="ru-MD"/>
        </w:rPr>
        <w:t xml:space="preserve"> </w:t>
      </w:r>
      <w:r w:rsidR="006179FA" w:rsidRPr="00295188">
        <w:rPr>
          <w:rFonts w:cs="Times New Roman"/>
          <w:szCs w:val="28"/>
          <w:lang w:val="ru-MD"/>
        </w:rPr>
        <w:t>и</w:t>
      </w:r>
      <w:r w:rsidRPr="00295188">
        <w:rPr>
          <w:rFonts w:cs="Times New Roman"/>
          <w:szCs w:val="28"/>
          <w:lang w:val="ru-MD"/>
        </w:rPr>
        <w:t xml:space="preserve"> 4 </w:t>
      </w:r>
      <w:r w:rsidR="006179FA" w:rsidRPr="00295188">
        <w:rPr>
          <w:rFonts w:cs="Times New Roman"/>
          <w:szCs w:val="28"/>
          <w:lang w:val="ru-MD"/>
        </w:rPr>
        <w:t>земельных участк</w:t>
      </w:r>
      <w:r w:rsidR="00295188">
        <w:rPr>
          <w:rFonts w:cs="Times New Roman"/>
          <w:szCs w:val="28"/>
          <w:lang w:val="ru-MD"/>
        </w:rPr>
        <w:t>а</w:t>
      </w:r>
      <w:r w:rsidRPr="00295188">
        <w:rPr>
          <w:rFonts w:cs="Times New Roman"/>
          <w:szCs w:val="28"/>
          <w:lang w:val="ru-MD"/>
        </w:rPr>
        <w:t xml:space="preserve"> – </w:t>
      </w:r>
      <w:r w:rsidR="006179FA" w:rsidRPr="00295188">
        <w:rPr>
          <w:rFonts w:eastAsia="Times New Roman" w:cs="Times New Roman"/>
          <w:i/>
          <w:color w:val="000000"/>
          <w:szCs w:val="28"/>
          <w:lang w:val="ru-MD"/>
        </w:rPr>
        <w:t xml:space="preserve">стоимость завышена </w:t>
      </w:r>
      <w:r w:rsidR="006179FA" w:rsidRPr="00295188">
        <w:rPr>
          <w:rFonts w:eastAsia="Times New Roman" w:cs="Times New Roman"/>
          <w:color w:val="000000"/>
          <w:szCs w:val="28"/>
          <w:lang w:val="ru-MD"/>
        </w:rPr>
        <w:t xml:space="preserve">на </w:t>
      </w:r>
      <w:r w:rsidRPr="00295188">
        <w:rPr>
          <w:rFonts w:cs="Times New Roman"/>
          <w:szCs w:val="28"/>
          <w:lang w:val="ru-MD"/>
        </w:rPr>
        <w:t xml:space="preserve">3,5 </w:t>
      </w:r>
      <w:r w:rsidR="006179FA" w:rsidRPr="00295188">
        <w:rPr>
          <w:rFonts w:cs="Times New Roman"/>
          <w:szCs w:val="28"/>
          <w:lang w:val="ru-MD"/>
        </w:rPr>
        <w:t xml:space="preserve">млн. </w:t>
      </w:r>
      <w:r w:rsidR="00295188">
        <w:rPr>
          <w:rFonts w:cs="Times New Roman"/>
          <w:szCs w:val="28"/>
          <w:lang w:val="ru-MD"/>
        </w:rPr>
        <w:t xml:space="preserve">МДЛ </w:t>
      </w:r>
      <w:r w:rsidR="006179FA" w:rsidRPr="00295188">
        <w:rPr>
          <w:rFonts w:cs="Times New Roman"/>
          <w:i/>
          <w:szCs w:val="28"/>
          <w:lang w:val="ru-MD"/>
        </w:rPr>
        <w:t>по сравнению с кадастровой стоимостью</w:t>
      </w:r>
      <w:r w:rsidRPr="00295188">
        <w:rPr>
          <w:rFonts w:cs="Times New Roman"/>
          <w:szCs w:val="28"/>
          <w:lang w:val="ru-MD"/>
        </w:rPr>
        <w:t>.</w:t>
      </w:r>
    </w:p>
    <w:p w:rsidR="003617DF" w:rsidRPr="00295188" w:rsidRDefault="003617DF" w:rsidP="003617DF">
      <w:pPr>
        <w:pStyle w:val="ListParagraph"/>
        <w:tabs>
          <w:tab w:val="left" w:pos="270"/>
        </w:tabs>
        <w:spacing w:after="0" w:line="276" w:lineRule="auto"/>
        <w:ind w:left="630"/>
        <w:rPr>
          <w:rFonts w:cs="Times New Roman"/>
          <w:b/>
          <w:szCs w:val="28"/>
          <w:lang w:val="ru-MD"/>
        </w:rPr>
      </w:pPr>
    </w:p>
    <w:p w:rsidR="00253D18" w:rsidRPr="00A0135E" w:rsidRDefault="00DB4CA4" w:rsidP="00BC6479">
      <w:pPr>
        <w:pStyle w:val="ListParagraph"/>
        <w:spacing w:line="276" w:lineRule="auto"/>
        <w:ind w:left="90"/>
        <w:rPr>
          <w:rFonts w:cs="Times New Roman"/>
          <w:i/>
          <w:szCs w:val="28"/>
          <w:lang w:val="ru-RU"/>
        </w:rPr>
      </w:pPr>
      <w:r w:rsidRPr="00295188">
        <w:rPr>
          <w:b/>
          <w:i/>
          <w:szCs w:val="28"/>
          <w:lang w:val="ru-MD"/>
        </w:rPr>
        <w:t>3</w:t>
      </w:r>
      <w:r w:rsidR="008E2744" w:rsidRPr="00295188">
        <w:rPr>
          <w:b/>
          <w:i/>
          <w:szCs w:val="28"/>
          <w:lang w:val="ru-MD"/>
        </w:rPr>
        <w:t>.2</w:t>
      </w:r>
      <w:r w:rsidR="00253D18" w:rsidRPr="00295188">
        <w:rPr>
          <w:b/>
          <w:i/>
          <w:szCs w:val="28"/>
          <w:lang w:val="ru-MD"/>
        </w:rPr>
        <w:t xml:space="preserve">.2. </w:t>
      </w:r>
      <w:r w:rsidR="006179FA" w:rsidRPr="00295188">
        <w:rPr>
          <w:i/>
          <w:szCs w:val="28"/>
          <w:lang w:val="ru-MD"/>
        </w:rPr>
        <w:t>Незавершенные к</w:t>
      </w:r>
      <w:r w:rsidR="004E6E5A" w:rsidRPr="00295188">
        <w:rPr>
          <w:i/>
          <w:szCs w:val="28"/>
          <w:lang w:val="ru-MD"/>
        </w:rPr>
        <w:t>апитальные вложения в активы</w:t>
      </w:r>
      <w:r w:rsidR="006179FA" w:rsidRPr="00295188">
        <w:rPr>
          <w:i/>
          <w:szCs w:val="28"/>
          <w:lang w:val="ru-MD"/>
        </w:rPr>
        <w:t>, отраженные в отчетности,</w:t>
      </w:r>
      <w:r w:rsidR="004E6E5A" w:rsidRPr="00295188">
        <w:rPr>
          <w:i/>
          <w:szCs w:val="28"/>
          <w:lang w:val="ru-MD"/>
        </w:rPr>
        <w:t xml:space="preserve"> не представля</w:t>
      </w:r>
      <w:r w:rsidR="006179FA" w:rsidRPr="00295188">
        <w:rPr>
          <w:i/>
          <w:szCs w:val="28"/>
          <w:lang w:val="ru-MD"/>
        </w:rPr>
        <w:t>ю</w:t>
      </w:r>
      <w:r w:rsidR="004E6E5A" w:rsidRPr="00295188">
        <w:rPr>
          <w:i/>
          <w:szCs w:val="28"/>
          <w:lang w:val="ru-MD"/>
        </w:rPr>
        <w:t>т реальн</w:t>
      </w:r>
      <w:r w:rsidR="006179FA" w:rsidRPr="00295188">
        <w:rPr>
          <w:i/>
          <w:szCs w:val="28"/>
          <w:lang w:val="ru-MD"/>
        </w:rPr>
        <w:t>ую</w:t>
      </w:r>
      <w:r w:rsidR="004E6E5A" w:rsidRPr="00295188">
        <w:rPr>
          <w:i/>
          <w:szCs w:val="28"/>
          <w:lang w:val="ru-MD"/>
        </w:rPr>
        <w:t xml:space="preserve"> информаци</w:t>
      </w:r>
      <w:r w:rsidR="006179FA" w:rsidRPr="00295188">
        <w:rPr>
          <w:i/>
          <w:szCs w:val="28"/>
          <w:lang w:val="ru-MD"/>
        </w:rPr>
        <w:t>ю</w:t>
      </w:r>
      <w:r w:rsidR="004E6E5A" w:rsidRPr="00295188">
        <w:rPr>
          <w:i/>
          <w:szCs w:val="28"/>
          <w:lang w:val="ru-MD"/>
        </w:rPr>
        <w:t xml:space="preserve"> и </w:t>
      </w:r>
      <w:r w:rsidR="008F54C7" w:rsidRPr="00295188">
        <w:rPr>
          <w:i/>
          <w:szCs w:val="28"/>
          <w:lang w:val="ru-MD"/>
        </w:rPr>
        <w:t>должн</w:t>
      </w:r>
      <w:r w:rsidR="00CF1352">
        <w:rPr>
          <w:i/>
          <w:szCs w:val="28"/>
          <w:lang w:val="ru-MD"/>
        </w:rPr>
        <w:t>а</w:t>
      </w:r>
      <w:r w:rsidR="004E6E5A" w:rsidRPr="00295188">
        <w:rPr>
          <w:i/>
          <w:szCs w:val="28"/>
          <w:lang w:val="ru-MD"/>
        </w:rPr>
        <w:t xml:space="preserve"> быть</w:t>
      </w:r>
      <w:r w:rsidR="00CF1352">
        <w:rPr>
          <w:i/>
          <w:szCs w:val="28"/>
          <w:lang w:val="ru-MD"/>
        </w:rPr>
        <w:t xml:space="preserve"> проведена экспертиз</w:t>
      </w:r>
      <w:r w:rsidR="00CF1352" w:rsidRPr="00A0135E">
        <w:rPr>
          <w:i/>
          <w:szCs w:val="28"/>
          <w:lang w:val="ru-MD"/>
        </w:rPr>
        <w:t>а</w:t>
      </w:r>
      <w:r w:rsidR="008F54C7" w:rsidRPr="00A0135E">
        <w:rPr>
          <w:i/>
          <w:szCs w:val="28"/>
          <w:lang w:val="ru-MD"/>
        </w:rPr>
        <w:t>.</w:t>
      </w:r>
      <w:r w:rsidR="00253D18" w:rsidRPr="00A0135E">
        <w:rPr>
          <w:rStyle w:val="FootnoteReference"/>
          <w:rFonts w:cs="Times New Roman"/>
          <w:i/>
          <w:szCs w:val="28"/>
          <w:lang w:val="ru-MD"/>
        </w:rPr>
        <w:footnoteReference w:id="7"/>
      </w:r>
      <w:r w:rsidR="00952E8D" w:rsidRPr="00A0135E">
        <w:rPr>
          <w:i/>
          <w:szCs w:val="28"/>
          <w:lang w:val="ru-RU"/>
        </w:rPr>
        <w:t xml:space="preserve"> </w:t>
      </w:r>
    </w:p>
    <w:p w:rsidR="0057432F" w:rsidRPr="00295188" w:rsidRDefault="004E6E5A" w:rsidP="00BC6479">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rPr>
          <w:rFonts w:cs="Times New Roman"/>
          <w:b/>
          <w:i/>
          <w:szCs w:val="28"/>
          <w:lang w:val="ru-MD"/>
        </w:rPr>
      </w:pPr>
      <w:r w:rsidRPr="00295188">
        <w:rPr>
          <w:rFonts w:eastAsia="Times New Roman" w:cs="Times New Roman"/>
          <w:bCs/>
          <w:szCs w:val="28"/>
          <w:lang w:val="ru-MD"/>
        </w:rPr>
        <w:t xml:space="preserve">Министерство </w:t>
      </w:r>
      <w:r w:rsidR="008F54C7" w:rsidRPr="00295188">
        <w:rPr>
          <w:rFonts w:eastAsia="Times New Roman" w:cs="Times New Roman"/>
          <w:bCs/>
          <w:szCs w:val="28"/>
          <w:lang w:val="ru-MD"/>
        </w:rPr>
        <w:t>ф</w:t>
      </w:r>
      <w:r w:rsidRPr="00295188">
        <w:rPr>
          <w:rFonts w:eastAsia="Times New Roman" w:cs="Times New Roman"/>
          <w:bCs/>
          <w:szCs w:val="28"/>
          <w:lang w:val="ru-MD"/>
        </w:rPr>
        <w:t xml:space="preserve">инансов </w:t>
      </w:r>
      <w:r w:rsidR="008F54C7" w:rsidRPr="00295188">
        <w:rPr>
          <w:rFonts w:eastAsia="Times New Roman" w:cs="Times New Roman"/>
          <w:bCs/>
          <w:szCs w:val="28"/>
          <w:lang w:val="ru-MD"/>
        </w:rPr>
        <w:t>отраж</w:t>
      </w:r>
      <w:r w:rsidRPr="00295188">
        <w:rPr>
          <w:rFonts w:eastAsia="Times New Roman" w:cs="Times New Roman"/>
          <w:bCs/>
          <w:szCs w:val="28"/>
          <w:lang w:val="ru-MD"/>
        </w:rPr>
        <w:t xml:space="preserve">ает </w:t>
      </w:r>
      <w:r w:rsidR="008F54C7" w:rsidRPr="00295188">
        <w:rPr>
          <w:rFonts w:eastAsia="Times New Roman" w:cs="Times New Roman"/>
          <w:bCs/>
          <w:szCs w:val="28"/>
          <w:lang w:val="ru-MD"/>
        </w:rPr>
        <w:t>незавершенные активы</w:t>
      </w:r>
      <w:r w:rsidRPr="00295188">
        <w:rPr>
          <w:rFonts w:eastAsia="Times New Roman" w:cs="Times New Roman"/>
          <w:bCs/>
          <w:szCs w:val="28"/>
          <w:lang w:val="ru-MD"/>
        </w:rPr>
        <w:t xml:space="preserve"> на сумму 57,7 млн. </w:t>
      </w:r>
      <w:r w:rsidR="00295188">
        <w:rPr>
          <w:rFonts w:eastAsia="Times New Roman" w:cs="Times New Roman"/>
          <w:bCs/>
          <w:szCs w:val="28"/>
          <w:lang w:val="ru-MD"/>
        </w:rPr>
        <w:t>МДЛ</w:t>
      </w:r>
      <w:r w:rsidR="0057432F" w:rsidRPr="00295188">
        <w:rPr>
          <w:rFonts w:cs="Times New Roman"/>
          <w:szCs w:val="28"/>
          <w:lang w:val="ru-MD"/>
        </w:rPr>
        <w:t>.</w:t>
      </w:r>
    </w:p>
    <w:p w:rsidR="00253D18" w:rsidRPr="00295188" w:rsidRDefault="004E6E5A" w:rsidP="00BC6479">
      <w:pPr>
        <w:spacing w:line="276" w:lineRule="auto"/>
        <w:rPr>
          <w:rFonts w:cs="Times New Roman"/>
          <w:szCs w:val="28"/>
          <w:lang w:val="ru-MD"/>
        </w:rPr>
      </w:pPr>
      <w:r w:rsidRPr="00295188">
        <w:rPr>
          <w:rFonts w:cs="Times New Roman"/>
          <w:szCs w:val="28"/>
          <w:lang w:val="ru-MD"/>
        </w:rPr>
        <w:t xml:space="preserve">Учетная политика министерства не </w:t>
      </w:r>
      <w:r w:rsidR="008F54C7" w:rsidRPr="00295188">
        <w:rPr>
          <w:rFonts w:cs="Times New Roman"/>
          <w:szCs w:val="28"/>
          <w:lang w:val="ru-MD"/>
        </w:rPr>
        <w:t>предусматривает</w:t>
      </w:r>
      <w:r w:rsidRPr="00295188">
        <w:rPr>
          <w:rFonts w:cs="Times New Roman"/>
          <w:szCs w:val="28"/>
          <w:lang w:val="ru-MD"/>
        </w:rPr>
        <w:t xml:space="preserve"> правил</w:t>
      </w:r>
      <w:r w:rsidR="008F54C7" w:rsidRPr="00295188">
        <w:rPr>
          <w:rFonts w:cs="Times New Roman"/>
          <w:szCs w:val="28"/>
          <w:lang w:val="ru-MD"/>
        </w:rPr>
        <w:t>а</w:t>
      </w:r>
      <w:r w:rsidRPr="00295188">
        <w:rPr>
          <w:rFonts w:cs="Times New Roman"/>
          <w:szCs w:val="28"/>
          <w:lang w:val="ru-MD"/>
        </w:rPr>
        <w:t xml:space="preserve"> и процедур</w:t>
      </w:r>
      <w:r w:rsidR="008F54C7" w:rsidRPr="00295188">
        <w:rPr>
          <w:rFonts w:cs="Times New Roman"/>
          <w:szCs w:val="28"/>
          <w:lang w:val="ru-MD"/>
        </w:rPr>
        <w:t>ы</w:t>
      </w:r>
      <w:r w:rsidRPr="00295188">
        <w:rPr>
          <w:rFonts w:cs="Times New Roman"/>
          <w:szCs w:val="28"/>
          <w:lang w:val="ru-MD"/>
        </w:rPr>
        <w:t>, применяемы</w:t>
      </w:r>
      <w:r w:rsidR="008F54C7" w:rsidRPr="00295188">
        <w:rPr>
          <w:rFonts w:cs="Times New Roman"/>
          <w:szCs w:val="28"/>
          <w:lang w:val="ru-MD"/>
        </w:rPr>
        <w:t>е</w:t>
      </w:r>
      <w:r w:rsidRPr="00295188">
        <w:rPr>
          <w:rFonts w:cs="Times New Roman"/>
          <w:szCs w:val="28"/>
          <w:lang w:val="ru-MD"/>
        </w:rPr>
        <w:t xml:space="preserve"> при планировании и ведении учета </w:t>
      </w:r>
      <w:r w:rsidR="008F54C7" w:rsidRPr="00295188">
        <w:rPr>
          <w:rFonts w:cs="Times New Roman"/>
          <w:szCs w:val="28"/>
          <w:lang w:val="ru-MD"/>
        </w:rPr>
        <w:t xml:space="preserve">незавершенных </w:t>
      </w:r>
      <w:r w:rsidRPr="00295188">
        <w:rPr>
          <w:rFonts w:cs="Times New Roman"/>
          <w:szCs w:val="28"/>
          <w:lang w:val="ru-MD"/>
        </w:rPr>
        <w:t xml:space="preserve">активов, </w:t>
      </w:r>
      <w:r w:rsidR="008F54C7" w:rsidRPr="00295188">
        <w:rPr>
          <w:rFonts w:cs="Times New Roman"/>
          <w:szCs w:val="28"/>
          <w:lang w:val="ru-MD"/>
        </w:rPr>
        <w:t>с</w:t>
      </w:r>
      <w:r w:rsidRPr="00295188">
        <w:rPr>
          <w:rFonts w:cs="Times New Roman"/>
          <w:szCs w:val="28"/>
          <w:lang w:val="ru-MD"/>
        </w:rPr>
        <w:t xml:space="preserve"> четк</w:t>
      </w:r>
      <w:r w:rsidR="008F54C7" w:rsidRPr="00295188">
        <w:rPr>
          <w:rFonts w:cs="Times New Roman"/>
          <w:szCs w:val="28"/>
          <w:lang w:val="ru-MD"/>
        </w:rPr>
        <w:t>им разграничением</w:t>
      </w:r>
      <w:r w:rsidRPr="00295188">
        <w:rPr>
          <w:rFonts w:cs="Times New Roman"/>
          <w:szCs w:val="28"/>
          <w:lang w:val="ru-MD"/>
        </w:rPr>
        <w:t xml:space="preserve"> капитальн</w:t>
      </w:r>
      <w:r w:rsidR="008F54C7" w:rsidRPr="00295188">
        <w:rPr>
          <w:rFonts w:cs="Times New Roman"/>
          <w:szCs w:val="28"/>
          <w:lang w:val="ru-MD"/>
        </w:rPr>
        <w:t>ого</w:t>
      </w:r>
      <w:r w:rsidRPr="00295188">
        <w:rPr>
          <w:rFonts w:cs="Times New Roman"/>
          <w:szCs w:val="28"/>
          <w:lang w:val="ru-MD"/>
        </w:rPr>
        <w:t xml:space="preserve"> ремонт</w:t>
      </w:r>
      <w:r w:rsidR="008F54C7" w:rsidRPr="00295188">
        <w:rPr>
          <w:rFonts w:cs="Times New Roman"/>
          <w:szCs w:val="28"/>
          <w:lang w:val="ru-MD"/>
        </w:rPr>
        <w:t>а</w:t>
      </w:r>
      <w:r w:rsidRPr="00295188">
        <w:rPr>
          <w:rFonts w:cs="Times New Roman"/>
          <w:szCs w:val="28"/>
          <w:lang w:val="ru-MD"/>
        </w:rPr>
        <w:t xml:space="preserve"> и капитальны</w:t>
      </w:r>
      <w:r w:rsidR="008F54C7" w:rsidRPr="00295188">
        <w:rPr>
          <w:rFonts w:cs="Times New Roman"/>
          <w:szCs w:val="28"/>
          <w:lang w:val="ru-MD"/>
        </w:rPr>
        <w:t>х</w:t>
      </w:r>
      <w:r w:rsidRPr="00295188">
        <w:rPr>
          <w:rFonts w:cs="Times New Roman"/>
          <w:szCs w:val="28"/>
          <w:lang w:val="ru-MD"/>
        </w:rPr>
        <w:t xml:space="preserve"> вложени</w:t>
      </w:r>
      <w:r w:rsidR="008F54C7" w:rsidRPr="00295188">
        <w:rPr>
          <w:rFonts w:cs="Times New Roman"/>
          <w:szCs w:val="28"/>
          <w:lang w:val="ru-MD"/>
        </w:rPr>
        <w:t>й</w:t>
      </w:r>
      <w:r w:rsidRPr="00295188">
        <w:rPr>
          <w:rFonts w:cs="Times New Roman"/>
          <w:szCs w:val="28"/>
          <w:lang w:val="ru-MD"/>
        </w:rPr>
        <w:t xml:space="preserve">, а также порядок капитализации, </w:t>
      </w:r>
      <w:r w:rsidR="008F54C7" w:rsidRPr="00295188">
        <w:rPr>
          <w:rFonts w:cs="Times New Roman"/>
          <w:szCs w:val="28"/>
          <w:lang w:val="ru-MD"/>
        </w:rPr>
        <w:t>которая</w:t>
      </w:r>
      <w:r w:rsidRPr="00295188">
        <w:rPr>
          <w:rFonts w:cs="Times New Roman"/>
          <w:szCs w:val="28"/>
          <w:lang w:val="ru-MD"/>
        </w:rPr>
        <w:t xml:space="preserve"> применяется непоследовательно и дискреционно</w:t>
      </w:r>
      <w:r w:rsidR="00253D18" w:rsidRPr="00295188">
        <w:rPr>
          <w:rFonts w:cs="Times New Roman"/>
          <w:szCs w:val="28"/>
          <w:lang w:val="ru-MD"/>
        </w:rPr>
        <w:t>.</w:t>
      </w:r>
    </w:p>
    <w:p w:rsidR="00381147" w:rsidRPr="00295188" w:rsidRDefault="004E6E5A" w:rsidP="00BC6479">
      <w:pPr>
        <w:spacing w:line="276" w:lineRule="auto"/>
        <w:rPr>
          <w:rFonts w:cs="Times New Roman"/>
          <w:szCs w:val="28"/>
          <w:lang w:val="ru-MD"/>
        </w:rPr>
      </w:pPr>
      <w:r w:rsidRPr="00295188">
        <w:rPr>
          <w:rFonts w:cs="Times New Roman"/>
          <w:szCs w:val="28"/>
          <w:lang w:val="ru-MD"/>
        </w:rPr>
        <w:t xml:space="preserve">Таким образом, мы не можем </w:t>
      </w:r>
      <w:r w:rsidR="008F54C7" w:rsidRPr="00295188">
        <w:rPr>
          <w:rFonts w:cs="Times New Roman"/>
          <w:szCs w:val="28"/>
          <w:lang w:val="ru-MD"/>
        </w:rPr>
        <w:t>выразить мнение</w:t>
      </w:r>
      <w:r w:rsidRPr="00295188">
        <w:rPr>
          <w:rFonts w:cs="Times New Roman"/>
          <w:szCs w:val="28"/>
          <w:lang w:val="ru-MD"/>
        </w:rPr>
        <w:t xml:space="preserve"> о </w:t>
      </w:r>
      <w:r w:rsidRPr="00295188">
        <w:rPr>
          <w:rFonts w:cs="Times New Roman"/>
          <w:i/>
          <w:szCs w:val="28"/>
          <w:lang w:val="ru-MD"/>
        </w:rPr>
        <w:t>достоверности стоимости</w:t>
      </w:r>
      <w:r w:rsidR="00295188">
        <w:rPr>
          <w:rFonts w:cs="Times New Roman"/>
          <w:i/>
          <w:szCs w:val="28"/>
          <w:lang w:val="ru-MD"/>
        </w:rPr>
        <w:t xml:space="preserve"> </w:t>
      </w:r>
      <w:r w:rsidR="008F54C7" w:rsidRPr="00295188">
        <w:rPr>
          <w:rFonts w:cs="Times New Roman"/>
          <w:szCs w:val="28"/>
          <w:lang w:val="ru-MD"/>
        </w:rPr>
        <w:t xml:space="preserve">незавершенных </w:t>
      </w:r>
      <w:r w:rsidRPr="00295188">
        <w:rPr>
          <w:rFonts w:cs="Times New Roman"/>
          <w:szCs w:val="28"/>
          <w:lang w:val="ru-MD"/>
        </w:rPr>
        <w:t xml:space="preserve">капитальных вложений в активы, </w:t>
      </w:r>
      <w:r w:rsidR="008F54C7" w:rsidRPr="00295188">
        <w:rPr>
          <w:rFonts w:cs="Times New Roman"/>
          <w:szCs w:val="28"/>
          <w:lang w:val="ru-MD"/>
        </w:rPr>
        <w:t>отраженной</w:t>
      </w:r>
      <w:r w:rsidRPr="00295188">
        <w:rPr>
          <w:rFonts w:cs="Times New Roman"/>
          <w:szCs w:val="28"/>
          <w:lang w:val="ru-MD"/>
        </w:rPr>
        <w:t xml:space="preserve"> на начало отчетного периода (41,7 млн. </w:t>
      </w:r>
      <w:r w:rsidR="00295188">
        <w:rPr>
          <w:rFonts w:cs="Times New Roman"/>
          <w:szCs w:val="28"/>
          <w:lang w:val="ru-MD"/>
        </w:rPr>
        <w:t>МДЛ</w:t>
      </w:r>
      <w:r w:rsidRPr="00295188">
        <w:rPr>
          <w:rFonts w:cs="Times New Roman"/>
          <w:szCs w:val="28"/>
          <w:lang w:val="ru-MD"/>
        </w:rPr>
        <w:t xml:space="preserve">), учитывая отсутствие первичных документов </w:t>
      </w:r>
      <w:r w:rsidR="00295188" w:rsidRPr="00295188">
        <w:rPr>
          <w:rFonts w:cs="Times New Roman"/>
          <w:szCs w:val="28"/>
          <w:lang w:val="ru-MD"/>
        </w:rPr>
        <w:t>об</w:t>
      </w:r>
      <w:r w:rsidRPr="00295188">
        <w:rPr>
          <w:rFonts w:cs="Times New Roman"/>
          <w:szCs w:val="28"/>
          <w:lang w:val="ru-MD"/>
        </w:rPr>
        <w:t xml:space="preserve"> </w:t>
      </w:r>
      <w:r w:rsidR="008F54C7" w:rsidRPr="00295188">
        <w:rPr>
          <w:rFonts w:cs="Times New Roman"/>
          <w:szCs w:val="28"/>
          <w:lang w:val="ru-MD"/>
        </w:rPr>
        <w:t xml:space="preserve">их </w:t>
      </w:r>
      <w:r w:rsidRPr="00295188">
        <w:rPr>
          <w:rFonts w:cs="Times New Roman"/>
          <w:szCs w:val="28"/>
          <w:lang w:val="ru-MD"/>
        </w:rPr>
        <w:t>признании. Согласно объяснениям субъекта, они были уничтожены</w:t>
      </w:r>
      <w:r w:rsidR="00DD6B73" w:rsidRPr="00295188">
        <w:rPr>
          <w:rStyle w:val="FootnoteReference"/>
          <w:rFonts w:cs="Times New Roman"/>
          <w:szCs w:val="28"/>
          <w:lang w:val="ru-MD"/>
        </w:rPr>
        <w:footnoteReference w:id="8"/>
      </w:r>
      <w:r w:rsidR="00DD6B73" w:rsidRPr="00295188">
        <w:rPr>
          <w:rFonts w:cs="Times New Roman"/>
          <w:szCs w:val="28"/>
          <w:lang w:val="ru-MD"/>
        </w:rPr>
        <w:t xml:space="preserve">. </w:t>
      </w:r>
    </w:p>
    <w:p w:rsidR="00630E84" w:rsidRPr="00295188" w:rsidRDefault="00630E84" w:rsidP="00BC6479">
      <w:pPr>
        <w:spacing w:line="276" w:lineRule="auto"/>
        <w:rPr>
          <w:rFonts w:cs="Times New Roman"/>
          <w:szCs w:val="28"/>
          <w:lang w:val="ru-MD"/>
        </w:rPr>
      </w:pPr>
      <w:r w:rsidRPr="00295188">
        <w:rPr>
          <w:rFonts w:cs="Times New Roman"/>
          <w:b/>
          <w:i/>
          <w:szCs w:val="28"/>
          <w:lang w:val="ru-MD"/>
        </w:rPr>
        <w:t>3.2.3</w:t>
      </w:r>
      <w:r w:rsidRPr="00295188">
        <w:rPr>
          <w:rFonts w:cs="Times New Roman"/>
          <w:szCs w:val="28"/>
          <w:lang w:val="ru-MD"/>
        </w:rPr>
        <w:t>.</w:t>
      </w:r>
      <w:r w:rsidRPr="00295188">
        <w:rPr>
          <w:rFonts w:cs="Times New Roman"/>
          <w:szCs w:val="28"/>
          <w:lang w:val="ru-MD"/>
        </w:rPr>
        <w:tab/>
      </w:r>
      <w:r w:rsidR="00EA0697" w:rsidRPr="00295188">
        <w:rPr>
          <w:rFonts w:cs="Times New Roman"/>
          <w:szCs w:val="28"/>
          <w:lang w:val="ru-MD"/>
        </w:rPr>
        <w:t>Нам не представилось</w:t>
      </w:r>
      <w:r w:rsidR="004E6E5A" w:rsidRPr="00295188">
        <w:rPr>
          <w:rFonts w:cs="Times New Roman"/>
          <w:szCs w:val="28"/>
          <w:lang w:val="ru-MD"/>
        </w:rPr>
        <w:t xml:space="preserve"> возможн</w:t>
      </w:r>
      <w:r w:rsidR="00EA0697" w:rsidRPr="00295188">
        <w:rPr>
          <w:rFonts w:cs="Times New Roman"/>
          <w:szCs w:val="28"/>
          <w:lang w:val="ru-MD"/>
        </w:rPr>
        <w:t>ым</w:t>
      </w:r>
      <w:r w:rsidR="004E6E5A" w:rsidRPr="00295188">
        <w:rPr>
          <w:rFonts w:cs="Times New Roman"/>
          <w:szCs w:val="28"/>
          <w:lang w:val="ru-MD"/>
        </w:rPr>
        <w:t xml:space="preserve"> подтвердить </w:t>
      </w:r>
      <w:r w:rsidR="00EA0697" w:rsidRPr="00295188">
        <w:rPr>
          <w:rFonts w:cs="Times New Roman"/>
          <w:szCs w:val="28"/>
          <w:lang w:val="ru-MD"/>
        </w:rPr>
        <w:t>стоимость в</w:t>
      </w:r>
      <w:r w:rsidR="004E6E5A" w:rsidRPr="00295188">
        <w:rPr>
          <w:rFonts w:cs="Times New Roman"/>
          <w:szCs w:val="28"/>
          <w:lang w:val="ru-MD"/>
        </w:rPr>
        <w:t xml:space="preserve"> 21,8 млн. </w:t>
      </w:r>
      <w:r w:rsidR="00295188">
        <w:rPr>
          <w:rFonts w:cs="Times New Roman"/>
          <w:szCs w:val="28"/>
          <w:lang w:val="ru-MD"/>
        </w:rPr>
        <w:t>МДЛ</w:t>
      </w:r>
      <w:r w:rsidR="004E6E5A" w:rsidRPr="00295188">
        <w:rPr>
          <w:rFonts w:cs="Times New Roman"/>
          <w:szCs w:val="28"/>
          <w:lang w:val="ru-MD"/>
        </w:rPr>
        <w:t xml:space="preserve"> (здания), учитывая, что первичные документы, связанные с </w:t>
      </w:r>
      <w:r w:rsidR="00EA0697" w:rsidRPr="00295188">
        <w:rPr>
          <w:rFonts w:cs="Times New Roman"/>
          <w:szCs w:val="28"/>
          <w:lang w:val="ru-MD"/>
        </w:rPr>
        <w:t xml:space="preserve">их </w:t>
      </w:r>
      <w:r w:rsidR="004E6E5A" w:rsidRPr="00295188">
        <w:rPr>
          <w:rFonts w:cs="Times New Roman"/>
          <w:szCs w:val="28"/>
          <w:lang w:val="ru-MD"/>
        </w:rPr>
        <w:lastRenderedPageBreak/>
        <w:t>признанием были уничтожены в соответствии с действующими правилами</w:t>
      </w:r>
      <w:r w:rsidR="003A7AD2" w:rsidRPr="00295188">
        <w:rPr>
          <w:rStyle w:val="FootnoteReference"/>
          <w:rFonts w:eastAsia="Times New Roman" w:cs="Times New Roman"/>
          <w:bCs/>
          <w:szCs w:val="28"/>
          <w:lang w:val="ru-MD"/>
        </w:rPr>
        <w:footnoteReference w:id="9"/>
      </w:r>
      <w:r w:rsidRPr="00295188">
        <w:rPr>
          <w:rFonts w:cs="Times New Roman"/>
          <w:szCs w:val="28"/>
          <w:lang w:val="ru-MD"/>
        </w:rPr>
        <w:t xml:space="preserve">. </w:t>
      </w:r>
    </w:p>
    <w:p w:rsidR="00630E84" w:rsidRPr="00295188" w:rsidRDefault="004E6E5A" w:rsidP="00BC6479">
      <w:pPr>
        <w:spacing w:line="276" w:lineRule="auto"/>
        <w:rPr>
          <w:rFonts w:cs="Times New Roman"/>
          <w:szCs w:val="28"/>
          <w:lang w:val="ru-MD"/>
        </w:rPr>
      </w:pPr>
      <w:r w:rsidRPr="00295188">
        <w:rPr>
          <w:rFonts w:cs="Times New Roman"/>
          <w:szCs w:val="28"/>
          <w:lang w:val="ru-MD"/>
        </w:rPr>
        <w:t xml:space="preserve">Кроме того, </w:t>
      </w:r>
      <w:r w:rsidR="00EA0697" w:rsidRPr="00295188">
        <w:rPr>
          <w:rFonts w:cs="Times New Roman"/>
          <w:szCs w:val="28"/>
          <w:lang w:val="ru-MD"/>
        </w:rPr>
        <w:t>по</w:t>
      </w:r>
      <w:r w:rsidR="00295188">
        <w:rPr>
          <w:rFonts w:cs="Times New Roman"/>
          <w:szCs w:val="28"/>
          <w:lang w:val="ru-MD"/>
        </w:rPr>
        <w:t xml:space="preserve"> </w:t>
      </w:r>
      <w:r w:rsidR="00EA0697" w:rsidRPr="00295188">
        <w:rPr>
          <w:rFonts w:cs="Times New Roman"/>
          <w:szCs w:val="28"/>
          <w:lang w:val="ru-MD"/>
        </w:rPr>
        <w:t xml:space="preserve">проверенной </w:t>
      </w:r>
      <w:r w:rsidRPr="00295188">
        <w:rPr>
          <w:rFonts w:cs="Times New Roman"/>
          <w:szCs w:val="28"/>
          <w:lang w:val="ru-MD"/>
        </w:rPr>
        <w:t xml:space="preserve">выборке мы </w:t>
      </w:r>
      <w:r w:rsidR="00EA0697" w:rsidRPr="00295188">
        <w:rPr>
          <w:rFonts w:cs="Times New Roman"/>
          <w:szCs w:val="28"/>
          <w:lang w:val="ru-MD"/>
        </w:rPr>
        <w:t>выяв</w:t>
      </w:r>
      <w:r w:rsidRPr="00295188">
        <w:rPr>
          <w:rFonts w:cs="Times New Roman"/>
          <w:szCs w:val="28"/>
          <w:lang w:val="ru-MD"/>
        </w:rPr>
        <w:t>или 31 объект недвижимости с балансовой стоимост</w:t>
      </w:r>
      <w:r w:rsidR="00EA0697" w:rsidRPr="00295188">
        <w:rPr>
          <w:rFonts w:cs="Times New Roman"/>
          <w:szCs w:val="28"/>
          <w:lang w:val="ru-MD"/>
        </w:rPr>
        <w:t>ью</w:t>
      </w:r>
      <w:r w:rsidRPr="00295188">
        <w:rPr>
          <w:rFonts w:cs="Times New Roman"/>
          <w:szCs w:val="28"/>
          <w:lang w:val="ru-MD"/>
        </w:rPr>
        <w:t xml:space="preserve"> 7,8</w:t>
      </w:r>
      <w:r w:rsidR="00EA0697" w:rsidRPr="00295188">
        <w:rPr>
          <w:rFonts w:cs="Times New Roman"/>
          <w:szCs w:val="28"/>
          <w:lang w:val="ru-MD"/>
        </w:rPr>
        <w:t xml:space="preserve"> млн. </w:t>
      </w:r>
      <w:r w:rsidR="00295188">
        <w:rPr>
          <w:rFonts w:cs="Times New Roman"/>
          <w:szCs w:val="28"/>
          <w:lang w:val="ru-MD"/>
        </w:rPr>
        <w:t>МДЛ</w:t>
      </w:r>
      <w:r w:rsidR="00EA0697" w:rsidRPr="00295188">
        <w:rPr>
          <w:rFonts w:cs="Times New Roman"/>
          <w:szCs w:val="28"/>
          <w:lang w:val="ru-MD"/>
        </w:rPr>
        <w:t xml:space="preserve"> </w:t>
      </w:r>
      <w:r w:rsidRPr="00295188">
        <w:rPr>
          <w:rFonts w:cs="Times New Roman"/>
          <w:szCs w:val="28"/>
          <w:lang w:val="ru-MD"/>
        </w:rPr>
        <w:t>и 4 зем</w:t>
      </w:r>
      <w:r w:rsidR="00EA0697" w:rsidRPr="00295188">
        <w:rPr>
          <w:rFonts w:cs="Times New Roman"/>
          <w:szCs w:val="28"/>
          <w:lang w:val="ru-MD"/>
        </w:rPr>
        <w:t>ельны</w:t>
      </w:r>
      <w:r w:rsidR="00295188">
        <w:rPr>
          <w:rFonts w:cs="Times New Roman"/>
          <w:szCs w:val="28"/>
          <w:lang w:val="ru-MD"/>
        </w:rPr>
        <w:t>е</w:t>
      </w:r>
      <w:r w:rsidR="00EA0697" w:rsidRPr="00295188">
        <w:rPr>
          <w:rFonts w:cs="Times New Roman"/>
          <w:szCs w:val="28"/>
          <w:lang w:val="ru-MD"/>
        </w:rPr>
        <w:t xml:space="preserve"> участк</w:t>
      </w:r>
      <w:r w:rsidR="00295188">
        <w:rPr>
          <w:rFonts w:cs="Times New Roman"/>
          <w:szCs w:val="28"/>
          <w:lang w:val="ru-MD"/>
        </w:rPr>
        <w:t>и</w:t>
      </w:r>
      <w:r w:rsidRPr="00295188">
        <w:rPr>
          <w:rFonts w:cs="Times New Roman"/>
          <w:szCs w:val="28"/>
          <w:lang w:val="ru-MD"/>
        </w:rPr>
        <w:t xml:space="preserve"> (4,0 </w:t>
      </w:r>
      <w:r w:rsidR="00EA0697" w:rsidRPr="00295188">
        <w:rPr>
          <w:rFonts w:cs="Times New Roman"/>
          <w:szCs w:val="28"/>
          <w:lang w:val="ru-MD"/>
        </w:rPr>
        <w:t xml:space="preserve">тыс. </w:t>
      </w:r>
      <w:r w:rsidR="00295188">
        <w:rPr>
          <w:rFonts w:cs="Times New Roman"/>
          <w:szCs w:val="28"/>
          <w:lang w:val="ru-MD"/>
        </w:rPr>
        <w:t>МДЛ</w:t>
      </w:r>
      <w:r w:rsidRPr="00295188">
        <w:rPr>
          <w:rFonts w:cs="Times New Roman"/>
          <w:szCs w:val="28"/>
          <w:lang w:val="ru-MD"/>
        </w:rPr>
        <w:t xml:space="preserve">), </w:t>
      </w:r>
      <w:r w:rsidR="00295188">
        <w:rPr>
          <w:rFonts w:cs="Times New Roman"/>
          <w:szCs w:val="28"/>
          <w:lang w:val="ru-MD"/>
        </w:rPr>
        <w:t>на</w:t>
      </w:r>
      <w:r w:rsidR="00EA0697" w:rsidRPr="00295188">
        <w:rPr>
          <w:rFonts w:cs="Times New Roman"/>
          <w:szCs w:val="28"/>
          <w:lang w:val="ru-MD"/>
        </w:rPr>
        <w:t xml:space="preserve"> </w:t>
      </w:r>
      <w:r w:rsidRPr="00295188">
        <w:rPr>
          <w:rFonts w:cs="Times New Roman"/>
          <w:szCs w:val="28"/>
          <w:lang w:val="ru-MD"/>
        </w:rPr>
        <w:t>которы</w:t>
      </w:r>
      <w:r w:rsidR="00295188">
        <w:rPr>
          <w:rFonts w:cs="Times New Roman"/>
          <w:szCs w:val="28"/>
          <w:lang w:val="ru-MD"/>
        </w:rPr>
        <w:t>е</w:t>
      </w:r>
      <w:r w:rsidRPr="00295188">
        <w:rPr>
          <w:rFonts w:cs="Times New Roman"/>
          <w:szCs w:val="28"/>
          <w:lang w:val="ru-MD"/>
        </w:rPr>
        <w:t xml:space="preserve"> не зарегистрированы в Территориальном </w:t>
      </w:r>
      <w:r w:rsidR="00EA0697" w:rsidRPr="00295188">
        <w:rPr>
          <w:rFonts w:cs="Times New Roman"/>
          <w:szCs w:val="28"/>
          <w:lang w:val="ru-MD"/>
        </w:rPr>
        <w:t>к</w:t>
      </w:r>
      <w:r w:rsidRPr="00295188">
        <w:rPr>
          <w:rFonts w:cs="Times New Roman"/>
          <w:szCs w:val="28"/>
          <w:lang w:val="ru-MD"/>
        </w:rPr>
        <w:t xml:space="preserve">адастровом </w:t>
      </w:r>
      <w:r w:rsidR="00EA0697" w:rsidRPr="00295188">
        <w:rPr>
          <w:rFonts w:cs="Times New Roman"/>
          <w:szCs w:val="28"/>
          <w:lang w:val="ru-MD"/>
        </w:rPr>
        <w:t>о</w:t>
      </w:r>
      <w:r w:rsidRPr="00295188">
        <w:rPr>
          <w:rFonts w:cs="Times New Roman"/>
          <w:szCs w:val="28"/>
          <w:lang w:val="ru-MD"/>
        </w:rPr>
        <w:t xml:space="preserve">фисе права </w:t>
      </w:r>
      <w:r w:rsidR="00295188">
        <w:rPr>
          <w:rFonts w:cs="Times New Roman"/>
          <w:szCs w:val="28"/>
          <w:lang w:val="ru-MD"/>
        </w:rPr>
        <w:t>экономического управления</w:t>
      </w:r>
      <w:r w:rsidRPr="00295188">
        <w:rPr>
          <w:rFonts w:cs="Times New Roman"/>
          <w:szCs w:val="28"/>
          <w:lang w:val="ru-MD"/>
        </w:rPr>
        <w:t>; изношенны</w:t>
      </w:r>
      <w:r w:rsidR="00EA0697" w:rsidRPr="00295188">
        <w:rPr>
          <w:rFonts w:cs="Times New Roman"/>
          <w:szCs w:val="28"/>
          <w:lang w:val="ru-MD"/>
        </w:rPr>
        <w:t>е</w:t>
      </w:r>
      <w:r w:rsidRPr="00295188">
        <w:rPr>
          <w:rFonts w:cs="Times New Roman"/>
          <w:szCs w:val="28"/>
          <w:lang w:val="ru-MD"/>
        </w:rPr>
        <w:t xml:space="preserve"> (неисправны</w:t>
      </w:r>
      <w:r w:rsidR="00EA0697" w:rsidRPr="00295188">
        <w:rPr>
          <w:rFonts w:cs="Times New Roman"/>
          <w:szCs w:val="28"/>
          <w:lang w:val="ru-MD"/>
        </w:rPr>
        <w:t>е</w:t>
      </w:r>
      <w:r w:rsidRPr="00295188">
        <w:rPr>
          <w:rFonts w:cs="Times New Roman"/>
          <w:szCs w:val="28"/>
          <w:lang w:val="ru-MD"/>
        </w:rPr>
        <w:t>), морально-устаревши</w:t>
      </w:r>
      <w:r w:rsidR="00EA0697" w:rsidRPr="00295188">
        <w:rPr>
          <w:rFonts w:cs="Times New Roman"/>
          <w:szCs w:val="28"/>
          <w:lang w:val="ru-MD"/>
        </w:rPr>
        <w:t>е</w:t>
      </w:r>
      <w:r w:rsidRPr="00295188">
        <w:rPr>
          <w:rFonts w:cs="Times New Roman"/>
          <w:szCs w:val="28"/>
          <w:lang w:val="ru-MD"/>
        </w:rPr>
        <w:t xml:space="preserve"> и неиспользуемы</w:t>
      </w:r>
      <w:r w:rsidR="00EA0697" w:rsidRPr="00295188">
        <w:rPr>
          <w:rFonts w:cs="Times New Roman"/>
          <w:szCs w:val="28"/>
          <w:lang w:val="ru-MD"/>
        </w:rPr>
        <w:t>е</w:t>
      </w:r>
      <w:r w:rsidR="00295188">
        <w:rPr>
          <w:rFonts w:cs="Times New Roman"/>
          <w:szCs w:val="28"/>
          <w:lang w:val="ru-MD"/>
        </w:rPr>
        <w:t xml:space="preserve"> </w:t>
      </w:r>
      <w:r w:rsidR="00EA0697" w:rsidRPr="00295188">
        <w:rPr>
          <w:rFonts w:cs="Times New Roman"/>
          <w:szCs w:val="28"/>
          <w:lang w:val="ru-MD"/>
        </w:rPr>
        <w:t>активы на</w:t>
      </w:r>
      <w:r w:rsidRPr="00295188">
        <w:rPr>
          <w:rFonts w:cs="Times New Roman"/>
          <w:szCs w:val="28"/>
          <w:lang w:val="ru-MD"/>
        </w:rPr>
        <w:t xml:space="preserve"> сумм</w:t>
      </w:r>
      <w:r w:rsidR="00EA0697" w:rsidRPr="00295188">
        <w:rPr>
          <w:rFonts w:cs="Times New Roman"/>
          <w:szCs w:val="28"/>
          <w:lang w:val="ru-MD"/>
        </w:rPr>
        <w:t>у</w:t>
      </w:r>
      <w:r w:rsidRPr="00295188">
        <w:rPr>
          <w:rFonts w:cs="Times New Roman"/>
          <w:szCs w:val="28"/>
          <w:lang w:val="ru-MD"/>
        </w:rPr>
        <w:t xml:space="preserve"> 14,5 </w:t>
      </w:r>
      <w:r w:rsidR="00EA0697" w:rsidRPr="00295188">
        <w:rPr>
          <w:rFonts w:cs="Times New Roman"/>
          <w:szCs w:val="28"/>
          <w:lang w:val="ru-MD"/>
        </w:rPr>
        <w:t xml:space="preserve">млн. </w:t>
      </w:r>
      <w:r w:rsidR="00295188">
        <w:rPr>
          <w:rFonts w:cs="Times New Roman"/>
          <w:szCs w:val="28"/>
          <w:lang w:val="ru-MD"/>
        </w:rPr>
        <w:t>МДЛ</w:t>
      </w:r>
      <w:r w:rsidRPr="00295188">
        <w:rPr>
          <w:rFonts w:cs="Times New Roman"/>
          <w:szCs w:val="28"/>
          <w:lang w:val="ru-MD"/>
        </w:rPr>
        <w:t>, сн</w:t>
      </w:r>
      <w:r w:rsidR="00EA0697" w:rsidRPr="00295188">
        <w:rPr>
          <w:rFonts w:cs="Times New Roman"/>
          <w:szCs w:val="28"/>
          <w:lang w:val="ru-MD"/>
        </w:rPr>
        <w:t>есенные</w:t>
      </w:r>
      <w:r w:rsidRPr="00295188">
        <w:rPr>
          <w:rFonts w:cs="Times New Roman"/>
          <w:szCs w:val="28"/>
          <w:lang w:val="ru-MD"/>
        </w:rPr>
        <w:t>/прода</w:t>
      </w:r>
      <w:r w:rsidR="00EA0697" w:rsidRPr="00295188">
        <w:rPr>
          <w:rFonts w:cs="Times New Roman"/>
          <w:szCs w:val="28"/>
          <w:lang w:val="ru-MD"/>
        </w:rPr>
        <w:t>нные</w:t>
      </w:r>
      <w:r w:rsidR="00295188">
        <w:rPr>
          <w:rFonts w:cs="Times New Roman"/>
          <w:szCs w:val="28"/>
          <w:lang w:val="ru-MD"/>
        </w:rPr>
        <w:t xml:space="preserve"> </w:t>
      </w:r>
      <w:r w:rsidR="00EA0697" w:rsidRPr="00295188">
        <w:rPr>
          <w:rFonts w:cs="Times New Roman"/>
          <w:szCs w:val="28"/>
          <w:lang w:val="ru-MD"/>
        </w:rPr>
        <w:t>основные средства на сумму</w:t>
      </w:r>
      <w:r w:rsidRPr="00295188">
        <w:rPr>
          <w:rFonts w:cs="Times New Roman"/>
          <w:szCs w:val="28"/>
          <w:lang w:val="ru-MD"/>
        </w:rPr>
        <w:t xml:space="preserve"> 4,8 </w:t>
      </w:r>
      <w:r w:rsidR="00EA0697" w:rsidRPr="00295188">
        <w:rPr>
          <w:rFonts w:cs="Times New Roman"/>
          <w:szCs w:val="28"/>
          <w:lang w:val="ru-MD"/>
        </w:rPr>
        <w:t xml:space="preserve">млн. </w:t>
      </w:r>
      <w:r w:rsidR="00295188">
        <w:rPr>
          <w:rFonts w:cs="Times New Roman"/>
          <w:szCs w:val="28"/>
          <w:lang w:val="ru-MD"/>
        </w:rPr>
        <w:t>МДЛ</w:t>
      </w:r>
      <w:r w:rsidRPr="00295188">
        <w:rPr>
          <w:rFonts w:cs="Times New Roman"/>
          <w:szCs w:val="28"/>
          <w:lang w:val="ru-MD"/>
        </w:rPr>
        <w:t xml:space="preserve">, что повлияло на достоверность </w:t>
      </w:r>
      <w:r w:rsidR="001B0D01" w:rsidRPr="00295188">
        <w:rPr>
          <w:rFonts w:cs="Times New Roman"/>
          <w:szCs w:val="28"/>
          <w:lang w:val="ru-MD"/>
        </w:rPr>
        <w:t xml:space="preserve">отраженной </w:t>
      </w:r>
      <w:r w:rsidRPr="00295188">
        <w:rPr>
          <w:rFonts w:cs="Times New Roman"/>
          <w:szCs w:val="28"/>
          <w:lang w:val="ru-MD"/>
        </w:rPr>
        <w:t>имущественной ситуации</w:t>
      </w:r>
      <w:r w:rsidR="00630E84" w:rsidRPr="00295188">
        <w:rPr>
          <w:rFonts w:cs="Times New Roman"/>
          <w:szCs w:val="28"/>
          <w:lang w:val="ru-MD"/>
        </w:rPr>
        <w:t>.</w:t>
      </w:r>
    </w:p>
    <w:p w:rsidR="00E72875" w:rsidRPr="00295188" w:rsidRDefault="00DB4CA4" w:rsidP="00BC6479">
      <w:pPr>
        <w:spacing w:line="276" w:lineRule="auto"/>
        <w:rPr>
          <w:rFonts w:eastAsia="Times New Roman" w:cs="Times New Roman"/>
          <w:color w:val="000000"/>
          <w:szCs w:val="28"/>
          <w:lang w:val="ru-MD"/>
        </w:rPr>
      </w:pPr>
      <w:r w:rsidRPr="00295188">
        <w:rPr>
          <w:b/>
          <w:i/>
          <w:szCs w:val="28"/>
          <w:lang w:val="ru-MD"/>
        </w:rPr>
        <w:t>3</w:t>
      </w:r>
      <w:r w:rsidR="00630E84" w:rsidRPr="00295188">
        <w:rPr>
          <w:b/>
          <w:i/>
          <w:szCs w:val="28"/>
          <w:lang w:val="ru-MD"/>
        </w:rPr>
        <w:t>.2.4</w:t>
      </w:r>
      <w:r w:rsidR="001B009E" w:rsidRPr="00295188">
        <w:rPr>
          <w:b/>
          <w:i/>
          <w:szCs w:val="28"/>
          <w:lang w:val="ru-MD"/>
        </w:rPr>
        <w:t xml:space="preserve">. </w:t>
      </w:r>
      <w:r w:rsidR="001B0D01" w:rsidRPr="00295188">
        <w:rPr>
          <w:i/>
          <w:szCs w:val="28"/>
          <w:lang w:val="ru-MD"/>
        </w:rPr>
        <w:t>Необеспечение</w:t>
      </w:r>
      <w:r w:rsidR="004E6E5A" w:rsidRPr="00295188">
        <w:rPr>
          <w:i/>
          <w:szCs w:val="28"/>
          <w:lang w:val="ru-MD"/>
        </w:rPr>
        <w:t xml:space="preserve"> точности ведения бухгалтерского учета </w:t>
      </w:r>
      <w:r w:rsidR="001B0D01" w:rsidRPr="00295188">
        <w:rPr>
          <w:i/>
          <w:szCs w:val="28"/>
          <w:lang w:val="ru-MD"/>
        </w:rPr>
        <w:t>обуслови</w:t>
      </w:r>
      <w:r w:rsidR="004E6E5A" w:rsidRPr="00295188">
        <w:rPr>
          <w:i/>
          <w:szCs w:val="28"/>
          <w:lang w:val="ru-MD"/>
        </w:rPr>
        <w:t xml:space="preserve">ло </w:t>
      </w:r>
      <w:r w:rsidR="001B0D01" w:rsidRPr="00295188">
        <w:rPr>
          <w:i/>
          <w:szCs w:val="28"/>
          <w:lang w:val="ru-MD"/>
        </w:rPr>
        <w:t xml:space="preserve">неправильную </w:t>
      </w:r>
      <w:r w:rsidR="004E6E5A" w:rsidRPr="00295188">
        <w:rPr>
          <w:i/>
          <w:szCs w:val="28"/>
          <w:lang w:val="ru-MD"/>
        </w:rPr>
        <w:t>классификаци</w:t>
      </w:r>
      <w:r w:rsidR="001B0D01" w:rsidRPr="00295188">
        <w:rPr>
          <w:i/>
          <w:szCs w:val="28"/>
          <w:lang w:val="ru-MD"/>
        </w:rPr>
        <w:t>ю</w:t>
      </w:r>
      <w:r w:rsidR="004E6E5A" w:rsidRPr="00295188">
        <w:rPr>
          <w:i/>
          <w:szCs w:val="28"/>
          <w:lang w:val="ru-MD"/>
        </w:rPr>
        <w:t xml:space="preserve"> по группам счетов основных средств на сумму 50,8 </w:t>
      </w:r>
      <w:r w:rsidR="001B0D01" w:rsidRPr="00295188">
        <w:rPr>
          <w:i/>
          <w:szCs w:val="28"/>
          <w:lang w:val="ru-MD"/>
        </w:rPr>
        <w:t xml:space="preserve">млн. </w:t>
      </w:r>
      <w:r w:rsidR="00295188">
        <w:rPr>
          <w:i/>
          <w:szCs w:val="28"/>
          <w:lang w:val="ru-MD"/>
        </w:rPr>
        <w:t>МДЛ</w:t>
      </w:r>
      <w:r w:rsidR="001B0D01" w:rsidRPr="00295188">
        <w:rPr>
          <w:rStyle w:val="FootnoteReference"/>
          <w:rFonts w:cs="Times New Roman"/>
          <w:i/>
          <w:szCs w:val="28"/>
          <w:lang w:val="ru-MD"/>
        </w:rPr>
        <w:footnoteReference w:id="10"/>
      </w:r>
      <w:r w:rsidR="004E6E5A" w:rsidRPr="00295188">
        <w:rPr>
          <w:szCs w:val="28"/>
          <w:lang w:val="ru-MD"/>
        </w:rPr>
        <w:t>. Это н</w:t>
      </w:r>
      <w:r w:rsidR="001B0D01" w:rsidRPr="00295188">
        <w:rPr>
          <w:szCs w:val="28"/>
          <w:lang w:val="ru-MD"/>
        </w:rPr>
        <w:t>арушение</w:t>
      </w:r>
      <w:r w:rsidR="004E6E5A" w:rsidRPr="00295188">
        <w:rPr>
          <w:szCs w:val="28"/>
          <w:lang w:val="ru-MD"/>
        </w:rPr>
        <w:t xml:space="preserve"> определяет неправильное установление срока полезного использования по </w:t>
      </w:r>
      <w:r w:rsidR="001B0D01" w:rsidRPr="00295188">
        <w:rPr>
          <w:szCs w:val="28"/>
          <w:lang w:val="ru-MD"/>
        </w:rPr>
        <w:t>категориям</w:t>
      </w:r>
      <w:r w:rsidR="004E6E5A" w:rsidRPr="00295188">
        <w:rPr>
          <w:szCs w:val="28"/>
          <w:lang w:val="ru-MD"/>
        </w:rPr>
        <w:t xml:space="preserve"> основных средств, что влияет на точность стоимости начисленного износа. Кроме того, </w:t>
      </w:r>
      <w:r w:rsidR="001B0D01" w:rsidRPr="00295188">
        <w:rPr>
          <w:szCs w:val="28"/>
          <w:lang w:val="ru-MD"/>
        </w:rPr>
        <w:t>нами выявлены</w:t>
      </w:r>
      <w:r w:rsidR="004E6E5A" w:rsidRPr="00295188">
        <w:rPr>
          <w:szCs w:val="28"/>
          <w:lang w:val="ru-MD"/>
        </w:rPr>
        <w:t xml:space="preserve"> ошибки при расчете и отражении в бухгалтерском учете износа активов, не подлежащих начислению износа в сумме 13,4 млн. </w:t>
      </w:r>
      <w:r w:rsidR="00295188">
        <w:rPr>
          <w:szCs w:val="28"/>
          <w:lang w:val="ru-MD"/>
        </w:rPr>
        <w:t>МДЛ</w:t>
      </w:r>
      <w:r w:rsidR="0057432F" w:rsidRPr="00295188">
        <w:rPr>
          <w:rFonts w:eastAsia="Times New Roman" w:cs="Times New Roman"/>
          <w:color w:val="000000"/>
          <w:szCs w:val="28"/>
          <w:lang w:val="ru-MD"/>
        </w:rPr>
        <w:t>.</w:t>
      </w:r>
    </w:p>
    <w:p w:rsidR="00E72875" w:rsidRPr="00295188" w:rsidRDefault="00DB4CA4" w:rsidP="00BC6479">
      <w:pPr>
        <w:spacing w:line="276" w:lineRule="auto"/>
        <w:rPr>
          <w:rFonts w:cs="Times New Roman"/>
          <w:szCs w:val="28"/>
          <w:lang w:val="ru-MD"/>
        </w:rPr>
      </w:pPr>
      <w:r w:rsidRPr="00295188">
        <w:rPr>
          <w:b/>
          <w:szCs w:val="28"/>
          <w:lang w:val="ru-MD"/>
        </w:rPr>
        <w:t>3</w:t>
      </w:r>
      <w:r w:rsidR="00E72875" w:rsidRPr="00295188">
        <w:rPr>
          <w:b/>
          <w:szCs w:val="28"/>
          <w:lang w:val="ru-MD"/>
        </w:rPr>
        <w:t>.3.</w:t>
      </w:r>
      <w:r w:rsidR="00CF1352">
        <w:rPr>
          <w:b/>
          <w:szCs w:val="28"/>
          <w:lang w:val="ru-MD"/>
        </w:rPr>
        <w:t xml:space="preserve"> </w:t>
      </w:r>
      <w:r w:rsidR="004E6E5A" w:rsidRPr="00295188">
        <w:rPr>
          <w:i/>
          <w:szCs w:val="28"/>
          <w:lang w:val="ru-MD"/>
        </w:rPr>
        <w:t xml:space="preserve">Недостаточный контроль при определении констант и формул расчета в </w:t>
      </w:r>
      <w:r w:rsidR="001B0D01" w:rsidRPr="00295188">
        <w:rPr>
          <w:i/>
          <w:szCs w:val="28"/>
          <w:lang w:val="ru-MD"/>
        </w:rPr>
        <w:t>И</w:t>
      </w:r>
      <w:r w:rsidR="004E6E5A" w:rsidRPr="00295188">
        <w:rPr>
          <w:i/>
          <w:szCs w:val="28"/>
          <w:lang w:val="ru-MD"/>
        </w:rPr>
        <w:t>нформационн</w:t>
      </w:r>
      <w:r w:rsidR="001B0D01" w:rsidRPr="00295188">
        <w:rPr>
          <w:i/>
          <w:szCs w:val="28"/>
          <w:lang w:val="ru-MD"/>
        </w:rPr>
        <w:t>ой</w:t>
      </w:r>
      <w:r w:rsidR="00295188">
        <w:rPr>
          <w:i/>
          <w:szCs w:val="28"/>
          <w:lang w:val="ru-MD"/>
        </w:rPr>
        <w:t xml:space="preserve"> </w:t>
      </w:r>
      <w:r w:rsidR="001B0D01" w:rsidRPr="00295188">
        <w:rPr>
          <w:i/>
          <w:szCs w:val="28"/>
          <w:lang w:val="ru-MD"/>
        </w:rPr>
        <w:t>с</w:t>
      </w:r>
      <w:r w:rsidR="004E6E5A" w:rsidRPr="00295188">
        <w:rPr>
          <w:i/>
          <w:szCs w:val="28"/>
          <w:lang w:val="ru-MD"/>
        </w:rPr>
        <w:t>истем</w:t>
      </w:r>
      <w:r w:rsidR="001B0D01" w:rsidRPr="00295188">
        <w:rPr>
          <w:i/>
          <w:szCs w:val="28"/>
          <w:lang w:val="ru-MD"/>
        </w:rPr>
        <w:t>е</w:t>
      </w:r>
      <w:r w:rsidR="004E6E5A" w:rsidRPr="00295188">
        <w:rPr>
          <w:i/>
          <w:szCs w:val="28"/>
          <w:lang w:val="ru-MD"/>
        </w:rPr>
        <w:t xml:space="preserve"> бухгалтерского учета обусловило неправильный расчет износа основных средств</w:t>
      </w:r>
      <w:r w:rsidR="004E6E5A" w:rsidRPr="00295188">
        <w:rPr>
          <w:szCs w:val="28"/>
          <w:lang w:val="ru-MD"/>
        </w:rPr>
        <w:t>. Эта ошибка является одной системн</w:t>
      </w:r>
      <w:r w:rsidR="001B0D01" w:rsidRPr="00295188">
        <w:rPr>
          <w:szCs w:val="28"/>
          <w:lang w:val="ru-MD"/>
        </w:rPr>
        <w:t>о</w:t>
      </w:r>
      <w:r w:rsidR="004E6E5A" w:rsidRPr="00295188">
        <w:rPr>
          <w:szCs w:val="28"/>
          <w:lang w:val="ru-MD"/>
        </w:rPr>
        <w:t>й</w:t>
      </w:r>
      <w:r w:rsidR="001B0D01" w:rsidRPr="00295188">
        <w:rPr>
          <w:rStyle w:val="FootnoteReference"/>
          <w:rFonts w:cs="Times New Roman"/>
          <w:szCs w:val="28"/>
          <w:lang w:val="ru-MD"/>
        </w:rPr>
        <w:footnoteReference w:id="11"/>
      </w:r>
      <w:r w:rsidR="004E6E5A" w:rsidRPr="00295188">
        <w:rPr>
          <w:szCs w:val="28"/>
          <w:lang w:val="ru-MD"/>
        </w:rPr>
        <w:t xml:space="preserve"> и может повлиять на предыдущие периоды, что ограничивает </w:t>
      </w:r>
      <w:r w:rsidR="001B0D01" w:rsidRPr="00295188">
        <w:rPr>
          <w:szCs w:val="28"/>
          <w:lang w:val="ru-MD"/>
        </w:rPr>
        <w:t xml:space="preserve">нас </w:t>
      </w:r>
      <w:r w:rsidR="004E6E5A" w:rsidRPr="00295188">
        <w:rPr>
          <w:szCs w:val="28"/>
          <w:lang w:val="ru-MD"/>
        </w:rPr>
        <w:t>в оценке влияния ошибки</w:t>
      </w:r>
      <w:r w:rsidR="00B51169" w:rsidRPr="00295188">
        <w:rPr>
          <w:rFonts w:cs="Times New Roman"/>
          <w:szCs w:val="28"/>
          <w:lang w:val="ru-MD"/>
        </w:rPr>
        <w:t>.</w:t>
      </w:r>
    </w:p>
    <w:p w:rsidR="00B51169" w:rsidRPr="00295188" w:rsidRDefault="004E6E5A" w:rsidP="0083708F">
      <w:pPr>
        <w:pBdr>
          <w:top w:val="single" w:sz="4" w:space="1" w:color="auto"/>
          <w:left w:val="single" w:sz="4" w:space="4" w:color="auto"/>
          <w:bottom w:val="single" w:sz="4" w:space="1" w:color="auto"/>
          <w:right w:val="single" w:sz="4" w:space="4" w:color="auto"/>
        </w:pBdr>
        <w:shd w:val="clear" w:color="auto" w:fill="DEEAF6" w:themeFill="accent1" w:themeFillTint="33"/>
        <w:rPr>
          <w:rFonts w:eastAsia="Times New Roman" w:cs="Times New Roman"/>
          <w:i/>
          <w:color w:val="000000"/>
          <w:szCs w:val="28"/>
          <w:lang w:val="ru-MD"/>
        </w:rPr>
      </w:pPr>
      <w:r w:rsidRPr="00295188">
        <w:rPr>
          <w:rFonts w:eastAsia="Times New Roman" w:cs="Times New Roman"/>
          <w:bCs/>
          <w:szCs w:val="28"/>
          <w:lang w:val="ru-MD"/>
        </w:rPr>
        <w:t xml:space="preserve">Министерство </w:t>
      </w:r>
      <w:r w:rsidR="001B0D01" w:rsidRPr="00295188">
        <w:rPr>
          <w:rFonts w:eastAsia="Times New Roman" w:cs="Times New Roman"/>
          <w:bCs/>
          <w:szCs w:val="28"/>
          <w:lang w:val="ru-MD"/>
        </w:rPr>
        <w:t>ф</w:t>
      </w:r>
      <w:r w:rsidRPr="00295188">
        <w:rPr>
          <w:rFonts w:eastAsia="Times New Roman" w:cs="Times New Roman"/>
          <w:bCs/>
          <w:szCs w:val="28"/>
          <w:lang w:val="ru-MD"/>
        </w:rPr>
        <w:t xml:space="preserve">инансов </w:t>
      </w:r>
      <w:r w:rsidR="001B0D01" w:rsidRPr="00295188">
        <w:rPr>
          <w:rFonts w:eastAsia="Times New Roman" w:cs="Times New Roman"/>
          <w:bCs/>
          <w:szCs w:val="28"/>
          <w:lang w:val="ru-MD"/>
        </w:rPr>
        <w:t>отраж</w:t>
      </w:r>
      <w:r w:rsidRPr="00295188">
        <w:rPr>
          <w:rFonts w:eastAsia="Times New Roman" w:cs="Times New Roman"/>
          <w:bCs/>
          <w:szCs w:val="28"/>
          <w:lang w:val="ru-MD"/>
        </w:rPr>
        <w:t xml:space="preserve">ает накопленный износ </w:t>
      </w:r>
      <w:r w:rsidR="00295188">
        <w:rPr>
          <w:rFonts w:eastAsia="Times New Roman" w:cs="Times New Roman"/>
          <w:bCs/>
          <w:szCs w:val="28"/>
          <w:lang w:val="ru-MD"/>
        </w:rPr>
        <w:t>в</w:t>
      </w:r>
      <w:r w:rsidR="001B0D01" w:rsidRPr="00295188">
        <w:rPr>
          <w:rFonts w:eastAsia="Times New Roman" w:cs="Times New Roman"/>
          <w:bCs/>
          <w:szCs w:val="28"/>
          <w:lang w:val="ru-MD"/>
        </w:rPr>
        <w:t xml:space="preserve"> сумм</w:t>
      </w:r>
      <w:r w:rsidR="00295188">
        <w:rPr>
          <w:rFonts w:eastAsia="Times New Roman" w:cs="Times New Roman"/>
          <w:bCs/>
          <w:szCs w:val="28"/>
          <w:lang w:val="ru-MD"/>
        </w:rPr>
        <w:t>е</w:t>
      </w:r>
      <w:r w:rsidRPr="00295188">
        <w:rPr>
          <w:rFonts w:eastAsia="Times New Roman" w:cs="Times New Roman"/>
          <w:bCs/>
          <w:szCs w:val="28"/>
          <w:lang w:val="ru-MD"/>
        </w:rPr>
        <w:t xml:space="preserve"> 923,4 млн. </w:t>
      </w:r>
      <w:r w:rsidR="00295188">
        <w:rPr>
          <w:rFonts w:eastAsia="Times New Roman" w:cs="Times New Roman"/>
          <w:bCs/>
          <w:szCs w:val="28"/>
          <w:lang w:val="ru-MD"/>
        </w:rPr>
        <w:t>МДЛ</w:t>
      </w:r>
      <w:r w:rsidR="00B51169" w:rsidRPr="00295188">
        <w:rPr>
          <w:rFonts w:eastAsia="Times New Roman" w:cs="Times New Roman"/>
          <w:bCs/>
          <w:szCs w:val="28"/>
          <w:lang w:val="ru-MD"/>
        </w:rPr>
        <w:t>.</w:t>
      </w:r>
    </w:p>
    <w:p w:rsidR="00090D38" w:rsidRPr="00295188" w:rsidRDefault="00090D38" w:rsidP="00BC6479">
      <w:pPr>
        <w:pStyle w:val="NormalWeb"/>
        <w:shd w:val="clear" w:color="auto" w:fill="FFFFFF"/>
        <w:spacing w:after="0" w:line="276" w:lineRule="auto"/>
        <w:rPr>
          <w:b/>
          <w:i/>
          <w:sz w:val="28"/>
          <w:szCs w:val="28"/>
          <w:lang w:val="ru-MD"/>
        </w:rPr>
      </w:pPr>
    </w:p>
    <w:p w:rsidR="003376D3" w:rsidRPr="00295188" w:rsidRDefault="00DB4CA4" w:rsidP="00BC6479">
      <w:pPr>
        <w:pStyle w:val="NormalWeb"/>
        <w:shd w:val="clear" w:color="auto" w:fill="FFFFFF"/>
        <w:spacing w:after="0" w:line="276" w:lineRule="auto"/>
        <w:rPr>
          <w:b/>
          <w:sz w:val="28"/>
          <w:szCs w:val="28"/>
          <w:lang w:val="ru-MD"/>
        </w:rPr>
      </w:pPr>
      <w:r w:rsidRPr="00295188">
        <w:rPr>
          <w:b/>
          <w:sz w:val="28"/>
          <w:szCs w:val="28"/>
          <w:lang w:val="ru-MD"/>
        </w:rPr>
        <w:t>3</w:t>
      </w:r>
      <w:r w:rsidR="00B0203E" w:rsidRPr="00295188">
        <w:rPr>
          <w:b/>
          <w:sz w:val="28"/>
          <w:szCs w:val="28"/>
          <w:lang w:val="ru-MD"/>
        </w:rPr>
        <w:t>.4.</w:t>
      </w:r>
      <w:r w:rsidR="00295188">
        <w:rPr>
          <w:b/>
          <w:sz w:val="28"/>
          <w:szCs w:val="28"/>
          <w:lang w:val="ru-MD"/>
        </w:rPr>
        <w:t xml:space="preserve"> </w:t>
      </w:r>
      <w:r w:rsidR="004E6E5A" w:rsidRPr="00295188">
        <w:rPr>
          <w:i/>
          <w:sz w:val="28"/>
          <w:szCs w:val="28"/>
          <w:lang w:val="ru-MD"/>
        </w:rPr>
        <w:t>Несоблюдение принципа</w:t>
      </w:r>
      <w:r w:rsidR="001B0D01" w:rsidRPr="00295188">
        <w:rPr>
          <w:i/>
          <w:sz w:val="28"/>
          <w:szCs w:val="28"/>
          <w:lang w:val="ru-MD"/>
        </w:rPr>
        <w:t xml:space="preserve"> </w:t>
      </w:r>
      <w:r w:rsidR="004E6E5A" w:rsidRPr="00295188">
        <w:rPr>
          <w:i/>
          <w:sz w:val="28"/>
          <w:szCs w:val="28"/>
          <w:lang w:val="ru-MD"/>
        </w:rPr>
        <w:t xml:space="preserve">начисления </w:t>
      </w:r>
      <w:r w:rsidR="004E6E5A" w:rsidRPr="00295188">
        <w:rPr>
          <w:sz w:val="28"/>
          <w:szCs w:val="28"/>
          <w:lang w:val="ru-MD"/>
        </w:rPr>
        <w:t xml:space="preserve">обусловило неотражение задолженности </w:t>
      </w:r>
      <w:r w:rsidR="001B0D01" w:rsidRPr="00295188">
        <w:rPr>
          <w:sz w:val="28"/>
          <w:szCs w:val="28"/>
          <w:lang w:val="ru-MD"/>
        </w:rPr>
        <w:t xml:space="preserve">по </w:t>
      </w:r>
      <w:r w:rsidR="004E6E5A" w:rsidRPr="00295188">
        <w:rPr>
          <w:sz w:val="28"/>
          <w:szCs w:val="28"/>
          <w:lang w:val="ru-MD"/>
        </w:rPr>
        <w:t>социальны</w:t>
      </w:r>
      <w:r w:rsidR="001B0D01" w:rsidRPr="00295188">
        <w:rPr>
          <w:sz w:val="28"/>
          <w:szCs w:val="28"/>
          <w:lang w:val="ru-MD"/>
        </w:rPr>
        <w:t>м</w:t>
      </w:r>
      <w:r w:rsidR="004E6E5A" w:rsidRPr="00295188">
        <w:rPr>
          <w:sz w:val="28"/>
          <w:szCs w:val="28"/>
          <w:lang w:val="ru-MD"/>
        </w:rPr>
        <w:t xml:space="preserve"> выплат</w:t>
      </w:r>
      <w:r w:rsidR="001B0D01" w:rsidRPr="00295188">
        <w:rPr>
          <w:sz w:val="28"/>
          <w:szCs w:val="28"/>
          <w:lang w:val="ru-MD"/>
        </w:rPr>
        <w:t>ам</w:t>
      </w:r>
      <w:r w:rsidR="004E6E5A" w:rsidRPr="00295188">
        <w:rPr>
          <w:sz w:val="28"/>
          <w:szCs w:val="28"/>
          <w:lang w:val="ru-MD"/>
        </w:rPr>
        <w:t xml:space="preserve"> работодателя в сумме 3,0 млн. </w:t>
      </w:r>
      <w:r w:rsidR="00295188">
        <w:rPr>
          <w:sz w:val="28"/>
          <w:szCs w:val="28"/>
          <w:lang w:val="ru-MD"/>
        </w:rPr>
        <w:t>МДЛ</w:t>
      </w:r>
      <w:r w:rsidR="009C5269" w:rsidRPr="00295188">
        <w:rPr>
          <w:sz w:val="28"/>
          <w:szCs w:val="28"/>
          <w:lang w:val="ru-MD"/>
        </w:rPr>
        <w:t>.</w:t>
      </w:r>
    </w:p>
    <w:p w:rsidR="003376D3" w:rsidRPr="00295188" w:rsidRDefault="003376D3" w:rsidP="00BC6479">
      <w:pPr>
        <w:pStyle w:val="ListParagraph"/>
        <w:spacing w:after="0" w:line="276" w:lineRule="auto"/>
        <w:ind w:left="0"/>
        <w:rPr>
          <w:szCs w:val="28"/>
          <w:lang w:val="ru-MD"/>
        </w:rPr>
      </w:pPr>
    </w:p>
    <w:p w:rsidR="00476271" w:rsidRPr="00295188" w:rsidRDefault="00DB4CA4" w:rsidP="00BC6479">
      <w:pPr>
        <w:spacing w:line="276" w:lineRule="auto"/>
        <w:rPr>
          <w:rFonts w:cs="Times New Roman"/>
          <w:i/>
          <w:szCs w:val="28"/>
          <w:lang w:val="ru-MD"/>
        </w:rPr>
      </w:pPr>
      <w:r w:rsidRPr="00295188">
        <w:rPr>
          <w:b/>
          <w:szCs w:val="28"/>
          <w:lang w:val="ru-MD"/>
        </w:rPr>
        <w:t>3</w:t>
      </w:r>
      <w:r w:rsidR="00B0203E" w:rsidRPr="00295188">
        <w:rPr>
          <w:rFonts w:cs="Times New Roman"/>
          <w:b/>
          <w:szCs w:val="28"/>
          <w:lang w:val="ru-MD"/>
        </w:rPr>
        <w:t>.</w:t>
      </w:r>
      <w:r w:rsidR="00630E84" w:rsidRPr="00295188">
        <w:rPr>
          <w:rFonts w:cs="Times New Roman"/>
          <w:b/>
          <w:szCs w:val="28"/>
          <w:lang w:val="ru-MD"/>
        </w:rPr>
        <w:t>5</w:t>
      </w:r>
      <w:r w:rsidR="001B009E" w:rsidRPr="00295188">
        <w:rPr>
          <w:rFonts w:cs="Times New Roman"/>
          <w:b/>
          <w:szCs w:val="28"/>
          <w:lang w:val="ru-MD"/>
        </w:rPr>
        <w:t>.</w:t>
      </w:r>
      <w:r w:rsidR="00952E8D" w:rsidRPr="00A0135E">
        <w:rPr>
          <w:rFonts w:cs="Times New Roman"/>
          <w:b/>
          <w:szCs w:val="28"/>
          <w:lang w:val="ru-RU"/>
        </w:rPr>
        <w:t xml:space="preserve"> </w:t>
      </w:r>
      <w:r w:rsidR="001B0D01" w:rsidRPr="00295188">
        <w:rPr>
          <w:rFonts w:cs="Times New Roman"/>
          <w:i/>
          <w:szCs w:val="28"/>
          <w:lang w:val="ru-MD"/>
        </w:rPr>
        <w:t xml:space="preserve">В нарушение </w:t>
      </w:r>
      <w:r w:rsidR="00F94730" w:rsidRPr="00295188">
        <w:rPr>
          <w:rFonts w:cs="Times New Roman"/>
          <w:i/>
          <w:szCs w:val="28"/>
          <w:lang w:val="ru-MD"/>
        </w:rPr>
        <w:t>принцип</w:t>
      </w:r>
      <w:r w:rsidR="001B0D01" w:rsidRPr="00295188">
        <w:rPr>
          <w:rFonts w:cs="Times New Roman"/>
          <w:i/>
          <w:szCs w:val="28"/>
          <w:lang w:val="ru-MD"/>
        </w:rPr>
        <w:t>ов надлежащего</w:t>
      </w:r>
      <w:r w:rsidR="00F94730" w:rsidRPr="00295188">
        <w:rPr>
          <w:rFonts w:cs="Times New Roman"/>
          <w:i/>
          <w:szCs w:val="28"/>
          <w:lang w:val="ru-MD"/>
        </w:rPr>
        <w:t xml:space="preserve"> управления, Министерство </w:t>
      </w:r>
      <w:r w:rsidR="001B0D01" w:rsidRPr="00295188">
        <w:rPr>
          <w:rFonts w:cs="Times New Roman"/>
          <w:i/>
          <w:szCs w:val="28"/>
          <w:lang w:val="ru-MD"/>
        </w:rPr>
        <w:t>ф</w:t>
      </w:r>
      <w:r w:rsidR="00F94730" w:rsidRPr="00295188">
        <w:rPr>
          <w:rFonts w:cs="Times New Roman"/>
          <w:i/>
          <w:szCs w:val="28"/>
          <w:lang w:val="ru-MD"/>
        </w:rPr>
        <w:t xml:space="preserve">инансов разрешило принятие обязательств по оплате труда в </w:t>
      </w:r>
      <w:r w:rsidR="00F94730" w:rsidRPr="00295188">
        <w:rPr>
          <w:rFonts w:cs="Times New Roman"/>
          <w:i/>
          <w:szCs w:val="28"/>
          <w:lang w:val="ru-MD"/>
        </w:rPr>
        <w:lastRenderedPageBreak/>
        <w:t xml:space="preserve">отсутствие бюджетных ассигнований, что создает неравные условия по </w:t>
      </w:r>
      <w:r w:rsidR="001B0D01" w:rsidRPr="00295188">
        <w:rPr>
          <w:rFonts w:cs="Times New Roman"/>
          <w:i/>
          <w:szCs w:val="28"/>
          <w:lang w:val="ru-MD"/>
        </w:rPr>
        <w:t>отнош</w:t>
      </w:r>
      <w:r w:rsidR="00F94730" w:rsidRPr="00295188">
        <w:rPr>
          <w:rFonts w:cs="Times New Roman"/>
          <w:i/>
          <w:szCs w:val="28"/>
          <w:lang w:val="ru-MD"/>
        </w:rPr>
        <w:t xml:space="preserve">ению </w:t>
      </w:r>
      <w:r w:rsidR="001B0D01" w:rsidRPr="00295188">
        <w:rPr>
          <w:rFonts w:cs="Times New Roman"/>
          <w:i/>
          <w:szCs w:val="28"/>
          <w:lang w:val="ru-MD"/>
        </w:rPr>
        <w:t>к</w:t>
      </w:r>
      <w:r w:rsidR="00F94730" w:rsidRPr="00295188">
        <w:rPr>
          <w:rFonts w:cs="Times New Roman"/>
          <w:i/>
          <w:szCs w:val="28"/>
          <w:lang w:val="ru-MD"/>
        </w:rPr>
        <w:t xml:space="preserve"> другим бюджетным учреждениям и предпосылки для обременения бюджета</w:t>
      </w:r>
      <w:r w:rsidR="00B0203E" w:rsidRPr="00295188">
        <w:rPr>
          <w:rFonts w:cs="Times New Roman"/>
          <w:i/>
          <w:szCs w:val="28"/>
          <w:lang w:val="ru-MD"/>
        </w:rPr>
        <w:t>.</w:t>
      </w:r>
    </w:p>
    <w:p w:rsidR="00C256AB" w:rsidRPr="00295188" w:rsidRDefault="00F94730" w:rsidP="00BC6479">
      <w:pPr>
        <w:spacing w:line="276" w:lineRule="auto"/>
        <w:rPr>
          <w:rFonts w:cs="Times New Roman"/>
          <w:szCs w:val="28"/>
          <w:lang w:val="ru-MD"/>
        </w:rPr>
      </w:pPr>
      <w:r w:rsidRPr="00295188">
        <w:rPr>
          <w:rFonts w:cs="Times New Roman"/>
          <w:szCs w:val="28"/>
          <w:lang w:val="ru-MD"/>
        </w:rPr>
        <w:t>Фактические расходы на персонал</w:t>
      </w:r>
      <w:r w:rsidR="00306750" w:rsidRPr="00295188">
        <w:rPr>
          <w:rStyle w:val="FootnoteReference"/>
          <w:rFonts w:cs="Times New Roman"/>
          <w:szCs w:val="28"/>
          <w:lang w:val="ru-MD"/>
        </w:rPr>
        <w:footnoteReference w:id="12"/>
      </w:r>
      <w:r w:rsidRPr="00295188">
        <w:rPr>
          <w:rFonts w:cs="Times New Roman"/>
          <w:szCs w:val="28"/>
          <w:lang w:val="ru-MD"/>
        </w:rPr>
        <w:t>, в том числе взносы государственного социального страхования и взносы обязательного медицинского страхования превысили уточненные ассигнования на 28,0</w:t>
      </w:r>
      <w:r w:rsidR="00306750" w:rsidRPr="00295188">
        <w:rPr>
          <w:rFonts w:cs="Times New Roman"/>
          <w:szCs w:val="28"/>
          <w:lang w:val="ru-MD"/>
        </w:rPr>
        <w:t xml:space="preserve"> млн. </w:t>
      </w:r>
      <w:r w:rsidR="00295188">
        <w:rPr>
          <w:rFonts w:cs="Times New Roman"/>
          <w:szCs w:val="28"/>
          <w:lang w:val="ru-MD"/>
        </w:rPr>
        <w:t>МДЛ</w:t>
      </w:r>
      <w:r w:rsidRPr="00295188">
        <w:rPr>
          <w:rFonts w:cs="Times New Roman"/>
          <w:szCs w:val="28"/>
          <w:lang w:val="ru-MD"/>
        </w:rPr>
        <w:t>, что противоречит действующему законодательству</w:t>
      </w:r>
      <w:r w:rsidR="001B009E" w:rsidRPr="00295188">
        <w:rPr>
          <w:rStyle w:val="FootnoteReference"/>
          <w:rFonts w:cs="Times New Roman"/>
          <w:szCs w:val="28"/>
          <w:lang w:val="ru-MD"/>
        </w:rPr>
        <w:footnoteReference w:id="13"/>
      </w:r>
      <w:r w:rsidR="001B009E" w:rsidRPr="00295188">
        <w:rPr>
          <w:rFonts w:cs="Times New Roman"/>
          <w:szCs w:val="28"/>
          <w:lang w:val="ru-MD"/>
        </w:rPr>
        <w:t xml:space="preserve">. </w:t>
      </w:r>
    </w:p>
    <w:p w:rsidR="00476271" w:rsidRPr="00295188" w:rsidRDefault="00306750" w:rsidP="00BC6479">
      <w:pPr>
        <w:spacing w:line="276" w:lineRule="auto"/>
        <w:rPr>
          <w:rFonts w:cs="Times New Roman"/>
          <w:szCs w:val="28"/>
          <w:lang w:val="ru-MD"/>
        </w:rPr>
      </w:pPr>
      <w:r w:rsidRPr="00295188">
        <w:rPr>
          <w:rFonts w:cs="Times New Roman"/>
          <w:szCs w:val="28"/>
          <w:lang w:val="ru-MD"/>
        </w:rPr>
        <w:t>Так</w:t>
      </w:r>
      <w:r w:rsidR="00F94730" w:rsidRPr="00295188">
        <w:rPr>
          <w:rFonts w:cs="Times New Roman"/>
          <w:szCs w:val="28"/>
          <w:lang w:val="ru-MD"/>
        </w:rPr>
        <w:t xml:space="preserve">, в соответствии с </w:t>
      </w:r>
      <w:r w:rsidRPr="00295188">
        <w:rPr>
          <w:rFonts w:cs="Times New Roman"/>
          <w:szCs w:val="28"/>
          <w:lang w:val="ru-MD"/>
        </w:rPr>
        <w:t xml:space="preserve">существующей </w:t>
      </w:r>
      <w:r w:rsidR="00F94730" w:rsidRPr="00295188">
        <w:rPr>
          <w:rFonts w:cs="Times New Roman"/>
          <w:szCs w:val="28"/>
          <w:lang w:val="ru-MD"/>
        </w:rPr>
        <w:t xml:space="preserve">нормативной базой, </w:t>
      </w:r>
      <w:r w:rsidR="005A0756" w:rsidRPr="00295188">
        <w:rPr>
          <w:rFonts w:cs="Times New Roman"/>
          <w:szCs w:val="28"/>
          <w:lang w:val="ru-MD"/>
        </w:rPr>
        <w:t>в</w:t>
      </w:r>
      <w:r w:rsidR="00FF2F73" w:rsidRPr="00295188">
        <w:rPr>
          <w:rFonts w:cs="Times New Roman"/>
          <w:szCs w:val="28"/>
          <w:lang w:val="ru-MD"/>
        </w:rPr>
        <w:t xml:space="preserve"> течении</w:t>
      </w:r>
      <w:r w:rsidR="00F94730" w:rsidRPr="00295188">
        <w:rPr>
          <w:rFonts w:cs="Times New Roman"/>
          <w:szCs w:val="28"/>
          <w:lang w:val="ru-MD"/>
        </w:rPr>
        <w:t xml:space="preserve"> года не могут быть реализованы решения, которые приводят к увеличению бюджетных расходов, если </w:t>
      </w:r>
      <w:r w:rsidRPr="00295188">
        <w:rPr>
          <w:rFonts w:cs="Times New Roman"/>
          <w:szCs w:val="28"/>
          <w:lang w:val="ru-MD"/>
        </w:rPr>
        <w:t xml:space="preserve">их </w:t>
      </w:r>
      <w:r w:rsidR="00F94730" w:rsidRPr="00295188">
        <w:rPr>
          <w:rFonts w:cs="Times New Roman"/>
          <w:szCs w:val="28"/>
          <w:lang w:val="ru-MD"/>
        </w:rPr>
        <w:t>финансовые последствия не предусмотрен</w:t>
      </w:r>
      <w:r w:rsidR="001708FE" w:rsidRPr="00295188">
        <w:rPr>
          <w:rFonts w:cs="Times New Roman"/>
          <w:szCs w:val="28"/>
          <w:lang w:val="ru-MD"/>
        </w:rPr>
        <w:t>ы</w:t>
      </w:r>
      <w:r w:rsidR="00F94730" w:rsidRPr="00295188">
        <w:rPr>
          <w:rFonts w:cs="Times New Roman"/>
          <w:szCs w:val="28"/>
          <w:lang w:val="ru-MD"/>
        </w:rPr>
        <w:t xml:space="preserve"> в бюджете, а исполнители бюджета могут взять на себя обязательства только в пределах утвержденных ассигнований. В нарушение требований законодательства и </w:t>
      </w:r>
      <w:r w:rsidRPr="00295188">
        <w:rPr>
          <w:rFonts w:cs="Times New Roman"/>
          <w:szCs w:val="28"/>
          <w:lang w:val="ru-MD"/>
        </w:rPr>
        <w:t xml:space="preserve">с </w:t>
      </w:r>
      <w:r w:rsidR="00F94730" w:rsidRPr="00295188">
        <w:rPr>
          <w:rFonts w:cs="Times New Roman"/>
          <w:szCs w:val="28"/>
          <w:lang w:val="ru-MD"/>
        </w:rPr>
        <w:t>несоблюдени</w:t>
      </w:r>
      <w:r w:rsidRPr="00295188">
        <w:rPr>
          <w:rFonts w:cs="Times New Roman"/>
          <w:szCs w:val="28"/>
          <w:lang w:val="ru-MD"/>
        </w:rPr>
        <w:t>ем</w:t>
      </w:r>
      <w:r w:rsidR="00F94730" w:rsidRPr="00295188">
        <w:rPr>
          <w:rFonts w:cs="Times New Roman"/>
          <w:szCs w:val="28"/>
          <w:lang w:val="ru-MD"/>
        </w:rPr>
        <w:t xml:space="preserve"> принципов </w:t>
      </w:r>
      <w:r w:rsidRPr="00295188">
        <w:rPr>
          <w:rFonts w:cs="Times New Roman"/>
          <w:szCs w:val="28"/>
          <w:lang w:val="ru-MD"/>
        </w:rPr>
        <w:t>надлежаще</w:t>
      </w:r>
      <w:r w:rsidR="00F94730" w:rsidRPr="00295188">
        <w:rPr>
          <w:rFonts w:cs="Times New Roman"/>
          <w:szCs w:val="28"/>
          <w:lang w:val="ru-MD"/>
        </w:rPr>
        <w:t xml:space="preserve">го управления, Министерство </w:t>
      </w:r>
      <w:r w:rsidRPr="00295188">
        <w:rPr>
          <w:rFonts w:cs="Times New Roman"/>
          <w:szCs w:val="28"/>
          <w:lang w:val="ru-MD"/>
        </w:rPr>
        <w:t>ф</w:t>
      </w:r>
      <w:r w:rsidR="00F94730" w:rsidRPr="00295188">
        <w:rPr>
          <w:rFonts w:cs="Times New Roman"/>
          <w:szCs w:val="28"/>
          <w:lang w:val="ru-MD"/>
        </w:rPr>
        <w:t>инансов</w:t>
      </w:r>
      <w:r w:rsidR="008516C8">
        <w:rPr>
          <w:rFonts w:cs="Times New Roman"/>
          <w:szCs w:val="28"/>
          <w:lang w:val="ru-MD"/>
        </w:rPr>
        <w:t>,</w:t>
      </w:r>
      <w:r w:rsidR="00F94730" w:rsidRPr="00295188">
        <w:rPr>
          <w:rFonts w:cs="Times New Roman"/>
          <w:szCs w:val="28"/>
          <w:lang w:val="ru-MD"/>
        </w:rPr>
        <w:t xml:space="preserve"> Приказом</w:t>
      </w:r>
      <w:r w:rsidR="008516C8">
        <w:rPr>
          <w:rFonts w:cs="Times New Roman"/>
          <w:szCs w:val="28"/>
          <w:lang w:val="ru-MD"/>
        </w:rPr>
        <w:t xml:space="preserve"> </w:t>
      </w:r>
      <w:r w:rsidR="00F94730" w:rsidRPr="00295188">
        <w:rPr>
          <w:rFonts w:cs="Times New Roman"/>
          <w:szCs w:val="28"/>
          <w:lang w:val="ru-MD"/>
        </w:rPr>
        <w:t xml:space="preserve">№148 </w:t>
      </w:r>
      <w:r w:rsidRPr="00295188">
        <w:rPr>
          <w:rFonts w:cs="Times New Roman"/>
          <w:szCs w:val="28"/>
          <w:lang w:val="ru-MD"/>
        </w:rPr>
        <w:t>от</w:t>
      </w:r>
      <w:r w:rsidR="00F94730" w:rsidRPr="00295188">
        <w:rPr>
          <w:rFonts w:cs="Times New Roman"/>
          <w:szCs w:val="28"/>
          <w:lang w:val="ru-MD"/>
        </w:rPr>
        <w:t xml:space="preserve"> 18.12.2017, </w:t>
      </w:r>
      <w:r w:rsidRPr="00295188">
        <w:rPr>
          <w:rFonts w:cs="Times New Roman"/>
          <w:szCs w:val="28"/>
          <w:lang w:val="ru-MD"/>
        </w:rPr>
        <w:t>авторизовало</w:t>
      </w:r>
      <w:r w:rsidR="00F94730" w:rsidRPr="00295188">
        <w:rPr>
          <w:rFonts w:cs="Times New Roman"/>
          <w:szCs w:val="28"/>
          <w:lang w:val="ru-MD"/>
        </w:rPr>
        <w:t xml:space="preserve"> принятие обязательств по оплате труда в отсутствие бюджетных ассигнований, что создает неравные условия по </w:t>
      </w:r>
      <w:r w:rsidRPr="00295188">
        <w:rPr>
          <w:rFonts w:cs="Times New Roman"/>
          <w:szCs w:val="28"/>
          <w:lang w:val="ru-MD"/>
        </w:rPr>
        <w:t>отнош</w:t>
      </w:r>
      <w:r w:rsidR="00F94730" w:rsidRPr="00295188">
        <w:rPr>
          <w:rFonts w:cs="Times New Roman"/>
          <w:szCs w:val="28"/>
          <w:lang w:val="ru-MD"/>
        </w:rPr>
        <w:t xml:space="preserve">ению </w:t>
      </w:r>
      <w:r w:rsidRPr="00295188">
        <w:rPr>
          <w:rFonts w:cs="Times New Roman"/>
          <w:szCs w:val="28"/>
          <w:lang w:val="ru-MD"/>
        </w:rPr>
        <w:t>к</w:t>
      </w:r>
      <w:r w:rsidR="00F94730" w:rsidRPr="00295188">
        <w:rPr>
          <w:rFonts w:cs="Times New Roman"/>
          <w:szCs w:val="28"/>
          <w:lang w:val="ru-MD"/>
        </w:rPr>
        <w:t xml:space="preserve"> другим бюджетным учреждениям и предпосылки для обременения бюджета</w:t>
      </w:r>
      <w:r w:rsidR="00476271" w:rsidRPr="00295188">
        <w:rPr>
          <w:rFonts w:cs="Times New Roman"/>
          <w:szCs w:val="28"/>
          <w:lang w:val="ru-MD"/>
        </w:rPr>
        <w:t>.</w:t>
      </w:r>
    </w:p>
    <w:p w:rsidR="00153C88" w:rsidRPr="00295188" w:rsidRDefault="00F94730" w:rsidP="00BC6479">
      <w:pPr>
        <w:spacing w:line="276" w:lineRule="auto"/>
        <w:rPr>
          <w:rFonts w:cs="Times New Roman"/>
          <w:i/>
          <w:szCs w:val="28"/>
          <w:lang w:val="ru-MD"/>
        </w:rPr>
      </w:pPr>
      <w:r w:rsidRPr="00295188">
        <w:rPr>
          <w:rFonts w:cs="Times New Roman"/>
          <w:i/>
          <w:szCs w:val="28"/>
          <w:lang w:val="ru-MD"/>
        </w:rPr>
        <w:t>Более подробн</w:t>
      </w:r>
      <w:r w:rsidR="00306750" w:rsidRPr="00295188">
        <w:rPr>
          <w:rFonts w:cs="Times New Roman"/>
          <w:i/>
          <w:szCs w:val="28"/>
          <w:lang w:val="ru-MD"/>
        </w:rPr>
        <w:t>ая</w:t>
      </w:r>
      <w:r w:rsidRPr="00295188">
        <w:rPr>
          <w:rFonts w:cs="Times New Roman"/>
          <w:i/>
          <w:szCs w:val="28"/>
          <w:lang w:val="ru-MD"/>
        </w:rPr>
        <w:t xml:space="preserve"> информаци</w:t>
      </w:r>
      <w:r w:rsidR="00306750" w:rsidRPr="00295188">
        <w:rPr>
          <w:rFonts w:cs="Times New Roman"/>
          <w:i/>
          <w:szCs w:val="28"/>
          <w:lang w:val="ru-MD"/>
        </w:rPr>
        <w:t>я</w:t>
      </w:r>
      <w:r w:rsidR="008516C8">
        <w:rPr>
          <w:rFonts w:cs="Times New Roman"/>
          <w:i/>
          <w:szCs w:val="28"/>
          <w:lang w:val="ru-MD"/>
        </w:rPr>
        <w:t xml:space="preserve"> </w:t>
      </w:r>
      <w:r w:rsidR="00306750" w:rsidRPr="00295188">
        <w:rPr>
          <w:rFonts w:cs="Times New Roman"/>
          <w:i/>
          <w:szCs w:val="28"/>
          <w:lang w:val="ru-MD"/>
        </w:rPr>
        <w:t>представлена</w:t>
      </w:r>
      <w:r w:rsidRPr="00295188">
        <w:rPr>
          <w:rFonts w:cs="Times New Roman"/>
          <w:i/>
          <w:szCs w:val="28"/>
          <w:lang w:val="ru-MD"/>
        </w:rPr>
        <w:t xml:space="preserve"> в Приложении „</w:t>
      </w:r>
      <w:r w:rsidR="008516C8">
        <w:rPr>
          <w:rFonts w:cs="Times New Roman"/>
          <w:i/>
          <w:szCs w:val="28"/>
          <w:lang w:val="ru-MD"/>
        </w:rPr>
        <w:t xml:space="preserve"> </w:t>
      </w:r>
      <w:r w:rsidRPr="00295188">
        <w:rPr>
          <w:rFonts w:cs="Times New Roman"/>
          <w:i/>
          <w:szCs w:val="28"/>
          <w:lang w:val="ru-MD"/>
        </w:rPr>
        <w:t xml:space="preserve">Раскрытие </w:t>
      </w:r>
      <w:r w:rsidR="00306750" w:rsidRPr="00295188">
        <w:rPr>
          <w:rFonts w:cs="Times New Roman"/>
          <w:i/>
          <w:szCs w:val="28"/>
          <w:lang w:val="ru-MD"/>
        </w:rPr>
        <w:t>информации по</w:t>
      </w:r>
      <w:r w:rsidRPr="00295188">
        <w:rPr>
          <w:rFonts w:cs="Times New Roman"/>
          <w:i/>
          <w:szCs w:val="28"/>
          <w:lang w:val="ru-MD"/>
        </w:rPr>
        <w:t xml:space="preserve"> Отчет</w:t>
      </w:r>
      <w:r w:rsidR="00306750" w:rsidRPr="00295188">
        <w:rPr>
          <w:rFonts w:cs="Times New Roman"/>
          <w:i/>
          <w:szCs w:val="28"/>
          <w:lang w:val="ru-MD"/>
        </w:rPr>
        <w:t>у</w:t>
      </w:r>
      <w:r w:rsidRPr="00295188">
        <w:rPr>
          <w:rFonts w:cs="Times New Roman"/>
          <w:i/>
          <w:szCs w:val="28"/>
          <w:lang w:val="ru-MD"/>
        </w:rPr>
        <w:t xml:space="preserve"> аудита”</w:t>
      </w:r>
      <w:r w:rsidR="00153C88" w:rsidRPr="00295188">
        <w:rPr>
          <w:rFonts w:cs="Times New Roman"/>
          <w:i/>
          <w:szCs w:val="28"/>
          <w:lang w:val="ru-MD"/>
        </w:rPr>
        <w:t>.</w:t>
      </w:r>
    </w:p>
    <w:p w:rsidR="00DF2B2D" w:rsidRPr="00295188" w:rsidRDefault="00DF2B2D" w:rsidP="00230953">
      <w:pPr>
        <w:pStyle w:val="Heading1"/>
        <w:rPr>
          <w:sz w:val="28"/>
          <w:szCs w:val="28"/>
          <w:lang w:val="ru-MD"/>
        </w:rPr>
      </w:pPr>
      <w:bookmarkStart w:id="6" w:name="_Toc506212737"/>
      <w:bookmarkStart w:id="7" w:name="_Toc519878942"/>
      <w:r w:rsidRPr="00295188">
        <w:rPr>
          <w:rFonts w:eastAsia="Calibri" w:cs="Times New Roman"/>
          <w:sz w:val="28"/>
          <w:szCs w:val="28"/>
          <w:lang w:val="ru-MD"/>
        </w:rPr>
        <w:t>I</w:t>
      </w:r>
      <w:r w:rsidR="00DB4CA4" w:rsidRPr="00295188">
        <w:rPr>
          <w:rFonts w:eastAsia="Calibri" w:cs="Times New Roman"/>
          <w:sz w:val="28"/>
          <w:szCs w:val="28"/>
          <w:lang w:val="ru-MD"/>
        </w:rPr>
        <w:t>V</w:t>
      </w:r>
      <w:bookmarkEnd w:id="6"/>
      <w:r w:rsidRPr="00295188">
        <w:rPr>
          <w:sz w:val="28"/>
          <w:szCs w:val="28"/>
          <w:lang w:val="ru-MD"/>
        </w:rPr>
        <w:t xml:space="preserve">. </w:t>
      </w:r>
      <w:r w:rsidR="00F94730" w:rsidRPr="00295188">
        <w:rPr>
          <w:sz w:val="28"/>
          <w:szCs w:val="28"/>
          <w:lang w:val="ru-MD"/>
        </w:rPr>
        <w:t xml:space="preserve">ОТВЕТСТВЕННОСТЬ РУКОВОДСТВА ЗА КОНСОЛИДИРОВАННУЮ ФИНАНСОВУЮ ОТЧЕТНОСТЬ </w:t>
      </w:r>
      <w:bookmarkEnd w:id="7"/>
    </w:p>
    <w:p w:rsidR="00DF2B2D" w:rsidRPr="00295188" w:rsidRDefault="00DF2B2D" w:rsidP="00DF2B2D">
      <w:pPr>
        <w:rPr>
          <w:rFonts w:cs="Times New Roman"/>
          <w:szCs w:val="28"/>
          <w:lang w:val="ru-MD"/>
        </w:rPr>
      </w:pPr>
    </w:p>
    <w:p w:rsidR="00476271" w:rsidRPr="00295188" w:rsidRDefault="00F94730" w:rsidP="00BC6479">
      <w:pPr>
        <w:spacing w:line="276" w:lineRule="auto"/>
        <w:rPr>
          <w:rFonts w:cs="Times New Roman"/>
          <w:b/>
          <w:bCs/>
          <w:i/>
          <w:iCs/>
          <w:szCs w:val="28"/>
          <w:lang w:val="ru-MD"/>
        </w:rPr>
      </w:pPr>
      <w:bookmarkStart w:id="8" w:name="_Toc506212738"/>
      <w:r w:rsidRPr="00295188">
        <w:rPr>
          <w:rFonts w:cs="Times New Roman"/>
          <w:b/>
          <w:szCs w:val="28"/>
          <w:lang w:val="ru-MD"/>
        </w:rPr>
        <w:t xml:space="preserve">Министерство </w:t>
      </w:r>
      <w:r w:rsidR="00306750" w:rsidRPr="00295188">
        <w:rPr>
          <w:rFonts w:cs="Times New Roman"/>
          <w:b/>
          <w:szCs w:val="28"/>
          <w:lang w:val="ru-MD"/>
        </w:rPr>
        <w:t>ф</w:t>
      </w:r>
      <w:r w:rsidRPr="00295188">
        <w:rPr>
          <w:rFonts w:cs="Times New Roman"/>
          <w:b/>
          <w:szCs w:val="28"/>
          <w:lang w:val="ru-MD"/>
        </w:rPr>
        <w:t>инансов</w:t>
      </w:r>
      <w:r w:rsidRPr="00295188">
        <w:rPr>
          <w:rFonts w:cs="Times New Roman"/>
          <w:szCs w:val="28"/>
          <w:lang w:val="ru-MD"/>
        </w:rPr>
        <w:t xml:space="preserve">, в качестве центрального </w:t>
      </w:r>
      <w:r w:rsidR="009E1D26" w:rsidRPr="00295188">
        <w:rPr>
          <w:rFonts w:cs="Times New Roman"/>
          <w:szCs w:val="28"/>
          <w:lang w:val="ru-MD"/>
        </w:rPr>
        <w:t xml:space="preserve">органа </w:t>
      </w:r>
      <w:r w:rsidRPr="00295188">
        <w:rPr>
          <w:rFonts w:cs="Times New Roman"/>
          <w:szCs w:val="28"/>
          <w:lang w:val="ru-MD"/>
        </w:rPr>
        <w:t>публично</w:t>
      </w:r>
      <w:r w:rsidR="009E1D26" w:rsidRPr="00295188">
        <w:rPr>
          <w:rFonts w:cs="Times New Roman"/>
          <w:szCs w:val="28"/>
          <w:lang w:val="ru-MD"/>
        </w:rPr>
        <w:t>й власти</w:t>
      </w:r>
      <w:r w:rsidRPr="00295188">
        <w:rPr>
          <w:rFonts w:cs="Times New Roman"/>
          <w:szCs w:val="28"/>
          <w:lang w:val="ru-MD"/>
        </w:rPr>
        <w:t xml:space="preserve">, </w:t>
      </w:r>
      <w:r w:rsidR="00167813" w:rsidRPr="00295188">
        <w:rPr>
          <w:rFonts w:cs="Times New Roman"/>
          <w:szCs w:val="28"/>
          <w:lang w:val="ru-MD"/>
        </w:rPr>
        <w:t xml:space="preserve">несет </w:t>
      </w:r>
      <w:r w:rsidRPr="00295188">
        <w:rPr>
          <w:rFonts w:cs="Times New Roman"/>
          <w:szCs w:val="28"/>
          <w:lang w:val="ru-MD"/>
        </w:rPr>
        <w:t>ответственно</w:t>
      </w:r>
      <w:r w:rsidR="00167813" w:rsidRPr="00295188">
        <w:rPr>
          <w:rFonts w:cs="Times New Roman"/>
          <w:szCs w:val="28"/>
          <w:lang w:val="ru-MD"/>
        </w:rPr>
        <w:t>сть</w:t>
      </w:r>
      <w:r w:rsidRPr="00295188">
        <w:rPr>
          <w:rFonts w:cs="Times New Roman"/>
          <w:szCs w:val="28"/>
          <w:lang w:val="ru-MD"/>
        </w:rPr>
        <w:t xml:space="preserve"> за организацию системы </w:t>
      </w:r>
      <w:r w:rsidR="009E1D26" w:rsidRPr="00295188">
        <w:rPr>
          <w:color w:val="000000"/>
          <w:lang w:val="ru-MD"/>
        </w:rPr>
        <w:t>планирования, исполнения, бухгалтерского учета и отчетности бюджета  в соответствующем органе публичной власти и, при необходимости, в подведомственных бюджетных учреждениях</w:t>
      </w:r>
      <w:r w:rsidRPr="00295188">
        <w:rPr>
          <w:rFonts w:cs="Times New Roman"/>
          <w:szCs w:val="28"/>
          <w:lang w:val="ru-MD"/>
        </w:rPr>
        <w:t xml:space="preserve">; </w:t>
      </w:r>
      <w:r w:rsidR="009E1D26" w:rsidRPr="00295188">
        <w:rPr>
          <w:color w:val="000000"/>
          <w:lang w:val="ru-MD"/>
        </w:rPr>
        <w:t xml:space="preserve">обеспечение распределения и утверждения лимитов годовых бюджетных ассигнований и показателей </w:t>
      </w:r>
      <w:r w:rsidR="009E1D26" w:rsidRPr="00295188">
        <w:rPr>
          <w:color w:val="000000"/>
          <w:lang w:val="ru-MD"/>
        </w:rPr>
        <w:lastRenderedPageBreak/>
        <w:t>результативности подведомственным учреждениям</w:t>
      </w:r>
      <w:r w:rsidRPr="00295188">
        <w:rPr>
          <w:rFonts w:cs="Times New Roman"/>
          <w:szCs w:val="28"/>
          <w:lang w:val="ru-MD"/>
        </w:rPr>
        <w:t xml:space="preserve">; мониторинг финансовых и нефинансовых </w:t>
      </w:r>
      <w:r w:rsidR="009E1D26" w:rsidRPr="00295188">
        <w:rPr>
          <w:rFonts w:cs="Times New Roman"/>
          <w:szCs w:val="28"/>
          <w:lang w:val="ru-MD"/>
        </w:rPr>
        <w:t>результатов учреждения</w:t>
      </w:r>
      <w:r w:rsidRPr="00295188">
        <w:rPr>
          <w:rFonts w:cs="Times New Roman"/>
          <w:szCs w:val="28"/>
          <w:lang w:val="ru-MD"/>
        </w:rPr>
        <w:t xml:space="preserve">, а также </w:t>
      </w:r>
      <w:r w:rsidR="009E1D26" w:rsidRPr="00295188">
        <w:rPr>
          <w:rFonts w:cs="Times New Roman"/>
          <w:szCs w:val="28"/>
          <w:lang w:val="ru-MD"/>
        </w:rPr>
        <w:t xml:space="preserve">за </w:t>
      </w:r>
      <w:r w:rsidR="009E1D26" w:rsidRPr="00295188">
        <w:rPr>
          <w:color w:val="000000"/>
          <w:lang w:val="ru-MD"/>
        </w:rPr>
        <w:t>обеспечение управления бюджетными ассигнованиями и администрирования публичного имущества в соответствии с принципами надлежащего управления</w:t>
      </w:r>
      <w:r w:rsidR="001260C9" w:rsidRPr="00295188">
        <w:rPr>
          <w:rStyle w:val="FootnoteReference"/>
          <w:rFonts w:cs="Times New Roman"/>
          <w:szCs w:val="28"/>
          <w:lang w:val="ru-MD"/>
        </w:rPr>
        <w:footnoteReference w:id="14"/>
      </w:r>
      <w:r w:rsidR="00DF2B2D" w:rsidRPr="00295188">
        <w:rPr>
          <w:rFonts w:cs="Times New Roman"/>
          <w:szCs w:val="28"/>
          <w:lang w:val="ru-MD"/>
        </w:rPr>
        <w:t>.</w:t>
      </w:r>
    </w:p>
    <w:p w:rsidR="00DF2B2D" w:rsidRPr="00295188" w:rsidRDefault="008516C8" w:rsidP="00BC6479">
      <w:pPr>
        <w:spacing w:line="276" w:lineRule="auto"/>
        <w:rPr>
          <w:rFonts w:cs="Times New Roman"/>
          <w:szCs w:val="28"/>
          <w:lang w:val="ru-MD"/>
        </w:rPr>
      </w:pPr>
      <w:r>
        <w:rPr>
          <w:rFonts w:cs="Times New Roman"/>
          <w:b/>
          <w:szCs w:val="28"/>
          <w:lang w:val="ru-MD"/>
        </w:rPr>
        <w:t>П</w:t>
      </w:r>
      <w:r w:rsidRPr="00295188">
        <w:rPr>
          <w:rFonts w:cs="Times New Roman"/>
          <w:b/>
          <w:szCs w:val="28"/>
          <w:lang w:val="ru-MD"/>
        </w:rPr>
        <w:t>одведомственны</w:t>
      </w:r>
      <w:r>
        <w:rPr>
          <w:rFonts w:cs="Times New Roman"/>
          <w:b/>
          <w:szCs w:val="28"/>
          <w:lang w:val="ru-MD"/>
        </w:rPr>
        <w:t>е</w:t>
      </w:r>
      <w:r w:rsidRPr="00295188">
        <w:rPr>
          <w:rFonts w:cs="Times New Roman"/>
          <w:b/>
          <w:szCs w:val="28"/>
          <w:lang w:val="ru-MD"/>
        </w:rPr>
        <w:t xml:space="preserve"> </w:t>
      </w:r>
      <w:r>
        <w:rPr>
          <w:rFonts w:cs="Times New Roman"/>
          <w:b/>
          <w:szCs w:val="28"/>
          <w:lang w:val="ru-MD"/>
        </w:rPr>
        <w:t>а</w:t>
      </w:r>
      <w:r w:rsidR="00F94730" w:rsidRPr="00295188">
        <w:rPr>
          <w:rFonts w:cs="Times New Roman"/>
          <w:b/>
          <w:szCs w:val="28"/>
          <w:lang w:val="ru-MD"/>
        </w:rPr>
        <w:t>дминистративны</w:t>
      </w:r>
      <w:r w:rsidR="00453DCA" w:rsidRPr="00295188">
        <w:rPr>
          <w:rFonts w:cs="Times New Roman"/>
          <w:b/>
          <w:szCs w:val="28"/>
          <w:lang w:val="ru-MD"/>
        </w:rPr>
        <w:t>е</w:t>
      </w:r>
      <w:r w:rsidR="00F94730" w:rsidRPr="00295188">
        <w:rPr>
          <w:rFonts w:cs="Times New Roman"/>
          <w:b/>
          <w:szCs w:val="28"/>
          <w:lang w:val="ru-MD"/>
        </w:rPr>
        <w:t xml:space="preserve"> орган</w:t>
      </w:r>
      <w:r w:rsidR="00453DCA" w:rsidRPr="00295188">
        <w:rPr>
          <w:rFonts w:cs="Times New Roman"/>
          <w:b/>
          <w:szCs w:val="28"/>
          <w:lang w:val="ru-MD"/>
        </w:rPr>
        <w:t>ы</w:t>
      </w:r>
      <w:r w:rsidR="00F94730" w:rsidRPr="00295188">
        <w:rPr>
          <w:rFonts w:cs="Times New Roman"/>
          <w:b/>
          <w:szCs w:val="28"/>
          <w:lang w:val="ru-MD"/>
        </w:rPr>
        <w:t xml:space="preserve"> министерств</w:t>
      </w:r>
      <w:r>
        <w:rPr>
          <w:rFonts w:cs="Times New Roman"/>
          <w:b/>
          <w:szCs w:val="28"/>
          <w:lang w:val="ru-MD"/>
        </w:rPr>
        <w:t>а</w:t>
      </w:r>
      <w:r w:rsidR="00F94730" w:rsidRPr="00295188">
        <w:rPr>
          <w:rFonts w:cs="Times New Roman"/>
          <w:szCs w:val="28"/>
          <w:lang w:val="ru-MD"/>
        </w:rPr>
        <w:t xml:space="preserve">, в качестве бюджетных учреждений, </w:t>
      </w:r>
      <w:r w:rsidR="00453DCA" w:rsidRPr="00295188">
        <w:rPr>
          <w:color w:val="000000"/>
          <w:lang w:val="ru-MD"/>
        </w:rPr>
        <w:t>разрабатывают и представляют предложения по бюджету; распределяют лимиты бюджетных ассигнований согласно бюджетной классификации; принимают бюджетные обязательства и осуществляют расходы в целях и в пределах бюджетных ассигнований; внедряют программы в соответствии с принятыми задачами и показателями результативности и отчитываются по ним; обеспечивают управление бюджетными ассигнованиями и администрирование публичного имущества в соответствии с принципами надлежащего управления; публикуют бюджеты и отчеты об их исполнении, в том числе о результатах в рамках программ</w:t>
      </w:r>
      <w:r w:rsidR="001260C9" w:rsidRPr="00295188">
        <w:rPr>
          <w:rStyle w:val="FootnoteReference"/>
          <w:rFonts w:cs="Times New Roman"/>
          <w:szCs w:val="28"/>
          <w:lang w:val="ru-MD"/>
        </w:rPr>
        <w:footnoteReference w:id="15"/>
      </w:r>
      <w:r w:rsidR="00DF2B2D" w:rsidRPr="00295188">
        <w:rPr>
          <w:rFonts w:cs="Times New Roman"/>
          <w:szCs w:val="28"/>
          <w:lang w:val="ru-MD"/>
        </w:rPr>
        <w:t xml:space="preserve">. </w:t>
      </w:r>
    </w:p>
    <w:p w:rsidR="0036630F" w:rsidRPr="00295188" w:rsidRDefault="00F94730" w:rsidP="00BC6479">
      <w:pPr>
        <w:spacing w:line="276" w:lineRule="auto"/>
        <w:rPr>
          <w:rFonts w:cs="Times New Roman"/>
          <w:szCs w:val="28"/>
          <w:lang w:val="ru-MD"/>
        </w:rPr>
      </w:pPr>
      <w:r w:rsidRPr="00295188">
        <w:rPr>
          <w:b/>
          <w:szCs w:val="28"/>
          <w:lang w:val="ru-MD" w:eastAsia="ro-RO"/>
        </w:rPr>
        <w:t>Министр финансов</w:t>
      </w:r>
      <w:r w:rsidR="00453DCA" w:rsidRPr="00295188">
        <w:rPr>
          <w:b/>
          <w:szCs w:val="28"/>
          <w:lang w:val="ru-MD" w:eastAsia="ro-RO"/>
        </w:rPr>
        <w:t>,</w:t>
      </w:r>
      <w:r w:rsidRPr="00295188">
        <w:rPr>
          <w:szCs w:val="28"/>
          <w:lang w:val="ru-MD" w:eastAsia="ro-RO"/>
        </w:rPr>
        <w:t xml:space="preserve"> в качестве руководителя центрального отраслевого органа публично</w:t>
      </w:r>
      <w:r w:rsidR="00EC73C8" w:rsidRPr="00295188">
        <w:rPr>
          <w:szCs w:val="28"/>
          <w:lang w:val="ru-MD" w:eastAsia="ro-RO"/>
        </w:rPr>
        <w:t>го управления</w:t>
      </w:r>
      <w:r w:rsidRPr="00295188">
        <w:rPr>
          <w:szCs w:val="28"/>
          <w:lang w:val="ru-MD" w:eastAsia="ro-RO"/>
        </w:rPr>
        <w:t xml:space="preserve">, </w:t>
      </w:r>
      <w:r w:rsidR="00453DCA" w:rsidRPr="00295188">
        <w:rPr>
          <w:szCs w:val="28"/>
          <w:lang w:val="ru-MD" w:eastAsia="ro-RO"/>
        </w:rPr>
        <w:t xml:space="preserve">несет </w:t>
      </w:r>
      <w:r w:rsidRPr="00295188">
        <w:rPr>
          <w:szCs w:val="28"/>
          <w:lang w:val="ru-MD" w:eastAsia="ro-RO"/>
        </w:rPr>
        <w:t>ответственн</w:t>
      </w:r>
      <w:r w:rsidR="00453DCA" w:rsidRPr="00295188">
        <w:rPr>
          <w:szCs w:val="28"/>
          <w:lang w:val="ru-MD" w:eastAsia="ro-RO"/>
        </w:rPr>
        <w:t xml:space="preserve">ость </w:t>
      </w:r>
      <w:r w:rsidRPr="00295188">
        <w:rPr>
          <w:szCs w:val="28"/>
          <w:lang w:val="ru-MD" w:eastAsia="ro-RO"/>
        </w:rPr>
        <w:t>за составление и подписание консолидированной финансовой отчетности</w:t>
      </w:r>
      <w:r w:rsidR="00453DCA" w:rsidRPr="00295188">
        <w:rPr>
          <w:rStyle w:val="FootnoteReference"/>
          <w:rFonts w:cs="Times New Roman"/>
          <w:szCs w:val="28"/>
          <w:lang w:val="ru-MD"/>
        </w:rPr>
        <w:footnoteReference w:id="16"/>
      </w:r>
      <w:r w:rsidRPr="00295188">
        <w:rPr>
          <w:szCs w:val="28"/>
          <w:lang w:val="ru-MD" w:eastAsia="ro-RO"/>
        </w:rPr>
        <w:t>. В</w:t>
      </w:r>
      <w:r w:rsidR="00453DCA" w:rsidRPr="00295188">
        <w:rPr>
          <w:szCs w:val="28"/>
          <w:lang w:val="ru-MD" w:eastAsia="ro-RO"/>
        </w:rPr>
        <w:t>месте с тем,</w:t>
      </w:r>
      <w:r w:rsidRPr="00295188">
        <w:rPr>
          <w:szCs w:val="28"/>
          <w:lang w:val="ru-MD" w:eastAsia="ro-RO"/>
        </w:rPr>
        <w:t xml:space="preserve"> он несет личную ответственность за </w:t>
      </w:r>
      <w:r w:rsidR="00453DCA" w:rsidRPr="00295188">
        <w:rPr>
          <w:szCs w:val="28"/>
          <w:lang w:val="ru-MD" w:eastAsia="ro-RO"/>
        </w:rPr>
        <w:t>порядок</w:t>
      </w:r>
      <w:r w:rsidRPr="00295188">
        <w:rPr>
          <w:szCs w:val="28"/>
          <w:lang w:val="ru-MD" w:eastAsia="ro-RO"/>
        </w:rPr>
        <w:t xml:space="preserve">, </w:t>
      </w:r>
      <w:r w:rsidR="00453DCA" w:rsidRPr="00295188">
        <w:rPr>
          <w:szCs w:val="28"/>
          <w:lang w:val="ru-MD" w:eastAsia="ro-RO"/>
        </w:rPr>
        <w:t>в котором</w:t>
      </w:r>
      <w:r w:rsidRPr="00295188">
        <w:rPr>
          <w:szCs w:val="28"/>
          <w:lang w:val="ru-MD" w:eastAsia="ro-RO"/>
        </w:rPr>
        <w:t xml:space="preserve"> руководи</w:t>
      </w:r>
      <w:r w:rsidR="00453DCA" w:rsidRPr="00295188">
        <w:rPr>
          <w:szCs w:val="28"/>
          <w:lang w:val="ru-MD" w:eastAsia="ro-RO"/>
        </w:rPr>
        <w:t xml:space="preserve">мый им орган </w:t>
      </w:r>
      <w:r w:rsidRPr="00295188">
        <w:rPr>
          <w:szCs w:val="28"/>
          <w:lang w:val="ru-MD" w:eastAsia="ro-RO"/>
        </w:rPr>
        <w:t>использу</w:t>
      </w:r>
      <w:r w:rsidR="00453DCA" w:rsidRPr="00295188">
        <w:rPr>
          <w:szCs w:val="28"/>
          <w:lang w:val="ru-MD" w:eastAsia="ro-RO"/>
        </w:rPr>
        <w:t>е</w:t>
      </w:r>
      <w:r w:rsidRPr="00295188">
        <w:rPr>
          <w:szCs w:val="28"/>
          <w:lang w:val="ru-MD" w:eastAsia="ro-RO"/>
        </w:rPr>
        <w:t xml:space="preserve">т </w:t>
      </w:r>
      <w:r w:rsidR="00453DCA" w:rsidRPr="00295188">
        <w:rPr>
          <w:szCs w:val="28"/>
          <w:lang w:val="ru-MD" w:eastAsia="ro-RO"/>
        </w:rPr>
        <w:t>утвержденные ассигнования</w:t>
      </w:r>
      <w:r w:rsidRPr="00295188">
        <w:rPr>
          <w:szCs w:val="28"/>
          <w:lang w:val="ru-MD" w:eastAsia="ro-RO"/>
        </w:rPr>
        <w:t xml:space="preserve"> и управляет </w:t>
      </w:r>
      <w:r w:rsidR="00453DCA" w:rsidRPr="00295188">
        <w:rPr>
          <w:szCs w:val="28"/>
          <w:lang w:val="ru-MD" w:eastAsia="ro-RO"/>
        </w:rPr>
        <w:t>публичными</w:t>
      </w:r>
      <w:r w:rsidRPr="00295188">
        <w:rPr>
          <w:szCs w:val="28"/>
          <w:lang w:val="ru-MD" w:eastAsia="ro-RO"/>
        </w:rPr>
        <w:t xml:space="preserve"> средств</w:t>
      </w:r>
      <w:r w:rsidR="00453DCA" w:rsidRPr="00295188">
        <w:rPr>
          <w:szCs w:val="28"/>
          <w:lang w:val="ru-MD" w:eastAsia="ro-RO"/>
        </w:rPr>
        <w:t>ами</w:t>
      </w:r>
      <w:r w:rsidR="00DF2B2D" w:rsidRPr="00295188">
        <w:rPr>
          <w:rFonts w:cs="Times New Roman"/>
          <w:szCs w:val="28"/>
          <w:lang w:val="ru-MD"/>
        </w:rPr>
        <w:t xml:space="preserve">. </w:t>
      </w:r>
    </w:p>
    <w:p w:rsidR="00476271" w:rsidRPr="00295188" w:rsidRDefault="00EC73C8" w:rsidP="00EC5424">
      <w:pPr>
        <w:spacing w:line="276" w:lineRule="auto"/>
        <w:rPr>
          <w:rFonts w:cs="Times New Roman"/>
          <w:szCs w:val="28"/>
          <w:vertAlign w:val="superscript"/>
          <w:lang w:val="ru-MD"/>
        </w:rPr>
      </w:pPr>
      <w:r w:rsidRPr="00295188">
        <w:rPr>
          <w:rFonts w:cs="Times New Roman"/>
          <w:b/>
          <w:szCs w:val="28"/>
          <w:lang w:val="ru-MD"/>
        </w:rPr>
        <w:t>Директора</w:t>
      </w:r>
      <w:r w:rsidR="00F94730" w:rsidRPr="00295188">
        <w:rPr>
          <w:rFonts w:cs="Times New Roman"/>
          <w:szCs w:val="28"/>
          <w:lang w:val="ru-MD"/>
        </w:rPr>
        <w:t xml:space="preserve"> </w:t>
      </w:r>
      <w:r w:rsidR="00F94730" w:rsidRPr="008516C8">
        <w:rPr>
          <w:rFonts w:cs="Times New Roman"/>
          <w:b/>
          <w:szCs w:val="28"/>
          <w:lang w:val="ru-MD"/>
        </w:rPr>
        <w:t>подведомственных</w:t>
      </w:r>
      <w:r w:rsidR="00F94730" w:rsidRPr="00295188">
        <w:rPr>
          <w:rFonts w:cs="Times New Roman"/>
          <w:szCs w:val="28"/>
          <w:lang w:val="ru-MD"/>
        </w:rPr>
        <w:t xml:space="preserve"> </w:t>
      </w:r>
      <w:r w:rsidRPr="00295188">
        <w:rPr>
          <w:rFonts w:cs="Times New Roman"/>
          <w:b/>
          <w:szCs w:val="28"/>
          <w:lang w:val="ru-MD"/>
        </w:rPr>
        <w:t>административных органов</w:t>
      </w:r>
      <w:r w:rsidR="00F94730" w:rsidRPr="00295188">
        <w:rPr>
          <w:rFonts w:cs="Times New Roman"/>
          <w:szCs w:val="28"/>
          <w:lang w:val="ru-MD"/>
        </w:rPr>
        <w:t xml:space="preserve"> </w:t>
      </w:r>
      <w:r w:rsidR="008516C8" w:rsidRPr="00295188">
        <w:rPr>
          <w:rFonts w:cs="Times New Roman"/>
          <w:szCs w:val="28"/>
          <w:lang w:val="ru-MD"/>
        </w:rPr>
        <w:t>министерств</w:t>
      </w:r>
      <w:r w:rsidR="008516C8">
        <w:rPr>
          <w:rFonts w:cs="Times New Roman"/>
          <w:szCs w:val="28"/>
          <w:lang w:val="ru-MD"/>
        </w:rPr>
        <w:t xml:space="preserve">а </w:t>
      </w:r>
      <w:r w:rsidR="00F94730" w:rsidRPr="00295188">
        <w:rPr>
          <w:rFonts w:cs="Times New Roman"/>
          <w:szCs w:val="28"/>
          <w:lang w:val="ru-MD"/>
        </w:rPr>
        <w:t xml:space="preserve">несут персональную ответственность </w:t>
      </w:r>
      <w:r w:rsidRPr="00295188">
        <w:rPr>
          <w:rFonts w:cs="Times New Roman"/>
          <w:szCs w:val="28"/>
          <w:lang w:val="ru-MD"/>
        </w:rPr>
        <w:t>перед</w:t>
      </w:r>
      <w:r w:rsidR="00F94730" w:rsidRPr="00295188">
        <w:rPr>
          <w:rFonts w:cs="Times New Roman"/>
          <w:szCs w:val="28"/>
          <w:lang w:val="ru-MD"/>
        </w:rPr>
        <w:t xml:space="preserve"> министр</w:t>
      </w:r>
      <w:r w:rsidRPr="00295188">
        <w:rPr>
          <w:rFonts w:cs="Times New Roman"/>
          <w:szCs w:val="28"/>
          <w:lang w:val="ru-MD"/>
        </w:rPr>
        <w:t>ом за</w:t>
      </w:r>
      <w:r w:rsidR="00F94730" w:rsidRPr="00295188">
        <w:rPr>
          <w:rFonts w:cs="Times New Roman"/>
          <w:szCs w:val="28"/>
          <w:lang w:val="ru-MD"/>
        </w:rPr>
        <w:t xml:space="preserve"> реализаци</w:t>
      </w:r>
      <w:r w:rsidRPr="00295188">
        <w:rPr>
          <w:rFonts w:cs="Times New Roman"/>
          <w:szCs w:val="28"/>
          <w:lang w:val="ru-MD"/>
        </w:rPr>
        <w:t>ю</w:t>
      </w:r>
      <w:r w:rsidR="008516C8">
        <w:rPr>
          <w:rFonts w:cs="Times New Roman"/>
          <w:szCs w:val="28"/>
          <w:lang w:val="ru-MD"/>
        </w:rPr>
        <w:t xml:space="preserve"> </w:t>
      </w:r>
      <w:r w:rsidRPr="00295188">
        <w:rPr>
          <w:rFonts w:cs="Times New Roman"/>
          <w:szCs w:val="28"/>
          <w:lang w:val="ru-MD"/>
        </w:rPr>
        <w:t>задач</w:t>
      </w:r>
      <w:r w:rsidR="00F94730" w:rsidRPr="00295188">
        <w:rPr>
          <w:rFonts w:cs="Times New Roman"/>
          <w:szCs w:val="28"/>
          <w:lang w:val="ru-MD"/>
        </w:rPr>
        <w:t xml:space="preserve"> и выполнение фу</w:t>
      </w:r>
      <w:r w:rsidRPr="00295188">
        <w:rPr>
          <w:rFonts w:cs="Times New Roman"/>
          <w:szCs w:val="28"/>
          <w:lang w:val="ru-MD"/>
        </w:rPr>
        <w:t>нкций административного органа</w:t>
      </w:r>
      <w:r w:rsidR="001260C9" w:rsidRPr="00295188">
        <w:rPr>
          <w:rStyle w:val="FootnoteReference"/>
          <w:rFonts w:cs="Times New Roman"/>
          <w:szCs w:val="28"/>
          <w:lang w:val="ru-MD"/>
        </w:rPr>
        <w:footnoteReference w:id="17"/>
      </w:r>
      <w:r w:rsidR="00EC5424" w:rsidRPr="00295188">
        <w:rPr>
          <w:rFonts w:cs="Times New Roman"/>
          <w:szCs w:val="28"/>
          <w:lang w:val="ru-MD"/>
        </w:rPr>
        <w:t>.</w:t>
      </w:r>
    </w:p>
    <w:p w:rsidR="00DF2B2D" w:rsidRPr="00295188" w:rsidRDefault="00C73C3A" w:rsidP="00230953">
      <w:pPr>
        <w:pStyle w:val="Heading1"/>
        <w:rPr>
          <w:sz w:val="28"/>
          <w:szCs w:val="28"/>
          <w:lang w:val="ru-MD"/>
        </w:rPr>
      </w:pPr>
      <w:bookmarkStart w:id="10" w:name="_Toc517946648"/>
      <w:bookmarkStart w:id="11" w:name="_Toc519878943"/>
      <w:r w:rsidRPr="00295188">
        <w:rPr>
          <w:sz w:val="28"/>
          <w:szCs w:val="28"/>
          <w:lang w:val="ru-MD"/>
        </w:rPr>
        <w:t>V</w:t>
      </w:r>
      <w:r w:rsidR="00DF2B2D" w:rsidRPr="00295188">
        <w:rPr>
          <w:sz w:val="28"/>
          <w:szCs w:val="28"/>
          <w:lang w:val="ru-MD"/>
        </w:rPr>
        <w:t xml:space="preserve">. </w:t>
      </w:r>
      <w:r w:rsidR="00F94730" w:rsidRPr="00295188">
        <w:rPr>
          <w:sz w:val="28"/>
          <w:szCs w:val="28"/>
          <w:lang w:val="ru-MD"/>
        </w:rPr>
        <w:t xml:space="preserve">ОБЯЗАННОСТИ АУДИТОРА В </w:t>
      </w:r>
      <w:r w:rsidR="00EC73C8" w:rsidRPr="00295188">
        <w:rPr>
          <w:sz w:val="28"/>
          <w:szCs w:val="28"/>
          <w:lang w:val="ru-MD"/>
        </w:rPr>
        <w:t xml:space="preserve">РАМКАХ </w:t>
      </w:r>
      <w:r w:rsidR="00F94730" w:rsidRPr="00295188">
        <w:rPr>
          <w:sz w:val="28"/>
          <w:szCs w:val="28"/>
          <w:lang w:val="ru-MD"/>
        </w:rPr>
        <w:t>АУДИТ</w:t>
      </w:r>
      <w:r w:rsidR="00EC73C8" w:rsidRPr="00295188">
        <w:rPr>
          <w:sz w:val="28"/>
          <w:szCs w:val="28"/>
          <w:lang w:val="ru-MD"/>
        </w:rPr>
        <w:t>А</w:t>
      </w:r>
      <w:r w:rsidR="00F94730" w:rsidRPr="00295188">
        <w:rPr>
          <w:sz w:val="28"/>
          <w:szCs w:val="28"/>
          <w:lang w:val="ru-MD"/>
        </w:rPr>
        <w:t xml:space="preserve"> КОНСОЛИДИРОВАННОЙ ФИНАНСОВОЙ ОТЧЕТНОСТИ </w:t>
      </w:r>
      <w:bookmarkEnd w:id="8"/>
      <w:bookmarkEnd w:id="10"/>
      <w:bookmarkEnd w:id="11"/>
    </w:p>
    <w:p w:rsidR="001260C9" w:rsidRPr="00295188" w:rsidRDefault="001260C9" w:rsidP="001260C9">
      <w:pPr>
        <w:pStyle w:val="FootnoteText"/>
        <w:rPr>
          <w:rFonts w:eastAsia="Times New Roman"/>
          <w:sz w:val="28"/>
          <w:szCs w:val="28"/>
          <w:lang w:val="ru-MD"/>
        </w:rPr>
      </w:pPr>
    </w:p>
    <w:p w:rsidR="00F94730" w:rsidRPr="00295188" w:rsidRDefault="00F94730" w:rsidP="00F94730">
      <w:pPr>
        <w:spacing w:line="276" w:lineRule="auto"/>
        <w:rPr>
          <w:rFonts w:cs="Times New Roman"/>
          <w:bCs/>
          <w:iCs/>
          <w:szCs w:val="28"/>
          <w:lang w:val="ru-MD"/>
        </w:rPr>
      </w:pPr>
      <w:r w:rsidRPr="00295188">
        <w:rPr>
          <w:rFonts w:cs="Times New Roman"/>
          <w:bCs/>
          <w:iCs/>
          <w:szCs w:val="28"/>
          <w:lang w:val="ru-MD"/>
        </w:rPr>
        <w:t>Наша ответственность</w:t>
      </w:r>
      <w:r w:rsidR="00EC73C8" w:rsidRPr="00295188">
        <w:rPr>
          <w:rFonts w:cs="Times New Roman"/>
          <w:bCs/>
          <w:iCs/>
          <w:szCs w:val="28"/>
          <w:lang w:val="ru-MD"/>
        </w:rPr>
        <w:t xml:space="preserve"> состоит в</w:t>
      </w:r>
      <w:r w:rsidRPr="00295188">
        <w:rPr>
          <w:rFonts w:cs="Times New Roman"/>
          <w:bCs/>
          <w:iCs/>
          <w:szCs w:val="28"/>
          <w:lang w:val="ru-MD"/>
        </w:rPr>
        <w:t xml:space="preserve"> планирова</w:t>
      </w:r>
      <w:r w:rsidR="00EC73C8" w:rsidRPr="00295188">
        <w:rPr>
          <w:rFonts w:cs="Times New Roman"/>
          <w:bCs/>
          <w:iCs/>
          <w:szCs w:val="28"/>
          <w:lang w:val="ru-MD"/>
        </w:rPr>
        <w:t>нии</w:t>
      </w:r>
      <w:r w:rsidRPr="00295188">
        <w:rPr>
          <w:rFonts w:cs="Times New Roman"/>
          <w:bCs/>
          <w:iCs/>
          <w:szCs w:val="28"/>
          <w:lang w:val="ru-MD"/>
        </w:rPr>
        <w:t xml:space="preserve"> и </w:t>
      </w:r>
      <w:r w:rsidR="00EC73C8" w:rsidRPr="00295188">
        <w:rPr>
          <w:rFonts w:cs="Times New Roman"/>
          <w:bCs/>
          <w:iCs/>
          <w:szCs w:val="28"/>
          <w:lang w:val="ru-MD"/>
        </w:rPr>
        <w:t>проведении</w:t>
      </w:r>
      <w:r w:rsidRPr="00295188">
        <w:rPr>
          <w:rFonts w:cs="Times New Roman"/>
          <w:bCs/>
          <w:iCs/>
          <w:szCs w:val="28"/>
          <w:lang w:val="ru-MD"/>
        </w:rPr>
        <w:t xml:space="preserve"> аудит</w:t>
      </w:r>
      <w:r w:rsidR="00EC73C8" w:rsidRPr="00295188">
        <w:rPr>
          <w:rFonts w:cs="Times New Roman"/>
          <w:bCs/>
          <w:iCs/>
          <w:szCs w:val="28"/>
          <w:lang w:val="ru-MD"/>
        </w:rPr>
        <w:t>орской миссии</w:t>
      </w:r>
      <w:r w:rsidRPr="00295188">
        <w:rPr>
          <w:rFonts w:cs="Times New Roman"/>
          <w:bCs/>
          <w:iCs/>
          <w:szCs w:val="28"/>
          <w:lang w:val="ru-MD"/>
        </w:rPr>
        <w:t xml:space="preserve"> с получением достаточных и уместных </w:t>
      </w:r>
      <w:r w:rsidR="00EC73C8" w:rsidRPr="00295188">
        <w:rPr>
          <w:rFonts w:cs="Times New Roman"/>
          <w:bCs/>
          <w:iCs/>
          <w:szCs w:val="28"/>
          <w:lang w:val="ru-MD"/>
        </w:rPr>
        <w:t xml:space="preserve">доказательств, </w:t>
      </w:r>
      <w:r w:rsidRPr="00295188">
        <w:rPr>
          <w:rFonts w:cs="Times New Roman"/>
          <w:bCs/>
          <w:iCs/>
          <w:szCs w:val="28"/>
          <w:lang w:val="ru-MD"/>
        </w:rPr>
        <w:t>в целях под</w:t>
      </w:r>
      <w:r w:rsidR="00EC73C8" w:rsidRPr="00295188">
        <w:rPr>
          <w:rFonts w:cs="Times New Roman"/>
          <w:bCs/>
          <w:iCs/>
          <w:szCs w:val="28"/>
          <w:lang w:val="ru-MD"/>
        </w:rPr>
        <w:t>тверждения основания</w:t>
      </w:r>
      <w:r w:rsidRPr="00295188">
        <w:rPr>
          <w:rFonts w:cs="Times New Roman"/>
          <w:bCs/>
          <w:iCs/>
          <w:szCs w:val="28"/>
          <w:lang w:val="ru-MD"/>
        </w:rPr>
        <w:t xml:space="preserve"> для аудиторско</w:t>
      </w:r>
      <w:r w:rsidR="00EC73C8" w:rsidRPr="00295188">
        <w:rPr>
          <w:rFonts w:cs="Times New Roman"/>
          <w:bCs/>
          <w:iCs/>
          <w:szCs w:val="28"/>
          <w:lang w:val="ru-MD"/>
        </w:rPr>
        <w:t>го</w:t>
      </w:r>
      <w:r w:rsidRPr="00295188">
        <w:rPr>
          <w:rFonts w:cs="Times New Roman"/>
          <w:bCs/>
          <w:iCs/>
          <w:szCs w:val="28"/>
          <w:lang w:val="ru-MD"/>
        </w:rPr>
        <w:t xml:space="preserve"> мнени</w:t>
      </w:r>
      <w:r w:rsidR="00EC73C8" w:rsidRPr="00295188">
        <w:rPr>
          <w:rFonts w:cs="Times New Roman"/>
          <w:bCs/>
          <w:iCs/>
          <w:szCs w:val="28"/>
          <w:lang w:val="ru-MD"/>
        </w:rPr>
        <w:t>я</w:t>
      </w:r>
      <w:r w:rsidRPr="00295188">
        <w:rPr>
          <w:rFonts w:cs="Times New Roman"/>
          <w:bCs/>
          <w:iCs/>
          <w:szCs w:val="28"/>
          <w:lang w:val="ru-MD"/>
        </w:rPr>
        <w:t>.</w:t>
      </w:r>
    </w:p>
    <w:p w:rsidR="00DF2B2D" w:rsidRPr="00295188" w:rsidRDefault="00F94730" w:rsidP="00DF2B2D">
      <w:pPr>
        <w:spacing w:line="276" w:lineRule="auto"/>
        <w:rPr>
          <w:rFonts w:cs="Times New Roman"/>
          <w:bCs/>
          <w:iCs/>
          <w:szCs w:val="28"/>
          <w:lang w:val="ru-MD"/>
        </w:rPr>
      </w:pPr>
      <w:r w:rsidRPr="00295188">
        <w:rPr>
          <w:rFonts w:cs="Times New Roman"/>
          <w:bCs/>
          <w:iCs/>
          <w:szCs w:val="28"/>
          <w:lang w:val="ru-MD"/>
        </w:rPr>
        <w:lastRenderedPageBreak/>
        <w:t>Наши цели</w:t>
      </w:r>
      <w:r w:rsidR="00EC73C8" w:rsidRPr="00295188">
        <w:rPr>
          <w:rFonts w:cs="Times New Roman"/>
          <w:bCs/>
          <w:iCs/>
          <w:szCs w:val="28"/>
          <w:lang w:val="ru-MD"/>
        </w:rPr>
        <w:t xml:space="preserve"> заключаются в</w:t>
      </w:r>
      <w:r w:rsidRPr="00295188">
        <w:rPr>
          <w:rFonts w:cs="Times New Roman"/>
          <w:bCs/>
          <w:iCs/>
          <w:szCs w:val="28"/>
          <w:lang w:val="ru-MD"/>
        </w:rPr>
        <w:t>: получени</w:t>
      </w:r>
      <w:r w:rsidR="00EC73C8" w:rsidRPr="00295188">
        <w:rPr>
          <w:rFonts w:cs="Times New Roman"/>
          <w:bCs/>
          <w:iCs/>
          <w:szCs w:val="28"/>
          <w:lang w:val="ru-MD"/>
        </w:rPr>
        <w:t>и</w:t>
      </w:r>
      <w:r w:rsidR="008516C8">
        <w:rPr>
          <w:rFonts w:cs="Times New Roman"/>
          <w:bCs/>
          <w:iCs/>
          <w:szCs w:val="28"/>
          <w:lang w:val="ru-MD"/>
        </w:rPr>
        <w:t xml:space="preserve"> </w:t>
      </w:r>
      <w:r w:rsidR="00EC73C8" w:rsidRPr="00295188">
        <w:rPr>
          <w:rFonts w:cs="Times New Roman"/>
          <w:bCs/>
          <w:iCs/>
          <w:szCs w:val="28"/>
          <w:lang w:val="ru-MD"/>
        </w:rPr>
        <w:t>разум</w:t>
      </w:r>
      <w:r w:rsidRPr="00295188">
        <w:rPr>
          <w:rFonts w:cs="Times New Roman"/>
          <w:bCs/>
          <w:iCs/>
          <w:szCs w:val="28"/>
          <w:lang w:val="ru-MD"/>
        </w:rPr>
        <w:t xml:space="preserve">ной уверенности в том, что </w:t>
      </w:r>
      <w:r w:rsidR="00EC73C8" w:rsidRPr="00295188">
        <w:rPr>
          <w:rFonts w:cs="Times New Roman"/>
          <w:bCs/>
          <w:iCs/>
          <w:szCs w:val="28"/>
          <w:lang w:val="ru-MD"/>
        </w:rPr>
        <w:t xml:space="preserve">на </w:t>
      </w:r>
      <w:r w:rsidRPr="00295188">
        <w:rPr>
          <w:rFonts w:cs="Times New Roman"/>
          <w:bCs/>
          <w:iCs/>
          <w:szCs w:val="28"/>
          <w:lang w:val="ru-MD"/>
        </w:rPr>
        <w:t>консолидированн</w:t>
      </w:r>
      <w:r w:rsidR="00EC73C8" w:rsidRPr="00295188">
        <w:rPr>
          <w:rFonts w:cs="Times New Roman"/>
          <w:bCs/>
          <w:iCs/>
          <w:szCs w:val="28"/>
          <w:lang w:val="ru-MD"/>
        </w:rPr>
        <w:t>ую</w:t>
      </w:r>
      <w:r w:rsidRPr="00295188">
        <w:rPr>
          <w:rFonts w:cs="Times New Roman"/>
          <w:bCs/>
          <w:iCs/>
          <w:szCs w:val="28"/>
          <w:lang w:val="ru-MD"/>
        </w:rPr>
        <w:t xml:space="preserve"> финансов</w:t>
      </w:r>
      <w:r w:rsidR="00EC73C8" w:rsidRPr="00295188">
        <w:rPr>
          <w:rFonts w:cs="Times New Roman"/>
          <w:bCs/>
          <w:iCs/>
          <w:szCs w:val="28"/>
          <w:lang w:val="ru-MD"/>
        </w:rPr>
        <w:t>ую</w:t>
      </w:r>
      <w:r w:rsidRPr="00295188">
        <w:rPr>
          <w:rFonts w:cs="Times New Roman"/>
          <w:bCs/>
          <w:iCs/>
          <w:szCs w:val="28"/>
          <w:lang w:val="ru-MD"/>
        </w:rPr>
        <w:t xml:space="preserve"> отчет</w:t>
      </w:r>
      <w:r w:rsidR="00EC73C8" w:rsidRPr="00295188">
        <w:rPr>
          <w:rFonts w:cs="Times New Roman"/>
          <w:bCs/>
          <w:iCs/>
          <w:szCs w:val="28"/>
          <w:lang w:val="ru-MD"/>
        </w:rPr>
        <w:t>ность</w:t>
      </w:r>
      <w:r w:rsidRPr="00295188">
        <w:rPr>
          <w:rFonts w:cs="Times New Roman"/>
          <w:bCs/>
          <w:iCs/>
          <w:szCs w:val="28"/>
          <w:lang w:val="ru-MD"/>
        </w:rPr>
        <w:t xml:space="preserve"> не </w:t>
      </w:r>
      <w:r w:rsidR="00EC73C8" w:rsidRPr="00295188">
        <w:rPr>
          <w:rFonts w:cs="Times New Roman"/>
          <w:bCs/>
          <w:iCs/>
          <w:szCs w:val="28"/>
          <w:lang w:val="ru-MD"/>
        </w:rPr>
        <w:t>повлияли</w:t>
      </w:r>
      <w:r w:rsidRPr="00295188">
        <w:rPr>
          <w:rFonts w:cs="Times New Roman"/>
          <w:bCs/>
          <w:iCs/>
          <w:szCs w:val="28"/>
          <w:lang w:val="ru-MD"/>
        </w:rPr>
        <w:t xml:space="preserve"> существенны</w:t>
      </w:r>
      <w:r w:rsidR="00EC73C8" w:rsidRPr="00295188">
        <w:rPr>
          <w:rFonts w:cs="Times New Roman"/>
          <w:bCs/>
          <w:iCs/>
          <w:szCs w:val="28"/>
          <w:lang w:val="ru-MD"/>
        </w:rPr>
        <w:t>е</w:t>
      </w:r>
      <w:r w:rsidR="008516C8">
        <w:rPr>
          <w:rFonts w:cs="Times New Roman"/>
          <w:bCs/>
          <w:iCs/>
          <w:szCs w:val="28"/>
          <w:lang w:val="ru-MD"/>
        </w:rPr>
        <w:t xml:space="preserve"> </w:t>
      </w:r>
      <w:r w:rsidRPr="00295188">
        <w:rPr>
          <w:rFonts w:cs="Times New Roman"/>
          <w:bCs/>
          <w:iCs/>
          <w:szCs w:val="28"/>
          <w:lang w:val="ru-MD"/>
        </w:rPr>
        <w:t>искажени</w:t>
      </w:r>
      <w:r w:rsidR="00E70FEF" w:rsidRPr="00295188">
        <w:rPr>
          <w:rFonts w:cs="Times New Roman"/>
          <w:bCs/>
          <w:iCs/>
          <w:szCs w:val="28"/>
          <w:lang w:val="ru-MD"/>
        </w:rPr>
        <w:t>я</w:t>
      </w:r>
      <w:r w:rsidRPr="00295188">
        <w:rPr>
          <w:rFonts w:cs="Times New Roman"/>
          <w:bCs/>
          <w:iCs/>
          <w:szCs w:val="28"/>
          <w:lang w:val="ru-MD"/>
        </w:rPr>
        <w:t xml:space="preserve">, </w:t>
      </w:r>
      <w:r w:rsidR="00E70FEF" w:rsidRPr="00295188">
        <w:rPr>
          <w:rFonts w:cs="Times New Roman"/>
          <w:bCs/>
          <w:iCs/>
          <w:szCs w:val="28"/>
          <w:lang w:val="ru-MD"/>
        </w:rPr>
        <w:t>обусловленные</w:t>
      </w:r>
      <w:r w:rsidRPr="00295188">
        <w:rPr>
          <w:rFonts w:cs="Times New Roman"/>
          <w:bCs/>
          <w:iCs/>
          <w:szCs w:val="28"/>
          <w:lang w:val="ru-MD"/>
        </w:rPr>
        <w:t xml:space="preserve"> мошенничеством или ошибками, </w:t>
      </w:r>
      <w:r w:rsidR="00E70FEF" w:rsidRPr="00295188">
        <w:rPr>
          <w:rFonts w:cs="Times New Roman"/>
          <w:bCs/>
          <w:iCs/>
          <w:szCs w:val="28"/>
          <w:lang w:val="ru-MD"/>
        </w:rPr>
        <w:t>и</w:t>
      </w:r>
      <w:r w:rsidR="008516C8">
        <w:rPr>
          <w:rFonts w:cs="Times New Roman"/>
          <w:bCs/>
          <w:iCs/>
          <w:szCs w:val="28"/>
          <w:lang w:val="ru-MD"/>
        </w:rPr>
        <w:t xml:space="preserve"> </w:t>
      </w:r>
      <w:r w:rsidR="003446FD" w:rsidRPr="00295188">
        <w:rPr>
          <w:rFonts w:cs="Times New Roman"/>
          <w:bCs/>
          <w:iCs/>
          <w:szCs w:val="28"/>
          <w:lang w:val="ru-MD"/>
        </w:rPr>
        <w:t>составлении аудиторского заключения</w:t>
      </w:r>
      <w:r w:rsidR="00DF2B2D" w:rsidRPr="00295188">
        <w:rPr>
          <w:rFonts w:cs="Times New Roman"/>
          <w:szCs w:val="28"/>
          <w:lang w:val="ru-MD"/>
        </w:rPr>
        <w:t>.</w:t>
      </w:r>
    </w:p>
    <w:p w:rsidR="00DF2B2D" w:rsidRPr="00295188" w:rsidRDefault="002B2176" w:rsidP="00DF2B2D">
      <w:pPr>
        <w:spacing w:line="276" w:lineRule="auto"/>
        <w:rPr>
          <w:rFonts w:cs="Times New Roman"/>
          <w:szCs w:val="28"/>
          <w:lang w:val="ru-MD"/>
        </w:rPr>
      </w:pPr>
      <w:r w:rsidRPr="00295188">
        <w:rPr>
          <w:rFonts w:cs="Times New Roman"/>
          <w:szCs w:val="28"/>
          <w:lang w:val="ru-MD"/>
        </w:rPr>
        <w:t>Р</w:t>
      </w:r>
      <w:r w:rsidR="00F94730" w:rsidRPr="00295188">
        <w:rPr>
          <w:rFonts w:cs="Times New Roman"/>
          <w:szCs w:val="28"/>
          <w:lang w:val="ru-MD"/>
        </w:rPr>
        <w:t>азумн</w:t>
      </w:r>
      <w:r w:rsidRPr="00295188">
        <w:rPr>
          <w:rFonts w:cs="Times New Roman"/>
          <w:szCs w:val="28"/>
          <w:lang w:val="ru-MD"/>
        </w:rPr>
        <w:t xml:space="preserve">ая уверенность представляет собой высокую степень уверенности, </w:t>
      </w:r>
      <w:r w:rsidR="00F94730" w:rsidRPr="00295188">
        <w:rPr>
          <w:rFonts w:cs="Times New Roman"/>
          <w:szCs w:val="28"/>
          <w:lang w:val="ru-MD"/>
        </w:rPr>
        <w:t>но не является гарантией того, что аудит</w:t>
      </w:r>
      <w:r w:rsidR="00575DCD" w:rsidRPr="00295188">
        <w:rPr>
          <w:rFonts w:cs="Times New Roman"/>
          <w:szCs w:val="28"/>
          <w:lang w:val="ru-MD"/>
        </w:rPr>
        <w:t>,</w:t>
      </w:r>
      <w:r w:rsidR="00F94730" w:rsidRPr="00295188">
        <w:rPr>
          <w:rFonts w:cs="Times New Roman"/>
          <w:szCs w:val="28"/>
          <w:lang w:val="ru-MD"/>
        </w:rPr>
        <w:t xml:space="preserve"> проведен</w:t>
      </w:r>
      <w:r w:rsidRPr="00295188">
        <w:rPr>
          <w:rFonts w:cs="Times New Roman"/>
          <w:szCs w:val="28"/>
          <w:lang w:val="ru-MD"/>
        </w:rPr>
        <w:t>ный</w:t>
      </w:r>
      <w:r w:rsidR="00F94730" w:rsidRPr="00295188">
        <w:rPr>
          <w:rFonts w:cs="Times New Roman"/>
          <w:szCs w:val="28"/>
          <w:lang w:val="ru-MD"/>
        </w:rPr>
        <w:t xml:space="preserve"> в соответствии с ISSAI</w:t>
      </w:r>
      <w:r w:rsidR="00575DCD" w:rsidRPr="00295188">
        <w:rPr>
          <w:rFonts w:cs="Times New Roman"/>
          <w:szCs w:val="28"/>
          <w:lang w:val="ru-MD"/>
        </w:rPr>
        <w:t>,</w:t>
      </w:r>
      <w:r w:rsidR="00F94730" w:rsidRPr="00295188">
        <w:rPr>
          <w:rFonts w:cs="Times New Roman"/>
          <w:szCs w:val="28"/>
          <w:lang w:val="ru-MD"/>
        </w:rPr>
        <w:t xml:space="preserve"> всегда </w:t>
      </w:r>
      <w:r w:rsidR="00575DCD" w:rsidRPr="00295188">
        <w:rPr>
          <w:rFonts w:cs="Times New Roman"/>
          <w:szCs w:val="28"/>
          <w:lang w:val="ru-MD"/>
        </w:rPr>
        <w:t>выявляет</w:t>
      </w:r>
      <w:r w:rsidR="00F94730" w:rsidRPr="00295188">
        <w:rPr>
          <w:rFonts w:cs="Times New Roman"/>
          <w:szCs w:val="28"/>
          <w:lang w:val="ru-MD"/>
        </w:rPr>
        <w:t xml:space="preserve"> существенн</w:t>
      </w:r>
      <w:r w:rsidRPr="00295188">
        <w:rPr>
          <w:rFonts w:cs="Times New Roman"/>
          <w:szCs w:val="28"/>
          <w:lang w:val="ru-MD"/>
        </w:rPr>
        <w:t>о</w:t>
      </w:r>
      <w:r w:rsidR="00F94730" w:rsidRPr="00295188">
        <w:rPr>
          <w:rFonts w:cs="Times New Roman"/>
          <w:szCs w:val="28"/>
          <w:lang w:val="ru-MD"/>
        </w:rPr>
        <w:t>е искажения</w:t>
      </w:r>
      <w:r w:rsidR="00575DCD" w:rsidRPr="00295188">
        <w:rPr>
          <w:rFonts w:cs="Times New Roman"/>
          <w:szCs w:val="28"/>
          <w:lang w:val="ru-MD"/>
        </w:rPr>
        <w:t xml:space="preserve"> при его наличии</w:t>
      </w:r>
      <w:r w:rsidR="00F94730" w:rsidRPr="00295188">
        <w:rPr>
          <w:rFonts w:cs="Times New Roman"/>
          <w:szCs w:val="28"/>
          <w:lang w:val="ru-MD"/>
        </w:rPr>
        <w:t>. Искажения могут быть следствием мошенничества или ошибок. В то же время, искажения могут считаться существенными, если в отдельности или в совокупности могут повлиять на экономические решения пользователей этих финансовых</w:t>
      </w:r>
      <w:r w:rsidRPr="00295188">
        <w:rPr>
          <w:rFonts w:cs="Times New Roman"/>
          <w:szCs w:val="28"/>
          <w:lang w:val="ru-MD"/>
        </w:rPr>
        <w:t xml:space="preserve"> отчетов</w:t>
      </w:r>
      <w:r w:rsidR="00DF2B2D" w:rsidRPr="00295188">
        <w:rPr>
          <w:rFonts w:cs="Times New Roman"/>
          <w:szCs w:val="28"/>
          <w:lang w:val="ru-MD"/>
        </w:rPr>
        <w:t xml:space="preserve">. </w:t>
      </w:r>
    </w:p>
    <w:p w:rsidR="00DF2B2D" w:rsidRPr="00295188" w:rsidRDefault="00F94730" w:rsidP="00BC6479">
      <w:pPr>
        <w:tabs>
          <w:tab w:val="left" w:pos="1080"/>
        </w:tabs>
        <w:spacing w:after="0" w:line="276" w:lineRule="auto"/>
        <w:rPr>
          <w:rFonts w:eastAsia="Times New Roman" w:cs="Times New Roman"/>
          <w:szCs w:val="28"/>
          <w:lang w:val="ru-MD"/>
        </w:rPr>
      </w:pPr>
      <w:r w:rsidRPr="00295188">
        <w:rPr>
          <w:rFonts w:eastAsia="Times New Roman" w:cs="Times New Roman"/>
          <w:szCs w:val="28"/>
          <w:lang w:val="ru-MD"/>
        </w:rPr>
        <w:t>Для получения релевантных и разумных</w:t>
      </w:r>
      <w:r w:rsidR="002B2176" w:rsidRPr="00295188">
        <w:rPr>
          <w:rFonts w:eastAsia="Times New Roman" w:cs="Times New Roman"/>
          <w:szCs w:val="28"/>
          <w:lang w:val="ru-MD"/>
        </w:rPr>
        <w:t xml:space="preserve"> доказательств</w:t>
      </w:r>
      <w:r w:rsidRPr="00295188">
        <w:rPr>
          <w:rFonts w:eastAsia="Times New Roman" w:cs="Times New Roman"/>
          <w:szCs w:val="28"/>
          <w:lang w:val="ru-MD"/>
        </w:rPr>
        <w:t>, под</w:t>
      </w:r>
      <w:r w:rsidR="002B2176" w:rsidRPr="00295188">
        <w:rPr>
          <w:rFonts w:eastAsia="Times New Roman" w:cs="Times New Roman"/>
          <w:szCs w:val="28"/>
          <w:lang w:val="ru-MD"/>
        </w:rPr>
        <w:t>тверждающих</w:t>
      </w:r>
      <w:r w:rsidRPr="00295188">
        <w:rPr>
          <w:rFonts w:eastAsia="Times New Roman" w:cs="Times New Roman"/>
          <w:szCs w:val="28"/>
          <w:lang w:val="ru-MD"/>
        </w:rPr>
        <w:t xml:space="preserve"> выводы и </w:t>
      </w:r>
      <w:r w:rsidR="002B2176" w:rsidRPr="00295188">
        <w:rPr>
          <w:rFonts w:eastAsia="Times New Roman" w:cs="Times New Roman"/>
          <w:szCs w:val="28"/>
          <w:lang w:val="ru-MD"/>
        </w:rPr>
        <w:t>надеж</w:t>
      </w:r>
      <w:r w:rsidRPr="00295188">
        <w:rPr>
          <w:rFonts w:eastAsia="Times New Roman" w:cs="Times New Roman"/>
          <w:szCs w:val="28"/>
          <w:lang w:val="ru-MD"/>
        </w:rPr>
        <w:t xml:space="preserve">ность констатаций, изложенных в Отчете, путем применения порога существенности, мы использовали процедуры проверки, рассмотрения и анализа, с </w:t>
      </w:r>
      <w:r w:rsidR="002B2176" w:rsidRPr="00295188">
        <w:rPr>
          <w:rFonts w:eastAsia="Times New Roman" w:cs="Times New Roman"/>
          <w:szCs w:val="28"/>
          <w:lang w:val="ru-MD"/>
        </w:rPr>
        <w:t>примене</w:t>
      </w:r>
      <w:r w:rsidRPr="00295188">
        <w:rPr>
          <w:rFonts w:eastAsia="Times New Roman" w:cs="Times New Roman"/>
          <w:szCs w:val="28"/>
          <w:lang w:val="ru-MD"/>
        </w:rPr>
        <w:t>нием различных техник, таких как: инспектирование, наблюдение, запрос</w:t>
      </w:r>
      <w:r w:rsidR="002B2176" w:rsidRPr="00295188">
        <w:rPr>
          <w:rFonts w:eastAsia="Times New Roman" w:cs="Times New Roman"/>
          <w:szCs w:val="28"/>
          <w:lang w:val="ru-MD"/>
        </w:rPr>
        <w:t xml:space="preserve"> информации</w:t>
      </w:r>
      <w:r w:rsidRPr="00295188">
        <w:rPr>
          <w:rFonts w:eastAsia="Times New Roman" w:cs="Times New Roman"/>
          <w:szCs w:val="28"/>
          <w:lang w:val="ru-MD"/>
        </w:rPr>
        <w:t>, пересчет, опрос и др. Так</w:t>
      </w:r>
      <w:r w:rsidR="009D35F3" w:rsidRPr="00295188">
        <w:rPr>
          <w:rFonts w:eastAsia="Times New Roman" w:cs="Times New Roman"/>
          <w:szCs w:val="28"/>
          <w:lang w:val="ru-MD"/>
        </w:rPr>
        <w:t>,</w:t>
      </w:r>
    </w:p>
    <w:p w:rsidR="009D35F3" w:rsidRPr="00295188" w:rsidRDefault="00F94730" w:rsidP="00F94730">
      <w:pPr>
        <w:pStyle w:val="ListParagraph"/>
        <w:numPr>
          <w:ilvl w:val="0"/>
          <w:numId w:val="20"/>
        </w:numPr>
        <w:tabs>
          <w:tab w:val="left" w:pos="1080"/>
        </w:tabs>
        <w:spacing w:after="0" w:line="276" w:lineRule="auto"/>
        <w:ind w:left="567" w:hanging="283"/>
        <w:rPr>
          <w:rFonts w:eastAsia="Times New Roman" w:cs="Times New Roman"/>
          <w:szCs w:val="28"/>
          <w:lang w:val="ru-MD"/>
        </w:rPr>
      </w:pPr>
      <w:r w:rsidRPr="00295188">
        <w:rPr>
          <w:rFonts w:eastAsia="Times New Roman" w:cs="Times New Roman"/>
          <w:szCs w:val="28"/>
          <w:lang w:val="ru-MD"/>
        </w:rPr>
        <w:t xml:space="preserve">мы </w:t>
      </w:r>
      <w:r w:rsidR="002B2176" w:rsidRPr="00295188">
        <w:rPr>
          <w:rFonts w:eastAsia="Times New Roman" w:cs="Times New Roman"/>
          <w:szCs w:val="28"/>
          <w:lang w:val="ru-MD"/>
        </w:rPr>
        <w:t>выяв</w:t>
      </w:r>
      <w:r w:rsidRPr="00295188">
        <w:rPr>
          <w:rFonts w:eastAsia="Times New Roman" w:cs="Times New Roman"/>
          <w:szCs w:val="28"/>
          <w:lang w:val="ru-MD"/>
        </w:rPr>
        <w:t>или и оцен</w:t>
      </w:r>
      <w:r w:rsidR="002B2176" w:rsidRPr="00295188">
        <w:rPr>
          <w:rFonts w:eastAsia="Times New Roman" w:cs="Times New Roman"/>
          <w:szCs w:val="28"/>
          <w:lang w:val="ru-MD"/>
        </w:rPr>
        <w:t>или</w:t>
      </w:r>
      <w:r w:rsidRPr="00295188">
        <w:rPr>
          <w:rFonts w:eastAsia="Times New Roman" w:cs="Times New Roman"/>
          <w:szCs w:val="28"/>
          <w:lang w:val="ru-MD"/>
        </w:rPr>
        <w:t xml:space="preserve"> риск</w:t>
      </w:r>
      <w:r w:rsidR="002B2176" w:rsidRPr="00295188">
        <w:rPr>
          <w:rFonts w:eastAsia="Times New Roman" w:cs="Times New Roman"/>
          <w:szCs w:val="28"/>
          <w:lang w:val="ru-MD"/>
        </w:rPr>
        <w:t>и</w:t>
      </w:r>
      <w:r w:rsidRPr="00295188">
        <w:rPr>
          <w:rFonts w:eastAsia="Times New Roman" w:cs="Times New Roman"/>
          <w:szCs w:val="28"/>
          <w:lang w:val="ru-MD"/>
        </w:rPr>
        <w:t xml:space="preserve"> существенного искажения финансовой отчетности</w:t>
      </w:r>
      <w:r w:rsidR="003446FD" w:rsidRPr="00295188">
        <w:rPr>
          <w:rFonts w:eastAsia="Times New Roman" w:cs="Times New Roman"/>
          <w:szCs w:val="28"/>
          <w:lang w:val="ru-MD"/>
        </w:rPr>
        <w:t xml:space="preserve"> вследствие</w:t>
      </w:r>
      <w:r w:rsidRPr="00295188">
        <w:rPr>
          <w:rFonts w:eastAsia="Times New Roman" w:cs="Times New Roman"/>
          <w:szCs w:val="28"/>
          <w:lang w:val="ru-MD"/>
        </w:rPr>
        <w:t xml:space="preserve"> ошиб</w:t>
      </w:r>
      <w:r w:rsidR="003446FD" w:rsidRPr="00295188">
        <w:rPr>
          <w:rFonts w:eastAsia="Times New Roman" w:cs="Times New Roman"/>
          <w:szCs w:val="28"/>
          <w:lang w:val="ru-MD"/>
        </w:rPr>
        <w:t>о</w:t>
      </w:r>
      <w:r w:rsidRPr="00295188">
        <w:rPr>
          <w:rFonts w:eastAsia="Times New Roman" w:cs="Times New Roman"/>
          <w:szCs w:val="28"/>
          <w:lang w:val="ru-MD"/>
        </w:rPr>
        <w:t>к</w:t>
      </w:r>
      <w:r w:rsidR="00DF2B2D" w:rsidRPr="00295188">
        <w:rPr>
          <w:rFonts w:eastAsia="Times New Roman" w:cs="Times New Roman"/>
          <w:szCs w:val="28"/>
          <w:lang w:val="ru-MD"/>
        </w:rPr>
        <w:t xml:space="preserve">; </w:t>
      </w:r>
    </w:p>
    <w:p w:rsidR="00DF2B2D" w:rsidRPr="00295188" w:rsidRDefault="00F94730" w:rsidP="00F94730">
      <w:pPr>
        <w:pStyle w:val="ListParagraph"/>
        <w:numPr>
          <w:ilvl w:val="0"/>
          <w:numId w:val="20"/>
        </w:numPr>
        <w:tabs>
          <w:tab w:val="left" w:pos="1080"/>
        </w:tabs>
        <w:spacing w:after="0" w:line="276" w:lineRule="auto"/>
        <w:ind w:left="567" w:hanging="283"/>
        <w:rPr>
          <w:rFonts w:eastAsia="Times New Roman" w:cs="Times New Roman"/>
          <w:szCs w:val="28"/>
          <w:lang w:val="ru-MD"/>
        </w:rPr>
      </w:pPr>
      <w:r w:rsidRPr="00295188">
        <w:rPr>
          <w:rFonts w:eastAsia="Times New Roman" w:cs="Times New Roman"/>
          <w:szCs w:val="28"/>
          <w:lang w:val="ru-MD"/>
        </w:rPr>
        <w:t xml:space="preserve">мы </w:t>
      </w:r>
      <w:r w:rsidR="00575DCD" w:rsidRPr="00295188">
        <w:rPr>
          <w:rFonts w:eastAsia="Times New Roman" w:cs="Times New Roman"/>
          <w:szCs w:val="28"/>
          <w:lang w:val="ru-MD"/>
        </w:rPr>
        <w:t>за</w:t>
      </w:r>
      <w:r w:rsidRPr="00295188">
        <w:rPr>
          <w:rFonts w:eastAsia="Times New Roman" w:cs="Times New Roman"/>
          <w:szCs w:val="28"/>
          <w:lang w:val="ru-MD"/>
        </w:rPr>
        <w:t>планировали и провели аудиторские процедуры в ответ на риски, и получили достаточные и уместные аудиторские</w:t>
      </w:r>
      <w:r w:rsidR="003446FD" w:rsidRPr="00295188">
        <w:rPr>
          <w:rFonts w:eastAsia="Times New Roman" w:cs="Times New Roman"/>
          <w:szCs w:val="28"/>
          <w:lang w:val="ru-MD"/>
        </w:rPr>
        <w:t xml:space="preserve"> доказательства</w:t>
      </w:r>
      <w:r w:rsidRPr="00295188">
        <w:rPr>
          <w:rFonts w:eastAsia="Times New Roman" w:cs="Times New Roman"/>
          <w:szCs w:val="28"/>
          <w:lang w:val="ru-MD"/>
        </w:rPr>
        <w:t xml:space="preserve">, чтобы </w:t>
      </w:r>
      <w:r w:rsidR="00575DCD" w:rsidRPr="00295188">
        <w:rPr>
          <w:rFonts w:eastAsia="Times New Roman" w:cs="Times New Roman"/>
          <w:szCs w:val="28"/>
          <w:lang w:val="ru-MD"/>
        </w:rPr>
        <w:t xml:space="preserve">служить </w:t>
      </w:r>
      <w:r w:rsidRPr="00295188">
        <w:rPr>
          <w:rFonts w:eastAsia="Times New Roman" w:cs="Times New Roman"/>
          <w:szCs w:val="28"/>
          <w:lang w:val="ru-MD"/>
        </w:rPr>
        <w:t>основ</w:t>
      </w:r>
      <w:r w:rsidR="00575DCD" w:rsidRPr="00295188">
        <w:rPr>
          <w:rFonts w:eastAsia="Times New Roman" w:cs="Times New Roman"/>
          <w:szCs w:val="28"/>
          <w:lang w:val="ru-MD"/>
        </w:rPr>
        <w:t xml:space="preserve">анием </w:t>
      </w:r>
      <w:r w:rsidRPr="00295188">
        <w:rPr>
          <w:rFonts w:eastAsia="Times New Roman" w:cs="Times New Roman"/>
          <w:szCs w:val="28"/>
          <w:lang w:val="ru-MD"/>
        </w:rPr>
        <w:t xml:space="preserve">для </w:t>
      </w:r>
      <w:r w:rsidR="00575DCD" w:rsidRPr="00295188">
        <w:rPr>
          <w:rFonts w:eastAsia="Times New Roman" w:cs="Times New Roman"/>
          <w:szCs w:val="28"/>
          <w:lang w:val="ru-MD"/>
        </w:rPr>
        <w:t xml:space="preserve">выражения </w:t>
      </w:r>
      <w:r w:rsidR="003446FD" w:rsidRPr="00295188">
        <w:rPr>
          <w:rFonts w:eastAsia="Times New Roman" w:cs="Times New Roman"/>
          <w:szCs w:val="28"/>
          <w:lang w:val="ru-MD"/>
        </w:rPr>
        <w:t xml:space="preserve">условного </w:t>
      </w:r>
      <w:r w:rsidRPr="00295188">
        <w:rPr>
          <w:rFonts w:eastAsia="Times New Roman" w:cs="Times New Roman"/>
          <w:szCs w:val="28"/>
          <w:lang w:val="ru-MD"/>
        </w:rPr>
        <w:t>мнения</w:t>
      </w:r>
      <w:r w:rsidR="009D35F3" w:rsidRPr="00295188">
        <w:rPr>
          <w:rFonts w:eastAsia="Times New Roman" w:cs="Times New Roman"/>
          <w:szCs w:val="28"/>
          <w:lang w:val="ru-MD"/>
        </w:rPr>
        <w:t>;</w:t>
      </w:r>
    </w:p>
    <w:p w:rsidR="00DF2B2D" w:rsidRPr="00295188" w:rsidRDefault="00F94730" w:rsidP="00F94730">
      <w:pPr>
        <w:pStyle w:val="ListParagraph"/>
        <w:numPr>
          <w:ilvl w:val="0"/>
          <w:numId w:val="20"/>
        </w:numPr>
        <w:tabs>
          <w:tab w:val="left" w:pos="1080"/>
        </w:tabs>
        <w:spacing w:after="0" w:line="276" w:lineRule="auto"/>
        <w:ind w:left="567" w:hanging="283"/>
        <w:rPr>
          <w:rFonts w:eastAsia="Times New Roman" w:cs="Times New Roman"/>
          <w:szCs w:val="28"/>
          <w:lang w:val="ru-MD"/>
        </w:rPr>
      </w:pPr>
      <w:r w:rsidRPr="00295188">
        <w:rPr>
          <w:rFonts w:eastAsia="Times New Roman" w:cs="Times New Roman"/>
          <w:szCs w:val="28"/>
          <w:lang w:val="ru-MD"/>
        </w:rPr>
        <w:t xml:space="preserve">мы изучили внутренний контроль, </w:t>
      </w:r>
      <w:r w:rsidR="00575DCD" w:rsidRPr="00295188">
        <w:rPr>
          <w:rFonts w:eastAsia="Times New Roman" w:cs="Times New Roman"/>
          <w:szCs w:val="28"/>
          <w:lang w:val="ru-MD"/>
        </w:rPr>
        <w:t>имеющи</w:t>
      </w:r>
      <w:r w:rsidR="003446FD" w:rsidRPr="00295188">
        <w:rPr>
          <w:rFonts w:eastAsia="Times New Roman" w:cs="Times New Roman"/>
          <w:szCs w:val="28"/>
          <w:lang w:val="ru-MD"/>
        </w:rPr>
        <w:t xml:space="preserve">й </w:t>
      </w:r>
      <w:r w:rsidR="00575DCD" w:rsidRPr="00295188">
        <w:rPr>
          <w:rFonts w:eastAsia="Times New Roman" w:cs="Times New Roman"/>
          <w:szCs w:val="28"/>
          <w:lang w:val="ru-MD"/>
        </w:rPr>
        <w:t xml:space="preserve">значение </w:t>
      </w:r>
      <w:r w:rsidR="003446FD" w:rsidRPr="00295188">
        <w:rPr>
          <w:rFonts w:eastAsia="Times New Roman" w:cs="Times New Roman"/>
          <w:szCs w:val="28"/>
          <w:lang w:val="ru-MD"/>
        </w:rPr>
        <w:t>для</w:t>
      </w:r>
      <w:r w:rsidRPr="00295188">
        <w:rPr>
          <w:rFonts w:eastAsia="Times New Roman" w:cs="Times New Roman"/>
          <w:szCs w:val="28"/>
          <w:lang w:val="ru-MD"/>
        </w:rPr>
        <w:t xml:space="preserve"> аудит</w:t>
      </w:r>
      <w:r w:rsidR="003446FD" w:rsidRPr="00295188">
        <w:rPr>
          <w:rFonts w:eastAsia="Times New Roman" w:cs="Times New Roman"/>
          <w:szCs w:val="28"/>
          <w:lang w:val="ru-MD"/>
        </w:rPr>
        <w:t>а</w:t>
      </w:r>
      <w:r w:rsidRPr="00295188">
        <w:rPr>
          <w:rFonts w:eastAsia="Times New Roman" w:cs="Times New Roman"/>
          <w:szCs w:val="28"/>
          <w:lang w:val="ru-MD"/>
        </w:rPr>
        <w:t xml:space="preserve">, </w:t>
      </w:r>
      <w:r w:rsidR="00575DCD" w:rsidRPr="00295188">
        <w:rPr>
          <w:rFonts w:eastAsia="Times New Roman" w:cs="Times New Roman"/>
          <w:szCs w:val="28"/>
          <w:lang w:val="ru-MD"/>
        </w:rPr>
        <w:t>с целью разработки</w:t>
      </w:r>
      <w:r w:rsidR="008516C8">
        <w:rPr>
          <w:rFonts w:eastAsia="Times New Roman" w:cs="Times New Roman"/>
          <w:szCs w:val="28"/>
          <w:lang w:val="ru-MD"/>
        </w:rPr>
        <w:t xml:space="preserve"> </w:t>
      </w:r>
      <w:r w:rsidR="003446FD" w:rsidRPr="00295188">
        <w:rPr>
          <w:rFonts w:eastAsia="Times New Roman" w:cs="Times New Roman"/>
          <w:szCs w:val="28"/>
          <w:lang w:val="ru-MD"/>
        </w:rPr>
        <w:t>адекват</w:t>
      </w:r>
      <w:r w:rsidRPr="00295188">
        <w:rPr>
          <w:rFonts w:eastAsia="Times New Roman" w:cs="Times New Roman"/>
          <w:szCs w:val="28"/>
          <w:lang w:val="ru-MD"/>
        </w:rPr>
        <w:t xml:space="preserve">ных аудиторских процедур, </w:t>
      </w:r>
      <w:r w:rsidR="00575DCD" w:rsidRPr="00295188">
        <w:rPr>
          <w:rFonts w:eastAsia="Times New Roman" w:cs="Times New Roman"/>
          <w:szCs w:val="28"/>
          <w:lang w:val="ru-MD"/>
        </w:rPr>
        <w:t xml:space="preserve">но </w:t>
      </w:r>
      <w:r w:rsidRPr="00295188">
        <w:rPr>
          <w:rFonts w:eastAsia="Times New Roman" w:cs="Times New Roman"/>
          <w:szCs w:val="28"/>
          <w:lang w:val="ru-MD"/>
        </w:rPr>
        <w:t xml:space="preserve">не </w:t>
      </w:r>
      <w:r w:rsidR="00575DCD" w:rsidRPr="00295188">
        <w:rPr>
          <w:rFonts w:eastAsia="Times New Roman" w:cs="Times New Roman"/>
          <w:szCs w:val="28"/>
          <w:lang w:val="ru-MD"/>
        </w:rPr>
        <w:t xml:space="preserve">с </w:t>
      </w:r>
      <w:r w:rsidRPr="00295188">
        <w:rPr>
          <w:rFonts w:eastAsia="Times New Roman" w:cs="Times New Roman"/>
          <w:szCs w:val="28"/>
          <w:lang w:val="ru-MD"/>
        </w:rPr>
        <w:t>целью выражения мнения об эффективности внутреннего контроля субъекта</w:t>
      </w:r>
      <w:r w:rsidR="009D35F3" w:rsidRPr="00295188">
        <w:rPr>
          <w:rFonts w:eastAsia="Times New Roman" w:cs="Times New Roman"/>
          <w:szCs w:val="28"/>
          <w:lang w:val="ru-MD"/>
        </w:rPr>
        <w:t>;</w:t>
      </w:r>
    </w:p>
    <w:p w:rsidR="00DF2B2D" w:rsidRPr="00295188" w:rsidRDefault="00F94730" w:rsidP="00F94730">
      <w:pPr>
        <w:pStyle w:val="ListParagraph"/>
        <w:numPr>
          <w:ilvl w:val="0"/>
          <w:numId w:val="20"/>
        </w:numPr>
        <w:tabs>
          <w:tab w:val="left" w:pos="1080"/>
        </w:tabs>
        <w:spacing w:after="0" w:line="276" w:lineRule="auto"/>
        <w:ind w:left="567" w:hanging="283"/>
        <w:rPr>
          <w:rFonts w:eastAsia="Times New Roman" w:cs="Times New Roman"/>
          <w:szCs w:val="28"/>
          <w:lang w:val="ru-MD"/>
        </w:rPr>
      </w:pPr>
      <w:r w:rsidRPr="00295188">
        <w:rPr>
          <w:rFonts w:eastAsia="Times New Roman" w:cs="Times New Roman"/>
          <w:szCs w:val="28"/>
          <w:lang w:val="ru-MD"/>
        </w:rPr>
        <w:t xml:space="preserve">мы оценили полноту правил, установленных </w:t>
      </w:r>
      <w:r w:rsidR="00575DCD" w:rsidRPr="00295188">
        <w:rPr>
          <w:rFonts w:eastAsia="Times New Roman" w:cs="Times New Roman"/>
          <w:szCs w:val="28"/>
          <w:lang w:val="ru-MD"/>
        </w:rPr>
        <w:t>применя</w:t>
      </w:r>
      <w:r w:rsidR="003446FD" w:rsidRPr="00295188">
        <w:rPr>
          <w:rFonts w:eastAsia="Times New Roman" w:cs="Times New Roman"/>
          <w:szCs w:val="28"/>
          <w:lang w:val="ru-MD"/>
        </w:rPr>
        <w:t>емыми учетными политиками</w:t>
      </w:r>
      <w:r w:rsidRPr="00295188">
        <w:rPr>
          <w:rFonts w:eastAsia="Times New Roman" w:cs="Times New Roman"/>
          <w:szCs w:val="28"/>
          <w:lang w:val="ru-MD"/>
        </w:rPr>
        <w:t>, в аспекте финансово</w:t>
      </w:r>
      <w:r w:rsidR="003446FD" w:rsidRPr="00295188">
        <w:rPr>
          <w:rFonts w:eastAsia="Times New Roman" w:cs="Times New Roman"/>
          <w:szCs w:val="28"/>
          <w:lang w:val="ru-MD"/>
        </w:rPr>
        <w:t xml:space="preserve">-бухгалтерских </w:t>
      </w:r>
      <w:r w:rsidR="00575DCD" w:rsidRPr="00295188">
        <w:rPr>
          <w:rFonts w:eastAsia="Times New Roman" w:cs="Times New Roman"/>
          <w:szCs w:val="28"/>
          <w:lang w:val="ru-MD"/>
        </w:rPr>
        <w:t>функций и</w:t>
      </w:r>
      <w:r w:rsidRPr="00295188">
        <w:rPr>
          <w:rFonts w:eastAsia="Times New Roman" w:cs="Times New Roman"/>
          <w:szCs w:val="28"/>
          <w:lang w:val="ru-MD"/>
        </w:rPr>
        <w:t xml:space="preserve"> обоснованности </w:t>
      </w:r>
      <w:r w:rsidR="00575DCD" w:rsidRPr="00295188">
        <w:rPr>
          <w:rFonts w:eastAsia="Times New Roman" w:cs="Times New Roman"/>
          <w:szCs w:val="28"/>
          <w:lang w:val="ru-MD"/>
        </w:rPr>
        <w:t xml:space="preserve">бухгалтерских </w:t>
      </w:r>
      <w:r w:rsidRPr="00295188">
        <w:rPr>
          <w:rFonts w:eastAsia="Times New Roman" w:cs="Times New Roman"/>
          <w:szCs w:val="28"/>
          <w:lang w:val="ru-MD"/>
        </w:rPr>
        <w:t>оцено</w:t>
      </w:r>
      <w:r w:rsidR="00575DCD" w:rsidRPr="00295188">
        <w:rPr>
          <w:rFonts w:eastAsia="Times New Roman" w:cs="Times New Roman"/>
          <w:szCs w:val="28"/>
          <w:lang w:val="ru-MD"/>
        </w:rPr>
        <w:t>к</w:t>
      </w:r>
      <w:r w:rsidR="00A97806" w:rsidRPr="00295188">
        <w:rPr>
          <w:rFonts w:eastAsia="Times New Roman" w:cs="Times New Roman"/>
          <w:szCs w:val="28"/>
          <w:lang w:val="ru-MD"/>
        </w:rPr>
        <w:t>;</w:t>
      </w:r>
    </w:p>
    <w:p w:rsidR="00DF2B2D" w:rsidRPr="00295188" w:rsidRDefault="00F94730" w:rsidP="00F94730">
      <w:pPr>
        <w:pStyle w:val="ListParagraph"/>
        <w:numPr>
          <w:ilvl w:val="0"/>
          <w:numId w:val="20"/>
        </w:numPr>
        <w:tabs>
          <w:tab w:val="left" w:pos="1080"/>
        </w:tabs>
        <w:spacing w:after="0" w:line="276" w:lineRule="auto"/>
        <w:ind w:left="567" w:hanging="283"/>
        <w:rPr>
          <w:rFonts w:eastAsia="Times New Roman" w:cs="Times New Roman"/>
          <w:szCs w:val="28"/>
          <w:lang w:val="ru-MD"/>
        </w:rPr>
      </w:pPr>
      <w:r w:rsidRPr="00295188">
        <w:rPr>
          <w:rFonts w:eastAsia="Times New Roman" w:cs="Times New Roman"/>
          <w:szCs w:val="28"/>
          <w:lang w:val="ru-MD"/>
        </w:rPr>
        <w:t xml:space="preserve">мы </w:t>
      </w:r>
      <w:r w:rsidR="00D2527D" w:rsidRPr="00295188">
        <w:rPr>
          <w:rFonts w:eastAsia="Times New Roman" w:cs="Times New Roman"/>
          <w:szCs w:val="28"/>
          <w:lang w:val="ru-MD"/>
        </w:rPr>
        <w:t xml:space="preserve">провели </w:t>
      </w:r>
      <w:r w:rsidRPr="00295188">
        <w:rPr>
          <w:rFonts w:eastAsia="Times New Roman" w:cs="Times New Roman"/>
          <w:szCs w:val="28"/>
          <w:lang w:val="ru-MD"/>
        </w:rPr>
        <w:t>оцен</w:t>
      </w:r>
      <w:r w:rsidR="00D2527D" w:rsidRPr="00295188">
        <w:rPr>
          <w:rFonts w:eastAsia="Times New Roman" w:cs="Times New Roman"/>
          <w:szCs w:val="28"/>
          <w:lang w:val="ru-MD"/>
        </w:rPr>
        <w:t>ку</w:t>
      </w:r>
      <w:r w:rsidRPr="00295188">
        <w:rPr>
          <w:rFonts w:eastAsia="Times New Roman" w:cs="Times New Roman"/>
          <w:szCs w:val="28"/>
          <w:lang w:val="ru-MD"/>
        </w:rPr>
        <w:t xml:space="preserve"> представлени</w:t>
      </w:r>
      <w:r w:rsidR="00D2527D" w:rsidRPr="00295188">
        <w:rPr>
          <w:rFonts w:eastAsia="Times New Roman" w:cs="Times New Roman"/>
          <w:szCs w:val="28"/>
          <w:lang w:val="ru-MD"/>
        </w:rPr>
        <w:t>я</w:t>
      </w:r>
      <w:r w:rsidRPr="00295188">
        <w:rPr>
          <w:rFonts w:eastAsia="Times New Roman" w:cs="Times New Roman"/>
          <w:szCs w:val="28"/>
          <w:lang w:val="ru-MD"/>
        </w:rPr>
        <w:t>, структур</w:t>
      </w:r>
      <w:r w:rsidR="00D2527D" w:rsidRPr="00295188">
        <w:rPr>
          <w:rFonts w:eastAsia="Times New Roman" w:cs="Times New Roman"/>
          <w:szCs w:val="28"/>
          <w:lang w:val="ru-MD"/>
        </w:rPr>
        <w:t>ы</w:t>
      </w:r>
      <w:r w:rsidRPr="00295188">
        <w:rPr>
          <w:rFonts w:eastAsia="Times New Roman" w:cs="Times New Roman"/>
          <w:szCs w:val="28"/>
          <w:lang w:val="ru-MD"/>
        </w:rPr>
        <w:t xml:space="preserve"> и содержани</w:t>
      </w:r>
      <w:r w:rsidR="00D2527D" w:rsidRPr="00295188">
        <w:rPr>
          <w:rFonts w:eastAsia="Times New Roman" w:cs="Times New Roman"/>
          <w:szCs w:val="28"/>
          <w:lang w:val="ru-MD"/>
        </w:rPr>
        <w:t>я</w:t>
      </w:r>
      <w:r w:rsidRPr="00295188">
        <w:rPr>
          <w:rFonts w:eastAsia="Times New Roman" w:cs="Times New Roman"/>
          <w:szCs w:val="28"/>
          <w:lang w:val="ru-MD"/>
        </w:rPr>
        <w:t xml:space="preserve"> консолидированной финансовой отчетности</w:t>
      </w:r>
      <w:r w:rsidR="00D2527D" w:rsidRPr="00295188">
        <w:rPr>
          <w:rFonts w:eastAsia="Times New Roman" w:cs="Times New Roman"/>
          <w:szCs w:val="28"/>
          <w:lang w:val="ru-MD"/>
        </w:rPr>
        <w:t xml:space="preserve"> в целом</w:t>
      </w:r>
      <w:r w:rsidRPr="00295188">
        <w:rPr>
          <w:rFonts w:eastAsia="Times New Roman" w:cs="Times New Roman"/>
          <w:szCs w:val="28"/>
          <w:lang w:val="ru-MD"/>
        </w:rPr>
        <w:t xml:space="preserve">, а также финансовой отчетности административных органов, подведомственных Министерству </w:t>
      </w:r>
      <w:r w:rsidR="00575DCD" w:rsidRPr="00295188">
        <w:rPr>
          <w:rFonts w:eastAsia="Times New Roman" w:cs="Times New Roman"/>
          <w:szCs w:val="28"/>
          <w:lang w:val="ru-MD"/>
        </w:rPr>
        <w:t>ф</w:t>
      </w:r>
      <w:r w:rsidRPr="00295188">
        <w:rPr>
          <w:rFonts w:eastAsia="Times New Roman" w:cs="Times New Roman"/>
          <w:szCs w:val="28"/>
          <w:lang w:val="ru-MD"/>
        </w:rPr>
        <w:t xml:space="preserve">инансов, чтобы определить, </w:t>
      </w:r>
      <w:r w:rsidR="00D2527D" w:rsidRPr="00295188">
        <w:rPr>
          <w:rFonts w:eastAsia="Times New Roman" w:cs="Times New Roman"/>
          <w:szCs w:val="28"/>
          <w:lang w:val="ru-MD"/>
        </w:rPr>
        <w:t xml:space="preserve">представляет ли она лежащие в ее основе </w:t>
      </w:r>
      <w:r w:rsidRPr="00295188">
        <w:rPr>
          <w:rFonts w:eastAsia="Times New Roman" w:cs="Times New Roman"/>
          <w:szCs w:val="28"/>
          <w:lang w:val="ru-MD"/>
        </w:rPr>
        <w:t xml:space="preserve">операции и события так, чтобы обеспечить </w:t>
      </w:r>
      <w:r w:rsidR="00D2527D" w:rsidRPr="00295188">
        <w:rPr>
          <w:rFonts w:eastAsia="Times New Roman" w:cs="Times New Roman"/>
          <w:szCs w:val="28"/>
          <w:lang w:val="ru-MD"/>
        </w:rPr>
        <w:t>их достовер</w:t>
      </w:r>
      <w:r w:rsidRPr="00295188">
        <w:rPr>
          <w:rFonts w:eastAsia="Times New Roman" w:cs="Times New Roman"/>
          <w:szCs w:val="28"/>
          <w:lang w:val="ru-MD"/>
        </w:rPr>
        <w:t>но</w:t>
      </w:r>
      <w:r w:rsidR="00D2527D" w:rsidRPr="00295188">
        <w:rPr>
          <w:rFonts w:eastAsia="Times New Roman" w:cs="Times New Roman"/>
          <w:szCs w:val="28"/>
          <w:lang w:val="ru-MD"/>
        </w:rPr>
        <w:t>е представление</w:t>
      </w:r>
      <w:r w:rsidR="00DF2B2D" w:rsidRPr="00295188">
        <w:rPr>
          <w:rFonts w:eastAsia="Times New Roman" w:cs="Times New Roman"/>
          <w:szCs w:val="28"/>
          <w:lang w:val="ru-MD"/>
        </w:rPr>
        <w:t>.</w:t>
      </w:r>
    </w:p>
    <w:p w:rsidR="00DF2B2D" w:rsidRPr="00295188" w:rsidRDefault="00AF5306" w:rsidP="00BC6479">
      <w:pPr>
        <w:tabs>
          <w:tab w:val="left" w:pos="1080"/>
        </w:tabs>
        <w:spacing w:after="0" w:line="276" w:lineRule="auto"/>
        <w:rPr>
          <w:rFonts w:eastAsia="Times New Roman" w:cs="Times New Roman"/>
          <w:szCs w:val="28"/>
          <w:lang w:val="ru-MD"/>
        </w:rPr>
      </w:pPr>
      <w:r w:rsidRPr="00295188">
        <w:rPr>
          <w:rFonts w:eastAsia="Times New Roman" w:cs="Times New Roman"/>
          <w:szCs w:val="28"/>
          <w:lang w:val="ru-MD"/>
        </w:rPr>
        <w:lastRenderedPageBreak/>
        <w:t xml:space="preserve">Наши выводы, в том числе и существенные недостатки внутреннего контроля, были </w:t>
      </w:r>
      <w:r w:rsidR="00D2527D" w:rsidRPr="00295188">
        <w:rPr>
          <w:rFonts w:eastAsia="Times New Roman" w:cs="Times New Roman"/>
          <w:szCs w:val="28"/>
          <w:lang w:val="ru-MD"/>
        </w:rPr>
        <w:t>довед</w:t>
      </w:r>
      <w:r w:rsidRPr="00295188">
        <w:rPr>
          <w:rFonts w:eastAsia="Times New Roman" w:cs="Times New Roman"/>
          <w:szCs w:val="28"/>
          <w:lang w:val="ru-MD"/>
        </w:rPr>
        <w:t xml:space="preserve">ены </w:t>
      </w:r>
      <w:r w:rsidR="00D2527D" w:rsidRPr="00295188">
        <w:rPr>
          <w:rFonts w:eastAsia="Times New Roman" w:cs="Times New Roman"/>
          <w:szCs w:val="28"/>
          <w:lang w:val="ru-MD"/>
        </w:rPr>
        <w:t xml:space="preserve">до сведения </w:t>
      </w:r>
      <w:r w:rsidRPr="00295188">
        <w:rPr>
          <w:rFonts w:eastAsia="Times New Roman" w:cs="Times New Roman"/>
          <w:szCs w:val="28"/>
          <w:lang w:val="ru-MD"/>
        </w:rPr>
        <w:t>аудируемых субъектов в ходе аудит</w:t>
      </w:r>
      <w:r w:rsidR="00D2527D" w:rsidRPr="00295188">
        <w:rPr>
          <w:rFonts w:eastAsia="Times New Roman" w:cs="Times New Roman"/>
          <w:szCs w:val="28"/>
          <w:lang w:val="ru-MD"/>
        </w:rPr>
        <w:t>орской миссии</w:t>
      </w:r>
      <w:r w:rsidR="00DF2B2D" w:rsidRPr="00295188">
        <w:rPr>
          <w:rFonts w:eastAsia="Times New Roman" w:cs="Times New Roman"/>
          <w:szCs w:val="28"/>
          <w:lang w:val="ru-MD"/>
        </w:rPr>
        <w:t>.</w:t>
      </w:r>
    </w:p>
    <w:p w:rsidR="00634CCB" w:rsidRPr="00295188" w:rsidRDefault="00634CCB" w:rsidP="0043126D">
      <w:pPr>
        <w:spacing w:after="0" w:line="276" w:lineRule="auto"/>
        <w:rPr>
          <w:rFonts w:eastAsia="Times New Roman" w:cs="Times New Roman"/>
          <w:i/>
          <w:szCs w:val="28"/>
          <w:lang w:val="ru-MD"/>
        </w:rPr>
      </w:pPr>
    </w:p>
    <w:p w:rsidR="00D2527D" w:rsidRPr="00295188" w:rsidRDefault="00D2527D" w:rsidP="0043126D">
      <w:pPr>
        <w:spacing w:after="0" w:line="276" w:lineRule="auto"/>
        <w:rPr>
          <w:rFonts w:eastAsia="Times New Roman" w:cs="Times New Roman"/>
          <w:i/>
          <w:szCs w:val="28"/>
          <w:lang w:val="ru-MD"/>
        </w:rPr>
      </w:pPr>
    </w:p>
    <w:tbl>
      <w:tblPr>
        <w:tblStyle w:val="TableGrid"/>
        <w:tblW w:w="9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08"/>
      </w:tblGrid>
      <w:tr w:rsidR="00CD4936" w:rsidRPr="00295188" w:rsidTr="00515F60">
        <w:tc>
          <w:tcPr>
            <w:tcW w:w="4678" w:type="dxa"/>
          </w:tcPr>
          <w:p w:rsidR="00AF5306" w:rsidRPr="00295188" w:rsidRDefault="00AF5306" w:rsidP="00515F60">
            <w:pPr>
              <w:spacing w:line="276" w:lineRule="auto"/>
              <w:jc w:val="left"/>
              <w:rPr>
                <w:rFonts w:eastAsia="Times New Roman" w:cs="Times New Roman"/>
                <w:i/>
                <w:szCs w:val="28"/>
                <w:lang w:val="ru-MD"/>
              </w:rPr>
            </w:pPr>
            <w:r w:rsidRPr="00295188">
              <w:rPr>
                <w:rFonts w:eastAsia="Times New Roman" w:cs="Times New Roman"/>
                <w:i/>
                <w:szCs w:val="28"/>
                <w:lang w:val="ru-MD"/>
              </w:rPr>
              <w:t>Руководитель аудиторской</w:t>
            </w:r>
            <w:r w:rsidR="00515F60" w:rsidRPr="00295188">
              <w:rPr>
                <w:rFonts w:eastAsia="Times New Roman" w:cs="Times New Roman"/>
                <w:i/>
                <w:szCs w:val="28"/>
                <w:lang w:val="ru-MD"/>
              </w:rPr>
              <w:t xml:space="preserve"> г</w:t>
            </w:r>
            <w:r w:rsidRPr="00295188">
              <w:rPr>
                <w:rFonts w:eastAsia="Times New Roman" w:cs="Times New Roman"/>
                <w:i/>
                <w:szCs w:val="28"/>
                <w:lang w:val="ru-MD"/>
              </w:rPr>
              <w:t>руппы,</w:t>
            </w:r>
          </w:p>
          <w:p w:rsidR="00AF5306" w:rsidRPr="00295188" w:rsidRDefault="00515F60" w:rsidP="00515F60">
            <w:pPr>
              <w:spacing w:line="276" w:lineRule="auto"/>
              <w:jc w:val="left"/>
              <w:rPr>
                <w:rFonts w:eastAsia="Times New Roman" w:cs="Times New Roman"/>
                <w:szCs w:val="28"/>
                <w:lang w:val="ru-MD"/>
              </w:rPr>
            </w:pPr>
            <w:r w:rsidRPr="00295188">
              <w:rPr>
                <w:rFonts w:eastAsia="Times New Roman" w:cs="Times New Roman"/>
                <w:szCs w:val="28"/>
                <w:lang w:val="ru-MD"/>
              </w:rPr>
              <w:t xml:space="preserve">Главный </w:t>
            </w:r>
            <w:r w:rsidR="00AF5306" w:rsidRPr="00295188">
              <w:rPr>
                <w:rFonts w:eastAsia="Times New Roman" w:cs="Times New Roman"/>
                <w:szCs w:val="28"/>
                <w:lang w:val="ru-MD"/>
              </w:rPr>
              <w:t>государств</w:t>
            </w:r>
            <w:r w:rsidRPr="00295188">
              <w:rPr>
                <w:rFonts w:eastAsia="Times New Roman" w:cs="Times New Roman"/>
                <w:szCs w:val="28"/>
                <w:lang w:val="ru-MD"/>
              </w:rPr>
              <w:t xml:space="preserve">енный контролер </w:t>
            </w:r>
            <w:r w:rsidR="00AF5306" w:rsidRPr="00295188">
              <w:rPr>
                <w:rFonts w:eastAsia="Times New Roman" w:cs="Times New Roman"/>
                <w:szCs w:val="28"/>
                <w:lang w:val="ru-MD"/>
              </w:rPr>
              <w:t xml:space="preserve">в рамках </w:t>
            </w:r>
            <w:r w:rsidRPr="00295188">
              <w:rPr>
                <w:rFonts w:eastAsia="Times New Roman" w:cs="Times New Roman"/>
                <w:szCs w:val="28"/>
                <w:lang w:val="ru-MD"/>
              </w:rPr>
              <w:t>Г</w:t>
            </w:r>
            <w:r w:rsidR="00AF5306" w:rsidRPr="00295188">
              <w:rPr>
                <w:rFonts w:eastAsia="Times New Roman" w:cs="Times New Roman"/>
                <w:szCs w:val="28"/>
                <w:lang w:val="ru-MD"/>
              </w:rPr>
              <w:t xml:space="preserve">лавного </w:t>
            </w:r>
            <w:r w:rsidRPr="00295188">
              <w:rPr>
                <w:rFonts w:eastAsia="Times New Roman" w:cs="Times New Roman"/>
                <w:szCs w:val="28"/>
                <w:lang w:val="ru-MD"/>
              </w:rPr>
              <w:t>у</w:t>
            </w:r>
            <w:r w:rsidR="00AF5306" w:rsidRPr="00295188">
              <w:rPr>
                <w:rFonts w:eastAsia="Times New Roman" w:cs="Times New Roman"/>
                <w:szCs w:val="28"/>
                <w:lang w:val="ru-MD"/>
              </w:rPr>
              <w:t>правления</w:t>
            </w:r>
            <w:r w:rsidR="008516C8">
              <w:rPr>
                <w:rFonts w:eastAsia="Times New Roman" w:cs="Times New Roman"/>
                <w:szCs w:val="28"/>
                <w:lang w:val="ru-MD"/>
              </w:rPr>
              <w:t xml:space="preserve"> </w:t>
            </w:r>
            <w:r w:rsidR="00AF5306" w:rsidRPr="00295188">
              <w:rPr>
                <w:rFonts w:eastAsia="Times New Roman" w:cs="Times New Roman"/>
                <w:szCs w:val="28"/>
                <w:lang w:val="ru-MD"/>
              </w:rPr>
              <w:t xml:space="preserve">планирования, методологии, контроля качества и обучения </w:t>
            </w:r>
          </w:p>
          <w:p w:rsidR="00AF5306" w:rsidRPr="00295188" w:rsidRDefault="00AF5306" w:rsidP="00AF5306">
            <w:pPr>
              <w:spacing w:line="276" w:lineRule="auto"/>
              <w:rPr>
                <w:rFonts w:eastAsia="Times New Roman" w:cs="Times New Roman"/>
                <w:szCs w:val="28"/>
                <w:lang w:val="ru-MD"/>
              </w:rPr>
            </w:pPr>
          </w:p>
          <w:p w:rsidR="00AF5306" w:rsidRPr="00295188" w:rsidRDefault="00AF5306" w:rsidP="00AF5306">
            <w:pPr>
              <w:spacing w:line="276" w:lineRule="auto"/>
              <w:rPr>
                <w:rFonts w:eastAsia="Times New Roman" w:cs="Times New Roman"/>
                <w:i/>
                <w:szCs w:val="28"/>
                <w:lang w:val="ru-MD"/>
              </w:rPr>
            </w:pPr>
          </w:p>
          <w:p w:rsidR="00AF5306" w:rsidRPr="00295188" w:rsidRDefault="00AF5306" w:rsidP="00AF5306">
            <w:pPr>
              <w:spacing w:line="276" w:lineRule="auto"/>
              <w:rPr>
                <w:rFonts w:eastAsia="Times New Roman" w:cs="Times New Roman"/>
                <w:i/>
                <w:szCs w:val="28"/>
                <w:lang w:val="ru-MD"/>
              </w:rPr>
            </w:pPr>
            <w:r w:rsidRPr="00295188">
              <w:rPr>
                <w:rFonts w:eastAsia="Times New Roman" w:cs="Times New Roman"/>
                <w:i/>
                <w:szCs w:val="28"/>
                <w:lang w:val="ru-MD"/>
              </w:rPr>
              <w:t>Ответственн</w:t>
            </w:r>
            <w:r w:rsidR="00515F60" w:rsidRPr="00295188">
              <w:rPr>
                <w:rFonts w:eastAsia="Times New Roman" w:cs="Times New Roman"/>
                <w:i/>
                <w:szCs w:val="28"/>
                <w:lang w:val="ru-MD"/>
              </w:rPr>
              <w:t>ый</w:t>
            </w:r>
            <w:r w:rsidRPr="00295188">
              <w:rPr>
                <w:rFonts w:eastAsia="Times New Roman" w:cs="Times New Roman"/>
                <w:i/>
                <w:szCs w:val="28"/>
                <w:lang w:val="ru-MD"/>
              </w:rPr>
              <w:t xml:space="preserve"> за </w:t>
            </w:r>
            <w:r w:rsidR="00515F60" w:rsidRPr="00295188">
              <w:rPr>
                <w:rFonts w:eastAsia="Times New Roman" w:cs="Times New Roman"/>
                <w:i/>
                <w:szCs w:val="28"/>
                <w:lang w:val="ru-MD"/>
              </w:rPr>
              <w:t>провед</w:t>
            </w:r>
            <w:r w:rsidRPr="00295188">
              <w:rPr>
                <w:rFonts w:eastAsia="Times New Roman" w:cs="Times New Roman"/>
                <w:i/>
                <w:szCs w:val="28"/>
                <w:lang w:val="ru-MD"/>
              </w:rPr>
              <w:t>ение и мониторинг аудиторской миссии,</w:t>
            </w:r>
          </w:p>
          <w:p w:rsidR="00AF5306" w:rsidRPr="00295188" w:rsidRDefault="00AF5306" w:rsidP="00AF5306">
            <w:pPr>
              <w:spacing w:line="276" w:lineRule="auto"/>
              <w:rPr>
                <w:rFonts w:eastAsia="Times New Roman" w:cs="Times New Roman"/>
                <w:szCs w:val="28"/>
                <w:lang w:val="ru-MD"/>
              </w:rPr>
            </w:pPr>
            <w:r w:rsidRPr="00295188">
              <w:rPr>
                <w:rFonts w:eastAsia="Times New Roman" w:cs="Times New Roman"/>
                <w:szCs w:val="28"/>
                <w:lang w:val="ru-MD"/>
              </w:rPr>
              <w:t xml:space="preserve">начальник Управления методологии и качества в рамках </w:t>
            </w:r>
            <w:r w:rsidR="00515F60" w:rsidRPr="00295188">
              <w:rPr>
                <w:rFonts w:eastAsia="Times New Roman" w:cs="Times New Roman"/>
                <w:szCs w:val="28"/>
                <w:lang w:val="ru-MD"/>
              </w:rPr>
              <w:t xml:space="preserve">ГУПМККО                            </w:t>
            </w:r>
          </w:p>
          <w:p w:rsidR="00AF5306" w:rsidRPr="00295188" w:rsidRDefault="00AF5306" w:rsidP="00AF5306">
            <w:pPr>
              <w:spacing w:line="276" w:lineRule="auto"/>
              <w:rPr>
                <w:rFonts w:eastAsia="Times New Roman" w:cs="Times New Roman"/>
                <w:i/>
                <w:szCs w:val="28"/>
                <w:lang w:val="ru-MD"/>
              </w:rPr>
            </w:pPr>
          </w:p>
          <w:p w:rsidR="00634CCB" w:rsidRPr="00295188" w:rsidRDefault="00634CCB" w:rsidP="00FB4BDE">
            <w:pPr>
              <w:rPr>
                <w:rFonts w:eastAsia="Times New Roman" w:cs="Times New Roman"/>
                <w:i/>
                <w:szCs w:val="28"/>
                <w:lang w:val="ru-MD"/>
              </w:rPr>
            </w:pPr>
          </w:p>
        </w:tc>
        <w:tc>
          <w:tcPr>
            <w:tcW w:w="4508" w:type="dxa"/>
          </w:tcPr>
          <w:p w:rsidR="00C24BDA" w:rsidRPr="00295188" w:rsidRDefault="00C24BDA" w:rsidP="00634CCB">
            <w:pPr>
              <w:spacing w:line="276" w:lineRule="auto"/>
              <w:jc w:val="right"/>
              <w:rPr>
                <w:rFonts w:cs="Times New Roman"/>
                <w:szCs w:val="28"/>
                <w:lang w:val="ru-MD"/>
              </w:rPr>
            </w:pPr>
          </w:p>
          <w:p w:rsidR="00C24BDA" w:rsidRPr="00295188" w:rsidRDefault="00C24BDA" w:rsidP="00634CCB">
            <w:pPr>
              <w:spacing w:line="276" w:lineRule="auto"/>
              <w:jc w:val="right"/>
              <w:rPr>
                <w:rFonts w:cs="Times New Roman"/>
                <w:szCs w:val="28"/>
                <w:lang w:val="ru-MD"/>
              </w:rPr>
            </w:pPr>
          </w:p>
          <w:p w:rsidR="00C24BDA" w:rsidRPr="00295188" w:rsidRDefault="00C24BDA" w:rsidP="00634CCB">
            <w:pPr>
              <w:spacing w:line="276" w:lineRule="auto"/>
              <w:jc w:val="right"/>
              <w:rPr>
                <w:rFonts w:cs="Times New Roman"/>
                <w:szCs w:val="28"/>
                <w:lang w:val="ru-MD"/>
              </w:rPr>
            </w:pPr>
          </w:p>
          <w:p w:rsidR="00515F60" w:rsidRPr="00295188" w:rsidRDefault="008516C8" w:rsidP="00515F60">
            <w:pPr>
              <w:spacing w:line="276" w:lineRule="auto"/>
              <w:rPr>
                <w:rFonts w:eastAsia="Times New Roman" w:cs="Times New Roman"/>
                <w:szCs w:val="28"/>
                <w:lang w:val="ru-MD"/>
              </w:rPr>
            </w:pPr>
            <w:r>
              <w:rPr>
                <w:rFonts w:eastAsia="Times New Roman" w:cs="Times New Roman"/>
                <w:szCs w:val="28"/>
                <w:lang w:val="ru-MD"/>
              </w:rPr>
              <w:t xml:space="preserve">                             </w:t>
            </w:r>
            <w:r w:rsidR="00515F60" w:rsidRPr="00295188">
              <w:rPr>
                <w:rFonts w:eastAsia="Times New Roman" w:cs="Times New Roman"/>
                <w:szCs w:val="28"/>
                <w:lang w:val="ru-MD"/>
              </w:rPr>
              <w:t>Бабануца Ирина</w:t>
            </w:r>
          </w:p>
          <w:p w:rsidR="00515F60" w:rsidRPr="00295188" w:rsidRDefault="00515F60" w:rsidP="00515F60">
            <w:pPr>
              <w:spacing w:line="276" w:lineRule="auto"/>
              <w:rPr>
                <w:rFonts w:eastAsia="Times New Roman" w:cs="Times New Roman"/>
                <w:szCs w:val="28"/>
                <w:lang w:val="ru-MD"/>
              </w:rPr>
            </w:pPr>
          </w:p>
          <w:p w:rsidR="00515F60" w:rsidRPr="00295188" w:rsidRDefault="00515F60" w:rsidP="00515F60">
            <w:pPr>
              <w:spacing w:line="276" w:lineRule="auto"/>
              <w:rPr>
                <w:rFonts w:eastAsia="Times New Roman" w:cs="Times New Roman"/>
                <w:szCs w:val="28"/>
                <w:lang w:val="ru-MD"/>
              </w:rPr>
            </w:pPr>
          </w:p>
          <w:p w:rsidR="00515F60" w:rsidRPr="00295188" w:rsidRDefault="00515F60" w:rsidP="00515F60">
            <w:pPr>
              <w:spacing w:line="276" w:lineRule="auto"/>
              <w:rPr>
                <w:rFonts w:eastAsia="Times New Roman" w:cs="Times New Roman"/>
                <w:szCs w:val="28"/>
                <w:lang w:val="ru-MD"/>
              </w:rPr>
            </w:pPr>
          </w:p>
          <w:p w:rsidR="00515F60" w:rsidRPr="00295188" w:rsidRDefault="00515F60" w:rsidP="00515F60">
            <w:pPr>
              <w:spacing w:line="276" w:lineRule="auto"/>
              <w:rPr>
                <w:rFonts w:eastAsia="Times New Roman" w:cs="Times New Roman"/>
                <w:szCs w:val="28"/>
                <w:lang w:val="ru-MD"/>
              </w:rPr>
            </w:pPr>
          </w:p>
          <w:p w:rsidR="00515F60" w:rsidRPr="00295188" w:rsidRDefault="00515F60" w:rsidP="00515F60">
            <w:pPr>
              <w:spacing w:line="276" w:lineRule="auto"/>
              <w:rPr>
                <w:rFonts w:eastAsia="Times New Roman" w:cs="Times New Roman"/>
                <w:szCs w:val="28"/>
                <w:lang w:val="ru-MD"/>
              </w:rPr>
            </w:pPr>
          </w:p>
          <w:p w:rsidR="00634CCB" w:rsidRPr="00295188" w:rsidRDefault="00634CCB" w:rsidP="00DD6308">
            <w:pPr>
              <w:spacing w:line="276" w:lineRule="auto"/>
              <w:rPr>
                <w:rFonts w:eastAsia="Times New Roman" w:cs="Times New Roman"/>
                <w:szCs w:val="28"/>
                <w:lang w:val="ru-MD"/>
              </w:rPr>
            </w:pPr>
          </w:p>
          <w:p w:rsidR="00634CCB" w:rsidRPr="00295188" w:rsidRDefault="008516C8" w:rsidP="00634CCB">
            <w:pPr>
              <w:spacing w:line="276" w:lineRule="auto"/>
              <w:rPr>
                <w:rFonts w:eastAsia="Times New Roman" w:cs="Times New Roman"/>
                <w:szCs w:val="28"/>
                <w:lang w:val="ru-MD"/>
              </w:rPr>
            </w:pPr>
            <w:r>
              <w:rPr>
                <w:rFonts w:eastAsia="Times New Roman" w:cs="Times New Roman"/>
                <w:szCs w:val="28"/>
                <w:lang w:val="ru-MD"/>
              </w:rPr>
              <w:t xml:space="preserve">                               </w:t>
            </w:r>
            <w:r w:rsidR="00515F60" w:rsidRPr="00295188">
              <w:rPr>
                <w:rFonts w:eastAsia="Times New Roman" w:cs="Times New Roman"/>
                <w:szCs w:val="28"/>
                <w:lang w:val="ru-MD"/>
              </w:rPr>
              <w:t>Куркин Анжела</w:t>
            </w:r>
          </w:p>
        </w:tc>
      </w:tr>
      <w:tr w:rsidR="008A21FF" w:rsidRPr="00295188" w:rsidTr="00515F60">
        <w:tc>
          <w:tcPr>
            <w:tcW w:w="4678" w:type="dxa"/>
          </w:tcPr>
          <w:p w:rsidR="00634CCB" w:rsidRPr="00295188" w:rsidRDefault="00634CCB" w:rsidP="00FB4BDE">
            <w:pPr>
              <w:spacing w:line="276" w:lineRule="auto"/>
              <w:rPr>
                <w:rFonts w:eastAsia="Times New Roman" w:cs="Times New Roman"/>
                <w:szCs w:val="28"/>
                <w:lang w:val="ru-MD"/>
              </w:rPr>
            </w:pPr>
          </w:p>
        </w:tc>
        <w:tc>
          <w:tcPr>
            <w:tcW w:w="4508" w:type="dxa"/>
          </w:tcPr>
          <w:p w:rsidR="00634CCB" w:rsidRPr="00295188" w:rsidRDefault="00634CCB" w:rsidP="00515F60">
            <w:pPr>
              <w:spacing w:line="276" w:lineRule="auto"/>
              <w:rPr>
                <w:rFonts w:cs="Times New Roman"/>
                <w:szCs w:val="28"/>
                <w:lang w:val="ru-MD"/>
              </w:rPr>
            </w:pPr>
          </w:p>
        </w:tc>
      </w:tr>
      <w:tr w:rsidR="008A21FF" w:rsidRPr="00295188" w:rsidTr="00515F60">
        <w:tc>
          <w:tcPr>
            <w:tcW w:w="4678" w:type="dxa"/>
          </w:tcPr>
          <w:p w:rsidR="00634CCB" w:rsidRPr="00295188" w:rsidRDefault="00634CCB" w:rsidP="00FB4BDE">
            <w:pPr>
              <w:rPr>
                <w:rFonts w:eastAsia="Times New Roman" w:cs="Times New Roman"/>
                <w:szCs w:val="28"/>
                <w:lang w:val="ru-MD"/>
              </w:rPr>
            </w:pPr>
          </w:p>
        </w:tc>
        <w:tc>
          <w:tcPr>
            <w:tcW w:w="4508" w:type="dxa"/>
          </w:tcPr>
          <w:p w:rsidR="00634CCB" w:rsidRPr="00295188" w:rsidRDefault="00634CCB" w:rsidP="00C24BDA">
            <w:pPr>
              <w:spacing w:line="276" w:lineRule="auto"/>
              <w:jc w:val="right"/>
              <w:rPr>
                <w:rFonts w:cs="Times New Roman"/>
                <w:szCs w:val="28"/>
                <w:lang w:val="ru-MD"/>
              </w:rPr>
            </w:pPr>
          </w:p>
        </w:tc>
      </w:tr>
    </w:tbl>
    <w:p w:rsidR="00634CCB" w:rsidRPr="00295188" w:rsidRDefault="00634CCB" w:rsidP="00FB4BDE">
      <w:pPr>
        <w:spacing w:after="0" w:line="276" w:lineRule="auto"/>
        <w:ind w:firstLine="567"/>
        <w:rPr>
          <w:rFonts w:eastAsia="Times New Roman" w:cs="Times New Roman"/>
          <w:color w:val="FF0000"/>
          <w:szCs w:val="28"/>
          <w:lang w:val="ru-MD"/>
        </w:rPr>
      </w:pPr>
    </w:p>
    <w:sectPr w:rsidR="00634CCB" w:rsidRPr="00295188" w:rsidSect="00E67174">
      <w:pgSz w:w="11906" w:h="16838"/>
      <w:pgMar w:top="1350" w:right="1440" w:bottom="1350" w:left="1440" w:header="0"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923" w:rsidRDefault="00137923" w:rsidP="00E21D76">
      <w:pPr>
        <w:spacing w:after="0" w:line="240" w:lineRule="auto"/>
      </w:pPr>
      <w:r>
        <w:separator/>
      </w:r>
    </w:p>
  </w:endnote>
  <w:endnote w:type="continuationSeparator" w:id="0">
    <w:p w:rsidR="00137923" w:rsidRDefault="00137923" w:rsidP="00E21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600138"/>
      <w:docPartObj>
        <w:docPartGallery w:val="Page Numbers (Bottom of Page)"/>
        <w:docPartUnique/>
      </w:docPartObj>
    </w:sdtPr>
    <w:sdtEndPr>
      <w:rPr>
        <w:noProof/>
      </w:rPr>
    </w:sdtEndPr>
    <w:sdtContent>
      <w:p w:rsidR="001B0D01" w:rsidRDefault="00C333D4">
        <w:pPr>
          <w:pStyle w:val="Footer"/>
          <w:jc w:val="right"/>
        </w:pPr>
        <w:r>
          <w:fldChar w:fldCharType="begin"/>
        </w:r>
        <w:r w:rsidR="001B0D01">
          <w:instrText xml:space="preserve"> PAGE   \* MERGEFORMAT </w:instrText>
        </w:r>
        <w:r>
          <w:fldChar w:fldCharType="separate"/>
        </w:r>
        <w:r w:rsidR="00A0135E">
          <w:rPr>
            <w:noProof/>
          </w:rPr>
          <w:t>7</w:t>
        </w:r>
        <w:r>
          <w:rPr>
            <w:noProof/>
          </w:rPr>
          <w:fldChar w:fldCharType="end"/>
        </w:r>
      </w:p>
    </w:sdtContent>
  </w:sdt>
  <w:p w:rsidR="001B0D01" w:rsidRDefault="001B0D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D01" w:rsidRDefault="001B0D01" w:rsidP="000E000D">
    <w:pPr>
      <w:pStyle w:val="Footer"/>
      <w:tabs>
        <w:tab w:val="clear" w:pos="4680"/>
        <w:tab w:val="clear" w:pos="9360"/>
        <w:tab w:val="left" w:pos="598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923" w:rsidRDefault="00137923" w:rsidP="00E21D76">
      <w:pPr>
        <w:spacing w:after="0" w:line="240" w:lineRule="auto"/>
      </w:pPr>
      <w:r>
        <w:separator/>
      </w:r>
    </w:p>
  </w:footnote>
  <w:footnote w:type="continuationSeparator" w:id="0">
    <w:p w:rsidR="00137923" w:rsidRDefault="00137923" w:rsidP="00E21D76">
      <w:pPr>
        <w:spacing w:after="0" w:line="240" w:lineRule="auto"/>
      </w:pPr>
      <w:r>
        <w:continuationSeparator/>
      </w:r>
    </w:p>
  </w:footnote>
  <w:footnote w:id="1">
    <w:p w:rsidR="001B0D01" w:rsidRPr="005850A8" w:rsidRDefault="001B0D01" w:rsidP="0042779A">
      <w:pPr>
        <w:pStyle w:val="FootnoteText"/>
        <w:rPr>
          <w:lang w:val="ru-RU"/>
        </w:rPr>
      </w:pPr>
      <w:r w:rsidRPr="002B4C9D">
        <w:rPr>
          <w:rStyle w:val="FootnoteReference"/>
        </w:rPr>
        <w:footnoteRef/>
      </w:r>
      <w:r w:rsidRPr="005850A8">
        <w:rPr>
          <w:lang w:val="ru-RU"/>
        </w:rPr>
        <w:t xml:space="preserve">Бухгалтерский баланс (Форма </w:t>
      </w:r>
      <w:r w:rsidRPr="002B4C9D">
        <w:t>FD</w:t>
      </w:r>
      <w:r w:rsidRPr="005850A8">
        <w:rPr>
          <w:lang w:val="ru-RU"/>
        </w:rPr>
        <w:t xml:space="preserve">-041); Отчет о доходах и расходах (Форма </w:t>
      </w:r>
      <w:r w:rsidRPr="002B4C9D">
        <w:t>FD</w:t>
      </w:r>
      <w:r w:rsidRPr="005850A8">
        <w:rPr>
          <w:lang w:val="ru-RU"/>
        </w:rPr>
        <w:t xml:space="preserve">-042); Отчет о движении денежных средств (Форма </w:t>
      </w:r>
      <w:r w:rsidRPr="002B4C9D">
        <w:t>FD</w:t>
      </w:r>
      <w:r w:rsidRPr="005850A8">
        <w:rPr>
          <w:lang w:val="ru-RU"/>
        </w:rPr>
        <w:t xml:space="preserve">-043); Отчет об исполнении бюджета (Форма </w:t>
      </w:r>
      <w:r w:rsidRPr="002B4C9D">
        <w:t>FD</w:t>
      </w:r>
      <w:r w:rsidRPr="005850A8">
        <w:rPr>
          <w:lang w:val="ru-RU"/>
        </w:rPr>
        <w:t xml:space="preserve">-044). </w:t>
      </w:r>
    </w:p>
  </w:footnote>
  <w:footnote w:id="2">
    <w:p w:rsidR="001B0D01" w:rsidRPr="005850A8" w:rsidRDefault="001B0D01">
      <w:pPr>
        <w:pStyle w:val="FootnoteText"/>
        <w:rPr>
          <w:lang w:val="ru-RU"/>
        </w:rPr>
      </w:pPr>
      <w:r w:rsidRPr="002B4C9D">
        <w:rPr>
          <w:rStyle w:val="FootnoteReference"/>
        </w:rPr>
        <w:footnoteRef/>
      </w:r>
      <w:r w:rsidRPr="005850A8">
        <w:rPr>
          <w:lang w:val="ru-RU"/>
        </w:rPr>
        <w:t xml:space="preserve"> Закон о бухгалтерском учете №113-</w:t>
      </w:r>
      <w:r w:rsidRPr="002B4C9D">
        <w:t>XVI</w:t>
      </w:r>
      <w:r w:rsidRPr="005850A8">
        <w:rPr>
          <w:lang w:val="ru-RU"/>
        </w:rPr>
        <w:t xml:space="preserve"> от 27.04.2007; Приказ министра финансов №216 от 28.12.2015</w:t>
      </w:r>
      <w:r w:rsidRPr="005850A8">
        <w:rPr>
          <w:rFonts w:cs="Times New Roman"/>
          <w:lang w:val="ru-RU"/>
        </w:rPr>
        <w:t>.</w:t>
      </w:r>
    </w:p>
  </w:footnote>
  <w:footnote w:id="3">
    <w:p w:rsidR="001B0D01" w:rsidRPr="005850A8" w:rsidRDefault="001B0D01" w:rsidP="00F22D7A">
      <w:pPr>
        <w:pStyle w:val="10"/>
        <w:rPr>
          <w:lang w:val="ru-RU"/>
        </w:rPr>
      </w:pPr>
      <w:r w:rsidRPr="002B4C9D">
        <w:rPr>
          <w:rStyle w:val="FootnoteReference"/>
        </w:rPr>
        <w:footnoteRef/>
      </w:r>
      <w:r w:rsidRPr="005850A8">
        <w:rPr>
          <w:lang w:val="ru-RU"/>
        </w:rPr>
        <w:t xml:space="preserve"> Постановление Счетной палаты №60 от 11.12.2013 „О применении Международных стандартов аудита Высших органов аудита 3 уровня – </w:t>
      </w:r>
      <w:r w:rsidRPr="002B4C9D">
        <w:t>ISSAI</w:t>
      </w:r>
      <w:r w:rsidRPr="005850A8">
        <w:rPr>
          <w:lang w:val="ru-RU"/>
        </w:rPr>
        <w:t xml:space="preserve"> 100, </w:t>
      </w:r>
      <w:r w:rsidRPr="002B4C9D">
        <w:t>ISSAI</w:t>
      </w:r>
      <w:r w:rsidRPr="005850A8">
        <w:rPr>
          <w:lang w:val="ru-RU"/>
        </w:rPr>
        <w:t xml:space="preserve"> 200, </w:t>
      </w:r>
      <w:r w:rsidRPr="002B4C9D">
        <w:t>ISSAI</w:t>
      </w:r>
      <w:r w:rsidRPr="005850A8">
        <w:rPr>
          <w:lang w:val="ru-RU"/>
        </w:rPr>
        <w:t xml:space="preserve"> 300, </w:t>
      </w:r>
      <w:r w:rsidRPr="002B4C9D">
        <w:t>ISSAI</w:t>
      </w:r>
      <w:r w:rsidRPr="005850A8">
        <w:rPr>
          <w:lang w:val="ru-RU"/>
        </w:rPr>
        <w:t xml:space="preserve"> 400 в рамках аудиторских миссий Счетной палаты”; Постановление Счетной палаты №7 от 10.03.2014 „О применении Руководящих принципов аудита (</w:t>
      </w:r>
      <w:r w:rsidRPr="002B4C9D">
        <w:t>ISSAI</w:t>
      </w:r>
      <w:r w:rsidRPr="005850A8">
        <w:rPr>
          <w:lang w:val="ru-RU"/>
        </w:rPr>
        <w:t xml:space="preserve"> 1000 – 9999)”.</w:t>
      </w:r>
    </w:p>
    <w:p w:rsidR="001B0D01" w:rsidRPr="005850A8" w:rsidRDefault="001B0D01" w:rsidP="00F22D7A">
      <w:pPr>
        <w:pStyle w:val="10"/>
        <w:rPr>
          <w:lang w:val="ru-RU"/>
        </w:rPr>
      </w:pPr>
    </w:p>
    <w:p w:rsidR="001B0D01" w:rsidRPr="005850A8" w:rsidRDefault="001B0D01" w:rsidP="00F22D7A">
      <w:pPr>
        <w:pStyle w:val="10"/>
        <w:rPr>
          <w:lang w:val="ru-RU"/>
        </w:rPr>
      </w:pPr>
    </w:p>
  </w:footnote>
  <w:footnote w:id="4">
    <w:p w:rsidR="001B0D01" w:rsidRPr="005850A8" w:rsidRDefault="001B0D01" w:rsidP="007367A4">
      <w:pPr>
        <w:pStyle w:val="FootnoteText"/>
        <w:rPr>
          <w:rFonts w:cs="Times New Roman"/>
          <w:lang w:val="ru-RU"/>
        </w:rPr>
      </w:pPr>
      <w:r w:rsidRPr="001B5CBB">
        <w:rPr>
          <w:rStyle w:val="FootnoteReference"/>
          <w:rFonts w:cs="Times New Roman"/>
        </w:rPr>
        <w:footnoteRef/>
      </w:r>
      <w:r w:rsidRPr="005850A8">
        <w:rPr>
          <w:rFonts w:cs="Times New Roman"/>
          <w:lang w:val="ru-RU"/>
        </w:rPr>
        <w:t xml:space="preserve">Из общего объема искусственно увеличенных доходов и расходов, 58,8 </w:t>
      </w:r>
      <w:r w:rsidR="00295188">
        <w:rPr>
          <w:rFonts w:cs="Times New Roman"/>
          <w:lang w:val="ru-RU"/>
        </w:rPr>
        <w:t>млн. МДЛ</w:t>
      </w:r>
      <w:r w:rsidRPr="005850A8">
        <w:rPr>
          <w:rFonts w:cs="Times New Roman"/>
          <w:lang w:val="ru-RU"/>
        </w:rPr>
        <w:t xml:space="preserve"> относятся к Таможенной службе.</w:t>
      </w:r>
    </w:p>
  </w:footnote>
  <w:footnote w:id="5">
    <w:p w:rsidR="001B0D01" w:rsidRPr="005850A8" w:rsidRDefault="001B0D01">
      <w:pPr>
        <w:pStyle w:val="FootnoteText"/>
        <w:rPr>
          <w:lang w:val="ru-RU"/>
        </w:rPr>
      </w:pPr>
      <w:r w:rsidRPr="00C54487">
        <w:rPr>
          <w:rStyle w:val="FootnoteReference"/>
        </w:rPr>
        <w:footnoteRef/>
      </w:r>
      <w:r w:rsidRPr="005850A8">
        <w:rPr>
          <w:lang w:val="ru-RU"/>
        </w:rPr>
        <w:t xml:space="preserve"> </w:t>
      </w:r>
      <w:r w:rsidRPr="00C54487">
        <w:t>FD</w:t>
      </w:r>
      <w:r w:rsidRPr="005850A8">
        <w:rPr>
          <w:lang w:val="ru-RU"/>
        </w:rPr>
        <w:t xml:space="preserve">-042, </w:t>
      </w:r>
      <w:r w:rsidRPr="00C54487">
        <w:t>FD</w:t>
      </w:r>
      <w:r w:rsidRPr="005850A8">
        <w:rPr>
          <w:lang w:val="ru-RU"/>
        </w:rPr>
        <w:t>-044.</w:t>
      </w:r>
    </w:p>
  </w:footnote>
  <w:footnote w:id="6">
    <w:p w:rsidR="001B0D01" w:rsidRPr="005850A8" w:rsidRDefault="001B0D01" w:rsidP="00C54487">
      <w:pPr>
        <w:pStyle w:val="FootnoteText"/>
        <w:rPr>
          <w:lang w:val="ru-RU"/>
        </w:rPr>
      </w:pPr>
      <w:r w:rsidRPr="008F54C7">
        <w:rPr>
          <w:rStyle w:val="FootnoteReference"/>
        </w:rPr>
        <w:footnoteRef/>
      </w:r>
      <w:r w:rsidRPr="005850A8">
        <w:rPr>
          <w:lang w:val="ru-RU"/>
        </w:rPr>
        <w:t xml:space="preserve"> Информационная система Регистр недвижимого имущества; Закон о нормативной цене и порядке купли-продажи земли №1308-</w:t>
      </w:r>
      <w:r w:rsidRPr="008F54C7">
        <w:t>XIII</w:t>
      </w:r>
      <w:r w:rsidRPr="005850A8">
        <w:rPr>
          <w:lang w:val="ru-RU"/>
        </w:rPr>
        <w:t xml:space="preserve"> от 25.07.1997.</w:t>
      </w:r>
    </w:p>
  </w:footnote>
  <w:footnote w:id="7">
    <w:p w:rsidR="001B0D01" w:rsidRPr="005850A8" w:rsidRDefault="001B0D01" w:rsidP="00253D18">
      <w:pPr>
        <w:pStyle w:val="FootnoteText"/>
        <w:rPr>
          <w:rFonts w:cs="Times New Roman"/>
          <w:lang w:val="ru-RU"/>
        </w:rPr>
      </w:pPr>
      <w:r w:rsidRPr="008F54C7">
        <w:rPr>
          <w:rStyle w:val="FootnoteReference"/>
          <w:rFonts w:cs="Times New Roman"/>
        </w:rPr>
        <w:footnoteRef/>
      </w:r>
      <w:r w:rsidRPr="005850A8">
        <w:rPr>
          <w:rFonts w:cs="Times New Roman"/>
          <w:lang w:val="ru-RU"/>
        </w:rPr>
        <w:t xml:space="preserve"> Незавершенные капитальные вложения в активы, отраженные в отчетности Таможенной службой.</w:t>
      </w:r>
    </w:p>
  </w:footnote>
  <w:footnote w:id="8">
    <w:p w:rsidR="001B0D01" w:rsidRPr="005850A8" w:rsidRDefault="001B0D01" w:rsidP="00DD6B73">
      <w:pPr>
        <w:pStyle w:val="FootnoteText"/>
        <w:rPr>
          <w:rFonts w:cs="Times New Roman"/>
          <w:lang w:val="ru-RU"/>
        </w:rPr>
      </w:pPr>
      <w:r w:rsidRPr="008F54C7">
        <w:rPr>
          <w:rStyle w:val="FootnoteReference"/>
          <w:rFonts w:cs="Times New Roman"/>
        </w:rPr>
        <w:footnoteRef/>
      </w:r>
      <w:r w:rsidRPr="005850A8">
        <w:rPr>
          <w:rFonts w:cs="Times New Roman"/>
          <w:lang w:val="ru-RU"/>
        </w:rPr>
        <w:t xml:space="preserve"> Протокол №11 от 11.08.2015 и Акт об уничтожении от 17.12.2015.</w:t>
      </w:r>
    </w:p>
  </w:footnote>
  <w:footnote w:id="9">
    <w:p w:rsidR="001B0D01" w:rsidRPr="005850A8" w:rsidRDefault="001B0D01" w:rsidP="003A7AD2">
      <w:pPr>
        <w:pStyle w:val="FootnoteText"/>
        <w:rPr>
          <w:rFonts w:cs="Times New Roman"/>
          <w:lang w:val="ru-RU"/>
        </w:rPr>
      </w:pPr>
      <w:r w:rsidRPr="00EA0697">
        <w:rPr>
          <w:rStyle w:val="FootnoteReference"/>
          <w:rFonts w:cs="Times New Roman"/>
        </w:rPr>
        <w:footnoteRef/>
      </w:r>
      <w:r w:rsidRPr="005850A8">
        <w:rPr>
          <w:rFonts w:cs="Times New Roman"/>
          <w:lang w:val="ru-RU"/>
        </w:rPr>
        <w:t xml:space="preserve"> Приказ Государственной архивной службы №57 от 27.07.2016 „Об утверждении Справочника типовых документов и сроков их хранения для органов публичного управления”.</w:t>
      </w:r>
    </w:p>
  </w:footnote>
  <w:footnote w:id="10">
    <w:p w:rsidR="001B0D01" w:rsidRPr="005850A8" w:rsidRDefault="001B0D01" w:rsidP="001B0D01">
      <w:pPr>
        <w:pStyle w:val="FootnoteText"/>
        <w:rPr>
          <w:rFonts w:cs="Times New Roman"/>
          <w:lang w:val="ru-RU"/>
        </w:rPr>
      </w:pPr>
      <w:r w:rsidRPr="00EA0697">
        <w:rPr>
          <w:rStyle w:val="FootnoteReference"/>
          <w:rFonts w:cs="Times New Roman"/>
        </w:rPr>
        <w:footnoteRef/>
      </w:r>
      <w:r w:rsidRPr="005850A8">
        <w:rPr>
          <w:rFonts w:cs="Times New Roman"/>
          <w:lang w:val="ru-RU"/>
        </w:rPr>
        <w:t>Установленное нарушение было допущено Таможенной службой.</w:t>
      </w:r>
    </w:p>
  </w:footnote>
  <w:footnote w:id="11">
    <w:p w:rsidR="001B0D01" w:rsidRPr="005850A8" w:rsidRDefault="001B0D01" w:rsidP="001B0D01">
      <w:pPr>
        <w:pStyle w:val="FootnoteText"/>
        <w:rPr>
          <w:rFonts w:cs="Times New Roman"/>
          <w:lang w:val="ru-RU"/>
        </w:rPr>
      </w:pPr>
      <w:r w:rsidRPr="00306750">
        <w:rPr>
          <w:rStyle w:val="FootnoteReference"/>
          <w:rFonts w:cs="Times New Roman"/>
        </w:rPr>
        <w:footnoteRef/>
      </w:r>
      <w:r w:rsidRPr="005850A8">
        <w:rPr>
          <w:rFonts w:cs="Times New Roman"/>
          <w:lang w:val="ru-RU"/>
        </w:rPr>
        <w:t xml:space="preserve"> Ошибка, характерная для всех субъектов, подвергнутых аудиту.</w:t>
      </w:r>
    </w:p>
  </w:footnote>
  <w:footnote w:id="12">
    <w:p w:rsidR="00306750" w:rsidRPr="005850A8" w:rsidRDefault="00306750" w:rsidP="00306750">
      <w:pPr>
        <w:pStyle w:val="FootnoteText"/>
        <w:rPr>
          <w:rFonts w:cs="Times New Roman"/>
          <w:lang w:val="ru-RU"/>
        </w:rPr>
      </w:pPr>
      <w:r w:rsidRPr="00167813">
        <w:rPr>
          <w:rStyle w:val="FootnoteReference"/>
          <w:rFonts w:cs="Times New Roman"/>
        </w:rPr>
        <w:footnoteRef/>
      </w:r>
      <w:r w:rsidRPr="005850A8">
        <w:rPr>
          <w:rFonts w:cs="Times New Roman"/>
          <w:lang w:val="ru-RU"/>
        </w:rPr>
        <w:t xml:space="preserve"> Согласно Консолидированному отчету о доходах и расходах (</w:t>
      </w:r>
      <w:r w:rsidRPr="00167813">
        <w:rPr>
          <w:rFonts w:cs="Times New Roman"/>
        </w:rPr>
        <w:t>FD</w:t>
      </w:r>
      <w:r w:rsidRPr="005850A8">
        <w:rPr>
          <w:rFonts w:cs="Times New Roman"/>
          <w:lang w:val="ru-RU"/>
        </w:rPr>
        <w:t xml:space="preserve">-042) министерства на 31.12.2017, расходы на оплату труда составили 745,9 </w:t>
      </w:r>
      <w:r w:rsidR="00295188">
        <w:rPr>
          <w:rFonts w:cs="Times New Roman"/>
          <w:szCs w:val="28"/>
          <w:lang w:val="ru-RU"/>
        </w:rPr>
        <w:t>млн. МДЛ</w:t>
      </w:r>
      <w:r w:rsidRPr="005850A8">
        <w:rPr>
          <w:rFonts w:cs="Times New Roman"/>
          <w:lang w:val="ru-RU"/>
        </w:rPr>
        <w:t xml:space="preserve">, из которых 318,2 </w:t>
      </w:r>
      <w:r w:rsidR="00295188">
        <w:rPr>
          <w:rFonts w:cs="Times New Roman"/>
          <w:lang w:val="ru-RU"/>
        </w:rPr>
        <w:t>млн. МДЛ</w:t>
      </w:r>
      <w:r w:rsidRPr="005850A8">
        <w:rPr>
          <w:rFonts w:cs="Times New Roman"/>
          <w:lang w:val="ru-RU"/>
        </w:rPr>
        <w:t xml:space="preserve"> (или 42,7%) отражены Таможенной службой; 340,6 </w:t>
      </w:r>
      <w:r w:rsidR="00295188">
        <w:rPr>
          <w:rFonts w:cs="Times New Roman"/>
          <w:lang w:val="ru-RU"/>
        </w:rPr>
        <w:t>млн. МДЛ</w:t>
      </w:r>
      <w:r w:rsidRPr="005850A8">
        <w:rPr>
          <w:rFonts w:cs="Times New Roman"/>
          <w:lang w:val="ru-RU"/>
        </w:rPr>
        <w:t xml:space="preserve"> (или 45,6%) - Государственной налоговой службой; 58,4 </w:t>
      </w:r>
      <w:r w:rsidR="00295188">
        <w:rPr>
          <w:rFonts w:cs="Times New Roman"/>
          <w:lang w:val="ru-RU"/>
        </w:rPr>
        <w:t>млн. МДЛ</w:t>
      </w:r>
      <w:r w:rsidRPr="005850A8">
        <w:rPr>
          <w:rFonts w:cs="Times New Roman"/>
          <w:lang w:val="ru-RU"/>
        </w:rPr>
        <w:t xml:space="preserve"> (или 7,8%) приходится на центральный аппарат Министерства финансов; 23,7 </w:t>
      </w:r>
      <w:r w:rsidR="00295188">
        <w:rPr>
          <w:rFonts w:cs="Times New Roman"/>
          <w:lang w:val="ru-RU"/>
        </w:rPr>
        <w:t>млн. МДЛ</w:t>
      </w:r>
      <w:r w:rsidRPr="005850A8">
        <w:rPr>
          <w:rFonts w:cs="Times New Roman"/>
          <w:lang w:val="ru-RU"/>
        </w:rPr>
        <w:t xml:space="preserve"> (или 3,2 %) – на Финансовую инспекцию; и 4,7 </w:t>
      </w:r>
      <w:r w:rsidR="00295188">
        <w:rPr>
          <w:rFonts w:cs="Times New Roman"/>
          <w:lang w:val="ru-RU"/>
        </w:rPr>
        <w:t>млн. МДЛ</w:t>
      </w:r>
      <w:r w:rsidRPr="005850A8">
        <w:rPr>
          <w:rFonts w:cs="Times New Roman"/>
          <w:lang w:val="ru-RU"/>
        </w:rPr>
        <w:t xml:space="preserve"> (или 0,6%) – на Агентство по государственным закупкам.</w:t>
      </w:r>
    </w:p>
  </w:footnote>
  <w:footnote w:id="13">
    <w:p w:rsidR="001B0D01" w:rsidRPr="005850A8" w:rsidRDefault="001B0D01" w:rsidP="001B009E">
      <w:pPr>
        <w:pStyle w:val="FootnoteText"/>
        <w:rPr>
          <w:rFonts w:cs="Times New Roman"/>
          <w:lang w:val="ru-RU"/>
        </w:rPr>
      </w:pPr>
      <w:r w:rsidRPr="00167813">
        <w:rPr>
          <w:rStyle w:val="FootnoteReference"/>
          <w:rFonts w:cs="Times New Roman"/>
        </w:rPr>
        <w:footnoteRef/>
      </w:r>
      <w:r w:rsidR="00306750" w:rsidRPr="005850A8">
        <w:rPr>
          <w:rFonts w:cs="Times New Roman"/>
          <w:lang w:val="ru-RU"/>
        </w:rPr>
        <w:t>С</w:t>
      </w:r>
      <w:r w:rsidRPr="005850A8">
        <w:rPr>
          <w:rFonts w:cs="Times New Roman"/>
          <w:lang w:val="ru-RU"/>
        </w:rPr>
        <w:t xml:space="preserve">т.17, </w:t>
      </w:r>
      <w:r w:rsidR="00306750" w:rsidRPr="005850A8">
        <w:rPr>
          <w:rFonts w:cs="Times New Roman"/>
          <w:lang w:val="ru-RU"/>
        </w:rPr>
        <w:t>с</w:t>
      </w:r>
      <w:r w:rsidRPr="005850A8">
        <w:rPr>
          <w:rFonts w:cs="Times New Roman"/>
          <w:lang w:val="ru-RU"/>
        </w:rPr>
        <w:t xml:space="preserve">т.66 (2), ст. 67(6) Закона о публичных финансах и бюджетно-налоговой </w:t>
      </w:r>
      <w:r w:rsidR="00167813" w:rsidRPr="005850A8">
        <w:rPr>
          <w:rFonts w:cs="Times New Roman"/>
          <w:lang w:val="ru-RU"/>
        </w:rPr>
        <w:t>ответственности №</w:t>
      </w:r>
      <w:r w:rsidRPr="005850A8">
        <w:rPr>
          <w:rFonts w:cs="Times New Roman"/>
          <w:lang w:val="ru-RU"/>
        </w:rPr>
        <w:t xml:space="preserve">181 от 25.07.2014 (с последующими изменениями и дополнениями); арт. 4, </w:t>
      </w:r>
      <w:r w:rsidR="00167813" w:rsidRPr="005850A8">
        <w:rPr>
          <w:rFonts w:cs="Times New Roman"/>
          <w:lang w:val="ru-RU"/>
        </w:rPr>
        <w:t>с</w:t>
      </w:r>
      <w:r w:rsidRPr="005850A8">
        <w:rPr>
          <w:rFonts w:cs="Times New Roman"/>
          <w:lang w:val="ru-RU"/>
        </w:rPr>
        <w:t>т.</w:t>
      </w:r>
      <w:r w:rsidR="00167813" w:rsidRPr="005850A8">
        <w:rPr>
          <w:rFonts w:cs="Times New Roman"/>
          <w:lang w:val="ru-RU"/>
        </w:rPr>
        <w:t xml:space="preserve"> 7</w:t>
      </w:r>
      <w:r w:rsidR="00167813" w:rsidRPr="005850A8">
        <w:rPr>
          <w:rFonts w:cs="Times New Roman"/>
          <w:vertAlign w:val="superscript"/>
          <w:lang w:val="ru-RU"/>
        </w:rPr>
        <w:t>1</w:t>
      </w:r>
      <w:r w:rsidRPr="005850A8">
        <w:rPr>
          <w:rFonts w:cs="Times New Roman"/>
          <w:lang w:val="ru-RU"/>
        </w:rPr>
        <w:t>(3), арт.</w:t>
      </w:r>
      <w:r w:rsidR="00167813" w:rsidRPr="005850A8">
        <w:rPr>
          <w:rFonts w:cs="Times New Roman"/>
          <w:lang w:val="ru-RU"/>
        </w:rPr>
        <w:t xml:space="preserve"> 8</w:t>
      </w:r>
      <w:r w:rsidR="00167813" w:rsidRPr="005850A8">
        <w:rPr>
          <w:rFonts w:cs="Times New Roman"/>
          <w:vertAlign w:val="superscript"/>
          <w:lang w:val="ru-RU"/>
        </w:rPr>
        <w:t>2</w:t>
      </w:r>
      <w:r w:rsidRPr="005850A8">
        <w:rPr>
          <w:rFonts w:cs="Times New Roman"/>
          <w:lang w:val="ru-RU"/>
        </w:rPr>
        <w:t xml:space="preserve">, </w:t>
      </w:r>
      <w:r w:rsidR="00167813" w:rsidRPr="005850A8">
        <w:rPr>
          <w:rFonts w:cs="Times New Roman"/>
          <w:lang w:val="ru-RU"/>
        </w:rPr>
        <w:t>с</w:t>
      </w:r>
      <w:r w:rsidRPr="005850A8">
        <w:rPr>
          <w:rFonts w:cs="Times New Roman"/>
          <w:lang w:val="ru-RU"/>
        </w:rPr>
        <w:t>т.11 Закона о системе оплаты труда государственных служащих</w:t>
      </w:r>
      <w:r w:rsidR="00952E8D" w:rsidRPr="00A0135E">
        <w:rPr>
          <w:rFonts w:cs="Times New Roman"/>
          <w:lang w:val="ru-RU"/>
        </w:rPr>
        <w:t xml:space="preserve"> </w:t>
      </w:r>
      <w:r w:rsidRPr="005850A8">
        <w:rPr>
          <w:rFonts w:cs="Times New Roman"/>
          <w:lang w:val="ru-RU"/>
        </w:rPr>
        <w:t>№</w:t>
      </w:r>
      <w:r w:rsidR="00167813" w:rsidRPr="005850A8">
        <w:rPr>
          <w:rFonts w:cs="Times New Roman"/>
          <w:lang w:val="ru-RU"/>
        </w:rPr>
        <w:t>48 от 22.03.2012</w:t>
      </w:r>
      <w:r w:rsidRPr="005850A8">
        <w:rPr>
          <w:rFonts w:cs="Times New Roman"/>
          <w:lang w:val="ru-RU"/>
        </w:rPr>
        <w:t>.</w:t>
      </w:r>
    </w:p>
  </w:footnote>
  <w:footnote w:id="14">
    <w:p w:rsidR="001B0D01" w:rsidRPr="005850A8" w:rsidRDefault="001B0D01">
      <w:pPr>
        <w:pStyle w:val="FootnoteText"/>
        <w:rPr>
          <w:lang w:val="ru-RU"/>
        </w:rPr>
      </w:pPr>
      <w:r w:rsidRPr="00EC73C8">
        <w:rPr>
          <w:rStyle w:val="FootnoteReference"/>
        </w:rPr>
        <w:footnoteRef/>
      </w:r>
      <w:r w:rsidR="00EC73C8" w:rsidRPr="005850A8">
        <w:rPr>
          <w:lang w:val="ru-RU"/>
        </w:rPr>
        <w:t>С</w:t>
      </w:r>
      <w:r w:rsidRPr="005850A8">
        <w:rPr>
          <w:lang w:val="ru-RU"/>
        </w:rPr>
        <w:t xml:space="preserve">т. 21 (1), </w:t>
      </w:r>
      <w:r w:rsidRPr="00EC73C8">
        <w:t>a</w:t>
      </w:r>
      <w:r w:rsidRPr="005850A8">
        <w:rPr>
          <w:lang w:val="ru-RU"/>
        </w:rPr>
        <w:t xml:space="preserve">), </w:t>
      </w:r>
      <w:r w:rsidRPr="00EC73C8">
        <w:t>g</w:t>
      </w:r>
      <w:r w:rsidRPr="005850A8">
        <w:rPr>
          <w:lang w:val="ru-RU"/>
        </w:rPr>
        <w:t xml:space="preserve">), </w:t>
      </w:r>
      <w:r w:rsidR="009E1D26" w:rsidRPr="005850A8">
        <w:rPr>
          <w:lang w:val="ru-RU"/>
        </w:rPr>
        <w:t xml:space="preserve"> </w:t>
      </w:r>
      <w:r w:rsidR="009E1D26" w:rsidRPr="00EC73C8">
        <w:t>i</w:t>
      </w:r>
      <w:r w:rsidRPr="005850A8">
        <w:rPr>
          <w:lang w:val="ru-RU"/>
        </w:rPr>
        <w:t xml:space="preserve">) Закона о публичных финансах и налогово-бюджетной ответственности </w:t>
      </w:r>
      <w:r w:rsidR="00EC73C8" w:rsidRPr="005850A8">
        <w:rPr>
          <w:lang w:val="ru-RU"/>
        </w:rPr>
        <w:t>№</w:t>
      </w:r>
      <w:r w:rsidRPr="005850A8">
        <w:rPr>
          <w:lang w:val="ru-RU"/>
        </w:rPr>
        <w:t>181 от 25.07.2014.</w:t>
      </w:r>
    </w:p>
  </w:footnote>
  <w:footnote w:id="15">
    <w:p w:rsidR="001B0D01" w:rsidRPr="005850A8" w:rsidRDefault="001B0D01">
      <w:pPr>
        <w:pStyle w:val="FootnoteText"/>
        <w:rPr>
          <w:lang w:val="ru-RU"/>
        </w:rPr>
      </w:pPr>
      <w:r w:rsidRPr="00EC73C8">
        <w:rPr>
          <w:rStyle w:val="FootnoteReference"/>
        </w:rPr>
        <w:footnoteRef/>
      </w:r>
      <w:r w:rsidR="00EC73C8" w:rsidRPr="005850A8">
        <w:rPr>
          <w:lang w:val="ru-RU"/>
        </w:rPr>
        <w:t>С</w:t>
      </w:r>
      <w:r w:rsidRPr="005850A8">
        <w:rPr>
          <w:lang w:val="ru-RU"/>
        </w:rPr>
        <w:t xml:space="preserve">т.25 Закона о публичных финансах и налогово-бюджетной ответственности </w:t>
      </w:r>
      <w:r w:rsidR="00EC73C8" w:rsidRPr="005850A8">
        <w:rPr>
          <w:lang w:val="ru-RU"/>
        </w:rPr>
        <w:t>№</w:t>
      </w:r>
      <w:r w:rsidRPr="005850A8">
        <w:rPr>
          <w:lang w:val="ru-RU"/>
        </w:rPr>
        <w:t xml:space="preserve">181 от 25.07.2014. </w:t>
      </w:r>
    </w:p>
  </w:footnote>
  <w:footnote w:id="16">
    <w:p w:rsidR="00453DCA" w:rsidRPr="005850A8" w:rsidRDefault="00453DCA" w:rsidP="00453DCA">
      <w:pPr>
        <w:pStyle w:val="FootnoteText"/>
        <w:rPr>
          <w:lang w:val="ru-RU"/>
        </w:rPr>
      </w:pPr>
      <w:r w:rsidRPr="00EC73C8">
        <w:rPr>
          <w:rStyle w:val="FootnoteReference"/>
        </w:rPr>
        <w:footnoteRef/>
      </w:r>
      <w:r w:rsidR="00EC73C8" w:rsidRPr="005850A8">
        <w:rPr>
          <w:lang w:val="ru-RU"/>
        </w:rPr>
        <w:t>С</w:t>
      </w:r>
      <w:r w:rsidRPr="005850A8">
        <w:rPr>
          <w:lang w:val="ru-RU"/>
        </w:rPr>
        <w:t>т. 37 (5) Закона о бухгалтерском учете№113-</w:t>
      </w:r>
      <w:r w:rsidRPr="00EC73C8">
        <w:t>XVI</w:t>
      </w:r>
      <w:r w:rsidRPr="005850A8">
        <w:rPr>
          <w:lang w:val="ru-RU"/>
        </w:rPr>
        <w:t xml:space="preserve"> от 27.04.2007, </w:t>
      </w:r>
      <w:r w:rsidR="00EC73C8" w:rsidRPr="005850A8">
        <w:rPr>
          <w:lang w:val="ru-RU"/>
        </w:rPr>
        <w:t>п</w:t>
      </w:r>
      <w:r w:rsidRPr="005850A8">
        <w:rPr>
          <w:lang w:val="ru-RU"/>
        </w:rPr>
        <w:t>. 1.4.1.3. Приложени</w:t>
      </w:r>
      <w:r w:rsidR="00EC73C8" w:rsidRPr="005850A8">
        <w:rPr>
          <w:lang w:val="ru-RU"/>
        </w:rPr>
        <w:t xml:space="preserve">я </w:t>
      </w:r>
      <w:r w:rsidRPr="005850A8">
        <w:rPr>
          <w:lang w:val="ru-RU"/>
        </w:rPr>
        <w:t>№1 к Приказу министра финансов№216 от 28.12.2015.</w:t>
      </w:r>
    </w:p>
  </w:footnote>
  <w:footnote w:id="17">
    <w:p w:rsidR="001B0D01" w:rsidRPr="005850A8" w:rsidRDefault="001B0D01">
      <w:pPr>
        <w:pStyle w:val="FootnoteText"/>
        <w:rPr>
          <w:lang w:val="ru-RU"/>
        </w:rPr>
      </w:pPr>
      <w:r w:rsidRPr="00EC73C8">
        <w:rPr>
          <w:rStyle w:val="FootnoteReference"/>
        </w:rPr>
        <w:footnoteRef/>
      </w:r>
      <w:r w:rsidR="00EC73C8" w:rsidRPr="005850A8">
        <w:rPr>
          <w:lang w:val="ru-RU"/>
        </w:rPr>
        <w:t>С</w:t>
      </w:r>
      <w:r w:rsidRPr="005850A8">
        <w:rPr>
          <w:lang w:val="ru-RU"/>
        </w:rPr>
        <w:t>т. 15 (6)</w:t>
      </w:r>
      <w:r w:rsidRPr="00EC73C8">
        <w:t>c</w:t>
      </w:r>
      <w:r w:rsidRPr="005850A8">
        <w:rPr>
          <w:lang w:val="ru-RU"/>
        </w:rPr>
        <w:t xml:space="preserve">); </w:t>
      </w:r>
      <w:r w:rsidR="00EC73C8" w:rsidRPr="005850A8">
        <w:rPr>
          <w:lang w:val="ru-RU"/>
        </w:rPr>
        <w:t>с</w:t>
      </w:r>
      <w:r w:rsidRPr="005850A8">
        <w:rPr>
          <w:lang w:val="ru-RU"/>
        </w:rPr>
        <w:t>т.28 (5) Закона о центральном отраслевом публичном управлении</w:t>
      </w:r>
      <w:bookmarkStart w:id="9" w:name="_GoBack"/>
      <w:r w:rsidR="00986B2B" w:rsidRPr="00A0135E">
        <w:rPr>
          <w:lang w:val="ru-RU"/>
        </w:rPr>
        <w:t xml:space="preserve"> </w:t>
      </w:r>
      <w:bookmarkEnd w:id="9"/>
      <w:r w:rsidRPr="005850A8">
        <w:rPr>
          <w:lang w:val="ru-RU"/>
        </w:rPr>
        <w:t>№98 от 04.05.2012.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43EF"/>
    <w:multiLevelType w:val="hybridMultilevel"/>
    <w:tmpl w:val="4D3EADAE"/>
    <w:lvl w:ilvl="0" w:tplc="3FE0FD3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3A5BEC"/>
    <w:multiLevelType w:val="hybridMultilevel"/>
    <w:tmpl w:val="5596C1DA"/>
    <w:lvl w:ilvl="0" w:tplc="3FE0FD3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E80485"/>
    <w:multiLevelType w:val="hybridMultilevel"/>
    <w:tmpl w:val="1B561310"/>
    <w:lvl w:ilvl="0" w:tplc="1B38AB3C">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85E1F69"/>
    <w:multiLevelType w:val="multilevel"/>
    <w:tmpl w:val="35F67E50"/>
    <w:lvl w:ilvl="0">
      <w:start w:val="1"/>
      <w:numFmt w:val="decimal"/>
      <w:lvlText w:val="%1."/>
      <w:lvlJc w:val="left"/>
      <w:pPr>
        <w:ind w:left="990" w:hanging="360"/>
      </w:pPr>
      <w:rPr>
        <w:rFonts w:hint="default"/>
      </w:rPr>
    </w:lvl>
    <w:lvl w:ilvl="1">
      <w:start w:val="1"/>
      <w:numFmt w:val="decimal"/>
      <w:isLgl/>
      <w:lvlText w:val="%1.%2."/>
      <w:lvlJc w:val="left"/>
      <w:pPr>
        <w:ind w:left="1571"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8684034"/>
    <w:multiLevelType w:val="hybridMultilevel"/>
    <w:tmpl w:val="C79AE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267304"/>
    <w:multiLevelType w:val="hybridMultilevel"/>
    <w:tmpl w:val="C89E03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74F6CBF"/>
    <w:multiLevelType w:val="hybridMultilevel"/>
    <w:tmpl w:val="230CEBBA"/>
    <w:lvl w:ilvl="0" w:tplc="0409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15:restartNumberingAfterBreak="0">
    <w:nsid w:val="24D0065D"/>
    <w:multiLevelType w:val="hybridMultilevel"/>
    <w:tmpl w:val="BFC6AC9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29362BEA"/>
    <w:multiLevelType w:val="hybridMultilevel"/>
    <w:tmpl w:val="B268C3F4"/>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9" w15:restartNumberingAfterBreak="0">
    <w:nsid w:val="2C590F34"/>
    <w:multiLevelType w:val="hybridMultilevel"/>
    <w:tmpl w:val="C246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B12C54"/>
    <w:multiLevelType w:val="hybridMultilevel"/>
    <w:tmpl w:val="77E88B10"/>
    <w:lvl w:ilvl="0" w:tplc="1B38AB3C">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1" w15:restartNumberingAfterBreak="0">
    <w:nsid w:val="35F11D3B"/>
    <w:multiLevelType w:val="hybridMultilevel"/>
    <w:tmpl w:val="52C83A3E"/>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2" w15:restartNumberingAfterBreak="0">
    <w:nsid w:val="41D67FD8"/>
    <w:multiLevelType w:val="multilevel"/>
    <w:tmpl w:val="5FD8419E"/>
    <w:lvl w:ilvl="0">
      <w:start w:val="1"/>
      <w:numFmt w:val="upperRoman"/>
      <w:lvlText w:val="%1."/>
      <w:lvlJc w:val="left"/>
      <w:pPr>
        <w:ind w:left="720" w:hanging="720"/>
      </w:pPr>
      <w:rPr>
        <w:rFonts w:hint="default"/>
        <w:color w:val="000000"/>
        <w:sz w:val="36"/>
        <w:szCs w:val="36"/>
      </w:rPr>
    </w:lvl>
    <w:lvl w:ilvl="1">
      <w:start w:val="1"/>
      <w:numFmt w:val="decimal"/>
      <w:isLgl/>
      <w:lvlText w:val="%1.%2."/>
      <w:lvlJc w:val="left"/>
      <w:pPr>
        <w:ind w:left="360" w:hanging="72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42C24B8C"/>
    <w:multiLevelType w:val="hybridMultilevel"/>
    <w:tmpl w:val="0F8AA7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75E32E7"/>
    <w:multiLevelType w:val="hybridMultilevel"/>
    <w:tmpl w:val="B3EA9D8E"/>
    <w:lvl w:ilvl="0" w:tplc="2806DA2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447E7"/>
    <w:multiLevelType w:val="hybridMultilevel"/>
    <w:tmpl w:val="C0CAA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187237"/>
    <w:multiLevelType w:val="multilevel"/>
    <w:tmpl w:val="E9063230"/>
    <w:lvl w:ilvl="0">
      <w:start w:val="2"/>
      <w:numFmt w:val="upperRoman"/>
      <w:lvlText w:val="%1."/>
      <w:lvlJc w:val="left"/>
      <w:pPr>
        <w:ind w:left="1080" w:hanging="720"/>
      </w:pPr>
      <w:rPr>
        <w:rFonts w:eastAsia="Times New Roman" w:hint="default"/>
      </w:rPr>
    </w:lvl>
    <w:lvl w:ilvl="1">
      <w:start w:val="5"/>
      <w:numFmt w:val="decimal"/>
      <w:isLgl/>
      <w:lvlText w:val="%1.%2."/>
      <w:lvlJc w:val="left"/>
      <w:pPr>
        <w:ind w:left="1080" w:hanging="720"/>
      </w:pPr>
      <w:rPr>
        <w:rFonts w:cstheme="minorBidi" w:hint="default"/>
        <w:b/>
      </w:rPr>
    </w:lvl>
    <w:lvl w:ilvl="2">
      <w:start w:val="1"/>
      <w:numFmt w:val="decimal"/>
      <w:isLgl/>
      <w:lvlText w:val="%1.%2.%3."/>
      <w:lvlJc w:val="left"/>
      <w:pPr>
        <w:ind w:left="1080" w:hanging="720"/>
      </w:pPr>
      <w:rPr>
        <w:rFonts w:cstheme="minorBidi" w:hint="default"/>
        <w:b/>
      </w:rPr>
    </w:lvl>
    <w:lvl w:ilvl="3">
      <w:start w:val="1"/>
      <w:numFmt w:val="decimal"/>
      <w:isLgl/>
      <w:lvlText w:val="%1.%2.%3.%4."/>
      <w:lvlJc w:val="left"/>
      <w:pPr>
        <w:ind w:left="1440" w:hanging="1080"/>
      </w:pPr>
      <w:rPr>
        <w:rFonts w:cstheme="minorBidi" w:hint="default"/>
        <w:b/>
      </w:rPr>
    </w:lvl>
    <w:lvl w:ilvl="4">
      <w:start w:val="1"/>
      <w:numFmt w:val="decimal"/>
      <w:isLgl/>
      <w:lvlText w:val="%1.%2.%3.%4.%5."/>
      <w:lvlJc w:val="left"/>
      <w:pPr>
        <w:ind w:left="1440" w:hanging="1080"/>
      </w:pPr>
      <w:rPr>
        <w:rFonts w:cstheme="minorBidi" w:hint="default"/>
        <w:b/>
      </w:rPr>
    </w:lvl>
    <w:lvl w:ilvl="5">
      <w:start w:val="1"/>
      <w:numFmt w:val="decimal"/>
      <w:isLgl/>
      <w:lvlText w:val="%1.%2.%3.%4.%5.%6."/>
      <w:lvlJc w:val="left"/>
      <w:pPr>
        <w:ind w:left="1800" w:hanging="1440"/>
      </w:pPr>
      <w:rPr>
        <w:rFonts w:cstheme="minorBidi" w:hint="default"/>
        <w:b/>
      </w:rPr>
    </w:lvl>
    <w:lvl w:ilvl="6">
      <w:start w:val="1"/>
      <w:numFmt w:val="decimal"/>
      <w:isLgl/>
      <w:lvlText w:val="%1.%2.%3.%4.%5.%6.%7."/>
      <w:lvlJc w:val="left"/>
      <w:pPr>
        <w:ind w:left="2160" w:hanging="1800"/>
      </w:pPr>
      <w:rPr>
        <w:rFonts w:cstheme="minorBidi" w:hint="default"/>
        <w:b/>
      </w:rPr>
    </w:lvl>
    <w:lvl w:ilvl="7">
      <w:start w:val="1"/>
      <w:numFmt w:val="decimal"/>
      <w:isLgl/>
      <w:lvlText w:val="%1.%2.%3.%4.%5.%6.%7.%8."/>
      <w:lvlJc w:val="left"/>
      <w:pPr>
        <w:ind w:left="2160" w:hanging="1800"/>
      </w:pPr>
      <w:rPr>
        <w:rFonts w:cstheme="minorBidi" w:hint="default"/>
        <w:b/>
      </w:rPr>
    </w:lvl>
    <w:lvl w:ilvl="8">
      <w:start w:val="1"/>
      <w:numFmt w:val="decimal"/>
      <w:isLgl/>
      <w:lvlText w:val="%1.%2.%3.%4.%5.%6.%7.%8.%9."/>
      <w:lvlJc w:val="left"/>
      <w:pPr>
        <w:ind w:left="2520" w:hanging="2160"/>
      </w:pPr>
      <w:rPr>
        <w:rFonts w:cstheme="minorBidi" w:hint="default"/>
        <w:b/>
      </w:rPr>
    </w:lvl>
  </w:abstractNum>
  <w:abstractNum w:abstractNumId="17" w15:restartNumberingAfterBreak="0">
    <w:nsid w:val="510F79BC"/>
    <w:multiLevelType w:val="hybridMultilevel"/>
    <w:tmpl w:val="0040C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AC5325"/>
    <w:multiLevelType w:val="hybridMultilevel"/>
    <w:tmpl w:val="1384FE78"/>
    <w:lvl w:ilvl="0" w:tplc="0409000F">
      <w:start w:val="1"/>
      <w:numFmt w:val="decimal"/>
      <w:lvlText w:val="%1."/>
      <w:lvlJc w:val="left"/>
      <w:pPr>
        <w:ind w:left="1440" w:hanging="360"/>
      </w:pPr>
      <w:rPr>
        <w:rFont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15:restartNumberingAfterBreak="0">
    <w:nsid w:val="72FA2596"/>
    <w:multiLevelType w:val="hybridMultilevel"/>
    <w:tmpl w:val="464A01BE"/>
    <w:lvl w:ilvl="0" w:tplc="3FE0FD38">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15:restartNumberingAfterBreak="0">
    <w:nsid w:val="7C231A3A"/>
    <w:multiLevelType w:val="hybridMultilevel"/>
    <w:tmpl w:val="C338D3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10"/>
  </w:num>
  <w:num w:numId="5">
    <w:abstractNumId w:val="11"/>
  </w:num>
  <w:num w:numId="6">
    <w:abstractNumId w:val="14"/>
  </w:num>
  <w:num w:numId="7">
    <w:abstractNumId w:val="7"/>
  </w:num>
  <w:num w:numId="8">
    <w:abstractNumId w:val="0"/>
  </w:num>
  <w:num w:numId="9">
    <w:abstractNumId w:val="13"/>
  </w:num>
  <w:num w:numId="10">
    <w:abstractNumId w:val="19"/>
  </w:num>
  <w:num w:numId="11">
    <w:abstractNumId w:val="4"/>
  </w:num>
  <w:num w:numId="12">
    <w:abstractNumId w:val="20"/>
  </w:num>
  <w:num w:numId="13">
    <w:abstractNumId w:val="15"/>
  </w:num>
  <w:num w:numId="14">
    <w:abstractNumId w:val="2"/>
  </w:num>
  <w:num w:numId="15">
    <w:abstractNumId w:val="9"/>
  </w:num>
  <w:num w:numId="16">
    <w:abstractNumId w:val="1"/>
  </w:num>
  <w:num w:numId="17">
    <w:abstractNumId w:val="5"/>
  </w:num>
  <w:num w:numId="18">
    <w:abstractNumId w:val="18"/>
  </w:num>
  <w:num w:numId="19">
    <w:abstractNumId w:val="12"/>
  </w:num>
  <w:num w:numId="20">
    <w:abstractNumId w:val="17"/>
  </w:num>
  <w:num w:numId="21">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629EE"/>
    <w:rsid w:val="0000006E"/>
    <w:rsid w:val="000078A0"/>
    <w:rsid w:val="00012216"/>
    <w:rsid w:val="0001248A"/>
    <w:rsid w:val="00013E25"/>
    <w:rsid w:val="000140F9"/>
    <w:rsid w:val="000150CB"/>
    <w:rsid w:val="00033138"/>
    <w:rsid w:val="000478CF"/>
    <w:rsid w:val="00052D15"/>
    <w:rsid w:val="00053F55"/>
    <w:rsid w:val="00055BB9"/>
    <w:rsid w:val="000634D0"/>
    <w:rsid w:val="000660C8"/>
    <w:rsid w:val="00072F65"/>
    <w:rsid w:val="00076538"/>
    <w:rsid w:val="00087EFF"/>
    <w:rsid w:val="00090D38"/>
    <w:rsid w:val="000A0779"/>
    <w:rsid w:val="000A1AA8"/>
    <w:rsid w:val="000A5D3D"/>
    <w:rsid w:val="000B54C0"/>
    <w:rsid w:val="000C208D"/>
    <w:rsid w:val="000D1534"/>
    <w:rsid w:val="000E000D"/>
    <w:rsid w:val="000E4707"/>
    <w:rsid w:val="000E7963"/>
    <w:rsid w:val="000F60EA"/>
    <w:rsid w:val="00105C40"/>
    <w:rsid w:val="00116884"/>
    <w:rsid w:val="001235F5"/>
    <w:rsid w:val="001260C9"/>
    <w:rsid w:val="00126BF9"/>
    <w:rsid w:val="001314E1"/>
    <w:rsid w:val="00132DE8"/>
    <w:rsid w:val="00137923"/>
    <w:rsid w:val="001415B1"/>
    <w:rsid w:val="00153C88"/>
    <w:rsid w:val="00156FFD"/>
    <w:rsid w:val="0016748B"/>
    <w:rsid w:val="00167813"/>
    <w:rsid w:val="001708FE"/>
    <w:rsid w:val="001733AC"/>
    <w:rsid w:val="001749E5"/>
    <w:rsid w:val="00175E48"/>
    <w:rsid w:val="00190940"/>
    <w:rsid w:val="00195652"/>
    <w:rsid w:val="001B009E"/>
    <w:rsid w:val="001B0D01"/>
    <w:rsid w:val="001B5CBB"/>
    <w:rsid w:val="001B7723"/>
    <w:rsid w:val="001C796D"/>
    <w:rsid w:val="001D5EDD"/>
    <w:rsid w:val="001D6D73"/>
    <w:rsid w:val="00210151"/>
    <w:rsid w:val="0021309D"/>
    <w:rsid w:val="00216EC9"/>
    <w:rsid w:val="002223DB"/>
    <w:rsid w:val="002227C9"/>
    <w:rsid w:val="00222AC1"/>
    <w:rsid w:val="002230A8"/>
    <w:rsid w:val="00223475"/>
    <w:rsid w:val="00223D77"/>
    <w:rsid w:val="00230953"/>
    <w:rsid w:val="00253D18"/>
    <w:rsid w:val="00264418"/>
    <w:rsid w:val="00276A70"/>
    <w:rsid w:val="00295188"/>
    <w:rsid w:val="002963D9"/>
    <w:rsid w:val="002A36F1"/>
    <w:rsid w:val="002A38A9"/>
    <w:rsid w:val="002A4D94"/>
    <w:rsid w:val="002B2176"/>
    <w:rsid w:val="002B4C9D"/>
    <w:rsid w:val="002B7444"/>
    <w:rsid w:val="002C5889"/>
    <w:rsid w:val="002D0845"/>
    <w:rsid w:val="002D441D"/>
    <w:rsid w:val="002D6DA6"/>
    <w:rsid w:val="002D7208"/>
    <w:rsid w:val="002E1F0E"/>
    <w:rsid w:val="002F2DB9"/>
    <w:rsid w:val="00303262"/>
    <w:rsid w:val="003042C3"/>
    <w:rsid w:val="00306750"/>
    <w:rsid w:val="003069D5"/>
    <w:rsid w:val="00314A1D"/>
    <w:rsid w:val="003168C7"/>
    <w:rsid w:val="00324FBB"/>
    <w:rsid w:val="003376D3"/>
    <w:rsid w:val="003446FD"/>
    <w:rsid w:val="003617DF"/>
    <w:rsid w:val="0036630F"/>
    <w:rsid w:val="00376061"/>
    <w:rsid w:val="00381147"/>
    <w:rsid w:val="00383844"/>
    <w:rsid w:val="0038552B"/>
    <w:rsid w:val="00390CCE"/>
    <w:rsid w:val="003955AE"/>
    <w:rsid w:val="003A03D5"/>
    <w:rsid w:val="003A631E"/>
    <w:rsid w:val="003A7AD2"/>
    <w:rsid w:val="003D6D47"/>
    <w:rsid w:val="003E5CA4"/>
    <w:rsid w:val="003F0BB0"/>
    <w:rsid w:val="003F4741"/>
    <w:rsid w:val="00400C76"/>
    <w:rsid w:val="004208E5"/>
    <w:rsid w:val="00422FA1"/>
    <w:rsid w:val="0042779A"/>
    <w:rsid w:val="0043126D"/>
    <w:rsid w:val="00431A68"/>
    <w:rsid w:val="004418F8"/>
    <w:rsid w:val="004429D1"/>
    <w:rsid w:val="004525E8"/>
    <w:rsid w:val="00453DCA"/>
    <w:rsid w:val="0046055C"/>
    <w:rsid w:val="00476271"/>
    <w:rsid w:val="00486ECA"/>
    <w:rsid w:val="00493154"/>
    <w:rsid w:val="00493DC7"/>
    <w:rsid w:val="004A6146"/>
    <w:rsid w:val="004B447B"/>
    <w:rsid w:val="004C1E75"/>
    <w:rsid w:val="004C4F15"/>
    <w:rsid w:val="004C70CD"/>
    <w:rsid w:val="004E6E5A"/>
    <w:rsid w:val="0050378D"/>
    <w:rsid w:val="00515F60"/>
    <w:rsid w:val="00520341"/>
    <w:rsid w:val="005237C4"/>
    <w:rsid w:val="0052405C"/>
    <w:rsid w:val="005345EC"/>
    <w:rsid w:val="005421D1"/>
    <w:rsid w:val="00545425"/>
    <w:rsid w:val="00545C61"/>
    <w:rsid w:val="00547612"/>
    <w:rsid w:val="005501C2"/>
    <w:rsid w:val="00562215"/>
    <w:rsid w:val="00562E3B"/>
    <w:rsid w:val="005646A9"/>
    <w:rsid w:val="0057432F"/>
    <w:rsid w:val="00575DCD"/>
    <w:rsid w:val="00584980"/>
    <w:rsid w:val="00584E0B"/>
    <w:rsid w:val="005850A8"/>
    <w:rsid w:val="005A0756"/>
    <w:rsid w:val="005D0B02"/>
    <w:rsid w:val="006062CC"/>
    <w:rsid w:val="006179FA"/>
    <w:rsid w:val="00621758"/>
    <w:rsid w:val="006235E4"/>
    <w:rsid w:val="0062586F"/>
    <w:rsid w:val="00630E84"/>
    <w:rsid w:val="00631FDF"/>
    <w:rsid w:val="00634CCB"/>
    <w:rsid w:val="00645DCD"/>
    <w:rsid w:val="006470B2"/>
    <w:rsid w:val="006836FA"/>
    <w:rsid w:val="00685AD0"/>
    <w:rsid w:val="00694367"/>
    <w:rsid w:val="006A2467"/>
    <w:rsid w:val="006A6F88"/>
    <w:rsid w:val="006B37D6"/>
    <w:rsid w:val="006B3BDE"/>
    <w:rsid w:val="006B6184"/>
    <w:rsid w:val="006D1E23"/>
    <w:rsid w:val="006D4856"/>
    <w:rsid w:val="006E4F73"/>
    <w:rsid w:val="006F005D"/>
    <w:rsid w:val="006F40E3"/>
    <w:rsid w:val="006F613D"/>
    <w:rsid w:val="00703EB1"/>
    <w:rsid w:val="0071287D"/>
    <w:rsid w:val="00715D5A"/>
    <w:rsid w:val="00725FFD"/>
    <w:rsid w:val="007367A4"/>
    <w:rsid w:val="00737E4B"/>
    <w:rsid w:val="00745934"/>
    <w:rsid w:val="007504F5"/>
    <w:rsid w:val="007548F8"/>
    <w:rsid w:val="00754B6E"/>
    <w:rsid w:val="007605F6"/>
    <w:rsid w:val="00767FCF"/>
    <w:rsid w:val="007701C5"/>
    <w:rsid w:val="00773BBC"/>
    <w:rsid w:val="007874FF"/>
    <w:rsid w:val="007932B4"/>
    <w:rsid w:val="007B08F3"/>
    <w:rsid w:val="007B1984"/>
    <w:rsid w:val="007C3142"/>
    <w:rsid w:val="007C5D84"/>
    <w:rsid w:val="007D040F"/>
    <w:rsid w:val="007E36D3"/>
    <w:rsid w:val="007F1DF6"/>
    <w:rsid w:val="00803344"/>
    <w:rsid w:val="00806F69"/>
    <w:rsid w:val="0083708F"/>
    <w:rsid w:val="00837952"/>
    <w:rsid w:val="00843159"/>
    <w:rsid w:val="00845C3B"/>
    <w:rsid w:val="0084660D"/>
    <w:rsid w:val="008516C8"/>
    <w:rsid w:val="00853EE5"/>
    <w:rsid w:val="00860B0E"/>
    <w:rsid w:val="00861239"/>
    <w:rsid w:val="008716E5"/>
    <w:rsid w:val="008742CA"/>
    <w:rsid w:val="00874F7E"/>
    <w:rsid w:val="0087543E"/>
    <w:rsid w:val="00876FAC"/>
    <w:rsid w:val="00897E60"/>
    <w:rsid w:val="008A0344"/>
    <w:rsid w:val="008A21FF"/>
    <w:rsid w:val="008B56A7"/>
    <w:rsid w:val="008B76ED"/>
    <w:rsid w:val="008C27DC"/>
    <w:rsid w:val="008C528F"/>
    <w:rsid w:val="008C6C7E"/>
    <w:rsid w:val="008C7D86"/>
    <w:rsid w:val="008D60AB"/>
    <w:rsid w:val="008E07B1"/>
    <w:rsid w:val="008E2744"/>
    <w:rsid w:val="008E345A"/>
    <w:rsid w:val="008F54C7"/>
    <w:rsid w:val="008F685A"/>
    <w:rsid w:val="0090589E"/>
    <w:rsid w:val="0091713C"/>
    <w:rsid w:val="00925426"/>
    <w:rsid w:val="00930558"/>
    <w:rsid w:val="00931060"/>
    <w:rsid w:val="009331F5"/>
    <w:rsid w:val="00944433"/>
    <w:rsid w:val="00945858"/>
    <w:rsid w:val="009510FD"/>
    <w:rsid w:val="00952E8D"/>
    <w:rsid w:val="00962D5D"/>
    <w:rsid w:val="00970323"/>
    <w:rsid w:val="0097434A"/>
    <w:rsid w:val="0097516D"/>
    <w:rsid w:val="009831BF"/>
    <w:rsid w:val="00984A7A"/>
    <w:rsid w:val="00986B2B"/>
    <w:rsid w:val="009904F1"/>
    <w:rsid w:val="009961A9"/>
    <w:rsid w:val="00997D80"/>
    <w:rsid w:val="009A065C"/>
    <w:rsid w:val="009C5269"/>
    <w:rsid w:val="009D0E2F"/>
    <w:rsid w:val="009D35F3"/>
    <w:rsid w:val="009D3C0C"/>
    <w:rsid w:val="009E1D26"/>
    <w:rsid w:val="009E4197"/>
    <w:rsid w:val="00A0135E"/>
    <w:rsid w:val="00A07B1D"/>
    <w:rsid w:val="00A07D0E"/>
    <w:rsid w:val="00A2391A"/>
    <w:rsid w:val="00A2791D"/>
    <w:rsid w:val="00A31426"/>
    <w:rsid w:val="00A352ED"/>
    <w:rsid w:val="00A4708D"/>
    <w:rsid w:val="00A51F99"/>
    <w:rsid w:val="00A5665D"/>
    <w:rsid w:val="00A629EE"/>
    <w:rsid w:val="00A63EFB"/>
    <w:rsid w:val="00A662BC"/>
    <w:rsid w:val="00A712AC"/>
    <w:rsid w:val="00A77698"/>
    <w:rsid w:val="00A97806"/>
    <w:rsid w:val="00AA7B41"/>
    <w:rsid w:val="00AB53EC"/>
    <w:rsid w:val="00AC6E3E"/>
    <w:rsid w:val="00AD27ED"/>
    <w:rsid w:val="00AD501E"/>
    <w:rsid w:val="00AE1E3E"/>
    <w:rsid w:val="00AE24E8"/>
    <w:rsid w:val="00AE3FBB"/>
    <w:rsid w:val="00AE4C2D"/>
    <w:rsid w:val="00AF5306"/>
    <w:rsid w:val="00AF563A"/>
    <w:rsid w:val="00B0203E"/>
    <w:rsid w:val="00B3499E"/>
    <w:rsid w:val="00B51169"/>
    <w:rsid w:val="00B52AA1"/>
    <w:rsid w:val="00B54AF4"/>
    <w:rsid w:val="00B60933"/>
    <w:rsid w:val="00B6104B"/>
    <w:rsid w:val="00B62D3C"/>
    <w:rsid w:val="00B745A9"/>
    <w:rsid w:val="00B9147B"/>
    <w:rsid w:val="00B93213"/>
    <w:rsid w:val="00BB037E"/>
    <w:rsid w:val="00BB620A"/>
    <w:rsid w:val="00BC6479"/>
    <w:rsid w:val="00BE2819"/>
    <w:rsid w:val="00BE5249"/>
    <w:rsid w:val="00BF024A"/>
    <w:rsid w:val="00C020CC"/>
    <w:rsid w:val="00C247D8"/>
    <w:rsid w:val="00C24BDA"/>
    <w:rsid w:val="00C256AB"/>
    <w:rsid w:val="00C31F64"/>
    <w:rsid w:val="00C324B2"/>
    <w:rsid w:val="00C333D4"/>
    <w:rsid w:val="00C33B6A"/>
    <w:rsid w:val="00C35A59"/>
    <w:rsid w:val="00C47994"/>
    <w:rsid w:val="00C47CA3"/>
    <w:rsid w:val="00C54487"/>
    <w:rsid w:val="00C673A6"/>
    <w:rsid w:val="00C674CB"/>
    <w:rsid w:val="00C7094B"/>
    <w:rsid w:val="00C73C3A"/>
    <w:rsid w:val="00C7661B"/>
    <w:rsid w:val="00C80583"/>
    <w:rsid w:val="00C8553A"/>
    <w:rsid w:val="00CB13B5"/>
    <w:rsid w:val="00CB217D"/>
    <w:rsid w:val="00CC6E7A"/>
    <w:rsid w:val="00CD4936"/>
    <w:rsid w:val="00CE03F1"/>
    <w:rsid w:val="00CF1352"/>
    <w:rsid w:val="00CF281A"/>
    <w:rsid w:val="00CF54E0"/>
    <w:rsid w:val="00CF6FAE"/>
    <w:rsid w:val="00D022AC"/>
    <w:rsid w:val="00D06F9E"/>
    <w:rsid w:val="00D10C9E"/>
    <w:rsid w:val="00D14308"/>
    <w:rsid w:val="00D2527D"/>
    <w:rsid w:val="00D25A19"/>
    <w:rsid w:val="00D335AC"/>
    <w:rsid w:val="00D57BEA"/>
    <w:rsid w:val="00D67522"/>
    <w:rsid w:val="00D73098"/>
    <w:rsid w:val="00D83F42"/>
    <w:rsid w:val="00D85427"/>
    <w:rsid w:val="00D9095E"/>
    <w:rsid w:val="00D91D16"/>
    <w:rsid w:val="00D94719"/>
    <w:rsid w:val="00DA0C13"/>
    <w:rsid w:val="00DB2AD4"/>
    <w:rsid w:val="00DB4CA4"/>
    <w:rsid w:val="00DC0575"/>
    <w:rsid w:val="00DC6DC3"/>
    <w:rsid w:val="00DD0DDF"/>
    <w:rsid w:val="00DD6308"/>
    <w:rsid w:val="00DD6B73"/>
    <w:rsid w:val="00DE1722"/>
    <w:rsid w:val="00DE276B"/>
    <w:rsid w:val="00DF2B2D"/>
    <w:rsid w:val="00E073F4"/>
    <w:rsid w:val="00E16F4C"/>
    <w:rsid w:val="00E20988"/>
    <w:rsid w:val="00E21D76"/>
    <w:rsid w:val="00E35B2F"/>
    <w:rsid w:val="00E3687B"/>
    <w:rsid w:val="00E41587"/>
    <w:rsid w:val="00E41D36"/>
    <w:rsid w:val="00E65605"/>
    <w:rsid w:val="00E67174"/>
    <w:rsid w:val="00E70FEF"/>
    <w:rsid w:val="00E72875"/>
    <w:rsid w:val="00E729D3"/>
    <w:rsid w:val="00EA0552"/>
    <w:rsid w:val="00EA0697"/>
    <w:rsid w:val="00EA1359"/>
    <w:rsid w:val="00EA52C1"/>
    <w:rsid w:val="00EB4B0D"/>
    <w:rsid w:val="00EC142A"/>
    <w:rsid w:val="00EC5424"/>
    <w:rsid w:val="00EC73C8"/>
    <w:rsid w:val="00EF0D6C"/>
    <w:rsid w:val="00F13CC0"/>
    <w:rsid w:val="00F15816"/>
    <w:rsid w:val="00F1635E"/>
    <w:rsid w:val="00F208D5"/>
    <w:rsid w:val="00F2288F"/>
    <w:rsid w:val="00F22D7A"/>
    <w:rsid w:val="00F5005D"/>
    <w:rsid w:val="00F55326"/>
    <w:rsid w:val="00F6720D"/>
    <w:rsid w:val="00F80040"/>
    <w:rsid w:val="00F85E38"/>
    <w:rsid w:val="00F91EE2"/>
    <w:rsid w:val="00F94730"/>
    <w:rsid w:val="00F95AF2"/>
    <w:rsid w:val="00FA3059"/>
    <w:rsid w:val="00FB211F"/>
    <w:rsid w:val="00FB4BDE"/>
    <w:rsid w:val="00FB6525"/>
    <w:rsid w:val="00FD56CF"/>
    <w:rsid w:val="00FE20E2"/>
    <w:rsid w:val="00FE707F"/>
    <w:rsid w:val="00FF03D4"/>
    <w:rsid w:val="00FF05E0"/>
    <w:rsid w:val="00FF2F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44E663-D222-4702-A92E-687D89FA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36"/>
    <w:pPr>
      <w:jc w:val="both"/>
    </w:pPr>
    <w:rPr>
      <w:rFonts w:ascii="Times New Roman" w:hAnsi="Times New Roman"/>
      <w:sz w:val="28"/>
    </w:rPr>
  </w:style>
  <w:style w:type="paragraph" w:styleId="Heading1">
    <w:name w:val="heading 1"/>
    <w:basedOn w:val="Normal"/>
    <w:next w:val="Normal"/>
    <w:link w:val="Heading1Char"/>
    <w:uiPriority w:val="9"/>
    <w:qFormat/>
    <w:rsid w:val="00230953"/>
    <w:pPr>
      <w:keepNext/>
      <w:keepLines/>
      <w:spacing w:before="240" w:after="0"/>
      <w:jc w:val="center"/>
      <w:outlineLvl w:val="0"/>
    </w:pPr>
    <w:rPr>
      <w:rFonts w:eastAsiaTheme="majorEastAsia" w:cstheme="majorBidi"/>
      <w:b/>
      <w:sz w:val="32"/>
      <w:szCs w:val="32"/>
      <w:lang w:val="en-US"/>
    </w:rPr>
  </w:style>
  <w:style w:type="paragraph" w:styleId="Heading2">
    <w:name w:val="heading 2"/>
    <w:basedOn w:val="Normal"/>
    <w:next w:val="Normal"/>
    <w:link w:val="Heading2Char"/>
    <w:uiPriority w:val="9"/>
    <w:unhideWhenUsed/>
    <w:qFormat/>
    <w:rsid w:val="00AC6E3E"/>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1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1D76"/>
    <w:rPr>
      <w:color w:val="0563C1" w:themeColor="hyperlink"/>
      <w:u w:val="single"/>
    </w:rPr>
  </w:style>
  <w:style w:type="character" w:customStyle="1" w:styleId="Heading1Char">
    <w:name w:val="Heading 1 Char"/>
    <w:basedOn w:val="DefaultParagraphFont"/>
    <w:link w:val="Heading1"/>
    <w:uiPriority w:val="9"/>
    <w:rsid w:val="00230953"/>
    <w:rPr>
      <w:rFonts w:ascii="Times New Roman" w:eastAsiaTheme="majorEastAsia" w:hAnsi="Times New Roman" w:cstheme="majorBidi"/>
      <w:b/>
      <w:sz w:val="32"/>
      <w:szCs w:val="32"/>
      <w:lang w:val="en-US"/>
    </w:rPr>
  </w:style>
  <w:style w:type="paragraph" w:styleId="FootnoteText">
    <w:name w:val="footnote text"/>
    <w:aliases w:val="Char,Знак1,single space,FOOTNOTES,fn,Footnote Text Char1,Footnote Text Char2 Char,Footnote Text Char1 Char Char,Footnote Text Char2 Char Char Char,Footnote Text Char1 Char Char Char Char,Cha,A,Знак, Char, Знак1, Знак,footnote text, Cha,ft"/>
    <w:basedOn w:val="Normal"/>
    <w:link w:val="FootnoteTextChar"/>
    <w:uiPriority w:val="99"/>
    <w:unhideWhenUsed/>
    <w:qFormat/>
    <w:rsid w:val="00E21D76"/>
    <w:pPr>
      <w:spacing w:after="0" w:line="240" w:lineRule="auto"/>
    </w:pPr>
    <w:rPr>
      <w:sz w:val="20"/>
      <w:szCs w:val="20"/>
      <w:lang w:val="en-US"/>
    </w:rPr>
  </w:style>
  <w:style w:type="character" w:customStyle="1" w:styleId="FootnoteTextChar">
    <w:name w:val="Footnote Text Char"/>
    <w:aliases w:val="Char Char,Знак1 Char,single space Char,FOOTNOTES Char,fn Char,Footnote Text Char1 Char,Footnote Text Char2 Char Char,Footnote Text Char1 Char Char Char,Footnote Text Char2 Char Char Char Char,Cha Char,A Char,Знак Char, Char Char"/>
    <w:basedOn w:val="DefaultParagraphFont"/>
    <w:link w:val="FootnoteText"/>
    <w:uiPriority w:val="99"/>
    <w:rsid w:val="00E21D76"/>
    <w:rPr>
      <w:sz w:val="20"/>
      <w:szCs w:val="20"/>
      <w:lang w:val="en-US"/>
    </w:rPr>
  </w:style>
  <w:style w:type="character" w:styleId="FootnoteReference">
    <w:name w:val="footnote reference"/>
    <w:aliases w:val="ftref,Times 10 Point,Exposant 3 Point,Footnote symbol,Footnote reference number,EN Footnote Reference,note TESI,16 Point,Superscript 6 Point,BVI fnr,Footnote Text Char2,FOOTNOTES Char1,fn Char1,single space Char1,ft Char1,Ref,fr"/>
    <w:basedOn w:val="DefaultParagraphFont"/>
    <w:link w:val="FNRefeCharChar"/>
    <w:uiPriority w:val="99"/>
    <w:unhideWhenUsed/>
    <w:rsid w:val="00E21D76"/>
    <w:rPr>
      <w:vertAlign w:val="superscript"/>
    </w:rPr>
  </w:style>
  <w:style w:type="paragraph" w:customStyle="1" w:styleId="tt">
    <w:name w:val="tt"/>
    <w:basedOn w:val="Normal"/>
    <w:uiPriority w:val="99"/>
    <w:qFormat/>
    <w:rsid w:val="00E21D76"/>
    <w:pPr>
      <w:spacing w:after="0" w:line="240" w:lineRule="auto"/>
      <w:contextualSpacing/>
      <w:jc w:val="center"/>
    </w:pPr>
    <w:rPr>
      <w:rFonts w:eastAsia="Times New Roman" w:cs="Times New Roman"/>
      <w:b/>
      <w:bCs/>
      <w:sz w:val="24"/>
      <w:szCs w:val="24"/>
      <w:lang w:val="en-US"/>
    </w:rPr>
  </w:style>
  <w:style w:type="paragraph" w:customStyle="1" w:styleId="cn">
    <w:name w:val="cn"/>
    <w:basedOn w:val="Normal"/>
    <w:uiPriority w:val="99"/>
    <w:rsid w:val="00E21D76"/>
    <w:pPr>
      <w:spacing w:after="0" w:line="240" w:lineRule="auto"/>
      <w:jc w:val="center"/>
    </w:pPr>
    <w:rPr>
      <w:rFonts w:eastAsia="Times New Roman" w:cs="Times New Roman"/>
      <w:sz w:val="24"/>
      <w:szCs w:val="24"/>
      <w:lang w:val="ru-RU" w:eastAsia="ru-RU"/>
    </w:rPr>
  </w:style>
  <w:style w:type="paragraph" w:styleId="ListParagraph">
    <w:name w:val="List Paragraph"/>
    <w:aliases w:val="Scriptoria bullet points,List Paragraph 1,Абзац списка1"/>
    <w:basedOn w:val="Normal"/>
    <w:link w:val="ListParagraphChar"/>
    <w:uiPriority w:val="34"/>
    <w:qFormat/>
    <w:rsid w:val="00E21D76"/>
    <w:pPr>
      <w:ind w:left="720"/>
      <w:contextualSpacing/>
    </w:pPr>
    <w:rPr>
      <w:lang w:val="en-US"/>
    </w:rPr>
  </w:style>
  <w:style w:type="table" w:customStyle="1" w:styleId="1">
    <w:name w:val="Сетка таблицы1"/>
    <w:basedOn w:val="TableNormal"/>
    <w:next w:val="TableGrid"/>
    <w:uiPriority w:val="59"/>
    <w:rsid w:val="00E21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
    <w:basedOn w:val="Normal"/>
    <w:uiPriority w:val="99"/>
    <w:unhideWhenUsed/>
    <w:qFormat/>
    <w:rsid w:val="00E21D76"/>
    <w:rPr>
      <w:rFonts w:cs="Times New Roman"/>
      <w:sz w:val="24"/>
      <w:szCs w:val="24"/>
      <w:lang w:val="en-US"/>
    </w:rPr>
  </w:style>
  <w:style w:type="character" w:customStyle="1" w:styleId="ListParagraphChar">
    <w:name w:val="List Paragraph Char"/>
    <w:aliases w:val="Scriptoria bullet points Char,List Paragraph 1 Char,Абзац списка1 Char"/>
    <w:link w:val="ListParagraph"/>
    <w:uiPriority w:val="34"/>
    <w:locked/>
    <w:rsid w:val="00E21D76"/>
    <w:rPr>
      <w:lang w:val="en-US"/>
    </w:rPr>
  </w:style>
  <w:style w:type="paragraph" w:styleId="TOC1">
    <w:name w:val="toc 1"/>
    <w:basedOn w:val="Normal"/>
    <w:next w:val="Normal"/>
    <w:autoRedefine/>
    <w:uiPriority w:val="39"/>
    <w:unhideWhenUsed/>
    <w:rsid w:val="00E21D76"/>
    <w:pPr>
      <w:tabs>
        <w:tab w:val="left" w:pos="426"/>
        <w:tab w:val="right" w:leader="dot" w:pos="9679"/>
      </w:tabs>
      <w:spacing w:after="100"/>
    </w:pPr>
    <w:rPr>
      <w:lang w:val="en-US"/>
    </w:rPr>
  </w:style>
  <w:style w:type="paragraph" w:styleId="TOC2">
    <w:name w:val="toc 2"/>
    <w:basedOn w:val="Normal"/>
    <w:next w:val="Normal"/>
    <w:autoRedefine/>
    <w:uiPriority w:val="39"/>
    <w:unhideWhenUsed/>
    <w:rsid w:val="00E21D76"/>
    <w:pPr>
      <w:tabs>
        <w:tab w:val="right" w:leader="dot" w:pos="9679"/>
      </w:tabs>
      <w:spacing w:after="100"/>
      <w:ind w:left="220"/>
    </w:pPr>
    <w:rPr>
      <w:rFonts w:eastAsia="Times New Roman" w:cs="Times New Roman"/>
      <w:b/>
      <w:noProof/>
      <w:szCs w:val="28"/>
      <w:lang w:val="en-US"/>
    </w:rPr>
  </w:style>
  <w:style w:type="paragraph" w:styleId="Header">
    <w:name w:val="header"/>
    <w:basedOn w:val="Normal"/>
    <w:link w:val="HeaderChar"/>
    <w:uiPriority w:val="99"/>
    <w:unhideWhenUsed/>
    <w:rsid w:val="00E21D76"/>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E21D76"/>
    <w:rPr>
      <w:lang w:val="en-US"/>
    </w:rPr>
  </w:style>
  <w:style w:type="paragraph" w:styleId="Footer">
    <w:name w:val="footer"/>
    <w:basedOn w:val="Normal"/>
    <w:link w:val="FooterChar"/>
    <w:uiPriority w:val="99"/>
    <w:unhideWhenUsed/>
    <w:rsid w:val="00E21D76"/>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E21D76"/>
    <w:rPr>
      <w:lang w:val="en-US"/>
    </w:rPr>
  </w:style>
  <w:style w:type="paragraph" w:styleId="BalloonText">
    <w:name w:val="Balloon Text"/>
    <w:basedOn w:val="Normal"/>
    <w:link w:val="BalloonTextChar"/>
    <w:uiPriority w:val="99"/>
    <w:semiHidden/>
    <w:unhideWhenUsed/>
    <w:rsid w:val="00E21D76"/>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E21D76"/>
    <w:rPr>
      <w:rFonts w:ascii="Segoe UI" w:hAnsi="Segoe UI" w:cs="Segoe UI"/>
      <w:sz w:val="18"/>
      <w:szCs w:val="18"/>
      <w:lang w:val="en-US"/>
    </w:rPr>
  </w:style>
  <w:style w:type="character" w:customStyle="1" w:styleId="apple-converted-space">
    <w:name w:val="apple-converted-space"/>
    <w:basedOn w:val="DefaultParagraphFont"/>
    <w:rsid w:val="00E21D76"/>
  </w:style>
  <w:style w:type="character" w:styleId="CommentReference">
    <w:name w:val="annotation reference"/>
    <w:basedOn w:val="DefaultParagraphFont"/>
    <w:uiPriority w:val="99"/>
    <w:semiHidden/>
    <w:unhideWhenUsed/>
    <w:rsid w:val="00E21D76"/>
    <w:rPr>
      <w:sz w:val="16"/>
      <w:szCs w:val="16"/>
    </w:rPr>
  </w:style>
  <w:style w:type="paragraph" w:styleId="CommentText">
    <w:name w:val="annotation text"/>
    <w:basedOn w:val="Normal"/>
    <w:link w:val="CommentTextChar"/>
    <w:uiPriority w:val="99"/>
    <w:semiHidden/>
    <w:unhideWhenUsed/>
    <w:rsid w:val="00E21D76"/>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E21D76"/>
    <w:rPr>
      <w:sz w:val="20"/>
      <w:szCs w:val="20"/>
      <w:lang w:val="en-US"/>
    </w:rPr>
  </w:style>
  <w:style w:type="paragraph" w:styleId="CommentSubject">
    <w:name w:val="annotation subject"/>
    <w:basedOn w:val="CommentText"/>
    <w:next w:val="CommentText"/>
    <w:link w:val="CommentSubjectChar"/>
    <w:uiPriority w:val="99"/>
    <w:semiHidden/>
    <w:unhideWhenUsed/>
    <w:rsid w:val="00E21D76"/>
    <w:rPr>
      <w:b/>
      <w:bCs/>
    </w:rPr>
  </w:style>
  <w:style w:type="character" w:customStyle="1" w:styleId="CommentSubjectChar">
    <w:name w:val="Comment Subject Char"/>
    <w:basedOn w:val="CommentTextChar"/>
    <w:link w:val="CommentSubject"/>
    <w:uiPriority w:val="99"/>
    <w:semiHidden/>
    <w:rsid w:val="00E21D76"/>
    <w:rPr>
      <w:b/>
      <w:bCs/>
      <w:sz w:val="20"/>
      <w:szCs w:val="20"/>
      <w:lang w:val="en-US"/>
    </w:rPr>
  </w:style>
  <w:style w:type="paragraph" w:styleId="NoSpacing">
    <w:name w:val="No Spacing"/>
    <w:uiPriority w:val="1"/>
    <w:qFormat/>
    <w:rsid w:val="00E21D76"/>
    <w:pPr>
      <w:spacing w:after="0" w:line="240" w:lineRule="auto"/>
    </w:pPr>
    <w:rPr>
      <w:lang w:val="en-US"/>
    </w:rPr>
  </w:style>
  <w:style w:type="paragraph" w:customStyle="1" w:styleId="Style6">
    <w:name w:val="Style6"/>
    <w:basedOn w:val="Normal"/>
    <w:uiPriority w:val="99"/>
    <w:rsid w:val="00E21D76"/>
    <w:pPr>
      <w:widowControl w:val="0"/>
      <w:autoSpaceDE w:val="0"/>
      <w:autoSpaceDN w:val="0"/>
      <w:adjustRightInd w:val="0"/>
      <w:spacing w:after="0" w:line="324" w:lineRule="exact"/>
      <w:ind w:firstLine="662"/>
    </w:pPr>
    <w:rPr>
      <w:rFonts w:eastAsiaTheme="minorEastAsia" w:cs="Times New Roman"/>
      <w:sz w:val="24"/>
      <w:szCs w:val="24"/>
      <w:lang w:val="en-US"/>
    </w:rPr>
  </w:style>
  <w:style w:type="character" w:customStyle="1" w:styleId="FontStyle17">
    <w:name w:val="Font Style17"/>
    <w:basedOn w:val="DefaultParagraphFont"/>
    <w:uiPriority w:val="99"/>
    <w:rsid w:val="00E21D76"/>
    <w:rPr>
      <w:rFonts w:ascii="Times New Roman" w:hAnsi="Times New Roman" w:cs="Times New Roman" w:hint="default"/>
      <w:color w:val="000000"/>
      <w:sz w:val="26"/>
      <w:szCs w:val="26"/>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634CCB"/>
    <w:pPr>
      <w:spacing w:line="240" w:lineRule="exact"/>
    </w:pPr>
    <w:rPr>
      <w:vertAlign w:val="superscript"/>
    </w:rPr>
  </w:style>
  <w:style w:type="character" w:customStyle="1" w:styleId="Heading2Char">
    <w:name w:val="Heading 2 Char"/>
    <w:basedOn w:val="DefaultParagraphFont"/>
    <w:link w:val="Heading2"/>
    <w:uiPriority w:val="9"/>
    <w:rsid w:val="0001248A"/>
    <w:rPr>
      <w:rFonts w:ascii="Times New Roman" w:eastAsiaTheme="majorEastAsia" w:hAnsi="Times New Roman" w:cstheme="majorBidi"/>
      <w:b/>
      <w:sz w:val="28"/>
      <w:szCs w:val="26"/>
    </w:rPr>
  </w:style>
  <w:style w:type="character" w:styleId="Strong">
    <w:name w:val="Strong"/>
    <w:basedOn w:val="DefaultParagraphFont"/>
    <w:uiPriority w:val="22"/>
    <w:qFormat/>
    <w:rsid w:val="000150CB"/>
    <w:rPr>
      <w:b/>
      <w:bCs/>
    </w:rPr>
  </w:style>
  <w:style w:type="paragraph" w:customStyle="1" w:styleId="FootnoteReferneceChar">
    <w:name w:val="Footnote Refernece Char"/>
    <w:aliases w:val="BVI fnr Char, BVI fnr Char,callout Char,ftref Char,Footnotes refss Char,Fussnota Char,Footnote symbol Char,Footnote reference number Char,Times 10 Point Char,Exposant 3 Point Char,EN Footnote Reference Ch"/>
    <w:basedOn w:val="Normal"/>
    <w:next w:val="Normal"/>
    <w:uiPriority w:val="99"/>
    <w:rsid w:val="00A352ED"/>
    <w:pPr>
      <w:spacing w:line="240" w:lineRule="exact"/>
      <w:jc w:val="left"/>
    </w:pPr>
    <w:rPr>
      <w:rFonts w:asciiTheme="minorHAnsi" w:hAnsiTheme="minorHAnsi"/>
      <w:sz w:val="22"/>
      <w:vertAlign w:val="superscript"/>
    </w:rPr>
  </w:style>
  <w:style w:type="table" w:customStyle="1" w:styleId="GridTable2-Accent11">
    <w:name w:val="Grid Table 2 - Accent 11"/>
    <w:basedOn w:val="TableNormal"/>
    <w:uiPriority w:val="47"/>
    <w:rsid w:val="0037606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3-Accent11">
    <w:name w:val="List Table 3 - Accent 11"/>
    <w:basedOn w:val="TableNormal"/>
    <w:uiPriority w:val="48"/>
    <w:rsid w:val="0037606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10">
    <w:name w:val="Стиль1"/>
    <w:basedOn w:val="NormalWeb"/>
    <w:link w:val="11"/>
    <w:qFormat/>
    <w:rsid w:val="0083708F"/>
    <w:pPr>
      <w:spacing w:after="0" w:line="240" w:lineRule="auto"/>
    </w:pPr>
    <w:rPr>
      <w:rFonts w:eastAsia="Times New Roman"/>
      <w:sz w:val="20"/>
      <w:szCs w:val="20"/>
    </w:rPr>
  </w:style>
  <w:style w:type="character" w:customStyle="1" w:styleId="11">
    <w:name w:val="Стиль1 Знак"/>
    <w:link w:val="10"/>
    <w:rsid w:val="0083708F"/>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305">
      <w:bodyDiv w:val="1"/>
      <w:marLeft w:val="0"/>
      <w:marRight w:val="0"/>
      <w:marTop w:val="0"/>
      <w:marBottom w:val="0"/>
      <w:divBdr>
        <w:top w:val="none" w:sz="0" w:space="0" w:color="auto"/>
        <w:left w:val="none" w:sz="0" w:space="0" w:color="auto"/>
        <w:bottom w:val="none" w:sz="0" w:space="0" w:color="auto"/>
        <w:right w:val="none" w:sz="0" w:space="0" w:color="auto"/>
      </w:divBdr>
    </w:div>
    <w:div w:id="53966085">
      <w:bodyDiv w:val="1"/>
      <w:marLeft w:val="0"/>
      <w:marRight w:val="0"/>
      <w:marTop w:val="0"/>
      <w:marBottom w:val="0"/>
      <w:divBdr>
        <w:top w:val="none" w:sz="0" w:space="0" w:color="auto"/>
        <w:left w:val="none" w:sz="0" w:space="0" w:color="auto"/>
        <w:bottom w:val="none" w:sz="0" w:space="0" w:color="auto"/>
        <w:right w:val="none" w:sz="0" w:space="0" w:color="auto"/>
      </w:divBdr>
    </w:div>
    <w:div w:id="135491976">
      <w:bodyDiv w:val="1"/>
      <w:marLeft w:val="0"/>
      <w:marRight w:val="0"/>
      <w:marTop w:val="0"/>
      <w:marBottom w:val="0"/>
      <w:divBdr>
        <w:top w:val="none" w:sz="0" w:space="0" w:color="auto"/>
        <w:left w:val="none" w:sz="0" w:space="0" w:color="auto"/>
        <w:bottom w:val="none" w:sz="0" w:space="0" w:color="auto"/>
        <w:right w:val="none" w:sz="0" w:space="0" w:color="auto"/>
      </w:divBdr>
    </w:div>
    <w:div w:id="160243650">
      <w:bodyDiv w:val="1"/>
      <w:marLeft w:val="0"/>
      <w:marRight w:val="0"/>
      <w:marTop w:val="0"/>
      <w:marBottom w:val="0"/>
      <w:divBdr>
        <w:top w:val="none" w:sz="0" w:space="0" w:color="auto"/>
        <w:left w:val="none" w:sz="0" w:space="0" w:color="auto"/>
        <w:bottom w:val="none" w:sz="0" w:space="0" w:color="auto"/>
        <w:right w:val="none" w:sz="0" w:space="0" w:color="auto"/>
      </w:divBdr>
    </w:div>
    <w:div w:id="332414201">
      <w:bodyDiv w:val="1"/>
      <w:marLeft w:val="0"/>
      <w:marRight w:val="0"/>
      <w:marTop w:val="0"/>
      <w:marBottom w:val="0"/>
      <w:divBdr>
        <w:top w:val="none" w:sz="0" w:space="0" w:color="auto"/>
        <w:left w:val="none" w:sz="0" w:space="0" w:color="auto"/>
        <w:bottom w:val="none" w:sz="0" w:space="0" w:color="auto"/>
        <w:right w:val="none" w:sz="0" w:space="0" w:color="auto"/>
      </w:divBdr>
    </w:div>
    <w:div w:id="366492971">
      <w:bodyDiv w:val="1"/>
      <w:marLeft w:val="0"/>
      <w:marRight w:val="0"/>
      <w:marTop w:val="0"/>
      <w:marBottom w:val="0"/>
      <w:divBdr>
        <w:top w:val="none" w:sz="0" w:space="0" w:color="auto"/>
        <w:left w:val="none" w:sz="0" w:space="0" w:color="auto"/>
        <w:bottom w:val="none" w:sz="0" w:space="0" w:color="auto"/>
        <w:right w:val="none" w:sz="0" w:space="0" w:color="auto"/>
      </w:divBdr>
    </w:div>
    <w:div w:id="383868249">
      <w:bodyDiv w:val="1"/>
      <w:marLeft w:val="0"/>
      <w:marRight w:val="0"/>
      <w:marTop w:val="0"/>
      <w:marBottom w:val="0"/>
      <w:divBdr>
        <w:top w:val="none" w:sz="0" w:space="0" w:color="auto"/>
        <w:left w:val="none" w:sz="0" w:space="0" w:color="auto"/>
        <w:bottom w:val="none" w:sz="0" w:space="0" w:color="auto"/>
        <w:right w:val="none" w:sz="0" w:space="0" w:color="auto"/>
      </w:divBdr>
    </w:div>
    <w:div w:id="394623130">
      <w:bodyDiv w:val="1"/>
      <w:marLeft w:val="0"/>
      <w:marRight w:val="0"/>
      <w:marTop w:val="0"/>
      <w:marBottom w:val="0"/>
      <w:divBdr>
        <w:top w:val="none" w:sz="0" w:space="0" w:color="auto"/>
        <w:left w:val="none" w:sz="0" w:space="0" w:color="auto"/>
        <w:bottom w:val="none" w:sz="0" w:space="0" w:color="auto"/>
        <w:right w:val="none" w:sz="0" w:space="0" w:color="auto"/>
      </w:divBdr>
    </w:div>
    <w:div w:id="438792312">
      <w:bodyDiv w:val="1"/>
      <w:marLeft w:val="0"/>
      <w:marRight w:val="0"/>
      <w:marTop w:val="0"/>
      <w:marBottom w:val="0"/>
      <w:divBdr>
        <w:top w:val="none" w:sz="0" w:space="0" w:color="auto"/>
        <w:left w:val="none" w:sz="0" w:space="0" w:color="auto"/>
        <w:bottom w:val="none" w:sz="0" w:space="0" w:color="auto"/>
        <w:right w:val="none" w:sz="0" w:space="0" w:color="auto"/>
      </w:divBdr>
    </w:div>
    <w:div w:id="481240226">
      <w:bodyDiv w:val="1"/>
      <w:marLeft w:val="0"/>
      <w:marRight w:val="0"/>
      <w:marTop w:val="0"/>
      <w:marBottom w:val="0"/>
      <w:divBdr>
        <w:top w:val="none" w:sz="0" w:space="0" w:color="auto"/>
        <w:left w:val="none" w:sz="0" w:space="0" w:color="auto"/>
        <w:bottom w:val="none" w:sz="0" w:space="0" w:color="auto"/>
        <w:right w:val="none" w:sz="0" w:space="0" w:color="auto"/>
      </w:divBdr>
    </w:div>
    <w:div w:id="551695842">
      <w:bodyDiv w:val="1"/>
      <w:marLeft w:val="0"/>
      <w:marRight w:val="0"/>
      <w:marTop w:val="0"/>
      <w:marBottom w:val="0"/>
      <w:divBdr>
        <w:top w:val="none" w:sz="0" w:space="0" w:color="auto"/>
        <w:left w:val="none" w:sz="0" w:space="0" w:color="auto"/>
        <w:bottom w:val="none" w:sz="0" w:space="0" w:color="auto"/>
        <w:right w:val="none" w:sz="0" w:space="0" w:color="auto"/>
      </w:divBdr>
    </w:div>
    <w:div w:id="576598939">
      <w:bodyDiv w:val="1"/>
      <w:marLeft w:val="0"/>
      <w:marRight w:val="0"/>
      <w:marTop w:val="0"/>
      <w:marBottom w:val="0"/>
      <w:divBdr>
        <w:top w:val="none" w:sz="0" w:space="0" w:color="auto"/>
        <w:left w:val="none" w:sz="0" w:space="0" w:color="auto"/>
        <w:bottom w:val="none" w:sz="0" w:space="0" w:color="auto"/>
        <w:right w:val="none" w:sz="0" w:space="0" w:color="auto"/>
      </w:divBdr>
    </w:div>
    <w:div w:id="705760997">
      <w:bodyDiv w:val="1"/>
      <w:marLeft w:val="0"/>
      <w:marRight w:val="0"/>
      <w:marTop w:val="0"/>
      <w:marBottom w:val="0"/>
      <w:divBdr>
        <w:top w:val="none" w:sz="0" w:space="0" w:color="auto"/>
        <w:left w:val="none" w:sz="0" w:space="0" w:color="auto"/>
        <w:bottom w:val="none" w:sz="0" w:space="0" w:color="auto"/>
        <w:right w:val="none" w:sz="0" w:space="0" w:color="auto"/>
      </w:divBdr>
    </w:div>
    <w:div w:id="732895730">
      <w:bodyDiv w:val="1"/>
      <w:marLeft w:val="0"/>
      <w:marRight w:val="0"/>
      <w:marTop w:val="0"/>
      <w:marBottom w:val="0"/>
      <w:divBdr>
        <w:top w:val="none" w:sz="0" w:space="0" w:color="auto"/>
        <w:left w:val="none" w:sz="0" w:space="0" w:color="auto"/>
        <w:bottom w:val="none" w:sz="0" w:space="0" w:color="auto"/>
        <w:right w:val="none" w:sz="0" w:space="0" w:color="auto"/>
      </w:divBdr>
    </w:div>
    <w:div w:id="897253664">
      <w:bodyDiv w:val="1"/>
      <w:marLeft w:val="0"/>
      <w:marRight w:val="0"/>
      <w:marTop w:val="0"/>
      <w:marBottom w:val="0"/>
      <w:divBdr>
        <w:top w:val="none" w:sz="0" w:space="0" w:color="auto"/>
        <w:left w:val="none" w:sz="0" w:space="0" w:color="auto"/>
        <w:bottom w:val="none" w:sz="0" w:space="0" w:color="auto"/>
        <w:right w:val="none" w:sz="0" w:space="0" w:color="auto"/>
      </w:divBdr>
    </w:div>
    <w:div w:id="971986294">
      <w:bodyDiv w:val="1"/>
      <w:marLeft w:val="0"/>
      <w:marRight w:val="0"/>
      <w:marTop w:val="0"/>
      <w:marBottom w:val="0"/>
      <w:divBdr>
        <w:top w:val="none" w:sz="0" w:space="0" w:color="auto"/>
        <w:left w:val="none" w:sz="0" w:space="0" w:color="auto"/>
        <w:bottom w:val="none" w:sz="0" w:space="0" w:color="auto"/>
        <w:right w:val="none" w:sz="0" w:space="0" w:color="auto"/>
      </w:divBdr>
    </w:div>
    <w:div w:id="1130247481">
      <w:bodyDiv w:val="1"/>
      <w:marLeft w:val="0"/>
      <w:marRight w:val="0"/>
      <w:marTop w:val="0"/>
      <w:marBottom w:val="0"/>
      <w:divBdr>
        <w:top w:val="none" w:sz="0" w:space="0" w:color="auto"/>
        <w:left w:val="none" w:sz="0" w:space="0" w:color="auto"/>
        <w:bottom w:val="none" w:sz="0" w:space="0" w:color="auto"/>
        <w:right w:val="none" w:sz="0" w:space="0" w:color="auto"/>
      </w:divBdr>
    </w:div>
    <w:div w:id="1162938897">
      <w:bodyDiv w:val="1"/>
      <w:marLeft w:val="0"/>
      <w:marRight w:val="0"/>
      <w:marTop w:val="0"/>
      <w:marBottom w:val="0"/>
      <w:divBdr>
        <w:top w:val="none" w:sz="0" w:space="0" w:color="auto"/>
        <w:left w:val="none" w:sz="0" w:space="0" w:color="auto"/>
        <w:bottom w:val="none" w:sz="0" w:space="0" w:color="auto"/>
        <w:right w:val="none" w:sz="0" w:space="0" w:color="auto"/>
      </w:divBdr>
    </w:div>
    <w:div w:id="1300771515">
      <w:bodyDiv w:val="1"/>
      <w:marLeft w:val="0"/>
      <w:marRight w:val="0"/>
      <w:marTop w:val="0"/>
      <w:marBottom w:val="0"/>
      <w:divBdr>
        <w:top w:val="none" w:sz="0" w:space="0" w:color="auto"/>
        <w:left w:val="none" w:sz="0" w:space="0" w:color="auto"/>
        <w:bottom w:val="none" w:sz="0" w:space="0" w:color="auto"/>
        <w:right w:val="none" w:sz="0" w:space="0" w:color="auto"/>
      </w:divBdr>
    </w:div>
    <w:div w:id="1344479705">
      <w:bodyDiv w:val="1"/>
      <w:marLeft w:val="0"/>
      <w:marRight w:val="0"/>
      <w:marTop w:val="0"/>
      <w:marBottom w:val="0"/>
      <w:divBdr>
        <w:top w:val="none" w:sz="0" w:space="0" w:color="auto"/>
        <w:left w:val="none" w:sz="0" w:space="0" w:color="auto"/>
        <w:bottom w:val="none" w:sz="0" w:space="0" w:color="auto"/>
        <w:right w:val="none" w:sz="0" w:space="0" w:color="auto"/>
      </w:divBdr>
    </w:div>
    <w:div w:id="1481653246">
      <w:bodyDiv w:val="1"/>
      <w:marLeft w:val="0"/>
      <w:marRight w:val="0"/>
      <w:marTop w:val="0"/>
      <w:marBottom w:val="0"/>
      <w:divBdr>
        <w:top w:val="none" w:sz="0" w:space="0" w:color="auto"/>
        <w:left w:val="none" w:sz="0" w:space="0" w:color="auto"/>
        <w:bottom w:val="none" w:sz="0" w:space="0" w:color="auto"/>
        <w:right w:val="none" w:sz="0" w:space="0" w:color="auto"/>
      </w:divBdr>
    </w:div>
    <w:div w:id="1825198558">
      <w:bodyDiv w:val="1"/>
      <w:marLeft w:val="0"/>
      <w:marRight w:val="0"/>
      <w:marTop w:val="0"/>
      <w:marBottom w:val="0"/>
      <w:divBdr>
        <w:top w:val="none" w:sz="0" w:space="0" w:color="auto"/>
        <w:left w:val="none" w:sz="0" w:space="0" w:color="auto"/>
        <w:bottom w:val="none" w:sz="0" w:space="0" w:color="auto"/>
        <w:right w:val="none" w:sz="0" w:space="0" w:color="auto"/>
      </w:divBdr>
    </w:div>
    <w:div w:id="1858421350">
      <w:bodyDiv w:val="1"/>
      <w:marLeft w:val="0"/>
      <w:marRight w:val="0"/>
      <w:marTop w:val="0"/>
      <w:marBottom w:val="0"/>
      <w:divBdr>
        <w:top w:val="none" w:sz="0" w:space="0" w:color="auto"/>
        <w:left w:val="none" w:sz="0" w:space="0" w:color="auto"/>
        <w:bottom w:val="none" w:sz="0" w:space="0" w:color="auto"/>
        <w:right w:val="none" w:sz="0" w:space="0" w:color="auto"/>
      </w:divBdr>
    </w:div>
    <w:div w:id="1938974739">
      <w:bodyDiv w:val="1"/>
      <w:marLeft w:val="0"/>
      <w:marRight w:val="0"/>
      <w:marTop w:val="0"/>
      <w:marBottom w:val="0"/>
      <w:divBdr>
        <w:top w:val="none" w:sz="0" w:space="0" w:color="auto"/>
        <w:left w:val="none" w:sz="0" w:space="0" w:color="auto"/>
        <w:bottom w:val="none" w:sz="0" w:space="0" w:color="auto"/>
        <w:right w:val="none" w:sz="0" w:space="0" w:color="auto"/>
      </w:divBdr>
    </w:div>
    <w:div w:id="2015567099">
      <w:bodyDiv w:val="1"/>
      <w:marLeft w:val="0"/>
      <w:marRight w:val="0"/>
      <w:marTop w:val="0"/>
      <w:marBottom w:val="0"/>
      <w:divBdr>
        <w:top w:val="none" w:sz="0" w:space="0" w:color="auto"/>
        <w:left w:val="none" w:sz="0" w:space="0" w:color="auto"/>
        <w:bottom w:val="none" w:sz="0" w:space="0" w:color="auto"/>
        <w:right w:val="none" w:sz="0" w:space="0" w:color="auto"/>
      </w:divBdr>
    </w:div>
    <w:div w:id="202042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2C678-1167-475F-B145-E86190E1F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1868</Words>
  <Characters>10838</Characters>
  <Application>Microsoft Office Word</Application>
  <DocSecurity>0</DocSecurity>
  <Lines>90</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Draguțan Irina</dc:creator>
  <cp:keywords/>
  <dc:description/>
  <cp:lastModifiedBy>Cemertan Ana</cp:lastModifiedBy>
  <cp:revision>22</cp:revision>
  <cp:lastPrinted>2018-08-23T08:35:00Z</cp:lastPrinted>
  <dcterms:created xsi:type="dcterms:W3CDTF">2018-08-16T06:50:00Z</dcterms:created>
  <dcterms:modified xsi:type="dcterms:W3CDTF">2018-08-23T08:35:00Z</dcterms:modified>
</cp:coreProperties>
</file>