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rawings/drawing4.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drawings/drawing5.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9F" w:rsidRPr="001D0846" w:rsidRDefault="00A0239F" w:rsidP="000A329C">
      <w:pPr>
        <w:tabs>
          <w:tab w:val="left" w:pos="450"/>
          <w:tab w:val="left" w:pos="720"/>
        </w:tabs>
        <w:spacing w:after="0" w:line="276" w:lineRule="auto"/>
        <w:ind w:right="9"/>
        <w:jc w:val="right"/>
        <w:rPr>
          <w:rFonts w:ascii="Times New Roman" w:eastAsia="Times New Roman" w:hAnsi="Times New Roman" w:cs="Times New Roman"/>
          <w:bCs/>
          <w:sz w:val="28"/>
          <w:szCs w:val="28"/>
          <w:lang w:val="ro-MD"/>
        </w:rPr>
      </w:pPr>
      <w:r w:rsidRPr="001D0846">
        <w:rPr>
          <w:rFonts w:ascii="Times New Roman" w:eastAsia="Times New Roman" w:hAnsi="Times New Roman" w:cs="Times New Roman"/>
          <w:bCs/>
          <w:sz w:val="28"/>
          <w:szCs w:val="28"/>
        </w:rPr>
        <w:t>Anexă</w:t>
      </w:r>
    </w:p>
    <w:p w:rsidR="00A0239F" w:rsidRPr="001D0846" w:rsidRDefault="00A0239F" w:rsidP="000A329C">
      <w:pPr>
        <w:tabs>
          <w:tab w:val="left" w:pos="450"/>
          <w:tab w:val="left" w:pos="720"/>
        </w:tabs>
        <w:spacing w:after="0" w:line="276" w:lineRule="auto"/>
        <w:ind w:right="9"/>
        <w:jc w:val="right"/>
        <w:rPr>
          <w:rFonts w:ascii="Times New Roman" w:eastAsia="Times New Roman" w:hAnsi="Times New Roman" w:cs="Times New Roman"/>
          <w:bCs/>
          <w:sz w:val="28"/>
          <w:szCs w:val="28"/>
        </w:rPr>
      </w:pPr>
      <w:r w:rsidRPr="001D0846">
        <w:rPr>
          <w:rFonts w:ascii="Times New Roman" w:eastAsia="Times New Roman" w:hAnsi="Times New Roman" w:cs="Times New Roman"/>
          <w:bCs/>
          <w:sz w:val="28"/>
          <w:szCs w:val="28"/>
        </w:rPr>
        <w:t xml:space="preserve">la Hotărârea Curții de Conturi </w:t>
      </w:r>
    </w:p>
    <w:p w:rsidR="00A0239F" w:rsidRPr="001D0846" w:rsidRDefault="00A0239F" w:rsidP="000A329C">
      <w:pPr>
        <w:tabs>
          <w:tab w:val="left" w:pos="450"/>
          <w:tab w:val="left" w:pos="720"/>
        </w:tabs>
        <w:spacing w:after="0" w:line="276" w:lineRule="auto"/>
        <w:ind w:right="9"/>
        <w:jc w:val="right"/>
        <w:rPr>
          <w:rFonts w:ascii="Times New Roman" w:eastAsia="Times New Roman" w:hAnsi="Times New Roman" w:cs="Times New Roman"/>
          <w:bCs/>
          <w:color w:val="1F4E79" w:themeColor="accent1" w:themeShade="80"/>
          <w:sz w:val="28"/>
          <w:szCs w:val="28"/>
        </w:rPr>
      </w:pPr>
      <w:r w:rsidRPr="001D0846">
        <w:rPr>
          <w:rFonts w:ascii="Times New Roman" w:eastAsia="Times New Roman" w:hAnsi="Times New Roman" w:cs="Times New Roman"/>
          <w:bCs/>
          <w:sz w:val="28"/>
          <w:szCs w:val="28"/>
        </w:rPr>
        <w:t>nr.</w:t>
      </w:r>
      <w:r w:rsidR="001F7EFE" w:rsidRPr="001D0846">
        <w:rPr>
          <w:rFonts w:ascii="Times New Roman" w:eastAsia="Times New Roman" w:hAnsi="Times New Roman" w:cs="Times New Roman"/>
          <w:bCs/>
          <w:sz w:val="28"/>
          <w:szCs w:val="28"/>
        </w:rPr>
        <w:t xml:space="preserve">18 </w:t>
      </w:r>
      <w:r w:rsidRPr="001D0846">
        <w:rPr>
          <w:rFonts w:ascii="Times New Roman" w:eastAsia="Times New Roman" w:hAnsi="Times New Roman" w:cs="Times New Roman"/>
          <w:bCs/>
          <w:sz w:val="28"/>
          <w:szCs w:val="28"/>
        </w:rPr>
        <w:t xml:space="preserve">din </w:t>
      </w:r>
      <w:r w:rsidR="006C4681" w:rsidRPr="001D0846">
        <w:rPr>
          <w:rFonts w:ascii="Times New Roman" w:eastAsia="Times New Roman" w:hAnsi="Times New Roman" w:cs="Times New Roman"/>
          <w:bCs/>
          <w:sz w:val="28"/>
          <w:szCs w:val="28"/>
        </w:rPr>
        <w:t>14</w:t>
      </w:r>
      <w:r w:rsidRPr="001D0846">
        <w:rPr>
          <w:rFonts w:ascii="Times New Roman" w:eastAsia="Times New Roman" w:hAnsi="Times New Roman" w:cs="Times New Roman"/>
          <w:bCs/>
          <w:sz w:val="28"/>
          <w:szCs w:val="28"/>
        </w:rPr>
        <w:t>.0</w:t>
      </w:r>
      <w:r w:rsidR="006C4681" w:rsidRPr="001D0846">
        <w:rPr>
          <w:rFonts w:ascii="Times New Roman" w:eastAsia="Times New Roman" w:hAnsi="Times New Roman" w:cs="Times New Roman"/>
          <w:bCs/>
          <w:sz w:val="28"/>
          <w:szCs w:val="28"/>
        </w:rPr>
        <w:t>5</w:t>
      </w:r>
      <w:r w:rsidRPr="001D0846">
        <w:rPr>
          <w:rFonts w:ascii="Times New Roman" w:eastAsia="Times New Roman" w:hAnsi="Times New Roman" w:cs="Times New Roman"/>
          <w:bCs/>
          <w:sz w:val="28"/>
          <w:szCs w:val="28"/>
        </w:rPr>
        <w:t>.201</w:t>
      </w:r>
      <w:r w:rsidR="00B60979" w:rsidRPr="001D0846">
        <w:rPr>
          <w:rFonts w:ascii="Times New Roman" w:eastAsia="Times New Roman" w:hAnsi="Times New Roman" w:cs="Times New Roman"/>
          <w:bCs/>
          <w:sz w:val="28"/>
          <w:szCs w:val="28"/>
        </w:rPr>
        <w:t>8</w:t>
      </w:r>
    </w:p>
    <w:p w:rsidR="00A0239F" w:rsidRPr="001D0846" w:rsidRDefault="00A0239F" w:rsidP="000A329C">
      <w:pPr>
        <w:tabs>
          <w:tab w:val="left" w:pos="450"/>
        </w:tabs>
        <w:spacing w:after="0" w:line="276" w:lineRule="auto"/>
        <w:ind w:right="9"/>
        <w:rPr>
          <w:rFonts w:ascii="Times New Roman" w:hAnsi="Times New Roman" w:cs="Times New Roman"/>
          <w:lang w:val="ro-MD"/>
        </w:rPr>
      </w:pPr>
    </w:p>
    <w:p w:rsidR="00A0239F" w:rsidRPr="001D0846" w:rsidRDefault="00A0239F" w:rsidP="000A329C">
      <w:pPr>
        <w:tabs>
          <w:tab w:val="left" w:pos="450"/>
        </w:tabs>
        <w:spacing w:after="0" w:line="276" w:lineRule="auto"/>
        <w:ind w:right="9"/>
        <w:rPr>
          <w:rFonts w:ascii="Times New Roman" w:hAnsi="Times New Roman" w:cs="Times New Roman"/>
          <w:lang w:val="ro-MD"/>
        </w:rPr>
      </w:pPr>
    </w:p>
    <w:p w:rsidR="00A0239F" w:rsidRPr="001D0846" w:rsidRDefault="00A0239F" w:rsidP="000A329C">
      <w:pPr>
        <w:tabs>
          <w:tab w:val="left" w:pos="450"/>
        </w:tabs>
        <w:spacing w:after="0" w:line="276" w:lineRule="auto"/>
        <w:ind w:right="9"/>
        <w:rPr>
          <w:rFonts w:ascii="Times New Roman" w:hAnsi="Times New Roman" w:cs="Times New Roman"/>
        </w:rPr>
      </w:pPr>
    </w:p>
    <w:p w:rsidR="00A0239F" w:rsidRPr="001D0846" w:rsidRDefault="00A0239F" w:rsidP="000A329C">
      <w:pPr>
        <w:tabs>
          <w:tab w:val="left" w:pos="450"/>
        </w:tabs>
        <w:spacing w:after="0" w:line="276" w:lineRule="auto"/>
        <w:ind w:right="9"/>
        <w:jc w:val="center"/>
        <w:rPr>
          <w:rFonts w:ascii="Times New Roman" w:hAnsi="Times New Roman" w:cs="Times New Roman"/>
          <w:b/>
          <w:sz w:val="28"/>
          <w:szCs w:val="28"/>
        </w:rPr>
      </w:pPr>
    </w:p>
    <w:p w:rsidR="00A0239F" w:rsidRPr="001D0846" w:rsidRDefault="000C1EB8" w:rsidP="000A329C">
      <w:pPr>
        <w:tabs>
          <w:tab w:val="left" w:pos="450"/>
        </w:tabs>
        <w:spacing w:after="0" w:line="276" w:lineRule="auto"/>
        <w:ind w:right="9"/>
        <w:jc w:val="center"/>
        <w:rPr>
          <w:rFonts w:ascii="Times New Roman" w:hAnsi="Times New Roman" w:cs="Times New Roman"/>
          <w:b/>
          <w:sz w:val="28"/>
          <w:szCs w:val="28"/>
        </w:rPr>
      </w:pPr>
      <w:r w:rsidRPr="001D0846">
        <w:rPr>
          <w:rFonts w:ascii="Times New Roman" w:hAnsi="Times New Roman" w:cs="Times New Roman"/>
          <w:noProof/>
          <w:lang w:val="ru-RU" w:eastAsia="ru-RU"/>
        </w:rPr>
        <w:drawing>
          <wp:anchor distT="0" distB="0" distL="114300" distR="114300" simplePos="0" relativeHeight="251659264" behindDoc="0" locked="0" layoutInCell="1" allowOverlap="1" wp14:anchorId="76DCBD8D" wp14:editId="0D60CAA7">
            <wp:simplePos x="0" y="0"/>
            <wp:positionH relativeFrom="column">
              <wp:posOffset>29210</wp:posOffset>
            </wp:positionH>
            <wp:positionV relativeFrom="page">
              <wp:posOffset>2225040</wp:posOffset>
            </wp:positionV>
            <wp:extent cx="941705" cy="944880"/>
            <wp:effectExtent l="0" t="0" r="0" b="762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28BA" w:rsidRPr="001D0846" w:rsidRDefault="006D28BA" w:rsidP="000A329C">
      <w:pPr>
        <w:tabs>
          <w:tab w:val="left" w:pos="450"/>
        </w:tabs>
        <w:spacing w:after="0" w:line="276" w:lineRule="auto"/>
        <w:ind w:right="9"/>
        <w:rPr>
          <w:rFonts w:ascii="Times New Roman" w:hAnsi="Times New Roman" w:cs="Times New Roman"/>
          <w:b/>
          <w:sz w:val="28"/>
          <w:szCs w:val="28"/>
        </w:rPr>
      </w:pPr>
      <w:r w:rsidRPr="001D0846">
        <w:rPr>
          <w:rFonts w:ascii="Times New Roman" w:hAnsi="Times New Roman" w:cs="Times New Roman"/>
          <w:b/>
          <w:sz w:val="28"/>
          <w:szCs w:val="28"/>
        </w:rPr>
        <w:t xml:space="preserve"> </w:t>
      </w:r>
    </w:p>
    <w:p w:rsidR="00A0239F" w:rsidRPr="001D0846" w:rsidRDefault="00A0239F" w:rsidP="000A329C">
      <w:pPr>
        <w:tabs>
          <w:tab w:val="left" w:pos="450"/>
        </w:tabs>
        <w:spacing w:after="0" w:line="276" w:lineRule="auto"/>
        <w:ind w:right="9"/>
        <w:rPr>
          <w:rFonts w:ascii="Times New Roman" w:hAnsi="Times New Roman" w:cs="Times New Roman"/>
          <w:b/>
          <w:sz w:val="28"/>
          <w:szCs w:val="28"/>
        </w:rPr>
      </w:pPr>
      <w:r w:rsidRPr="001D0846">
        <w:rPr>
          <w:rFonts w:ascii="Times New Roman" w:hAnsi="Times New Roman" w:cs="Times New Roman"/>
          <w:b/>
          <w:sz w:val="28"/>
          <w:szCs w:val="28"/>
        </w:rPr>
        <w:t>CURTEA DE CONTURI A REPUBLICII MOLDOVA</w:t>
      </w:r>
    </w:p>
    <w:p w:rsidR="00A0239F" w:rsidRPr="001D0846" w:rsidRDefault="00A0239F" w:rsidP="000A329C">
      <w:pPr>
        <w:tabs>
          <w:tab w:val="left" w:pos="450"/>
        </w:tabs>
        <w:spacing w:after="0" w:line="276" w:lineRule="auto"/>
        <w:ind w:right="9"/>
        <w:jc w:val="center"/>
        <w:rPr>
          <w:rFonts w:ascii="Times New Roman" w:hAnsi="Times New Roman" w:cs="Times New Roman"/>
          <w:b/>
          <w:sz w:val="28"/>
          <w:szCs w:val="28"/>
        </w:rPr>
      </w:pPr>
    </w:p>
    <w:p w:rsidR="00A0239F" w:rsidRPr="001D0846" w:rsidRDefault="00A0239F" w:rsidP="000A329C">
      <w:pPr>
        <w:tabs>
          <w:tab w:val="left" w:pos="450"/>
        </w:tabs>
        <w:spacing w:after="0" w:line="276" w:lineRule="auto"/>
        <w:ind w:right="9"/>
        <w:jc w:val="center"/>
        <w:rPr>
          <w:rFonts w:ascii="Times New Roman" w:hAnsi="Times New Roman" w:cs="Times New Roman"/>
          <w:b/>
          <w:sz w:val="28"/>
          <w:szCs w:val="28"/>
        </w:rPr>
      </w:pPr>
    </w:p>
    <w:p w:rsidR="006D28BA" w:rsidRPr="001D0846" w:rsidRDefault="006D28BA" w:rsidP="000A329C">
      <w:pPr>
        <w:tabs>
          <w:tab w:val="left" w:pos="450"/>
        </w:tabs>
        <w:spacing w:after="0" w:line="276" w:lineRule="auto"/>
        <w:ind w:right="9"/>
        <w:jc w:val="center"/>
        <w:rPr>
          <w:rFonts w:ascii="Times New Roman" w:hAnsi="Times New Roman" w:cs="Times New Roman"/>
          <w:b/>
          <w:sz w:val="28"/>
          <w:szCs w:val="28"/>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0239F" w:rsidRPr="001D0846" w:rsidTr="00607FA2">
        <w:trPr>
          <w:trHeight w:val="435"/>
        </w:trPr>
        <w:tc>
          <w:tcPr>
            <w:tcW w:w="9350" w:type="dxa"/>
          </w:tcPr>
          <w:p w:rsidR="00A0239F" w:rsidRPr="001D0846" w:rsidRDefault="00A0239F" w:rsidP="000A329C">
            <w:pPr>
              <w:tabs>
                <w:tab w:val="left" w:pos="450"/>
                <w:tab w:val="left" w:pos="720"/>
              </w:tabs>
              <w:spacing w:line="276" w:lineRule="auto"/>
              <w:ind w:right="9"/>
              <w:jc w:val="center"/>
              <w:rPr>
                <w:rFonts w:ascii="Times New Roman" w:eastAsia="Times New Roman" w:hAnsi="Times New Roman" w:cs="Times New Roman"/>
                <w:b/>
                <w:bCs/>
                <w:color w:val="1F4E79" w:themeColor="accent1" w:themeShade="80"/>
                <w:sz w:val="24"/>
                <w:szCs w:val="24"/>
              </w:rPr>
            </w:pPr>
            <w:r w:rsidRPr="001D0846">
              <w:rPr>
                <w:rFonts w:ascii="Times New Roman" w:hAnsi="Times New Roman" w:cs="Times New Roman"/>
                <w:sz w:val="18"/>
                <w:szCs w:val="18"/>
              </w:rPr>
              <w:t xml:space="preserve">MD-2001, mun. Chișinău, bd. Ștefan cel Mare și Sfânt nr.69, tel.: (+373) 22 23 25 79, fax: (+373) 22 23 30 20, </w:t>
            </w:r>
            <w:hyperlink r:id="rId9" w:history="1">
              <w:r w:rsidRPr="001D0846">
                <w:rPr>
                  <w:rFonts w:ascii="Times New Roman" w:hAnsi="Times New Roman" w:cs="Times New Roman"/>
                  <w:b/>
                  <w:color w:val="0563C1" w:themeColor="hyperlink"/>
                  <w:sz w:val="18"/>
                  <w:szCs w:val="18"/>
                  <w:u w:val="single"/>
                </w:rPr>
                <w:t>www.ccrm.md</w:t>
              </w:r>
            </w:hyperlink>
            <w:r w:rsidRPr="001D0846">
              <w:rPr>
                <w:rFonts w:ascii="Times New Roman" w:hAnsi="Times New Roman" w:cs="Times New Roman"/>
                <w:b/>
                <w:color w:val="0563C1" w:themeColor="hyperlink"/>
                <w:sz w:val="18"/>
                <w:szCs w:val="18"/>
                <w:u w:val="single"/>
              </w:rPr>
              <w:t xml:space="preserve">; </w:t>
            </w:r>
            <w:r w:rsidRPr="001D0846">
              <w:rPr>
                <w:rFonts w:ascii="Times New Roman" w:hAnsi="Times New Roman" w:cs="Times New Roman"/>
                <w:sz w:val="18"/>
                <w:szCs w:val="18"/>
              </w:rPr>
              <w:t xml:space="preserve">e-mail: </w:t>
            </w:r>
            <w:hyperlink r:id="rId10" w:history="1">
              <w:r w:rsidRPr="001D0846">
                <w:rPr>
                  <w:rFonts w:ascii="Times New Roman" w:hAnsi="Times New Roman" w:cs="Times New Roman"/>
                  <w:b/>
                  <w:color w:val="0563C1" w:themeColor="hyperlink"/>
                  <w:sz w:val="18"/>
                  <w:szCs w:val="18"/>
                  <w:u w:val="single"/>
                </w:rPr>
                <w:t>ccrm@ccrm.md</w:t>
              </w:r>
            </w:hyperlink>
          </w:p>
        </w:tc>
      </w:tr>
    </w:tbl>
    <w:p w:rsidR="00A0239F" w:rsidRPr="001D0846" w:rsidRDefault="00A0239F" w:rsidP="000A329C">
      <w:pPr>
        <w:tabs>
          <w:tab w:val="left" w:pos="450"/>
          <w:tab w:val="left" w:pos="720"/>
        </w:tabs>
        <w:spacing w:after="0" w:line="276" w:lineRule="auto"/>
        <w:ind w:right="9"/>
        <w:jc w:val="right"/>
        <w:rPr>
          <w:rFonts w:ascii="Times New Roman" w:eastAsia="Times New Roman" w:hAnsi="Times New Roman" w:cs="Times New Roman"/>
          <w:b/>
          <w:bCs/>
          <w:color w:val="1F4E79" w:themeColor="accent1" w:themeShade="80"/>
          <w:sz w:val="24"/>
          <w:szCs w:val="24"/>
        </w:rPr>
      </w:pPr>
    </w:p>
    <w:p w:rsidR="00A0239F" w:rsidRPr="001D0846" w:rsidRDefault="00A0239F" w:rsidP="000A329C">
      <w:pPr>
        <w:tabs>
          <w:tab w:val="left" w:pos="450"/>
          <w:tab w:val="left" w:pos="720"/>
        </w:tabs>
        <w:spacing w:after="0" w:line="276" w:lineRule="auto"/>
        <w:ind w:right="9"/>
        <w:jc w:val="right"/>
        <w:rPr>
          <w:rFonts w:ascii="Times New Roman" w:eastAsia="Times New Roman" w:hAnsi="Times New Roman" w:cs="Times New Roman"/>
          <w:b/>
          <w:bCs/>
          <w:color w:val="1F4E79" w:themeColor="accent1" w:themeShade="80"/>
          <w:sz w:val="24"/>
          <w:szCs w:val="24"/>
        </w:rPr>
      </w:pPr>
    </w:p>
    <w:p w:rsidR="006C4681" w:rsidRPr="001D0846" w:rsidRDefault="006C4681" w:rsidP="000A329C">
      <w:pPr>
        <w:tabs>
          <w:tab w:val="left" w:pos="450"/>
          <w:tab w:val="left" w:pos="720"/>
        </w:tabs>
        <w:spacing w:after="0" w:line="276" w:lineRule="auto"/>
        <w:ind w:right="9"/>
        <w:jc w:val="center"/>
        <w:rPr>
          <w:rFonts w:ascii="Times New Roman" w:eastAsia="Times New Roman" w:hAnsi="Times New Roman" w:cs="Times New Roman"/>
          <w:b/>
          <w:bCs/>
          <w:sz w:val="32"/>
          <w:szCs w:val="32"/>
        </w:rPr>
      </w:pPr>
    </w:p>
    <w:p w:rsidR="009F2555" w:rsidRPr="001D0846" w:rsidRDefault="009F2555" w:rsidP="000A329C">
      <w:pPr>
        <w:tabs>
          <w:tab w:val="left" w:pos="450"/>
          <w:tab w:val="left" w:pos="720"/>
        </w:tabs>
        <w:spacing w:after="0" w:line="276" w:lineRule="auto"/>
        <w:ind w:right="9"/>
        <w:jc w:val="center"/>
        <w:rPr>
          <w:rFonts w:ascii="Times New Roman" w:eastAsia="Times New Roman" w:hAnsi="Times New Roman" w:cs="Times New Roman"/>
          <w:b/>
          <w:bCs/>
          <w:sz w:val="32"/>
          <w:szCs w:val="32"/>
        </w:rPr>
      </w:pPr>
    </w:p>
    <w:p w:rsidR="009F2555" w:rsidRPr="001D0846" w:rsidRDefault="009F2555" w:rsidP="00DE0919">
      <w:pPr>
        <w:tabs>
          <w:tab w:val="left" w:pos="450"/>
          <w:tab w:val="left" w:pos="720"/>
        </w:tabs>
        <w:spacing w:after="0" w:line="276" w:lineRule="auto"/>
        <w:ind w:right="9"/>
        <w:rPr>
          <w:rFonts w:ascii="Times New Roman" w:eastAsia="Times New Roman" w:hAnsi="Times New Roman" w:cs="Times New Roman"/>
          <w:b/>
          <w:bCs/>
          <w:sz w:val="32"/>
          <w:szCs w:val="32"/>
        </w:rPr>
      </w:pPr>
    </w:p>
    <w:p w:rsidR="00A0239F" w:rsidRPr="001D0846" w:rsidRDefault="00A0239F" w:rsidP="000A329C">
      <w:pPr>
        <w:tabs>
          <w:tab w:val="left" w:pos="450"/>
          <w:tab w:val="left" w:pos="720"/>
        </w:tabs>
        <w:spacing w:after="0" w:line="276" w:lineRule="auto"/>
        <w:ind w:right="9"/>
        <w:jc w:val="center"/>
        <w:rPr>
          <w:rFonts w:ascii="Times New Roman" w:eastAsia="Times New Roman" w:hAnsi="Times New Roman" w:cs="Times New Roman"/>
          <w:b/>
          <w:bCs/>
          <w:sz w:val="32"/>
          <w:szCs w:val="32"/>
        </w:rPr>
      </w:pPr>
      <w:r w:rsidRPr="001D0846">
        <w:rPr>
          <w:rFonts w:ascii="Times New Roman" w:eastAsia="Times New Roman" w:hAnsi="Times New Roman" w:cs="Times New Roman"/>
          <w:b/>
          <w:bCs/>
          <w:sz w:val="32"/>
          <w:szCs w:val="32"/>
        </w:rPr>
        <w:t>RAPORTUL</w:t>
      </w:r>
    </w:p>
    <w:p w:rsidR="006C4681" w:rsidRPr="001D0846" w:rsidRDefault="006C4681" w:rsidP="000A329C">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lang w:val="ro-MD"/>
        </w:rPr>
      </w:pPr>
      <w:r w:rsidRPr="001D0846">
        <w:rPr>
          <w:rFonts w:ascii="Times New Roman" w:eastAsia="Times New Roman" w:hAnsi="Times New Roman" w:cs="Times New Roman"/>
          <w:b/>
          <w:bCs/>
          <w:sz w:val="32"/>
          <w:szCs w:val="32"/>
        </w:rPr>
        <w:t xml:space="preserve">de </w:t>
      </w:r>
      <w:r w:rsidR="00A0239F" w:rsidRPr="001D0846">
        <w:rPr>
          <w:rFonts w:ascii="Times New Roman" w:eastAsia="Times New Roman" w:hAnsi="Times New Roman" w:cs="Times New Roman"/>
          <w:b/>
          <w:bCs/>
          <w:sz w:val="32"/>
          <w:szCs w:val="32"/>
        </w:rPr>
        <w:t>audit</w:t>
      </w:r>
      <w:r w:rsidRPr="001D0846">
        <w:rPr>
          <w:rFonts w:ascii="Times New Roman" w:eastAsia="Times New Roman" w:hAnsi="Times New Roman" w:cs="Times New Roman"/>
          <w:b/>
          <w:bCs/>
          <w:sz w:val="32"/>
          <w:szCs w:val="32"/>
        </w:rPr>
        <w:t xml:space="preserve"> al </w:t>
      </w:r>
      <w:proofErr w:type="spellStart"/>
      <w:r w:rsidRPr="001D0846">
        <w:rPr>
          <w:rFonts w:ascii="Times New Roman" w:eastAsia="Times New Roman" w:hAnsi="Times New Roman" w:cs="Times New Roman"/>
          <w:b/>
          <w:bCs/>
          <w:sz w:val="32"/>
          <w:szCs w:val="32"/>
        </w:rPr>
        <w:t>perfor</w:t>
      </w:r>
      <w:r w:rsidRPr="001D0846">
        <w:rPr>
          <w:rFonts w:ascii="Times New Roman" w:eastAsia="Times New Roman" w:hAnsi="Times New Roman" w:cs="Times New Roman"/>
          <w:b/>
          <w:bCs/>
          <w:sz w:val="32"/>
          <w:szCs w:val="32"/>
          <w:lang w:val="ro-MD"/>
        </w:rPr>
        <w:t>manței</w:t>
      </w:r>
      <w:proofErr w:type="spellEnd"/>
      <w:r w:rsidRPr="001D0846">
        <w:rPr>
          <w:rFonts w:ascii="Times New Roman" w:eastAsia="Times New Roman" w:hAnsi="Times New Roman" w:cs="Times New Roman"/>
          <w:b/>
          <w:bCs/>
          <w:sz w:val="32"/>
          <w:szCs w:val="32"/>
          <w:lang w:val="ro-MD"/>
        </w:rPr>
        <w:t xml:space="preserve"> </w:t>
      </w:r>
    </w:p>
    <w:p w:rsidR="007533DD" w:rsidRPr="001D0846" w:rsidRDefault="006C4681" w:rsidP="000A329C">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lang w:val="ro-MD"/>
        </w:rPr>
      </w:pPr>
      <w:r w:rsidRPr="001D0846">
        <w:rPr>
          <w:rFonts w:ascii="Times New Roman" w:eastAsia="Times New Roman" w:hAnsi="Times New Roman" w:cs="Times New Roman"/>
          <w:b/>
          <w:bCs/>
          <w:sz w:val="32"/>
          <w:szCs w:val="32"/>
          <w:lang w:val="ro-MD"/>
        </w:rPr>
        <w:t xml:space="preserve">,,Funcționalitatea și </w:t>
      </w:r>
      <w:proofErr w:type="spellStart"/>
      <w:r w:rsidRPr="001D0846">
        <w:rPr>
          <w:rFonts w:ascii="Times New Roman" w:eastAsia="Times New Roman" w:hAnsi="Times New Roman" w:cs="Times New Roman"/>
          <w:b/>
          <w:bCs/>
          <w:sz w:val="32"/>
          <w:szCs w:val="32"/>
          <w:lang w:val="ro-MD"/>
        </w:rPr>
        <w:t>rezultativitatea</w:t>
      </w:r>
      <w:proofErr w:type="spellEnd"/>
      <w:r w:rsidRPr="001D0846">
        <w:rPr>
          <w:rFonts w:ascii="Times New Roman" w:eastAsia="Times New Roman" w:hAnsi="Times New Roman" w:cs="Times New Roman"/>
          <w:b/>
          <w:bCs/>
          <w:sz w:val="32"/>
          <w:szCs w:val="32"/>
          <w:lang w:val="ro-MD"/>
        </w:rPr>
        <w:t xml:space="preserve"> operațională</w:t>
      </w:r>
      <w:r w:rsidR="00064AC5" w:rsidRPr="001D0846">
        <w:rPr>
          <w:rFonts w:ascii="Times New Roman" w:eastAsia="Times New Roman" w:hAnsi="Times New Roman" w:cs="Times New Roman"/>
          <w:b/>
          <w:bCs/>
          <w:sz w:val="32"/>
          <w:szCs w:val="32"/>
          <w:lang w:val="ro-MD"/>
        </w:rPr>
        <w:t xml:space="preserve"> </w:t>
      </w:r>
    </w:p>
    <w:p w:rsidR="00B60979" w:rsidRPr="001D0846" w:rsidRDefault="006C4681" w:rsidP="000A329C">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lang w:val="ro-MD"/>
        </w:rPr>
      </w:pPr>
      <w:r w:rsidRPr="001D0846">
        <w:rPr>
          <w:rFonts w:ascii="Times New Roman" w:eastAsia="Times New Roman" w:hAnsi="Times New Roman" w:cs="Times New Roman"/>
          <w:b/>
          <w:bCs/>
          <w:sz w:val="32"/>
          <w:szCs w:val="32"/>
          <w:lang w:val="ro-MD"/>
        </w:rPr>
        <w:t>afere</w:t>
      </w:r>
      <w:r w:rsidRPr="001D67FA">
        <w:rPr>
          <w:rFonts w:ascii="Times New Roman" w:eastAsia="Times New Roman" w:hAnsi="Times New Roman" w:cs="Times New Roman"/>
          <w:b/>
          <w:bCs/>
          <w:sz w:val="32"/>
          <w:szCs w:val="32"/>
          <w:lang w:val="ro-MD"/>
        </w:rPr>
        <w:t>nt</w:t>
      </w:r>
      <w:r w:rsidR="001D67FA" w:rsidRPr="001D67FA">
        <w:rPr>
          <w:rFonts w:ascii="Times New Roman" w:eastAsia="Times New Roman" w:hAnsi="Times New Roman" w:cs="Times New Roman"/>
          <w:b/>
          <w:bCs/>
          <w:sz w:val="32"/>
          <w:szCs w:val="32"/>
          <w:lang w:val="ro-MD"/>
        </w:rPr>
        <w:t>e</w:t>
      </w:r>
      <w:r w:rsidRPr="001D0846">
        <w:rPr>
          <w:rFonts w:ascii="Times New Roman" w:eastAsia="Times New Roman" w:hAnsi="Times New Roman" w:cs="Times New Roman"/>
          <w:b/>
          <w:bCs/>
          <w:sz w:val="32"/>
          <w:szCs w:val="32"/>
          <w:lang w:val="ro-MD"/>
        </w:rPr>
        <w:t xml:space="preserve"> administrării impozitelor și taxelor”</w:t>
      </w:r>
    </w:p>
    <w:p w:rsidR="002F517B" w:rsidRPr="001D0846" w:rsidRDefault="002F517B" w:rsidP="000A329C">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lang w:val="ro-MD"/>
        </w:rPr>
      </w:pPr>
      <w:r w:rsidRPr="001D0846">
        <w:rPr>
          <w:rFonts w:ascii="Times New Roman" w:eastAsia="Times New Roman" w:hAnsi="Times New Roman" w:cs="Times New Roman"/>
          <w:b/>
          <w:bCs/>
          <w:noProof/>
          <w:sz w:val="32"/>
          <w:szCs w:val="32"/>
          <w:lang w:val="ru-RU" w:eastAsia="ru-RU"/>
        </w:rPr>
        <w:drawing>
          <wp:inline distT="0" distB="0" distL="0" distR="0">
            <wp:extent cx="4876800" cy="2895600"/>
            <wp:effectExtent l="0" t="0" r="0" b="0"/>
            <wp:docPr id="7" name="Picture 7" descr="C:\Users\m_savva\AppData\Local\Microsoft\Windows\INetCache\Content.Outlook\SD4HBH2C\Invest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_savva\AppData\Local\Microsoft\Windows\INetCache\Content.Outlook\SD4HBH2C\Investphot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895600"/>
                    </a:xfrm>
                    <a:prstGeom prst="rect">
                      <a:avLst/>
                    </a:prstGeom>
                    <a:noFill/>
                    <a:ln>
                      <a:noFill/>
                    </a:ln>
                  </pic:spPr>
                </pic:pic>
              </a:graphicData>
            </a:graphic>
          </wp:inline>
        </w:drawing>
      </w:r>
    </w:p>
    <w:p w:rsidR="002F517B" w:rsidRPr="001D0846" w:rsidRDefault="002F517B" w:rsidP="000A329C">
      <w:pPr>
        <w:tabs>
          <w:tab w:val="left" w:pos="450"/>
          <w:tab w:val="left" w:pos="720"/>
          <w:tab w:val="left" w:pos="1080"/>
        </w:tabs>
        <w:spacing w:after="0" w:line="276" w:lineRule="auto"/>
        <w:ind w:right="9"/>
        <w:jc w:val="center"/>
        <w:rPr>
          <w:rFonts w:ascii="Times New Roman" w:eastAsia="Times New Roman" w:hAnsi="Times New Roman" w:cs="Times New Roman"/>
          <w:b/>
          <w:bCs/>
          <w:sz w:val="32"/>
          <w:szCs w:val="32"/>
          <w:lang w:val="ro-MD"/>
        </w:rPr>
      </w:pPr>
    </w:p>
    <w:bookmarkStart w:id="0" w:name="_Toc453661781" w:displacedByCustomXml="next"/>
    <w:sdt>
      <w:sdtPr>
        <w:rPr>
          <w:rFonts w:asciiTheme="minorHAnsi" w:eastAsiaTheme="minorHAnsi" w:hAnsiTheme="minorHAnsi" w:cstheme="minorBidi"/>
          <w:color w:val="auto"/>
          <w:sz w:val="22"/>
          <w:szCs w:val="22"/>
        </w:rPr>
        <w:id w:val="515202971"/>
        <w:docPartObj>
          <w:docPartGallery w:val="Table of Contents"/>
          <w:docPartUnique/>
        </w:docPartObj>
      </w:sdtPr>
      <w:sdtEndPr>
        <w:rPr>
          <w:b/>
          <w:bCs/>
          <w:noProof/>
        </w:rPr>
      </w:sdtEndPr>
      <w:sdtContent>
        <w:p w:rsidR="00891AE3" w:rsidRPr="007116A5" w:rsidRDefault="00891AE3" w:rsidP="007116A5">
          <w:pPr>
            <w:pStyle w:val="afe"/>
            <w:ind w:right="-186"/>
            <w:jc w:val="center"/>
            <w:rPr>
              <w:rFonts w:ascii="Times New Roman" w:hAnsi="Times New Roman" w:cs="Times New Roman"/>
              <w:b/>
              <w:color w:val="auto"/>
              <w:sz w:val="28"/>
              <w:szCs w:val="28"/>
            </w:rPr>
          </w:pPr>
          <w:r w:rsidRPr="007116A5">
            <w:rPr>
              <w:rFonts w:ascii="Times New Roman" w:hAnsi="Times New Roman" w:cs="Times New Roman"/>
              <w:b/>
              <w:color w:val="auto"/>
              <w:sz w:val="28"/>
              <w:szCs w:val="28"/>
            </w:rPr>
            <w:t>CUPRINS</w:t>
          </w:r>
        </w:p>
        <w:p w:rsidR="00714F5D" w:rsidRDefault="00891AE3" w:rsidP="00714F5D">
          <w:pPr>
            <w:pStyle w:val="12"/>
            <w:rPr>
              <w:rFonts w:asciiTheme="minorHAnsi" w:eastAsiaTheme="minorEastAsia" w:hAnsiTheme="minorHAnsi" w:cstheme="minorBidi"/>
              <w:b w:val="0"/>
              <w:sz w:val="22"/>
              <w:szCs w:val="22"/>
              <w:lang w:val="en-US" w:eastAsia="en-US"/>
            </w:rPr>
          </w:pPr>
          <w:r w:rsidRPr="001D67FA">
            <w:rPr>
              <w:color w:val="FF0000"/>
              <w:sz w:val="24"/>
              <w:szCs w:val="24"/>
            </w:rPr>
            <w:fldChar w:fldCharType="begin"/>
          </w:r>
          <w:r w:rsidRPr="001D67FA">
            <w:rPr>
              <w:color w:val="FF0000"/>
              <w:sz w:val="24"/>
              <w:szCs w:val="24"/>
            </w:rPr>
            <w:instrText xml:space="preserve"> TOC \o "1-3" \h \z \u </w:instrText>
          </w:r>
          <w:r w:rsidRPr="001D67FA">
            <w:rPr>
              <w:color w:val="FF0000"/>
              <w:sz w:val="24"/>
              <w:szCs w:val="24"/>
            </w:rPr>
            <w:fldChar w:fldCharType="separate"/>
          </w:r>
          <w:hyperlink w:anchor="_Toc515894883" w:history="1">
            <w:r w:rsidR="00714F5D" w:rsidRPr="00815DB4">
              <w:rPr>
                <w:rStyle w:val="ab"/>
              </w:rPr>
              <w:t>SINTEZA</w:t>
            </w:r>
            <w:r w:rsidR="00714F5D">
              <w:rPr>
                <w:webHidden/>
              </w:rPr>
              <w:tab/>
            </w:r>
            <w:r w:rsidR="00714F5D">
              <w:rPr>
                <w:webHidden/>
              </w:rPr>
              <w:fldChar w:fldCharType="begin"/>
            </w:r>
            <w:r w:rsidR="00714F5D">
              <w:rPr>
                <w:webHidden/>
              </w:rPr>
              <w:instrText xml:space="preserve"> PAGEREF _Toc515894883 \h </w:instrText>
            </w:r>
            <w:r w:rsidR="00714F5D">
              <w:rPr>
                <w:webHidden/>
              </w:rPr>
            </w:r>
            <w:r w:rsidR="00714F5D">
              <w:rPr>
                <w:webHidden/>
              </w:rPr>
              <w:fldChar w:fldCharType="separate"/>
            </w:r>
            <w:r w:rsidR="00A416D1">
              <w:rPr>
                <w:webHidden/>
              </w:rPr>
              <w:t>6</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84" w:history="1">
            <w:r w:rsidR="00714F5D" w:rsidRPr="00815DB4">
              <w:rPr>
                <w:rStyle w:val="ab"/>
              </w:rPr>
              <w:t>I. INTRODUCERE</w:t>
            </w:r>
            <w:r w:rsidR="00714F5D">
              <w:rPr>
                <w:webHidden/>
              </w:rPr>
              <w:tab/>
            </w:r>
            <w:r w:rsidR="00714F5D">
              <w:rPr>
                <w:webHidden/>
              </w:rPr>
              <w:fldChar w:fldCharType="begin"/>
            </w:r>
            <w:r w:rsidR="00714F5D">
              <w:rPr>
                <w:webHidden/>
              </w:rPr>
              <w:instrText xml:space="preserve"> PAGEREF _Toc515894884 \h </w:instrText>
            </w:r>
            <w:r w:rsidR="00714F5D">
              <w:rPr>
                <w:webHidden/>
              </w:rPr>
            </w:r>
            <w:r w:rsidR="00714F5D">
              <w:rPr>
                <w:webHidden/>
              </w:rPr>
              <w:fldChar w:fldCharType="separate"/>
            </w:r>
            <w:r w:rsidR="00A416D1">
              <w:rPr>
                <w:webHidden/>
              </w:rPr>
              <w:t>8</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85" w:history="1">
            <w:r w:rsidR="00714F5D" w:rsidRPr="00815DB4">
              <w:rPr>
                <w:rStyle w:val="ab"/>
              </w:rPr>
              <w:t>II. SFERA ȘI ABORDAREA AUDITULUI</w:t>
            </w:r>
            <w:r w:rsidR="00714F5D">
              <w:rPr>
                <w:webHidden/>
              </w:rPr>
              <w:tab/>
            </w:r>
            <w:r w:rsidR="00714F5D">
              <w:rPr>
                <w:webHidden/>
              </w:rPr>
              <w:fldChar w:fldCharType="begin"/>
            </w:r>
            <w:r w:rsidR="00714F5D">
              <w:rPr>
                <w:webHidden/>
              </w:rPr>
              <w:instrText xml:space="preserve"> PAGEREF _Toc515894885 \h </w:instrText>
            </w:r>
            <w:r w:rsidR="00714F5D">
              <w:rPr>
                <w:webHidden/>
              </w:rPr>
            </w:r>
            <w:r w:rsidR="00714F5D">
              <w:rPr>
                <w:webHidden/>
              </w:rPr>
              <w:fldChar w:fldCharType="separate"/>
            </w:r>
            <w:r w:rsidR="00A416D1">
              <w:rPr>
                <w:webHidden/>
              </w:rPr>
              <w:t>9</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86" w:history="1">
            <w:r w:rsidR="00714F5D" w:rsidRPr="00815DB4">
              <w:rPr>
                <w:rStyle w:val="ab"/>
              </w:rPr>
              <w:t>III. CONSTATĂRILE AUDITULUI</w:t>
            </w:r>
            <w:r w:rsidR="00714F5D">
              <w:rPr>
                <w:webHidden/>
              </w:rPr>
              <w:tab/>
            </w:r>
            <w:r w:rsidR="00714F5D">
              <w:rPr>
                <w:webHidden/>
              </w:rPr>
              <w:fldChar w:fldCharType="begin"/>
            </w:r>
            <w:r w:rsidR="00714F5D">
              <w:rPr>
                <w:webHidden/>
              </w:rPr>
              <w:instrText xml:space="preserve"> PAGEREF _Toc515894886 \h </w:instrText>
            </w:r>
            <w:r w:rsidR="00714F5D">
              <w:rPr>
                <w:webHidden/>
              </w:rPr>
            </w:r>
            <w:r w:rsidR="00714F5D">
              <w:rPr>
                <w:webHidden/>
              </w:rPr>
              <w:fldChar w:fldCharType="separate"/>
            </w:r>
            <w:r w:rsidR="00A416D1">
              <w:rPr>
                <w:webHidden/>
              </w:rPr>
              <w:t>12</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87" w:history="1">
            <w:r w:rsidR="00714F5D" w:rsidRPr="00815DB4">
              <w:rPr>
                <w:rStyle w:val="ab"/>
              </w:rPr>
              <w:t>3.1. Elaborarea și realizarea de către organele fiscale și vamale a indicatorilor de performanță în administrarea impozitelor și taxelor.</w:t>
            </w:r>
            <w:r w:rsidR="00714F5D">
              <w:rPr>
                <w:webHidden/>
              </w:rPr>
              <w:tab/>
            </w:r>
            <w:r w:rsidR="00714F5D">
              <w:rPr>
                <w:webHidden/>
              </w:rPr>
              <w:fldChar w:fldCharType="begin"/>
            </w:r>
            <w:r w:rsidR="00714F5D">
              <w:rPr>
                <w:webHidden/>
              </w:rPr>
              <w:instrText xml:space="preserve"> PAGEREF _Toc515894887 \h </w:instrText>
            </w:r>
            <w:r w:rsidR="00714F5D">
              <w:rPr>
                <w:webHidden/>
              </w:rPr>
            </w:r>
            <w:r w:rsidR="00714F5D">
              <w:rPr>
                <w:webHidden/>
              </w:rPr>
              <w:fldChar w:fldCharType="separate"/>
            </w:r>
            <w:r w:rsidR="00A416D1">
              <w:rPr>
                <w:webHidden/>
              </w:rPr>
              <w:t>12</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88" w:history="1">
            <w:r w:rsidR="00714F5D" w:rsidRPr="00815DB4">
              <w:rPr>
                <w:rStyle w:val="ab"/>
              </w:rPr>
              <w:t>3.2. Procesul de estimare/prognozare a veniturilor fiscale și vamale.</w:t>
            </w:r>
            <w:r w:rsidR="00714F5D">
              <w:rPr>
                <w:webHidden/>
              </w:rPr>
              <w:tab/>
            </w:r>
            <w:r w:rsidR="00714F5D">
              <w:rPr>
                <w:webHidden/>
              </w:rPr>
              <w:fldChar w:fldCharType="begin"/>
            </w:r>
            <w:r w:rsidR="00714F5D">
              <w:rPr>
                <w:webHidden/>
              </w:rPr>
              <w:instrText xml:space="preserve"> PAGEREF _Toc515894888 \h </w:instrText>
            </w:r>
            <w:r w:rsidR="00714F5D">
              <w:rPr>
                <w:webHidden/>
              </w:rPr>
            </w:r>
            <w:r w:rsidR="00714F5D">
              <w:rPr>
                <w:webHidden/>
              </w:rPr>
              <w:fldChar w:fldCharType="separate"/>
            </w:r>
            <w:r w:rsidR="00A416D1">
              <w:rPr>
                <w:webHidden/>
              </w:rPr>
              <w:t>18</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89" w:history="1">
            <w:r w:rsidR="00714F5D" w:rsidRPr="00815DB4">
              <w:rPr>
                <w:rStyle w:val="ab"/>
              </w:rPr>
              <w:t>3.3. Realizarea sarcinii de colectare a veniturilor la BPN de către SFS și SV.</w:t>
            </w:r>
            <w:r w:rsidR="00714F5D">
              <w:rPr>
                <w:webHidden/>
              </w:rPr>
              <w:tab/>
            </w:r>
            <w:r w:rsidR="00714F5D">
              <w:rPr>
                <w:webHidden/>
              </w:rPr>
              <w:fldChar w:fldCharType="begin"/>
            </w:r>
            <w:r w:rsidR="00714F5D">
              <w:rPr>
                <w:webHidden/>
              </w:rPr>
              <w:instrText xml:space="preserve"> PAGEREF _Toc515894889 \h </w:instrText>
            </w:r>
            <w:r w:rsidR="00714F5D">
              <w:rPr>
                <w:webHidden/>
              </w:rPr>
            </w:r>
            <w:r w:rsidR="00714F5D">
              <w:rPr>
                <w:webHidden/>
              </w:rPr>
              <w:fldChar w:fldCharType="separate"/>
            </w:r>
            <w:r w:rsidR="00A416D1">
              <w:rPr>
                <w:webHidden/>
              </w:rPr>
              <w:t>21</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90" w:history="1">
            <w:r w:rsidR="00714F5D" w:rsidRPr="00815DB4">
              <w:rPr>
                <w:rStyle w:val="ab"/>
              </w:rPr>
              <w:t>3.4. Realizarea performanțelor în administrarea fiscală și vamală și dinamica costurilor aferente.</w:t>
            </w:r>
            <w:r w:rsidR="00714F5D">
              <w:rPr>
                <w:webHidden/>
              </w:rPr>
              <w:tab/>
            </w:r>
            <w:r w:rsidR="00714F5D">
              <w:rPr>
                <w:webHidden/>
              </w:rPr>
              <w:fldChar w:fldCharType="begin"/>
            </w:r>
            <w:r w:rsidR="00714F5D">
              <w:rPr>
                <w:webHidden/>
              </w:rPr>
              <w:instrText xml:space="preserve"> PAGEREF _Toc515894890 \h </w:instrText>
            </w:r>
            <w:r w:rsidR="00714F5D">
              <w:rPr>
                <w:webHidden/>
              </w:rPr>
            </w:r>
            <w:r w:rsidR="00714F5D">
              <w:rPr>
                <w:webHidden/>
              </w:rPr>
              <w:fldChar w:fldCharType="separate"/>
            </w:r>
            <w:r w:rsidR="00A416D1">
              <w:rPr>
                <w:webHidden/>
              </w:rPr>
              <w:t>29</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91" w:history="1">
            <w:r w:rsidR="00714F5D" w:rsidRPr="00815DB4">
              <w:rPr>
                <w:rStyle w:val="ab"/>
              </w:rPr>
              <w:t>3.5. Administrarea restanțelor la BPN de către organele fiscale și vamale.</w:t>
            </w:r>
            <w:r w:rsidR="00714F5D">
              <w:rPr>
                <w:webHidden/>
              </w:rPr>
              <w:tab/>
            </w:r>
            <w:r w:rsidR="00714F5D">
              <w:rPr>
                <w:webHidden/>
              </w:rPr>
              <w:fldChar w:fldCharType="begin"/>
            </w:r>
            <w:r w:rsidR="00714F5D">
              <w:rPr>
                <w:webHidden/>
              </w:rPr>
              <w:instrText xml:space="preserve"> PAGEREF _Toc515894891 \h </w:instrText>
            </w:r>
            <w:r w:rsidR="00714F5D">
              <w:rPr>
                <w:webHidden/>
              </w:rPr>
            </w:r>
            <w:r w:rsidR="00714F5D">
              <w:rPr>
                <w:webHidden/>
              </w:rPr>
              <w:fldChar w:fldCharType="separate"/>
            </w:r>
            <w:r w:rsidR="00A416D1">
              <w:rPr>
                <w:webHidden/>
              </w:rPr>
              <w:t>32</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92" w:history="1">
            <w:r w:rsidR="00714F5D" w:rsidRPr="00815DB4">
              <w:rPr>
                <w:rStyle w:val="ab"/>
              </w:rPr>
              <w:t>3.6. Procesul de conformare voluntară la declararea și achitarea impozitelor și taxelor.</w:t>
            </w:r>
            <w:r w:rsidR="00714F5D">
              <w:rPr>
                <w:webHidden/>
              </w:rPr>
              <w:tab/>
            </w:r>
            <w:r w:rsidR="00714F5D">
              <w:rPr>
                <w:webHidden/>
              </w:rPr>
              <w:fldChar w:fldCharType="begin"/>
            </w:r>
            <w:r w:rsidR="00714F5D">
              <w:rPr>
                <w:webHidden/>
              </w:rPr>
              <w:instrText xml:space="preserve"> PAGEREF _Toc515894892 \h </w:instrText>
            </w:r>
            <w:r w:rsidR="00714F5D">
              <w:rPr>
                <w:webHidden/>
              </w:rPr>
            </w:r>
            <w:r w:rsidR="00714F5D">
              <w:rPr>
                <w:webHidden/>
              </w:rPr>
              <w:fldChar w:fldCharType="separate"/>
            </w:r>
            <w:r w:rsidR="00A416D1">
              <w:rPr>
                <w:webHidden/>
              </w:rPr>
              <w:t>42</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93" w:history="1">
            <w:r w:rsidR="00714F5D" w:rsidRPr="00815DB4">
              <w:rPr>
                <w:rStyle w:val="ab"/>
              </w:rPr>
              <w:t>3.7. Rezultatele controalelor fiscale și vamale și impactul acestora asupra performanțelor instituționale.</w:t>
            </w:r>
            <w:r w:rsidR="00714F5D">
              <w:rPr>
                <w:webHidden/>
              </w:rPr>
              <w:tab/>
            </w:r>
            <w:r w:rsidR="00714F5D">
              <w:rPr>
                <w:webHidden/>
              </w:rPr>
              <w:fldChar w:fldCharType="begin"/>
            </w:r>
            <w:r w:rsidR="00714F5D">
              <w:rPr>
                <w:webHidden/>
              </w:rPr>
              <w:instrText xml:space="preserve"> PAGEREF _Toc515894893 \h </w:instrText>
            </w:r>
            <w:r w:rsidR="00714F5D">
              <w:rPr>
                <w:webHidden/>
              </w:rPr>
            </w:r>
            <w:r w:rsidR="00714F5D">
              <w:rPr>
                <w:webHidden/>
              </w:rPr>
              <w:fldChar w:fldCharType="separate"/>
            </w:r>
            <w:r w:rsidR="00A416D1">
              <w:rPr>
                <w:webHidden/>
              </w:rPr>
              <w:t>47</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94" w:history="1">
            <w:r w:rsidR="00714F5D" w:rsidRPr="00815DB4">
              <w:rPr>
                <w:rStyle w:val="ab"/>
              </w:rPr>
              <w:t>3.8. Implementarea de către organele fiscale și vamale a recomandărilor auditurilor precedente ale Curții de Conturi.</w:t>
            </w:r>
            <w:r w:rsidR="00714F5D">
              <w:rPr>
                <w:webHidden/>
              </w:rPr>
              <w:tab/>
            </w:r>
            <w:r w:rsidR="00714F5D">
              <w:rPr>
                <w:webHidden/>
              </w:rPr>
              <w:fldChar w:fldCharType="begin"/>
            </w:r>
            <w:r w:rsidR="00714F5D">
              <w:rPr>
                <w:webHidden/>
              </w:rPr>
              <w:instrText xml:space="preserve"> PAGEREF _Toc515894894 \h </w:instrText>
            </w:r>
            <w:r w:rsidR="00714F5D">
              <w:rPr>
                <w:webHidden/>
              </w:rPr>
            </w:r>
            <w:r w:rsidR="00714F5D">
              <w:rPr>
                <w:webHidden/>
              </w:rPr>
              <w:fldChar w:fldCharType="separate"/>
            </w:r>
            <w:r w:rsidR="00A416D1">
              <w:rPr>
                <w:webHidden/>
              </w:rPr>
              <w:t>49</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95" w:history="1">
            <w:r w:rsidR="00714F5D" w:rsidRPr="00815DB4">
              <w:rPr>
                <w:rStyle w:val="ab"/>
              </w:rPr>
              <w:t>3.9. Organizarea și implementarea de către organele fiscale și vamale a sistemului de control intern.</w:t>
            </w:r>
            <w:r w:rsidR="00714F5D">
              <w:rPr>
                <w:webHidden/>
              </w:rPr>
              <w:tab/>
            </w:r>
            <w:r w:rsidR="00714F5D">
              <w:rPr>
                <w:webHidden/>
              </w:rPr>
              <w:fldChar w:fldCharType="begin"/>
            </w:r>
            <w:r w:rsidR="00714F5D">
              <w:rPr>
                <w:webHidden/>
              </w:rPr>
              <w:instrText xml:space="preserve"> PAGEREF _Toc515894895 \h </w:instrText>
            </w:r>
            <w:r w:rsidR="00714F5D">
              <w:rPr>
                <w:webHidden/>
              </w:rPr>
            </w:r>
            <w:r w:rsidR="00714F5D">
              <w:rPr>
                <w:webHidden/>
              </w:rPr>
              <w:fldChar w:fldCharType="separate"/>
            </w:r>
            <w:r w:rsidR="00A416D1">
              <w:rPr>
                <w:webHidden/>
              </w:rPr>
              <w:t>51</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96" w:history="1">
            <w:r w:rsidR="00714F5D" w:rsidRPr="00815DB4">
              <w:rPr>
                <w:rStyle w:val="ab"/>
              </w:rPr>
              <w:t>IV. RECOMANDĂRILE AUDITULUI</w:t>
            </w:r>
            <w:r w:rsidR="00714F5D">
              <w:rPr>
                <w:webHidden/>
              </w:rPr>
              <w:tab/>
            </w:r>
            <w:r w:rsidR="00714F5D">
              <w:rPr>
                <w:webHidden/>
              </w:rPr>
              <w:fldChar w:fldCharType="begin"/>
            </w:r>
            <w:r w:rsidR="00714F5D">
              <w:rPr>
                <w:webHidden/>
              </w:rPr>
              <w:instrText xml:space="preserve"> PAGEREF _Toc515894896 \h </w:instrText>
            </w:r>
            <w:r w:rsidR="00714F5D">
              <w:rPr>
                <w:webHidden/>
              </w:rPr>
            </w:r>
            <w:r w:rsidR="00714F5D">
              <w:rPr>
                <w:webHidden/>
              </w:rPr>
              <w:fldChar w:fldCharType="separate"/>
            </w:r>
            <w:r w:rsidR="00A416D1">
              <w:rPr>
                <w:webHidden/>
              </w:rPr>
              <w:t>54</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97" w:history="1">
            <w:r w:rsidR="00714F5D" w:rsidRPr="00815DB4">
              <w:rPr>
                <w:rStyle w:val="ab"/>
              </w:rPr>
              <w:t>V. CONCLUZIA GENERALĂ</w:t>
            </w:r>
            <w:r w:rsidR="00714F5D">
              <w:rPr>
                <w:webHidden/>
              </w:rPr>
              <w:tab/>
            </w:r>
            <w:r w:rsidR="00714F5D">
              <w:rPr>
                <w:webHidden/>
              </w:rPr>
              <w:fldChar w:fldCharType="begin"/>
            </w:r>
            <w:r w:rsidR="00714F5D">
              <w:rPr>
                <w:webHidden/>
              </w:rPr>
              <w:instrText xml:space="preserve"> PAGEREF _Toc515894897 \h </w:instrText>
            </w:r>
            <w:r w:rsidR="00714F5D">
              <w:rPr>
                <w:webHidden/>
              </w:rPr>
            </w:r>
            <w:r w:rsidR="00714F5D">
              <w:rPr>
                <w:webHidden/>
              </w:rPr>
              <w:fldChar w:fldCharType="separate"/>
            </w:r>
            <w:r w:rsidR="00A416D1">
              <w:rPr>
                <w:webHidden/>
              </w:rPr>
              <w:t>55</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98" w:history="1">
            <w:r w:rsidR="00714F5D" w:rsidRPr="00815DB4">
              <w:rPr>
                <w:rStyle w:val="ab"/>
              </w:rPr>
              <w:t>VI. ANEXE</w:t>
            </w:r>
            <w:r w:rsidR="00714F5D">
              <w:rPr>
                <w:webHidden/>
              </w:rPr>
              <w:tab/>
            </w:r>
            <w:r w:rsidR="00714F5D">
              <w:rPr>
                <w:webHidden/>
              </w:rPr>
              <w:fldChar w:fldCharType="begin"/>
            </w:r>
            <w:r w:rsidR="00714F5D">
              <w:rPr>
                <w:webHidden/>
              </w:rPr>
              <w:instrText xml:space="preserve"> PAGEREF _Toc515894898 \h </w:instrText>
            </w:r>
            <w:r w:rsidR="00714F5D">
              <w:rPr>
                <w:webHidden/>
              </w:rPr>
            </w:r>
            <w:r w:rsidR="00714F5D">
              <w:rPr>
                <w:webHidden/>
              </w:rPr>
              <w:fldChar w:fldCharType="separate"/>
            </w:r>
            <w:r w:rsidR="00A416D1">
              <w:rPr>
                <w:webHidden/>
              </w:rPr>
              <w:t>57</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899" w:history="1">
            <w:r w:rsidR="00714F5D" w:rsidRPr="00815DB4">
              <w:rPr>
                <w:rStyle w:val="ab"/>
                <w:i/>
              </w:rPr>
              <w:t>Anexa nr.1. Funcțiile și atribuțiile SFS și SV în domeniul administrării fiscale și vamale.</w:t>
            </w:r>
            <w:r w:rsidR="00714F5D">
              <w:rPr>
                <w:webHidden/>
              </w:rPr>
              <w:tab/>
            </w:r>
            <w:r w:rsidR="00714F5D">
              <w:rPr>
                <w:webHidden/>
              </w:rPr>
              <w:fldChar w:fldCharType="begin"/>
            </w:r>
            <w:r w:rsidR="00714F5D">
              <w:rPr>
                <w:webHidden/>
              </w:rPr>
              <w:instrText xml:space="preserve"> PAGEREF _Toc515894899 \h </w:instrText>
            </w:r>
            <w:r w:rsidR="00714F5D">
              <w:rPr>
                <w:webHidden/>
              </w:rPr>
            </w:r>
            <w:r w:rsidR="00714F5D">
              <w:rPr>
                <w:webHidden/>
              </w:rPr>
              <w:fldChar w:fldCharType="separate"/>
            </w:r>
            <w:r w:rsidR="00A416D1">
              <w:rPr>
                <w:webHidden/>
              </w:rPr>
              <w:t>57</w:t>
            </w:r>
            <w:r w:rsidR="00714F5D">
              <w:rPr>
                <w:webHidden/>
              </w:rPr>
              <w:fldChar w:fldCharType="end"/>
            </w:r>
          </w:hyperlink>
        </w:p>
        <w:p w:rsidR="00714F5D" w:rsidRDefault="00822FCC" w:rsidP="00714F5D">
          <w:pPr>
            <w:pStyle w:val="21"/>
            <w:ind w:right="-96"/>
            <w:rPr>
              <w:rFonts w:asciiTheme="minorHAnsi" w:eastAsiaTheme="minorEastAsia" w:hAnsiTheme="minorHAnsi" w:cstheme="minorBidi"/>
              <w:b w:val="0"/>
              <w:i w:val="0"/>
              <w:sz w:val="22"/>
              <w:szCs w:val="22"/>
              <w:lang w:val="en-US"/>
            </w:rPr>
          </w:pPr>
          <w:hyperlink w:anchor="_Toc515894900" w:history="1">
            <w:r w:rsidR="00714F5D" w:rsidRPr="00815DB4">
              <w:rPr>
                <w:rStyle w:val="ab"/>
              </w:rPr>
              <w:t>Anexa nr.2. Domeniul de aplicare și metodologia de audit</w:t>
            </w:r>
            <w:r w:rsidR="00714F5D">
              <w:rPr>
                <w:webHidden/>
              </w:rPr>
              <w:tab/>
            </w:r>
            <w:r w:rsidR="00714F5D">
              <w:rPr>
                <w:webHidden/>
              </w:rPr>
              <w:fldChar w:fldCharType="begin"/>
            </w:r>
            <w:r w:rsidR="00714F5D">
              <w:rPr>
                <w:webHidden/>
              </w:rPr>
              <w:instrText xml:space="preserve"> PAGEREF _Toc515894900 \h </w:instrText>
            </w:r>
            <w:r w:rsidR="00714F5D">
              <w:rPr>
                <w:webHidden/>
              </w:rPr>
            </w:r>
            <w:r w:rsidR="00714F5D">
              <w:rPr>
                <w:webHidden/>
              </w:rPr>
              <w:fldChar w:fldCharType="separate"/>
            </w:r>
            <w:r w:rsidR="00A416D1">
              <w:rPr>
                <w:webHidden/>
              </w:rPr>
              <w:t>61</w:t>
            </w:r>
            <w:r w:rsidR="00714F5D">
              <w:rPr>
                <w:webHidden/>
              </w:rPr>
              <w:fldChar w:fldCharType="end"/>
            </w:r>
          </w:hyperlink>
        </w:p>
        <w:p w:rsidR="00714F5D" w:rsidRDefault="00822FCC" w:rsidP="00714F5D">
          <w:pPr>
            <w:pStyle w:val="12"/>
            <w:rPr>
              <w:rFonts w:asciiTheme="minorHAnsi" w:eastAsiaTheme="minorEastAsia" w:hAnsiTheme="minorHAnsi" w:cstheme="minorBidi"/>
              <w:b w:val="0"/>
              <w:sz w:val="22"/>
              <w:szCs w:val="22"/>
              <w:lang w:val="en-US" w:eastAsia="en-US"/>
            </w:rPr>
          </w:pPr>
          <w:hyperlink w:anchor="_Toc515894901" w:history="1">
            <w:r w:rsidR="00714F5D" w:rsidRPr="00815DB4">
              <w:rPr>
                <w:rStyle w:val="ab"/>
                <w:i/>
              </w:rPr>
              <w:t>Anexa nr.3. Tabele întocmite de către echipa de audit în baza informațiilor prezentate de către entități.</w:t>
            </w:r>
            <w:r w:rsidR="00714F5D">
              <w:rPr>
                <w:webHidden/>
              </w:rPr>
              <w:tab/>
            </w:r>
            <w:r w:rsidR="00714F5D">
              <w:rPr>
                <w:webHidden/>
              </w:rPr>
              <w:fldChar w:fldCharType="begin"/>
            </w:r>
            <w:r w:rsidR="00714F5D">
              <w:rPr>
                <w:webHidden/>
              </w:rPr>
              <w:instrText xml:space="preserve"> PAGEREF _Toc515894901 \h </w:instrText>
            </w:r>
            <w:r w:rsidR="00714F5D">
              <w:rPr>
                <w:webHidden/>
              </w:rPr>
            </w:r>
            <w:r w:rsidR="00714F5D">
              <w:rPr>
                <w:webHidden/>
              </w:rPr>
              <w:fldChar w:fldCharType="separate"/>
            </w:r>
            <w:r w:rsidR="00A416D1">
              <w:rPr>
                <w:webHidden/>
              </w:rPr>
              <w:t>63</w:t>
            </w:r>
            <w:r w:rsidR="00714F5D">
              <w:rPr>
                <w:webHidden/>
              </w:rPr>
              <w:fldChar w:fldCharType="end"/>
            </w:r>
          </w:hyperlink>
        </w:p>
        <w:p w:rsidR="00714F5D" w:rsidRDefault="00822FCC" w:rsidP="00714F5D">
          <w:pPr>
            <w:pStyle w:val="21"/>
            <w:ind w:right="-96"/>
            <w:rPr>
              <w:rFonts w:asciiTheme="minorHAnsi" w:eastAsiaTheme="minorEastAsia" w:hAnsiTheme="minorHAnsi" w:cstheme="minorBidi"/>
              <w:b w:val="0"/>
              <w:i w:val="0"/>
              <w:sz w:val="22"/>
              <w:szCs w:val="22"/>
              <w:lang w:val="en-US"/>
            </w:rPr>
          </w:pPr>
          <w:hyperlink w:anchor="_Toc515894902" w:history="1">
            <w:r w:rsidR="00714F5D" w:rsidRPr="00815DB4">
              <w:rPr>
                <w:rStyle w:val="ab"/>
                <w:lang w:val="ro-MD" w:eastAsia="ru-RU"/>
              </w:rPr>
              <w:t>Anexa nr.4. Diagrame întocmite de către echipa de audit în baza informațiilor prezentate de entități.</w:t>
            </w:r>
            <w:r w:rsidR="00714F5D">
              <w:rPr>
                <w:webHidden/>
              </w:rPr>
              <w:tab/>
            </w:r>
            <w:r w:rsidR="00714F5D">
              <w:rPr>
                <w:webHidden/>
              </w:rPr>
              <w:fldChar w:fldCharType="begin"/>
            </w:r>
            <w:r w:rsidR="00714F5D">
              <w:rPr>
                <w:webHidden/>
              </w:rPr>
              <w:instrText xml:space="preserve"> PAGEREF _Toc515894902 \h </w:instrText>
            </w:r>
            <w:r w:rsidR="00714F5D">
              <w:rPr>
                <w:webHidden/>
              </w:rPr>
            </w:r>
            <w:r w:rsidR="00714F5D">
              <w:rPr>
                <w:webHidden/>
              </w:rPr>
              <w:fldChar w:fldCharType="separate"/>
            </w:r>
            <w:r w:rsidR="00A416D1">
              <w:rPr>
                <w:webHidden/>
              </w:rPr>
              <w:t>77</w:t>
            </w:r>
            <w:r w:rsidR="00714F5D">
              <w:rPr>
                <w:webHidden/>
              </w:rPr>
              <w:fldChar w:fldCharType="end"/>
            </w:r>
          </w:hyperlink>
        </w:p>
        <w:p w:rsidR="00891AE3" w:rsidRPr="001D0846" w:rsidRDefault="00891AE3" w:rsidP="00073D4B">
          <w:pPr>
            <w:tabs>
              <w:tab w:val="right" w:leader="dot" w:pos="9450"/>
            </w:tabs>
            <w:ind w:right="-96"/>
          </w:pPr>
          <w:r w:rsidRPr="001D67FA">
            <w:rPr>
              <w:b/>
              <w:bCs/>
              <w:noProof/>
              <w:color w:val="FF0000"/>
              <w:sz w:val="24"/>
              <w:szCs w:val="24"/>
            </w:rPr>
            <w:fldChar w:fldCharType="end"/>
          </w:r>
        </w:p>
      </w:sdtContent>
    </w:sdt>
    <w:p w:rsidR="00891AE3" w:rsidRPr="001D0846" w:rsidRDefault="00891AE3" w:rsidP="00073D4B">
      <w:pPr>
        <w:tabs>
          <w:tab w:val="right" w:leader="dot" w:pos="9450"/>
        </w:tabs>
        <w:spacing w:after="0" w:line="276" w:lineRule="auto"/>
        <w:ind w:right="-96"/>
        <w:rPr>
          <w:rFonts w:ascii="Times New Roman" w:hAnsi="Times New Roman" w:cs="Times New Roman"/>
          <w:b/>
          <w:sz w:val="28"/>
          <w:szCs w:val="28"/>
        </w:rPr>
      </w:pPr>
    </w:p>
    <w:p w:rsidR="00073D4B" w:rsidRDefault="00073D4B" w:rsidP="00073D4B">
      <w:pPr>
        <w:tabs>
          <w:tab w:val="right" w:leader="dot" w:pos="9270"/>
        </w:tabs>
        <w:spacing w:after="0" w:line="276" w:lineRule="auto"/>
        <w:jc w:val="center"/>
        <w:rPr>
          <w:rFonts w:ascii="Times New Roman" w:hAnsi="Times New Roman" w:cs="Times New Roman"/>
          <w:b/>
          <w:sz w:val="28"/>
          <w:szCs w:val="28"/>
        </w:rPr>
      </w:pPr>
    </w:p>
    <w:p w:rsidR="00073D4B" w:rsidRDefault="00073D4B" w:rsidP="00073D4B">
      <w:pPr>
        <w:tabs>
          <w:tab w:val="right" w:leader="dot" w:pos="9270"/>
        </w:tabs>
        <w:spacing w:after="0" w:line="276" w:lineRule="auto"/>
        <w:jc w:val="center"/>
        <w:rPr>
          <w:rFonts w:ascii="Times New Roman" w:hAnsi="Times New Roman" w:cs="Times New Roman"/>
          <w:b/>
          <w:sz w:val="28"/>
          <w:szCs w:val="28"/>
        </w:rPr>
      </w:pPr>
    </w:p>
    <w:p w:rsidR="003C4B9E" w:rsidRDefault="003C4B9E" w:rsidP="007864B6">
      <w:pPr>
        <w:spacing w:after="0" w:line="276" w:lineRule="auto"/>
        <w:jc w:val="center"/>
        <w:rPr>
          <w:rFonts w:ascii="Times New Roman" w:hAnsi="Times New Roman" w:cs="Times New Roman"/>
          <w:b/>
          <w:sz w:val="28"/>
          <w:szCs w:val="28"/>
        </w:rPr>
      </w:pPr>
    </w:p>
    <w:p w:rsidR="00A0239F" w:rsidRPr="001D0846" w:rsidRDefault="00A0239F" w:rsidP="007864B6">
      <w:pPr>
        <w:spacing w:after="0" w:line="276" w:lineRule="auto"/>
        <w:jc w:val="center"/>
      </w:pPr>
      <w:r w:rsidRPr="001D0846">
        <w:rPr>
          <w:rFonts w:ascii="Times New Roman" w:hAnsi="Times New Roman" w:cs="Times New Roman"/>
          <w:b/>
          <w:sz w:val="28"/>
          <w:szCs w:val="28"/>
        </w:rPr>
        <w:lastRenderedPageBreak/>
        <w:t>LISTA ACRONIMELOR</w:t>
      </w:r>
      <w:bookmarkEnd w:id="0"/>
    </w:p>
    <w:tbl>
      <w:tblPr>
        <w:tblStyle w:val="a3"/>
        <w:tblW w:w="9360" w:type="dxa"/>
        <w:tblInd w:w="-5" w:type="dxa"/>
        <w:tblLook w:val="04A0" w:firstRow="1" w:lastRow="0" w:firstColumn="1" w:lastColumn="0" w:noHBand="0" w:noVBand="1"/>
      </w:tblPr>
      <w:tblGrid>
        <w:gridCol w:w="2790"/>
        <w:gridCol w:w="6570"/>
      </w:tblGrid>
      <w:tr w:rsidR="002D6077" w:rsidRPr="001D67FA" w:rsidTr="000A329C">
        <w:tc>
          <w:tcPr>
            <w:tcW w:w="2790" w:type="dxa"/>
          </w:tcPr>
          <w:p w:rsidR="002D6077" w:rsidRDefault="002D6077" w:rsidP="00733CD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AAPL</w:t>
            </w:r>
          </w:p>
        </w:tc>
        <w:tc>
          <w:tcPr>
            <w:tcW w:w="6570" w:type="dxa"/>
          </w:tcPr>
          <w:p w:rsidR="002D6077" w:rsidRDefault="002D6077" w:rsidP="00733CD4">
            <w:pPr>
              <w:spacing w:line="276" w:lineRule="auto"/>
              <w:rPr>
                <w:rFonts w:ascii="Times New Roman" w:hAnsi="Times New Roman" w:cs="Times New Roman"/>
                <w:sz w:val="28"/>
                <w:szCs w:val="28"/>
              </w:rPr>
            </w:pPr>
            <w:r>
              <w:rPr>
                <w:rFonts w:ascii="Times New Roman" w:hAnsi="Times New Roman" w:cs="Times New Roman"/>
                <w:sz w:val="28"/>
                <w:szCs w:val="28"/>
              </w:rPr>
              <w:t>Autoritățile administrației publice locale</w:t>
            </w:r>
          </w:p>
        </w:tc>
      </w:tr>
      <w:tr w:rsidR="000A329C" w:rsidRPr="001D67FA" w:rsidTr="000A329C">
        <w:tc>
          <w:tcPr>
            <w:tcW w:w="2790" w:type="dxa"/>
          </w:tcPr>
          <w:p w:rsidR="000A329C" w:rsidRPr="001D67FA" w:rsidRDefault="00412223" w:rsidP="00733CD4">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ASP</w:t>
            </w:r>
          </w:p>
        </w:tc>
        <w:tc>
          <w:tcPr>
            <w:tcW w:w="6570" w:type="dxa"/>
          </w:tcPr>
          <w:p w:rsidR="000A329C" w:rsidRPr="001D67FA" w:rsidRDefault="00412223" w:rsidP="00733CD4">
            <w:pPr>
              <w:spacing w:line="276" w:lineRule="auto"/>
              <w:rPr>
                <w:rFonts w:ascii="Times New Roman" w:hAnsi="Times New Roman" w:cs="Times New Roman"/>
                <w:sz w:val="28"/>
                <w:szCs w:val="28"/>
              </w:rPr>
            </w:pPr>
            <w:r>
              <w:rPr>
                <w:rFonts w:ascii="Times New Roman" w:hAnsi="Times New Roman" w:cs="Times New Roman"/>
                <w:sz w:val="28"/>
                <w:szCs w:val="28"/>
              </w:rPr>
              <w:t>Agenția Servicii Publice</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BASS</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Bugetul asigurărilor sociale de stat</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BPN</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Bugetul public național</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BS</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Bugetul de stat</w:t>
            </w:r>
          </w:p>
        </w:tc>
      </w:tr>
      <w:tr w:rsidR="00412223" w:rsidRPr="001D67FA" w:rsidTr="0014303B">
        <w:trPr>
          <w:trHeight w:val="98"/>
        </w:trPr>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BUAT</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Bugetul unităților administrativ-teritoriale</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BUMM</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Bursa universală de mărfuri a Moldovei</w:t>
            </w:r>
          </w:p>
        </w:tc>
      </w:tr>
      <w:tr w:rsidR="00412223" w:rsidRPr="001D67FA" w:rsidTr="000A329C">
        <w:tc>
          <w:tcPr>
            <w:tcW w:w="2790" w:type="dxa"/>
          </w:tcPr>
          <w:p w:rsidR="00412223" w:rsidRPr="002D6077"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2D6077">
              <w:rPr>
                <w:rFonts w:ascii="Times New Roman" w:eastAsia="Times New Roman" w:hAnsi="Times New Roman" w:cs="Times New Roman"/>
                <w:b/>
                <w:sz w:val="28"/>
                <w:szCs w:val="28"/>
              </w:rPr>
              <w:t>BV</w:t>
            </w:r>
          </w:p>
        </w:tc>
        <w:tc>
          <w:tcPr>
            <w:tcW w:w="6570" w:type="dxa"/>
          </w:tcPr>
          <w:p w:rsidR="00412223" w:rsidRPr="002D6077" w:rsidRDefault="00412223" w:rsidP="00412223">
            <w:pPr>
              <w:spacing w:line="276" w:lineRule="auto"/>
              <w:rPr>
                <w:rFonts w:ascii="Times New Roman" w:hAnsi="Times New Roman" w:cs="Times New Roman"/>
                <w:sz w:val="28"/>
                <w:szCs w:val="28"/>
              </w:rPr>
            </w:pPr>
            <w:r w:rsidRPr="002D6077">
              <w:rPr>
                <w:rFonts w:ascii="Times New Roman" w:hAnsi="Times New Roman" w:cs="Times New Roman"/>
                <w:sz w:val="28"/>
                <w:szCs w:val="28"/>
              </w:rPr>
              <w:t>Birou</w:t>
            </w:r>
            <w:r w:rsidR="00381178">
              <w:rPr>
                <w:rFonts w:ascii="Times New Roman" w:hAnsi="Times New Roman" w:cs="Times New Roman"/>
                <w:sz w:val="28"/>
                <w:szCs w:val="28"/>
              </w:rPr>
              <w:t>l</w:t>
            </w:r>
            <w:r w:rsidRPr="002D6077">
              <w:rPr>
                <w:rFonts w:ascii="Times New Roman" w:hAnsi="Times New Roman" w:cs="Times New Roman"/>
                <w:sz w:val="28"/>
                <w:szCs w:val="28"/>
              </w:rPr>
              <w:t xml:space="preserve"> vamal</w:t>
            </w:r>
          </w:p>
        </w:tc>
      </w:tr>
      <w:tr w:rsidR="000C61BF" w:rsidRPr="001D67FA" w:rsidTr="000A329C">
        <w:tc>
          <w:tcPr>
            <w:tcW w:w="2790" w:type="dxa"/>
          </w:tcPr>
          <w:p w:rsidR="000C61BF" w:rsidRPr="001D67FA" w:rsidRDefault="000C61BF" w:rsidP="00412223">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BNS</w:t>
            </w:r>
          </w:p>
        </w:tc>
        <w:tc>
          <w:tcPr>
            <w:tcW w:w="6570" w:type="dxa"/>
          </w:tcPr>
          <w:p w:rsidR="000C61BF" w:rsidRPr="001D67FA" w:rsidRDefault="000C61BF" w:rsidP="00412223">
            <w:pPr>
              <w:spacing w:line="276" w:lineRule="auto"/>
              <w:rPr>
                <w:rFonts w:ascii="Times New Roman" w:hAnsi="Times New Roman" w:cs="Times New Roman"/>
                <w:sz w:val="28"/>
                <w:szCs w:val="28"/>
              </w:rPr>
            </w:pPr>
            <w:r>
              <w:rPr>
                <w:rFonts w:ascii="Times New Roman" w:hAnsi="Times New Roman" w:cs="Times New Roman"/>
                <w:sz w:val="28"/>
                <w:szCs w:val="28"/>
              </w:rPr>
              <w:t>Biroul Național de Statistică</w:t>
            </w:r>
          </w:p>
        </w:tc>
      </w:tr>
      <w:tr w:rsidR="00412223" w:rsidRPr="001D67FA" w:rsidTr="000A329C">
        <w:tc>
          <w:tcPr>
            <w:tcW w:w="2790" w:type="dxa"/>
          </w:tcPr>
          <w:p w:rsidR="00412223" w:rsidRPr="002D6077"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2D6077">
              <w:rPr>
                <w:rFonts w:ascii="Times New Roman" w:eastAsia="Times New Roman" w:hAnsi="Times New Roman" w:cs="Times New Roman"/>
                <w:b/>
                <w:sz w:val="28"/>
                <w:szCs w:val="28"/>
              </w:rPr>
              <w:t>CCRM</w:t>
            </w:r>
          </w:p>
        </w:tc>
        <w:tc>
          <w:tcPr>
            <w:tcW w:w="6570" w:type="dxa"/>
          </w:tcPr>
          <w:p w:rsidR="00412223" w:rsidRPr="002D6077" w:rsidRDefault="00412223" w:rsidP="00412223">
            <w:pPr>
              <w:spacing w:line="276" w:lineRule="auto"/>
              <w:rPr>
                <w:rFonts w:ascii="Times New Roman" w:hAnsi="Times New Roman" w:cs="Times New Roman"/>
                <w:sz w:val="28"/>
                <w:szCs w:val="28"/>
              </w:rPr>
            </w:pPr>
            <w:r w:rsidRPr="002D6077">
              <w:rPr>
                <w:rFonts w:ascii="Times New Roman" w:hAnsi="Times New Roman" w:cs="Times New Roman"/>
                <w:sz w:val="28"/>
                <w:szCs w:val="28"/>
              </w:rPr>
              <w:t>Curtea de Conturi a Republicii Moldova</w:t>
            </w:r>
          </w:p>
        </w:tc>
      </w:tr>
      <w:tr w:rsidR="002D6077" w:rsidRPr="001D67FA" w:rsidTr="000A329C">
        <w:tc>
          <w:tcPr>
            <w:tcW w:w="2790" w:type="dxa"/>
          </w:tcPr>
          <w:p w:rsidR="002D6077" w:rsidRPr="002D6077" w:rsidRDefault="002D6077" w:rsidP="00412223">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CF</w:t>
            </w:r>
          </w:p>
        </w:tc>
        <w:tc>
          <w:tcPr>
            <w:tcW w:w="6570" w:type="dxa"/>
          </w:tcPr>
          <w:p w:rsidR="002D6077" w:rsidRPr="002D6077" w:rsidRDefault="002D6077" w:rsidP="00412223">
            <w:pPr>
              <w:spacing w:line="276" w:lineRule="auto"/>
              <w:rPr>
                <w:rFonts w:ascii="Times New Roman" w:hAnsi="Times New Roman" w:cs="Times New Roman"/>
                <w:sz w:val="28"/>
                <w:szCs w:val="28"/>
              </w:rPr>
            </w:pPr>
            <w:r>
              <w:rPr>
                <w:rFonts w:ascii="Times New Roman" w:hAnsi="Times New Roman" w:cs="Times New Roman"/>
                <w:sz w:val="28"/>
                <w:szCs w:val="28"/>
              </w:rPr>
              <w:t>Codul fiscal</w:t>
            </w:r>
          </w:p>
        </w:tc>
      </w:tr>
      <w:tr w:rsidR="002D6077" w:rsidRPr="001D67FA" w:rsidTr="000A329C">
        <w:tc>
          <w:tcPr>
            <w:tcW w:w="2790" w:type="dxa"/>
          </w:tcPr>
          <w:p w:rsidR="002D6077" w:rsidRDefault="002D6077" w:rsidP="00412223">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CV</w:t>
            </w:r>
          </w:p>
        </w:tc>
        <w:tc>
          <w:tcPr>
            <w:tcW w:w="6570" w:type="dxa"/>
          </w:tcPr>
          <w:p w:rsidR="002D6077" w:rsidRDefault="002D6077" w:rsidP="00412223">
            <w:pPr>
              <w:spacing w:line="276" w:lineRule="auto"/>
              <w:rPr>
                <w:rFonts w:ascii="Times New Roman" w:hAnsi="Times New Roman" w:cs="Times New Roman"/>
                <w:sz w:val="28"/>
                <w:szCs w:val="28"/>
              </w:rPr>
            </w:pPr>
            <w:r>
              <w:rPr>
                <w:rFonts w:ascii="Times New Roman" w:hAnsi="Times New Roman" w:cs="Times New Roman"/>
                <w:sz w:val="28"/>
                <w:szCs w:val="28"/>
              </w:rPr>
              <w:t>Codul vamal</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DGACM</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Direcția generală administrare contribuabili mari</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DGAF</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Direcția generală administrare fiscală</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FAOAM</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Fondu</w:t>
            </w:r>
            <w:r w:rsidR="00F10984">
              <w:rPr>
                <w:rFonts w:ascii="Times New Roman" w:hAnsi="Times New Roman" w:cs="Times New Roman"/>
                <w:sz w:val="28"/>
                <w:szCs w:val="28"/>
              </w:rPr>
              <w:t>rile</w:t>
            </w:r>
            <w:r w:rsidRPr="001D67FA">
              <w:rPr>
                <w:rFonts w:ascii="Times New Roman" w:hAnsi="Times New Roman" w:cs="Times New Roman"/>
                <w:sz w:val="28"/>
                <w:szCs w:val="28"/>
              </w:rPr>
              <w:t xml:space="preserve"> </w:t>
            </w:r>
            <w:r w:rsidR="00F10984">
              <w:rPr>
                <w:rFonts w:ascii="Times New Roman" w:hAnsi="Times New Roman" w:cs="Times New Roman"/>
                <w:sz w:val="28"/>
                <w:szCs w:val="28"/>
              </w:rPr>
              <w:t>a</w:t>
            </w:r>
            <w:r w:rsidRPr="001D67FA">
              <w:rPr>
                <w:rFonts w:ascii="Times New Roman" w:hAnsi="Times New Roman" w:cs="Times New Roman"/>
                <w:sz w:val="28"/>
                <w:szCs w:val="28"/>
              </w:rPr>
              <w:t xml:space="preserve">sigurării </w:t>
            </w:r>
            <w:r w:rsidR="00F10984">
              <w:rPr>
                <w:rFonts w:ascii="Times New Roman" w:hAnsi="Times New Roman" w:cs="Times New Roman"/>
                <w:sz w:val="28"/>
                <w:szCs w:val="28"/>
              </w:rPr>
              <w:t>o</w:t>
            </w:r>
            <w:r w:rsidRPr="001D67FA">
              <w:rPr>
                <w:rFonts w:ascii="Times New Roman" w:hAnsi="Times New Roman" w:cs="Times New Roman"/>
                <w:sz w:val="28"/>
                <w:szCs w:val="28"/>
              </w:rPr>
              <w:t xml:space="preserve">bligatorii de </w:t>
            </w:r>
            <w:r w:rsidR="00F10984">
              <w:rPr>
                <w:rFonts w:ascii="Times New Roman" w:hAnsi="Times New Roman" w:cs="Times New Roman"/>
                <w:sz w:val="28"/>
                <w:szCs w:val="28"/>
              </w:rPr>
              <w:t>a</w:t>
            </w:r>
            <w:r w:rsidRPr="001D67FA">
              <w:rPr>
                <w:rFonts w:ascii="Times New Roman" w:hAnsi="Times New Roman" w:cs="Times New Roman"/>
                <w:sz w:val="28"/>
                <w:szCs w:val="28"/>
              </w:rPr>
              <w:t xml:space="preserve">sistență </w:t>
            </w:r>
            <w:r w:rsidR="00F10984">
              <w:rPr>
                <w:rFonts w:ascii="Times New Roman" w:hAnsi="Times New Roman" w:cs="Times New Roman"/>
                <w:sz w:val="28"/>
                <w:szCs w:val="28"/>
              </w:rPr>
              <w:t>m</w:t>
            </w:r>
            <w:r w:rsidRPr="001D67FA">
              <w:rPr>
                <w:rFonts w:ascii="Times New Roman" w:hAnsi="Times New Roman" w:cs="Times New Roman"/>
                <w:sz w:val="28"/>
                <w:szCs w:val="28"/>
              </w:rPr>
              <w:t>edicală</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IES</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Inspectoratul Ecologic de Stat</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ME</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Ministerul Economiei</w:t>
            </w:r>
          </w:p>
        </w:tc>
      </w:tr>
      <w:tr w:rsidR="00412223" w:rsidRPr="001D67FA" w:rsidTr="000A329C">
        <w:tc>
          <w:tcPr>
            <w:tcW w:w="2790" w:type="dxa"/>
          </w:tcPr>
          <w:p w:rsidR="00412223" w:rsidRPr="002D6077"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2D6077">
              <w:rPr>
                <w:rFonts w:ascii="Times New Roman" w:eastAsia="Times New Roman" w:hAnsi="Times New Roman" w:cs="Times New Roman"/>
                <w:b/>
                <w:sz w:val="28"/>
                <w:szCs w:val="28"/>
              </w:rPr>
              <w:t>MF</w:t>
            </w:r>
          </w:p>
        </w:tc>
        <w:tc>
          <w:tcPr>
            <w:tcW w:w="6570" w:type="dxa"/>
          </w:tcPr>
          <w:p w:rsidR="00412223" w:rsidRPr="002D6077" w:rsidRDefault="00412223" w:rsidP="00412223">
            <w:pPr>
              <w:spacing w:line="276" w:lineRule="auto"/>
              <w:rPr>
                <w:rFonts w:ascii="Times New Roman" w:hAnsi="Times New Roman" w:cs="Times New Roman"/>
                <w:sz w:val="28"/>
                <w:szCs w:val="28"/>
              </w:rPr>
            </w:pPr>
            <w:r w:rsidRPr="002D6077">
              <w:rPr>
                <w:rFonts w:ascii="Times New Roman" w:hAnsi="Times New Roman" w:cs="Times New Roman"/>
                <w:sz w:val="28"/>
                <w:szCs w:val="28"/>
              </w:rPr>
              <w:t>Ministerul Finanțelor</w:t>
            </w:r>
          </w:p>
        </w:tc>
      </w:tr>
      <w:tr w:rsidR="004E4152" w:rsidRPr="001D67FA" w:rsidTr="000A329C">
        <w:tc>
          <w:tcPr>
            <w:tcW w:w="2790" w:type="dxa"/>
          </w:tcPr>
          <w:p w:rsidR="004E4152" w:rsidRPr="002D6077" w:rsidRDefault="004E4152" w:rsidP="00412223">
            <w:pPr>
              <w:tabs>
                <w:tab w:val="left" w:pos="450"/>
                <w:tab w:val="left" w:pos="3600"/>
              </w:tabs>
              <w:spacing w:line="276" w:lineRule="auto"/>
              <w:ind w:right="9"/>
              <w:rPr>
                <w:rFonts w:ascii="Times New Roman" w:eastAsia="Times New Roman" w:hAnsi="Times New Roman" w:cs="Times New Roman"/>
                <w:b/>
                <w:sz w:val="28"/>
                <w:szCs w:val="28"/>
              </w:rPr>
            </w:pPr>
            <w:r w:rsidRPr="002D6077">
              <w:rPr>
                <w:rFonts w:ascii="Times New Roman" w:eastAsia="Times New Roman" w:hAnsi="Times New Roman" w:cs="Times New Roman"/>
                <w:b/>
                <w:sz w:val="28"/>
                <w:szCs w:val="28"/>
              </w:rPr>
              <w:t>MS</w:t>
            </w:r>
          </w:p>
        </w:tc>
        <w:tc>
          <w:tcPr>
            <w:tcW w:w="6570" w:type="dxa"/>
          </w:tcPr>
          <w:p w:rsidR="004E4152" w:rsidRPr="002D6077" w:rsidRDefault="004E4152" w:rsidP="00412223">
            <w:pPr>
              <w:spacing w:line="276" w:lineRule="auto"/>
              <w:rPr>
                <w:rFonts w:ascii="Times New Roman" w:hAnsi="Times New Roman" w:cs="Times New Roman"/>
                <w:sz w:val="28"/>
                <w:szCs w:val="28"/>
              </w:rPr>
            </w:pPr>
            <w:r w:rsidRPr="002D6077">
              <w:rPr>
                <w:rFonts w:ascii="Times New Roman" w:hAnsi="Times New Roman" w:cs="Times New Roman"/>
                <w:sz w:val="28"/>
                <w:szCs w:val="28"/>
              </w:rPr>
              <w:t>Ministerul Sănătății</w:t>
            </w:r>
          </w:p>
        </w:tc>
      </w:tr>
      <w:tr w:rsidR="00412223" w:rsidRPr="001D67FA" w:rsidTr="000A329C">
        <w:tc>
          <w:tcPr>
            <w:tcW w:w="2790" w:type="dxa"/>
          </w:tcPr>
          <w:p w:rsidR="00412223" w:rsidRPr="001D67FA" w:rsidRDefault="00412223" w:rsidP="00412223">
            <w:pPr>
              <w:pStyle w:val="af6"/>
              <w:spacing w:line="276" w:lineRule="auto"/>
              <w:jc w:val="both"/>
              <w:rPr>
                <w:rFonts w:ascii="Times New Roman" w:hAnsi="Times New Roman" w:cs="Times New Roman"/>
                <w:b/>
                <w:sz w:val="28"/>
                <w:szCs w:val="28"/>
                <w:lang w:val="ro-RO"/>
              </w:rPr>
            </w:pPr>
            <w:r w:rsidRPr="001D67FA">
              <w:rPr>
                <w:rFonts w:ascii="Times New Roman" w:hAnsi="Times New Roman" w:cs="Times New Roman"/>
                <w:b/>
                <w:sz w:val="28"/>
                <w:szCs w:val="28"/>
                <w:lang w:val="ro-RO"/>
              </w:rPr>
              <w:t>PEFA</w:t>
            </w:r>
          </w:p>
        </w:tc>
        <w:tc>
          <w:tcPr>
            <w:tcW w:w="6570" w:type="dxa"/>
          </w:tcPr>
          <w:p w:rsidR="00412223" w:rsidRPr="001D67FA" w:rsidRDefault="00412223" w:rsidP="00412223">
            <w:pPr>
              <w:pStyle w:val="af6"/>
              <w:spacing w:line="276" w:lineRule="auto"/>
              <w:jc w:val="both"/>
              <w:rPr>
                <w:rFonts w:ascii="Times New Roman" w:eastAsia="Times New Roman" w:hAnsi="Times New Roman" w:cs="Times New Roman"/>
                <w:color w:val="000000"/>
                <w:sz w:val="28"/>
                <w:szCs w:val="28"/>
                <w:lang w:val="ro-RO"/>
              </w:rPr>
            </w:pPr>
            <w:proofErr w:type="spellStart"/>
            <w:r w:rsidRPr="001D67FA">
              <w:rPr>
                <w:rFonts w:ascii="Times New Roman" w:eastAsia="Times New Roman" w:hAnsi="Times New Roman" w:cs="Times New Roman"/>
                <w:color w:val="000000"/>
                <w:sz w:val="28"/>
                <w:szCs w:val="28"/>
                <w:lang w:val="ro-RO"/>
              </w:rPr>
              <w:t>Performanţa</w:t>
            </w:r>
            <w:proofErr w:type="spellEnd"/>
            <w:r w:rsidRPr="001D67FA">
              <w:rPr>
                <w:rFonts w:ascii="Times New Roman" w:eastAsia="Times New Roman" w:hAnsi="Times New Roman" w:cs="Times New Roman"/>
                <w:color w:val="000000"/>
                <w:sz w:val="28"/>
                <w:szCs w:val="28"/>
                <w:lang w:val="ro-RO"/>
              </w:rPr>
              <w:t xml:space="preserve"> Managementului </w:t>
            </w:r>
            <w:proofErr w:type="spellStart"/>
            <w:r w:rsidRPr="001D67FA">
              <w:rPr>
                <w:rFonts w:ascii="Times New Roman" w:eastAsia="Times New Roman" w:hAnsi="Times New Roman" w:cs="Times New Roman"/>
                <w:color w:val="000000"/>
                <w:sz w:val="28"/>
                <w:szCs w:val="28"/>
                <w:lang w:val="ro-RO"/>
              </w:rPr>
              <w:t>Finanţelor</w:t>
            </w:r>
            <w:proofErr w:type="spellEnd"/>
            <w:r w:rsidRPr="001D67FA">
              <w:rPr>
                <w:rFonts w:ascii="Times New Roman" w:eastAsia="Times New Roman" w:hAnsi="Times New Roman" w:cs="Times New Roman"/>
                <w:color w:val="000000"/>
                <w:sz w:val="28"/>
                <w:szCs w:val="28"/>
                <w:lang w:val="ro-RO"/>
              </w:rPr>
              <w:t xml:space="preserve"> Publice</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PIB</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Produsul Intern Brut</w:t>
            </w:r>
          </w:p>
        </w:tc>
      </w:tr>
      <w:tr w:rsidR="00412223" w:rsidRPr="001D67FA" w:rsidTr="000A329C">
        <w:tc>
          <w:tcPr>
            <w:tcW w:w="2790" w:type="dxa"/>
          </w:tcPr>
          <w:p w:rsidR="00412223" w:rsidRPr="001D67FA" w:rsidRDefault="00F10984" w:rsidP="00412223">
            <w:pPr>
              <w:tabs>
                <w:tab w:val="left" w:pos="450"/>
                <w:tab w:val="left" w:pos="3600"/>
              </w:tabs>
              <w:spacing w:line="276" w:lineRule="auto"/>
              <w:ind w:right="9"/>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p</w:t>
            </w:r>
            <w:r w:rsidR="00412223" w:rsidRPr="001D67F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p</w:t>
            </w:r>
            <w:r w:rsidR="00412223" w:rsidRPr="001D67FA">
              <w:rPr>
                <w:rFonts w:ascii="Times New Roman" w:eastAsia="Times New Roman" w:hAnsi="Times New Roman" w:cs="Times New Roman"/>
                <w:b/>
                <w:sz w:val="28"/>
                <w:szCs w:val="28"/>
              </w:rPr>
              <w:t>.</w:t>
            </w:r>
            <w:proofErr w:type="spellEnd"/>
          </w:p>
        </w:tc>
        <w:tc>
          <w:tcPr>
            <w:tcW w:w="6570" w:type="dxa"/>
          </w:tcPr>
          <w:p w:rsidR="00412223" w:rsidRPr="001D67FA" w:rsidRDefault="00F10984" w:rsidP="00412223">
            <w:pPr>
              <w:spacing w:line="276" w:lineRule="auto"/>
              <w:rPr>
                <w:rFonts w:ascii="Times New Roman" w:hAnsi="Times New Roman" w:cs="Times New Roman"/>
                <w:sz w:val="28"/>
                <w:szCs w:val="28"/>
              </w:rPr>
            </w:pPr>
            <w:r>
              <w:rPr>
                <w:rFonts w:ascii="Times New Roman" w:hAnsi="Times New Roman" w:cs="Times New Roman"/>
                <w:sz w:val="28"/>
                <w:szCs w:val="28"/>
              </w:rPr>
              <w:t>p</w:t>
            </w:r>
            <w:r w:rsidR="00412223" w:rsidRPr="001D67FA">
              <w:rPr>
                <w:rFonts w:ascii="Times New Roman" w:hAnsi="Times New Roman" w:cs="Times New Roman"/>
                <w:sz w:val="28"/>
                <w:szCs w:val="28"/>
              </w:rPr>
              <w:t>uncte procentuale</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Pr>
                <w:rFonts w:ascii="Times New Roman" w:eastAsia="Times New Roman" w:hAnsi="Times New Roman" w:cs="Times New Roman"/>
                <w:b/>
                <w:sz w:val="28"/>
                <w:szCs w:val="28"/>
              </w:rPr>
              <w:t>RFS</w:t>
            </w:r>
          </w:p>
        </w:tc>
        <w:tc>
          <w:tcPr>
            <w:tcW w:w="6570" w:type="dxa"/>
          </w:tcPr>
          <w:p w:rsidR="00412223" w:rsidRPr="001D67FA" w:rsidRDefault="00412223" w:rsidP="00412223">
            <w:pPr>
              <w:spacing w:line="276" w:lineRule="auto"/>
              <w:rPr>
                <w:rFonts w:ascii="Times New Roman" w:hAnsi="Times New Roman" w:cs="Times New Roman"/>
                <w:sz w:val="28"/>
                <w:szCs w:val="28"/>
              </w:rPr>
            </w:pPr>
            <w:r>
              <w:rPr>
                <w:rFonts w:ascii="Times New Roman" w:hAnsi="Times New Roman" w:cs="Times New Roman"/>
                <w:sz w:val="28"/>
                <w:szCs w:val="28"/>
              </w:rPr>
              <w:t>Registrul Fiscal de Stat</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SCI</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Sistem</w:t>
            </w:r>
            <w:r w:rsidR="00F10984">
              <w:rPr>
                <w:rFonts w:ascii="Times New Roman" w:hAnsi="Times New Roman" w:cs="Times New Roman"/>
                <w:sz w:val="28"/>
                <w:szCs w:val="28"/>
              </w:rPr>
              <w:t>ul</w:t>
            </w:r>
            <w:r w:rsidRPr="001D67FA">
              <w:rPr>
                <w:rFonts w:ascii="Times New Roman" w:hAnsi="Times New Roman" w:cs="Times New Roman"/>
                <w:sz w:val="28"/>
                <w:szCs w:val="28"/>
              </w:rPr>
              <w:t xml:space="preserve"> de control intern</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SFS</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Serviciul Fiscal de Stat</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SIA</w:t>
            </w:r>
          </w:p>
        </w:tc>
        <w:tc>
          <w:tcPr>
            <w:tcW w:w="6570" w:type="dxa"/>
          </w:tcPr>
          <w:p w:rsidR="00412223" w:rsidRPr="001D67FA" w:rsidRDefault="00412223" w:rsidP="00412223">
            <w:pPr>
              <w:spacing w:line="276" w:lineRule="auto"/>
              <w:rPr>
                <w:rFonts w:ascii="Times New Roman" w:hAnsi="Times New Roman" w:cs="Times New Roman"/>
                <w:sz w:val="28"/>
                <w:szCs w:val="28"/>
              </w:rPr>
            </w:pPr>
            <w:r>
              <w:rPr>
                <w:rFonts w:ascii="Times New Roman" w:hAnsi="Times New Roman" w:cs="Times New Roman"/>
                <w:sz w:val="28"/>
                <w:szCs w:val="28"/>
              </w:rPr>
              <w:t>Sistem</w:t>
            </w:r>
            <w:r w:rsidR="00F10984">
              <w:rPr>
                <w:rFonts w:ascii="Times New Roman" w:hAnsi="Times New Roman" w:cs="Times New Roman"/>
                <w:sz w:val="28"/>
                <w:szCs w:val="28"/>
              </w:rPr>
              <w:t>ul</w:t>
            </w:r>
            <w:r>
              <w:rPr>
                <w:rFonts w:ascii="Times New Roman" w:hAnsi="Times New Roman" w:cs="Times New Roman"/>
                <w:sz w:val="28"/>
                <w:szCs w:val="28"/>
              </w:rPr>
              <w:t xml:space="preserve"> informaț</w:t>
            </w:r>
            <w:r w:rsidRPr="001D67FA">
              <w:rPr>
                <w:rFonts w:ascii="Times New Roman" w:hAnsi="Times New Roman" w:cs="Times New Roman"/>
                <w:sz w:val="28"/>
                <w:szCs w:val="28"/>
              </w:rPr>
              <w:t>ional automatizat</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SV</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Serviciul Vamal</w:t>
            </w:r>
          </w:p>
        </w:tc>
      </w:tr>
      <w:tr w:rsidR="00412223" w:rsidRPr="001D67FA" w:rsidTr="000A329C">
        <w:tc>
          <w:tcPr>
            <w:tcW w:w="2790" w:type="dxa"/>
          </w:tcPr>
          <w:p w:rsidR="00412223" w:rsidRPr="001D67FA"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1D67FA">
              <w:rPr>
                <w:rFonts w:ascii="Times New Roman" w:eastAsia="Times New Roman" w:hAnsi="Times New Roman" w:cs="Times New Roman"/>
                <w:b/>
                <w:sz w:val="28"/>
                <w:szCs w:val="28"/>
              </w:rPr>
              <w:t>TVA</w:t>
            </w:r>
          </w:p>
        </w:tc>
        <w:tc>
          <w:tcPr>
            <w:tcW w:w="6570" w:type="dxa"/>
          </w:tcPr>
          <w:p w:rsidR="00412223" w:rsidRPr="001D67FA" w:rsidRDefault="00412223" w:rsidP="00412223">
            <w:pPr>
              <w:spacing w:line="276" w:lineRule="auto"/>
              <w:rPr>
                <w:rFonts w:ascii="Times New Roman" w:hAnsi="Times New Roman" w:cs="Times New Roman"/>
                <w:sz w:val="28"/>
                <w:szCs w:val="28"/>
              </w:rPr>
            </w:pPr>
            <w:r w:rsidRPr="001D67FA">
              <w:rPr>
                <w:rFonts w:ascii="Times New Roman" w:hAnsi="Times New Roman" w:cs="Times New Roman"/>
                <w:sz w:val="28"/>
                <w:szCs w:val="28"/>
              </w:rPr>
              <w:t>Taxa pe valoare</w:t>
            </w:r>
            <w:r w:rsidR="00F10984">
              <w:rPr>
                <w:rFonts w:ascii="Times New Roman" w:hAnsi="Times New Roman" w:cs="Times New Roman"/>
                <w:sz w:val="28"/>
                <w:szCs w:val="28"/>
              </w:rPr>
              <w:t>a</w:t>
            </w:r>
            <w:r w:rsidRPr="001D67FA">
              <w:rPr>
                <w:rFonts w:ascii="Times New Roman" w:hAnsi="Times New Roman" w:cs="Times New Roman"/>
                <w:sz w:val="28"/>
                <w:szCs w:val="28"/>
              </w:rPr>
              <w:t xml:space="preserve"> adăugată</w:t>
            </w:r>
          </w:p>
        </w:tc>
      </w:tr>
      <w:tr w:rsidR="00412223" w:rsidRPr="001D67FA" w:rsidTr="000A329C">
        <w:tc>
          <w:tcPr>
            <w:tcW w:w="2790" w:type="dxa"/>
          </w:tcPr>
          <w:p w:rsidR="00412223" w:rsidRPr="00300711" w:rsidRDefault="00412223" w:rsidP="00412223">
            <w:pPr>
              <w:tabs>
                <w:tab w:val="left" w:pos="450"/>
                <w:tab w:val="left" w:pos="3600"/>
              </w:tabs>
              <w:spacing w:line="276" w:lineRule="auto"/>
              <w:ind w:right="9"/>
              <w:rPr>
                <w:rFonts w:ascii="Times New Roman" w:eastAsia="Times New Roman" w:hAnsi="Times New Roman" w:cs="Times New Roman"/>
                <w:b/>
                <w:sz w:val="28"/>
                <w:szCs w:val="28"/>
              </w:rPr>
            </w:pPr>
            <w:r w:rsidRPr="00300711">
              <w:rPr>
                <w:rFonts w:ascii="Times New Roman" w:hAnsi="Times New Roman" w:cs="Times New Roman"/>
                <w:b/>
                <w:sz w:val="28"/>
                <w:szCs w:val="28"/>
                <w:lang w:val="ro-MD"/>
              </w:rPr>
              <w:t xml:space="preserve">M.O. al RM  </w:t>
            </w:r>
          </w:p>
        </w:tc>
        <w:tc>
          <w:tcPr>
            <w:tcW w:w="6570" w:type="dxa"/>
          </w:tcPr>
          <w:p w:rsidR="00412223" w:rsidRPr="001D67FA" w:rsidRDefault="00412223" w:rsidP="00412223">
            <w:pPr>
              <w:spacing w:line="276" w:lineRule="auto"/>
              <w:rPr>
                <w:rFonts w:ascii="Times New Roman" w:hAnsi="Times New Roman" w:cs="Times New Roman"/>
                <w:sz w:val="28"/>
                <w:szCs w:val="28"/>
              </w:rPr>
            </w:pPr>
            <w:r>
              <w:rPr>
                <w:rFonts w:ascii="Times New Roman" w:hAnsi="Times New Roman" w:cs="Times New Roman"/>
                <w:sz w:val="28"/>
                <w:szCs w:val="28"/>
              </w:rPr>
              <w:t>Monitorul Oficial al Republicii Moldova</w:t>
            </w:r>
          </w:p>
        </w:tc>
      </w:tr>
    </w:tbl>
    <w:p w:rsidR="000A329C" w:rsidRPr="001D0846" w:rsidRDefault="000A329C" w:rsidP="00733CD4">
      <w:pPr>
        <w:tabs>
          <w:tab w:val="left" w:pos="360"/>
        </w:tabs>
        <w:spacing w:after="0" w:line="276" w:lineRule="auto"/>
        <w:jc w:val="both"/>
        <w:rPr>
          <w:rFonts w:ascii="Times New Roman" w:hAnsi="Times New Roman" w:cs="Times New Roman"/>
          <w:sz w:val="28"/>
          <w:szCs w:val="28"/>
          <w:lang w:val="ro-MD"/>
        </w:rPr>
      </w:pPr>
      <w:bookmarkStart w:id="1" w:name="_Toc505603937"/>
    </w:p>
    <w:p w:rsidR="001D67FA" w:rsidRDefault="001D67FA" w:rsidP="00E0571F">
      <w:pPr>
        <w:spacing w:after="0" w:line="276" w:lineRule="auto"/>
        <w:jc w:val="center"/>
        <w:rPr>
          <w:rFonts w:ascii="Times New Roman" w:hAnsi="Times New Roman" w:cs="Times New Roman"/>
          <w:b/>
          <w:sz w:val="28"/>
          <w:szCs w:val="28"/>
          <w:highlight w:val="yellow"/>
        </w:rPr>
      </w:pPr>
    </w:p>
    <w:p w:rsidR="001D67FA" w:rsidRDefault="001D67FA" w:rsidP="00E0571F">
      <w:pPr>
        <w:spacing w:after="0" w:line="276" w:lineRule="auto"/>
        <w:jc w:val="center"/>
        <w:rPr>
          <w:rFonts w:ascii="Times New Roman" w:hAnsi="Times New Roman" w:cs="Times New Roman"/>
          <w:b/>
          <w:sz w:val="28"/>
          <w:szCs w:val="28"/>
          <w:highlight w:val="yellow"/>
        </w:rPr>
      </w:pPr>
    </w:p>
    <w:p w:rsidR="001D67FA" w:rsidRDefault="001D67FA" w:rsidP="00E0571F">
      <w:pPr>
        <w:spacing w:after="0" w:line="276" w:lineRule="auto"/>
        <w:jc w:val="center"/>
        <w:rPr>
          <w:rFonts w:ascii="Times New Roman" w:hAnsi="Times New Roman" w:cs="Times New Roman"/>
          <w:b/>
          <w:sz w:val="28"/>
          <w:szCs w:val="28"/>
          <w:highlight w:val="yellow"/>
        </w:rPr>
      </w:pPr>
    </w:p>
    <w:p w:rsidR="001D67FA" w:rsidRDefault="001D67FA" w:rsidP="00E0571F">
      <w:pPr>
        <w:spacing w:after="0" w:line="276" w:lineRule="auto"/>
        <w:jc w:val="center"/>
        <w:rPr>
          <w:rFonts w:ascii="Times New Roman" w:hAnsi="Times New Roman" w:cs="Times New Roman"/>
          <w:b/>
          <w:sz w:val="28"/>
          <w:szCs w:val="28"/>
          <w:highlight w:val="yellow"/>
        </w:rPr>
      </w:pPr>
    </w:p>
    <w:p w:rsidR="001D67FA" w:rsidRDefault="001D67FA" w:rsidP="00E0571F">
      <w:pPr>
        <w:spacing w:after="0" w:line="276" w:lineRule="auto"/>
        <w:jc w:val="center"/>
        <w:rPr>
          <w:rFonts w:ascii="Times New Roman" w:hAnsi="Times New Roman" w:cs="Times New Roman"/>
          <w:b/>
          <w:sz w:val="28"/>
          <w:szCs w:val="28"/>
          <w:highlight w:val="yellow"/>
        </w:rPr>
      </w:pPr>
    </w:p>
    <w:p w:rsidR="00E15A52" w:rsidRDefault="00E15A52" w:rsidP="001D67FA">
      <w:pPr>
        <w:spacing w:after="0" w:line="240" w:lineRule="auto"/>
        <w:jc w:val="center"/>
        <w:rPr>
          <w:rFonts w:ascii="Times New Roman" w:hAnsi="Times New Roman" w:cs="Times New Roman"/>
          <w:b/>
          <w:sz w:val="32"/>
          <w:szCs w:val="32"/>
        </w:rPr>
      </w:pPr>
    </w:p>
    <w:p w:rsidR="00300711" w:rsidRPr="00300711" w:rsidRDefault="00E0571F" w:rsidP="001D67FA">
      <w:pPr>
        <w:spacing w:after="0" w:line="240" w:lineRule="auto"/>
        <w:jc w:val="center"/>
        <w:rPr>
          <w:rFonts w:ascii="Times New Roman" w:hAnsi="Times New Roman" w:cs="Times New Roman"/>
          <w:b/>
          <w:sz w:val="32"/>
          <w:szCs w:val="32"/>
        </w:rPr>
      </w:pPr>
      <w:r w:rsidRPr="00300711">
        <w:rPr>
          <w:rFonts w:ascii="Times New Roman" w:hAnsi="Times New Roman" w:cs="Times New Roman"/>
          <w:b/>
          <w:sz w:val="32"/>
          <w:szCs w:val="32"/>
        </w:rPr>
        <w:lastRenderedPageBreak/>
        <w:t>GLOSAR</w:t>
      </w:r>
    </w:p>
    <w:p w:rsidR="005A3D1C" w:rsidRPr="00606373" w:rsidRDefault="005A3D1C" w:rsidP="00300711">
      <w:pPr>
        <w:spacing w:after="0" w:line="276" w:lineRule="auto"/>
        <w:ind w:firstLine="720"/>
        <w:jc w:val="both"/>
        <w:rPr>
          <w:rFonts w:ascii="Times New Roman" w:eastAsia="Times New Roman" w:hAnsi="Times New Roman" w:cs="Times New Roman"/>
          <w:sz w:val="28"/>
          <w:szCs w:val="28"/>
          <w:lang w:eastAsia="ru-RU"/>
        </w:rPr>
      </w:pPr>
      <w:r w:rsidRPr="00606373">
        <w:rPr>
          <w:rFonts w:ascii="Times New Roman" w:eastAsia="Times New Roman" w:hAnsi="Times New Roman" w:cs="Times New Roman"/>
          <w:b/>
          <w:iCs/>
          <w:sz w:val="28"/>
          <w:szCs w:val="28"/>
          <w:lang w:eastAsia="ru-RU"/>
        </w:rPr>
        <w:t>Contribuabil</w:t>
      </w:r>
      <w:r w:rsidR="001D67FA" w:rsidRPr="00606373">
        <w:rPr>
          <w:rFonts w:ascii="Times New Roman" w:eastAsia="Times New Roman" w:hAnsi="Times New Roman" w:cs="Times New Roman"/>
          <w:i/>
          <w:iCs/>
          <w:sz w:val="28"/>
          <w:szCs w:val="28"/>
          <w:lang w:eastAsia="ru-RU"/>
        </w:rPr>
        <w:t xml:space="preserve"> </w:t>
      </w:r>
      <w:r w:rsidRPr="00606373">
        <w:rPr>
          <w:rFonts w:ascii="Times New Roman" w:eastAsia="Times New Roman" w:hAnsi="Times New Roman" w:cs="Times New Roman"/>
          <w:sz w:val="28"/>
          <w:szCs w:val="28"/>
          <w:lang w:eastAsia="ru-RU"/>
        </w:rPr>
        <w:t xml:space="preserve">– persoană care, conform </w:t>
      </w:r>
      <w:proofErr w:type="spellStart"/>
      <w:r w:rsidRPr="00606373">
        <w:rPr>
          <w:rFonts w:ascii="Times New Roman" w:eastAsia="Times New Roman" w:hAnsi="Times New Roman" w:cs="Times New Roman"/>
          <w:sz w:val="28"/>
          <w:szCs w:val="28"/>
          <w:lang w:eastAsia="ru-RU"/>
        </w:rPr>
        <w:t>legislaţiei</w:t>
      </w:r>
      <w:proofErr w:type="spellEnd"/>
      <w:r w:rsidRPr="00606373">
        <w:rPr>
          <w:rFonts w:ascii="Times New Roman" w:eastAsia="Times New Roman" w:hAnsi="Times New Roman" w:cs="Times New Roman"/>
          <w:sz w:val="28"/>
          <w:szCs w:val="28"/>
          <w:lang w:eastAsia="ru-RU"/>
        </w:rPr>
        <w:t xml:space="preserve"> fiscale, este obligată să calculeze </w:t>
      </w:r>
      <w:proofErr w:type="spellStart"/>
      <w:r w:rsidRPr="00606373">
        <w:rPr>
          <w:rFonts w:ascii="Times New Roman" w:eastAsia="Times New Roman" w:hAnsi="Times New Roman" w:cs="Times New Roman"/>
          <w:sz w:val="28"/>
          <w:szCs w:val="28"/>
          <w:lang w:eastAsia="ru-RU"/>
        </w:rPr>
        <w:t>şi</w:t>
      </w:r>
      <w:proofErr w:type="spellEnd"/>
      <w:r w:rsidRPr="00606373">
        <w:rPr>
          <w:rFonts w:ascii="Times New Roman" w:eastAsia="Times New Roman" w:hAnsi="Times New Roman" w:cs="Times New Roman"/>
          <w:sz w:val="28"/>
          <w:szCs w:val="28"/>
          <w:lang w:eastAsia="ru-RU"/>
        </w:rPr>
        <w:t xml:space="preserve">/sau să achite la buget orice impozite </w:t>
      </w:r>
      <w:proofErr w:type="spellStart"/>
      <w:r w:rsidRPr="00606373">
        <w:rPr>
          <w:rFonts w:ascii="Times New Roman" w:eastAsia="Times New Roman" w:hAnsi="Times New Roman" w:cs="Times New Roman"/>
          <w:sz w:val="28"/>
          <w:szCs w:val="28"/>
          <w:lang w:eastAsia="ru-RU"/>
        </w:rPr>
        <w:t>şi</w:t>
      </w:r>
      <w:proofErr w:type="spellEnd"/>
      <w:r w:rsidRPr="00606373">
        <w:rPr>
          <w:rFonts w:ascii="Times New Roman" w:eastAsia="Times New Roman" w:hAnsi="Times New Roman" w:cs="Times New Roman"/>
          <w:sz w:val="28"/>
          <w:szCs w:val="28"/>
          <w:lang w:eastAsia="ru-RU"/>
        </w:rPr>
        <w:t xml:space="preserve"> taxe, </w:t>
      </w:r>
      <w:proofErr w:type="spellStart"/>
      <w:r w:rsidRPr="00606373">
        <w:rPr>
          <w:rFonts w:ascii="Times New Roman" w:eastAsia="Times New Roman" w:hAnsi="Times New Roman" w:cs="Times New Roman"/>
          <w:sz w:val="28"/>
          <w:szCs w:val="28"/>
          <w:lang w:eastAsia="ru-RU"/>
        </w:rPr>
        <w:t>penalităţile</w:t>
      </w:r>
      <w:proofErr w:type="spellEnd"/>
      <w:r w:rsidRPr="00606373">
        <w:rPr>
          <w:rFonts w:ascii="Times New Roman" w:eastAsia="Times New Roman" w:hAnsi="Times New Roman" w:cs="Times New Roman"/>
          <w:sz w:val="28"/>
          <w:szCs w:val="28"/>
          <w:lang w:eastAsia="ru-RU"/>
        </w:rPr>
        <w:t xml:space="preserve"> </w:t>
      </w:r>
      <w:proofErr w:type="spellStart"/>
      <w:r w:rsidRPr="00606373">
        <w:rPr>
          <w:rFonts w:ascii="Times New Roman" w:eastAsia="Times New Roman" w:hAnsi="Times New Roman" w:cs="Times New Roman"/>
          <w:sz w:val="28"/>
          <w:szCs w:val="28"/>
          <w:lang w:eastAsia="ru-RU"/>
        </w:rPr>
        <w:t>şi</w:t>
      </w:r>
      <w:proofErr w:type="spellEnd"/>
      <w:r w:rsidRPr="00606373">
        <w:rPr>
          <w:rFonts w:ascii="Times New Roman" w:eastAsia="Times New Roman" w:hAnsi="Times New Roman" w:cs="Times New Roman"/>
          <w:sz w:val="28"/>
          <w:szCs w:val="28"/>
          <w:lang w:eastAsia="ru-RU"/>
        </w:rPr>
        <w:t xml:space="preserve"> amenzile respective; persoană care, conform </w:t>
      </w:r>
      <w:proofErr w:type="spellStart"/>
      <w:r w:rsidRPr="00606373">
        <w:rPr>
          <w:rFonts w:ascii="Times New Roman" w:eastAsia="Times New Roman" w:hAnsi="Times New Roman" w:cs="Times New Roman"/>
          <w:sz w:val="28"/>
          <w:szCs w:val="28"/>
          <w:lang w:eastAsia="ru-RU"/>
        </w:rPr>
        <w:t>legislaţiei</w:t>
      </w:r>
      <w:proofErr w:type="spellEnd"/>
      <w:r w:rsidRPr="00606373">
        <w:rPr>
          <w:rFonts w:ascii="Times New Roman" w:eastAsia="Times New Roman" w:hAnsi="Times New Roman" w:cs="Times New Roman"/>
          <w:sz w:val="28"/>
          <w:szCs w:val="28"/>
          <w:lang w:eastAsia="ru-RU"/>
        </w:rPr>
        <w:t xml:space="preserve"> fiscale, este obligată să </w:t>
      </w:r>
      <w:proofErr w:type="spellStart"/>
      <w:r w:rsidRPr="00606373">
        <w:rPr>
          <w:rFonts w:ascii="Times New Roman" w:eastAsia="Times New Roman" w:hAnsi="Times New Roman" w:cs="Times New Roman"/>
          <w:sz w:val="28"/>
          <w:szCs w:val="28"/>
          <w:lang w:eastAsia="ru-RU"/>
        </w:rPr>
        <w:t>reţină</w:t>
      </w:r>
      <w:proofErr w:type="spellEnd"/>
      <w:r w:rsidRPr="00606373">
        <w:rPr>
          <w:rFonts w:ascii="Times New Roman" w:eastAsia="Times New Roman" w:hAnsi="Times New Roman" w:cs="Times New Roman"/>
          <w:sz w:val="28"/>
          <w:szCs w:val="28"/>
          <w:lang w:eastAsia="ru-RU"/>
        </w:rPr>
        <w:t xml:space="preserve"> sau să perceapă de la altă persoană </w:t>
      </w:r>
      <w:proofErr w:type="spellStart"/>
      <w:r w:rsidRPr="00606373">
        <w:rPr>
          <w:rFonts w:ascii="Times New Roman" w:eastAsia="Times New Roman" w:hAnsi="Times New Roman" w:cs="Times New Roman"/>
          <w:sz w:val="28"/>
          <w:szCs w:val="28"/>
          <w:lang w:eastAsia="ru-RU"/>
        </w:rPr>
        <w:t>şi</w:t>
      </w:r>
      <w:proofErr w:type="spellEnd"/>
      <w:r w:rsidRPr="00606373">
        <w:rPr>
          <w:rFonts w:ascii="Times New Roman" w:eastAsia="Times New Roman" w:hAnsi="Times New Roman" w:cs="Times New Roman"/>
          <w:sz w:val="28"/>
          <w:szCs w:val="28"/>
          <w:lang w:eastAsia="ru-RU"/>
        </w:rPr>
        <w:t xml:space="preserve"> să a</w:t>
      </w:r>
      <w:r w:rsidR="00F830C3" w:rsidRPr="00606373">
        <w:rPr>
          <w:rFonts w:ascii="Times New Roman" w:eastAsia="Times New Roman" w:hAnsi="Times New Roman" w:cs="Times New Roman"/>
          <w:sz w:val="28"/>
          <w:szCs w:val="28"/>
          <w:lang w:eastAsia="ru-RU"/>
        </w:rPr>
        <w:t xml:space="preserve">chite la buget </w:t>
      </w:r>
      <w:proofErr w:type="spellStart"/>
      <w:r w:rsidR="00F830C3" w:rsidRPr="00606373">
        <w:rPr>
          <w:rFonts w:ascii="Times New Roman" w:eastAsia="Times New Roman" w:hAnsi="Times New Roman" w:cs="Times New Roman"/>
          <w:sz w:val="28"/>
          <w:szCs w:val="28"/>
          <w:lang w:eastAsia="ru-RU"/>
        </w:rPr>
        <w:t>plăţile</w:t>
      </w:r>
      <w:proofErr w:type="spellEnd"/>
      <w:r w:rsidR="00F830C3" w:rsidRPr="00606373">
        <w:rPr>
          <w:rFonts w:ascii="Times New Roman" w:eastAsia="Times New Roman" w:hAnsi="Times New Roman" w:cs="Times New Roman"/>
          <w:sz w:val="28"/>
          <w:szCs w:val="28"/>
          <w:lang w:eastAsia="ru-RU"/>
        </w:rPr>
        <w:t xml:space="preserve"> indicate.</w:t>
      </w:r>
      <w:r w:rsidRPr="00606373">
        <w:rPr>
          <w:rFonts w:ascii="Times New Roman" w:eastAsia="Times New Roman" w:hAnsi="Times New Roman" w:cs="Times New Roman"/>
          <w:sz w:val="28"/>
          <w:szCs w:val="28"/>
          <w:lang w:eastAsia="ru-RU"/>
        </w:rPr>
        <w:t xml:space="preserve"> </w:t>
      </w:r>
    </w:p>
    <w:p w:rsidR="00690357" w:rsidRPr="00606373" w:rsidRDefault="00690357" w:rsidP="00300711">
      <w:pPr>
        <w:spacing w:after="0" w:line="276" w:lineRule="auto"/>
        <w:ind w:firstLine="720"/>
        <w:jc w:val="both"/>
        <w:rPr>
          <w:rFonts w:ascii="Times New Roman" w:eastAsia="Times New Roman" w:hAnsi="Times New Roman" w:cs="Times New Roman"/>
          <w:sz w:val="28"/>
          <w:szCs w:val="28"/>
          <w:lang w:eastAsia="ru-RU"/>
        </w:rPr>
      </w:pPr>
      <w:r w:rsidRPr="005A5243">
        <w:rPr>
          <w:rFonts w:ascii="Times New Roman" w:eastAsia="Times New Roman" w:hAnsi="Times New Roman" w:cs="Times New Roman"/>
          <w:b/>
          <w:iCs/>
          <w:sz w:val="28"/>
          <w:szCs w:val="28"/>
          <w:lang w:eastAsia="ru-RU"/>
        </w:rPr>
        <w:t>Mare</w:t>
      </w:r>
      <w:r w:rsidR="00C9749A" w:rsidRPr="005A5243">
        <w:rPr>
          <w:rFonts w:ascii="Times New Roman" w:eastAsia="Times New Roman" w:hAnsi="Times New Roman" w:cs="Times New Roman"/>
          <w:b/>
          <w:iCs/>
          <w:sz w:val="28"/>
          <w:szCs w:val="28"/>
          <w:lang w:eastAsia="ru-RU"/>
        </w:rPr>
        <w:t xml:space="preserve"> </w:t>
      </w:r>
      <w:r w:rsidRPr="005A5243">
        <w:rPr>
          <w:rFonts w:ascii="Times New Roman" w:eastAsia="Times New Roman" w:hAnsi="Times New Roman" w:cs="Times New Roman"/>
          <w:b/>
          <w:iCs/>
          <w:sz w:val="28"/>
          <w:szCs w:val="28"/>
          <w:lang w:eastAsia="ru-RU"/>
        </w:rPr>
        <w:t>contribuabil</w:t>
      </w:r>
      <w:r w:rsidRPr="0053384E">
        <w:rPr>
          <w:rFonts w:ascii="Times New Roman" w:eastAsia="Times New Roman" w:hAnsi="Times New Roman" w:cs="Times New Roman"/>
          <w:sz w:val="28"/>
          <w:szCs w:val="28"/>
          <w:lang w:eastAsia="ru-RU"/>
        </w:rPr>
        <w:t xml:space="preserve"> – contribuabilul identificat conform criteriilor de selectare a marilor contribuabili, elaborate de către S</w:t>
      </w:r>
      <w:r w:rsidR="00606373">
        <w:rPr>
          <w:rFonts w:ascii="Times New Roman" w:eastAsia="Times New Roman" w:hAnsi="Times New Roman" w:cs="Times New Roman"/>
          <w:sz w:val="28"/>
          <w:szCs w:val="28"/>
          <w:lang w:eastAsia="ru-RU"/>
        </w:rPr>
        <w:t>FS</w:t>
      </w:r>
      <w:r w:rsidRPr="0053384E">
        <w:rPr>
          <w:rFonts w:ascii="Times New Roman" w:eastAsia="Times New Roman" w:hAnsi="Times New Roman" w:cs="Times New Roman"/>
          <w:sz w:val="28"/>
          <w:szCs w:val="28"/>
          <w:lang w:eastAsia="ru-RU"/>
        </w:rPr>
        <w:t xml:space="preserve"> </w:t>
      </w:r>
      <w:proofErr w:type="spellStart"/>
      <w:r w:rsidRPr="0053384E">
        <w:rPr>
          <w:rFonts w:ascii="Times New Roman" w:eastAsia="Times New Roman" w:hAnsi="Times New Roman" w:cs="Times New Roman"/>
          <w:sz w:val="28"/>
          <w:szCs w:val="28"/>
          <w:lang w:eastAsia="ru-RU"/>
        </w:rPr>
        <w:t>şi</w:t>
      </w:r>
      <w:proofErr w:type="spellEnd"/>
      <w:r w:rsidRPr="0053384E">
        <w:rPr>
          <w:rFonts w:ascii="Times New Roman" w:eastAsia="Times New Roman" w:hAnsi="Times New Roman" w:cs="Times New Roman"/>
          <w:sz w:val="28"/>
          <w:szCs w:val="28"/>
          <w:lang w:eastAsia="ru-RU"/>
        </w:rPr>
        <w:t xml:space="preserve"> inclus în Lista </w:t>
      </w:r>
      <w:proofErr w:type="spellStart"/>
      <w:r w:rsidRPr="0053384E">
        <w:rPr>
          <w:rFonts w:ascii="Times New Roman" w:eastAsia="Times New Roman" w:hAnsi="Times New Roman" w:cs="Times New Roman"/>
          <w:sz w:val="28"/>
          <w:szCs w:val="28"/>
          <w:lang w:eastAsia="ru-RU"/>
        </w:rPr>
        <w:t>agenţilor</w:t>
      </w:r>
      <w:proofErr w:type="spellEnd"/>
      <w:r w:rsidRPr="0053384E">
        <w:rPr>
          <w:rFonts w:ascii="Times New Roman" w:eastAsia="Times New Roman" w:hAnsi="Times New Roman" w:cs="Times New Roman"/>
          <w:sz w:val="28"/>
          <w:szCs w:val="28"/>
          <w:lang w:eastAsia="ru-RU"/>
        </w:rPr>
        <w:t xml:space="preserve"> economici – mari contribuabili. </w:t>
      </w:r>
    </w:p>
    <w:p w:rsidR="001D67FA" w:rsidRPr="00606373" w:rsidRDefault="001D67FA" w:rsidP="00300711">
      <w:pPr>
        <w:spacing w:after="0" w:line="276" w:lineRule="auto"/>
        <w:ind w:firstLine="720"/>
        <w:jc w:val="both"/>
        <w:rPr>
          <w:rFonts w:ascii="Times New Roman" w:eastAsia="Times New Roman" w:hAnsi="Times New Roman" w:cs="Times New Roman"/>
          <w:sz w:val="28"/>
          <w:szCs w:val="28"/>
          <w:lang w:eastAsia="ru-RU"/>
        </w:rPr>
      </w:pPr>
      <w:r w:rsidRPr="00606373">
        <w:rPr>
          <w:rFonts w:ascii="Times New Roman" w:eastAsia="Times New Roman" w:hAnsi="Times New Roman" w:cs="Times New Roman"/>
          <w:b/>
          <w:iCs/>
          <w:sz w:val="28"/>
          <w:szCs w:val="28"/>
        </w:rPr>
        <w:t>Plătitor vamal</w:t>
      </w:r>
      <w:r w:rsidRPr="00606373">
        <w:rPr>
          <w:rFonts w:ascii="Times New Roman" w:eastAsia="Times New Roman" w:hAnsi="Times New Roman" w:cs="Times New Roman"/>
          <w:sz w:val="28"/>
          <w:szCs w:val="28"/>
        </w:rPr>
        <w:t> </w:t>
      </w:r>
      <w:r w:rsidRPr="00606373">
        <w:rPr>
          <w:rFonts w:ascii="Times New Roman" w:eastAsia="Times New Roman" w:hAnsi="Times New Roman" w:cs="Times New Roman"/>
          <w:sz w:val="28"/>
          <w:szCs w:val="28"/>
          <w:lang w:eastAsia="ru-RU"/>
        </w:rPr>
        <w:t xml:space="preserve">– </w:t>
      </w:r>
      <w:r w:rsidRPr="00606373">
        <w:rPr>
          <w:rFonts w:ascii="Times New Roman" w:eastAsia="Times New Roman" w:hAnsi="Times New Roman" w:cs="Times New Roman"/>
          <w:sz w:val="28"/>
          <w:szCs w:val="28"/>
        </w:rPr>
        <w:t>persoana obliga</w:t>
      </w:r>
      <w:r w:rsidR="00F830C3" w:rsidRPr="00606373">
        <w:rPr>
          <w:rFonts w:ascii="Times New Roman" w:eastAsia="Times New Roman" w:hAnsi="Times New Roman" w:cs="Times New Roman"/>
          <w:sz w:val="28"/>
          <w:szCs w:val="28"/>
        </w:rPr>
        <w:t xml:space="preserve">tă să achite o </w:t>
      </w:r>
      <w:proofErr w:type="spellStart"/>
      <w:r w:rsidR="00F830C3" w:rsidRPr="00606373">
        <w:rPr>
          <w:rFonts w:ascii="Times New Roman" w:eastAsia="Times New Roman" w:hAnsi="Times New Roman" w:cs="Times New Roman"/>
          <w:sz w:val="28"/>
          <w:szCs w:val="28"/>
        </w:rPr>
        <w:t>obligaţie</w:t>
      </w:r>
      <w:proofErr w:type="spellEnd"/>
      <w:r w:rsidR="00F830C3" w:rsidRPr="00606373">
        <w:rPr>
          <w:rFonts w:ascii="Times New Roman" w:eastAsia="Times New Roman" w:hAnsi="Times New Roman" w:cs="Times New Roman"/>
          <w:sz w:val="28"/>
          <w:szCs w:val="28"/>
        </w:rPr>
        <w:t xml:space="preserve"> vamală.</w:t>
      </w:r>
    </w:p>
    <w:p w:rsidR="00F73A0A" w:rsidRPr="001E16F8" w:rsidRDefault="00F73A0A" w:rsidP="00300711">
      <w:pPr>
        <w:shd w:val="clear" w:color="auto" w:fill="FFFFFF"/>
        <w:spacing w:after="0" w:line="276" w:lineRule="auto"/>
        <w:ind w:firstLine="720"/>
        <w:jc w:val="both"/>
        <w:textAlignment w:val="baseline"/>
        <w:rPr>
          <w:rFonts w:ascii="Times New Roman" w:eastAsia="Times New Roman" w:hAnsi="Times New Roman" w:cs="Times New Roman"/>
          <w:sz w:val="28"/>
          <w:szCs w:val="28"/>
        </w:rPr>
      </w:pPr>
      <w:r w:rsidRPr="001E16F8">
        <w:rPr>
          <w:rFonts w:ascii="Times New Roman" w:eastAsia="Times New Roman" w:hAnsi="Times New Roman" w:cs="Times New Roman"/>
          <w:b/>
          <w:bCs/>
          <w:iCs/>
          <w:sz w:val="28"/>
          <w:szCs w:val="28"/>
          <w:bdr w:val="none" w:sz="0" w:space="0" w:color="auto" w:frame="1"/>
        </w:rPr>
        <w:t xml:space="preserve">Baza impozabilă </w:t>
      </w:r>
      <w:r w:rsidRPr="001E16F8">
        <w:rPr>
          <w:rFonts w:ascii="Times New Roman" w:eastAsia="Times New Roman" w:hAnsi="Times New Roman" w:cs="Times New Roman"/>
          <w:sz w:val="28"/>
          <w:szCs w:val="28"/>
          <w:lang w:eastAsia="x-none"/>
        </w:rPr>
        <w:t>–</w:t>
      </w:r>
      <w:r w:rsidRPr="001E16F8">
        <w:rPr>
          <w:rFonts w:ascii="Times New Roman" w:eastAsia="Times New Roman" w:hAnsi="Times New Roman" w:cs="Times New Roman"/>
          <w:sz w:val="28"/>
          <w:szCs w:val="28"/>
        </w:rPr>
        <w:t xml:space="preserve"> totalul veniturilor, </w:t>
      </w:r>
      <w:r w:rsidRPr="001E16F8">
        <w:rPr>
          <w:rFonts w:ascii="Times New Roman" w:hAnsi="Times New Roman" w:cs="Times New Roman"/>
          <w:sz w:val="28"/>
          <w:szCs w:val="28"/>
          <w:shd w:val="clear" w:color="auto" w:fill="FFFFFF"/>
        </w:rPr>
        <w:t>bunurilor, sau alte valori</w:t>
      </w:r>
      <w:r w:rsidRPr="001E16F8">
        <w:rPr>
          <w:rFonts w:ascii="Times New Roman" w:eastAsia="Times New Roman" w:hAnsi="Times New Roman" w:cs="Times New Roman"/>
          <w:sz w:val="28"/>
          <w:szCs w:val="28"/>
        </w:rPr>
        <w:t xml:space="preserve"> asupra cărora se aplică cota de impozit.</w:t>
      </w:r>
    </w:p>
    <w:p w:rsidR="00F73A0A" w:rsidRDefault="00F73A0A" w:rsidP="00300711">
      <w:pPr>
        <w:shd w:val="clear" w:color="auto" w:fill="FFFFFF"/>
        <w:spacing w:after="0" w:line="276" w:lineRule="auto"/>
        <w:ind w:firstLine="720"/>
        <w:jc w:val="both"/>
        <w:textAlignment w:val="baseline"/>
        <w:rPr>
          <w:rFonts w:ascii="Times New Roman" w:eastAsia="Times New Roman" w:hAnsi="Times New Roman" w:cs="Times New Roman"/>
          <w:b/>
          <w:bCs/>
          <w:iCs/>
          <w:color w:val="424242"/>
          <w:sz w:val="28"/>
          <w:szCs w:val="28"/>
          <w:bdr w:val="none" w:sz="0" w:space="0" w:color="auto" w:frame="1"/>
        </w:rPr>
      </w:pPr>
      <w:r w:rsidRPr="0074452F">
        <w:rPr>
          <w:rFonts w:ascii="Times New Roman" w:hAnsi="Times New Roman" w:cs="Times New Roman"/>
          <w:b/>
          <w:color w:val="000000"/>
          <w:sz w:val="28"/>
          <w:szCs w:val="28"/>
          <w:shd w:val="clear" w:color="auto" w:fill="FFFFFF"/>
        </w:rPr>
        <w:t>Obiectul impunerii</w:t>
      </w:r>
      <w:r w:rsidRPr="0074452F">
        <w:rPr>
          <w:rFonts w:ascii="Times New Roman" w:hAnsi="Times New Roman" w:cs="Times New Roman"/>
          <w:color w:val="000000"/>
          <w:sz w:val="28"/>
          <w:szCs w:val="28"/>
          <w:shd w:val="clear" w:color="auto" w:fill="FFFFFF"/>
        </w:rPr>
        <w:t xml:space="preserve"> </w:t>
      </w:r>
      <w:r w:rsidRPr="0053384E">
        <w:rPr>
          <w:rFonts w:ascii="Times New Roman" w:eastAsia="Times New Roman" w:hAnsi="Times New Roman" w:cs="Times New Roman"/>
          <w:sz w:val="28"/>
          <w:szCs w:val="28"/>
          <w:lang w:eastAsia="x-none"/>
        </w:rPr>
        <w:t>–</w:t>
      </w:r>
      <w:r w:rsidRPr="0074452F">
        <w:rPr>
          <w:rFonts w:ascii="Times New Roman" w:hAnsi="Times New Roman" w:cs="Times New Roman"/>
          <w:color w:val="000000"/>
          <w:sz w:val="28"/>
          <w:szCs w:val="28"/>
          <w:shd w:val="clear" w:color="auto" w:fill="FFFFFF"/>
        </w:rPr>
        <w:t xml:space="preserve"> valoarea asupra căreia se calculează impozitul</w:t>
      </w:r>
      <w:r>
        <w:rPr>
          <w:rFonts w:ascii="Times New Roman" w:hAnsi="Times New Roman" w:cs="Times New Roman"/>
          <w:color w:val="000000"/>
          <w:sz w:val="28"/>
          <w:szCs w:val="28"/>
          <w:shd w:val="clear" w:color="auto" w:fill="FFFFFF"/>
        </w:rPr>
        <w:t>/taxa</w:t>
      </w:r>
      <w:r w:rsidRPr="0074452F">
        <w:rPr>
          <w:rFonts w:ascii="Times New Roman" w:hAnsi="Times New Roman" w:cs="Times New Roman"/>
          <w:color w:val="000000"/>
          <w:sz w:val="28"/>
          <w:szCs w:val="28"/>
          <w:shd w:val="clear" w:color="auto" w:fill="FFFFFF"/>
        </w:rPr>
        <w:t xml:space="preserve"> ori </w:t>
      </w:r>
      <w:proofErr w:type="spellStart"/>
      <w:r w:rsidRPr="0074452F">
        <w:rPr>
          <w:rFonts w:ascii="Times New Roman" w:hAnsi="Times New Roman" w:cs="Times New Roman"/>
          <w:color w:val="000000"/>
          <w:sz w:val="28"/>
          <w:szCs w:val="28"/>
          <w:shd w:val="clear" w:color="auto" w:fill="FFFFFF"/>
        </w:rPr>
        <w:t>contribuţia</w:t>
      </w:r>
      <w:proofErr w:type="spellEnd"/>
      <w:r w:rsidRPr="0074452F">
        <w:rPr>
          <w:rFonts w:ascii="Times New Roman" w:hAnsi="Times New Roman" w:cs="Times New Roman"/>
          <w:color w:val="000000"/>
          <w:sz w:val="28"/>
          <w:szCs w:val="28"/>
          <w:shd w:val="clear" w:color="auto" w:fill="FFFFFF"/>
        </w:rPr>
        <w:t>.</w:t>
      </w:r>
    </w:p>
    <w:p w:rsidR="00F830C3" w:rsidRPr="00606373" w:rsidRDefault="00F830C3" w:rsidP="00300711">
      <w:pPr>
        <w:spacing w:after="0" w:line="276" w:lineRule="auto"/>
        <w:ind w:firstLine="720"/>
        <w:jc w:val="both"/>
        <w:rPr>
          <w:rFonts w:ascii="Times New Roman" w:eastAsia="Times New Roman" w:hAnsi="Times New Roman" w:cs="Times New Roman"/>
          <w:sz w:val="28"/>
          <w:szCs w:val="28"/>
          <w:lang w:eastAsia="x-none"/>
        </w:rPr>
      </w:pPr>
      <w:proofErr w:type="spellStart"/>
      <w:r w:rsidRPr="0053384E">
        <w:rPr>
          <w:rFonts w:ascii="Times New Roman" w:eastAsia="Times New Roman" w:hAnsi="Times New Roman" w:cs="Times New Roman"/>
          <w:b/>
          <w:iCs/>
          <w:sz w:val="28"/>
          <w:szCs w:val="28"/>
          <w:lang w:eastAsia="x-none"/>
        </w:rPr>
        <w:t>Obligaţie</w:t>
      </w:r>
      <w:proofErr w:type="spellEnd"/>
      <w:r w:rsidRPr="0053384E">
        <w:rPr>
          <w:rFonts w:ascii="Times New Roman" w:eastAsia="Times New Roman" w:hAnsi="Times New Roman" w:cs="Times New Roman"/>
          <w:b/>
          <w:iCs/>
          <w:sz w:val="28"/>
          <w:szCs w:val="28"/>
          <w:lang w:eastAsia="x-none"/>
        </w:rPr>
        <w:t xml:space="preserve"> fiscală</w:t>
      </w:r>
      <w:r w:rsidRPr="0053384E">
        <w:rPr>
          <w:rFonts w:ascii="Times New Roman" w:eastAsia="Times New Roman" w:hAnsi="Times New Roman" w:cs="Times New Roman"/>
          <w:sz w:val="28"/>
          <w:szCs w:val="28"/>
          <w:lang w:eastAsia="x-none"/>
        </w:rPr>
        <w:t xml:space="preserve"> – </w:t>
      </w:r>
      <w:proofErr w:type="spellStart"/>
      <w:r w:rsidRPr="0053384E">
        <w:rPr>
          <w:rFonts w:ascii="Times New Roman" w:eastAsia="Times New Roman" w:hAnsi="Times New Roman" w:cs="Times New Roman"/>
          <w:sz w:val="28"/>
          <w:szCs w:val="28"/>
          <w:lang w:eastAsia="x-none"/>
        </w:rPr>
        <w:t>obligaţie</w:t>
      </w:r>
      <w:proofErr w:type="spellEnd"/>
      <w:r w:rsidRPr="0053384E">
        <w:rPr>
          <w:rFonts w:ascii="Times New Roman" w:eastAsia="Times New Roman" w:hAnsi="Times New Roman" w:cs="Times New Roman"/>
          <w:sz w:val="28"/>
          <w:szCs w:val="28"/>
          <w:lang w:eastAsia="x-none"/>
        </w:rPr>
        <w:t xml:space="preserve"> a contribuabilului de a plăti la buget o anumită sumă ca impozit, taxă, majorare de înt</w:t>
      </w:r>
      <w:r w:rsidR="00E366DC">
        <w:rPr>
          <w:rFonts w:ascii="Times New Roman" w:eastAsia="Times New Roman" w:hAnsi="Times New Roman" w:cs="Times New Roman"/>
          <w:sz w:val="28"/>
          <w:szCs w:val="28"/>
          <w:lang w:eastAsia="x-none"/>
        </w:rPr>
        <w:t>â</w:t>
      </w:r>
      <w:r w:rsidRPr="0053384E">
        <w:rPr>
          <w:rFonts w:ascii="Times New Roman" w:eastAsia="Times New Roman" w:hAnsi="Times New Roman" w:cs="Times New Roman"/>
          <w:sz w:val="28"/>
          <w:szCs w:val="28"/>
          <w:lang w:eastAsia="x-none"/>
        </w:rPr>
        <w:t xml:space="preserve">rziere (penalitate) </w:t>
      </w:r>
      <w:proofErr w:type="spellStart"/>
      <w:r w:rsidRPr="0053384E">
        <w:rPr>
          <w:rFonts w:ascii="Times New Roman" w:eastAsia="Times New Roman" w:hAnsi="Times New Roman" w:cs="Times New Roman"/>
          <w:sz w:val="28"/>
          <w:szCs w:val="28"/>
          <w:lang w:eastAsia="x-none"/>
        </w:rPr>
        <w:t>şi</w:t>
      </w:r>
      <w:proofErr w:type="spellEnd"/>
      <w:r w:rsidRPr="0053384E">
        <w:rPr>
          <w:rFonts w:ascii="Times New Roman" w:eastAsia="Times New Roman" w:hAnsi="Times New Roman" w:cs="Times New Roman"/>
          <w:sz w:val="28"/>
          <w:szCs w:val="28"/>
          <w:lang w:eastAsia="x-none"/>
        </w:rPr>
        <w:t xml:space="preserve">/sau amendă. </w:t>
      </w:r>
    </w:p>
    <w:p w:rsidR="00690357" w:rsidRPr="00606373" w:rsidRDefault="00690357" w:rsidP="00300711">
      <w:pPr>
        <w:spacing w:after="0" w:line="276" w:lineRule="auto"/>
        <w:ind w:firstLine="720"/>
        <w:jc w:val="both"/>
        <w:rPr>
          <w:rFonts w:ascii="Times New Roman" w:eastAsia="Times New Roman" w:hAnsi="Times New Roman" w:cs="Times New Roman"/>
          <w:sz w:val="28"/>
          <w:szCs w:val="28"/>
        </w:rPr>
      </w:pPr>
      <w:proofErr w:type="spellStart"/>
      <w:r w:rsidRPr="00606373">
        <w:rPr>
          <w:rFonts w:ascii="Times New Roman" w:eastAsia="Times New Roman" w:hAnsi="Times New Roman" w:cs="Times New Roman"/>
          <w:b/>
          <w:iCs/>
          <w:sz w:val="28"/>
          <w:szCs w:val="28"/>
        </w:rPr>
        <w:t>Obligaţie</w:t>
      </w:r>
      <w:proofErr w:type="spellEnd"/>
      <w:r w:rsidRPr="00606373">
        <w:rPr>
          <w:rFonts w:ascii="Times New Roman" w:eastAsia="Times New Roman" w:hAnsi="Times New Roman" w:cs="Times New Roman"/>
          <w:b/>
          <w:iCs/>
          <w:sz w:val="28"/>
          <w:szCs w:val="28"/>
        </w:rPr>
        <w:t xml:space="preserve"> vamală</w:t>
      </w:r>
      <w:r w:rsidRPr="00606373">
        <w:rPr>
          <w:rFonts w:ascii="Times New Roman" w:eastAsia="Times New Roman" w:hAnsi="Times New Roman" w:cs="Times New Roman"/>
          <w:iCs/>
          <w:sz w:val="28"/>
          <w:szCs w:val="28"/>
        </w:rPr>
        <w:t xml:space="preserve"> </w:t>
      </w:r>
      <w:r w:rsidRPr="0053384E">
        <w:rPr>
          <w:rFonts w:ascii="Times New Roman" w:eastAsia="Times New Roman" w:hAnsi="Times New Roman" w:cs="Times New Roman"/>
          <w:sz w:val="28"/>
          <w:szCs w:val="28"/>
          <w:lang w:eastAsia="x-none"/>
        </w:rPr>
        <w:t>–</w:t>
      </w:r>
      <w:r w:rsidRPr="00606373">
        <w:rPr>
          <w:rFonts w:ascii="Times New Roman" w:eastAsia="Times New Roman" w:hAnsi="Times New Roman" w:cs="Times New Roman"/>
          <w:sz w:val="28"/>
          <w:szCs w:val="28"/>
        </w:rPr>
        <w:t xml:space="preserve"> </w:t>
      </w:r>
      <w:proofErr w:type="spellStart"/>
      <w:r w:rsidRPr="00606373">
        <w:rPr>
          <w:rFonts w:ascii="Times New Roman" w:eastAsia="Times New Roman" w:hAnsi="Times New Roman" w:cs="Times New Roman"/>
          <w:sz w:val="28"/>
          <w:szCs w:val="28"/>
        </w:rPr>
        <w:t>obligaţia</w:t>
      </w:r>
      <w:proofErr w:type="spellEnd"/>
      <w:r w:rsidRPr="00606373">
        <w:rPr>
          <w:rFonts w:ascii="Times New Roman" w:eastAsia="Times New Roman" w:hAnsi="Times New Roman" w:cs="Times New Roman"/>
          <w:sz w:val="28"/>
          <w:szCs w:val="28"/>
        </w:rPr>
        <w:t xml:space="preserve"> de plată a drepturilor de import </w:t>
      </w:r>
      <w:proofErr w:type="spellStart"/>
      <w:r w:rsidRPr="00606373">
        <w:rPr>
          <w:rFonts w:ascii="Times New Roman" w:eastAsia="Times New Roman" w:hAnsi="Times New Roman" w:cs="Times New Roman"/>
          <w:sz w:val="28"/>
          <w:szCs w:val="28"/>
        </w:rPr>
        <w:t>şi</w:t>
      </w:r>
      <w:proofErr w:type="spellEnd"/>
      <w:r w:rsidRPr="00606373">
        <w:rPr>
          <w:rFonts w:ascii="Times New Roman" w:eastAsia="Times New Roman" w:hAnsi="Times New Roman" w:cs="Times New Roman"/>
          <w:sz w:val="28"/>
          <w:szCs w:val="28"/>
        </w:rPr>
        <w:t xml:space="preserve"> de export (inclusiv a amenzilor, contravalorii corpurilor delicte </w:t>
      </w:r>
      <w:proofErr w:type="spellStart"/>
      <w:r w:rsidRPr="00606373">
        <w:rPr>
          <w:rFonts w:ascii="Times New Roman" w:eastAsia="Times New Roman" w:hAnsi="Times New Roman" w:cs="Times New Roman"/>
          <w:sz w:val="28"/>
          <w:szCs w:val="28"/>
        </w:rPr>
        <w:t>şi</w:t>
      </w:r>
      <w:proofErr w:type="spellEnd"/>
      <w:r w:rsidRPr="00606373">
        <w:rPr>
          <w:rFonts w:ascii="Times New Roman" w:eastAsia="Times New Roman" w:hAnsi="Times New Roman" w:cs="Times New Roman"/>
          <w:sz w:val="28"/>
          <w:szCs w:val="28"/>
        </w:rPr>
        <w:t xml:space="preserve"> </w:t>
      </w:r>
      <w:proofErr w:type="spellStart"/>
      <w:r w:rsidRPr="00606373">
        <w:rPr>
          <w:rFonts w:ascii="Times New Roman" w:eastAsia="Times New Roman" w:hAnsi="Times New Roman" w:cs="Times New Roman"/>
          <w:sz w:val="28"/>
          <w:szCs w:val="28"/>
        </w:rPr>
        <w:t>penalităţilor</w:t>
      </w:r>
      <w:proofErr w:type="spellEnd"/>
      <w:r w:rsidRPr="00606373">
        <w:rPr>
          <w:rFonts w:ascii="Times New Roman" w:eastAsia="Times New Roman" w:hAnsi="Times New Roman" w:cs="Times New Roman"/>
          <w:sz w:val="28"/>
          <w:szCs w:val="28"/>
        </w:rPr>
        <w:t xml:space="preserve">) apărute conform </w:t>
      </w:r>
      <w:proofErr w:type="spellStart"/>
      <w:r w:rsidRPr="00606373">
        <w:rPr>
          <w:rFonts w:ascii="Times New Roman" w:eastAsia="Times New Roman" w:hAnsi="Times New Roman" w:cs="Times New Roman"/>
          <w:sz w:val="28"/>
          <w:szCs w:val="28"/>
        </w:rPr>
        <w:t>legislaţiei</w:t>
      </w:r>
      <w:proofErr w:type="spellEnd"/>
      <w:r w:rsidRPr="00606373">
        <w:rPr>
          <w:rFonts w:ascii="Times New Roman" w:eastAsia="Times New Roman" w:hAnsi="Times New Roman" w:cs="Times New Roman"/>
          <w:sz w:val="28"/>
          <w:szCs w:val="28"/>
        </w:rPr>
        <w:t xml:space="preserve">, precum </w:t>
      </w:r>
      <w:proofErr w:type="spellStart"/>
      <w:r w:rsidRPr="00606373">
        <w:rPr>
          <w:rFonts w:ascii="Times New Roman" w:eastAsia="Times New Roman" w:hAnsi="Times New Roman" w:cs="Times New Roman"/>
          <w:sz w:val="28"/>
          <w:szCs w:val="28"/>
        </w:rPr>
        <w:t>şi</w:t>
      </w:r>
      <w:proofErr w:type="spellEnd"/>
      <w:r w:rsidRPr="00606373">
        <w:rPr>
          <w:rFonts w:ascii="Times New Roman" w:eastAsia="Times New Roman" w:hAnsi="Times New Roman" w:cs="Times New Roman"/>
          <w:sz w:val="28"/>
          <w:szCs w:val="28"/>
        </w:rPr>
        <w:t xml:space="preserve"> a celor constatate ulterior operațiunilor vamale.</w:t>
      </w:r>
    </w:p>
    <w:p w:rsidR="00F830C3" w:rsidRPr="00606373" w:rsidRDefault="00690357" w:rsidP="00300711">
      <w:pPr>
        <w:spacing w:after="0" w:line="276" w:lineRule="auto"/>
        <w:ind w:firstLine="720"/>
        <w:jc w:val="both"/>
        <w:rPr>
          <w:rFonts w:ascii="Times New Roman" w:eastAsia="Times New Roman" w:hAnsi="Times New Roman" w:cs="Times New Roman"/>
          <w:sz w:val="28"/>
          <w:szCs w:val="28"/>
        </w:rPr>
      </w:pPr>
      <w:r w:rsidRPr="00606373">
        <w:rPr>
          <w:rFonts w:ascii="Times New Roman" w:eastAsia="Times New Roman" w:hAnsi="Times New Roman" w:cs="Times New Roman"/>
          <w:b/>
          <w:iCs/>
          <w:sz w:val="28"/>
          <w:szCs w:val="28"/>
          <w:lang w:eastAsia="x-none"/>
        </w:rPr>
        <w:t>D</w:t>
      </w:r>
      <w:r w:rsidR="00F830C3" w:rsidRPr="0053384E">
        <w:rPr>
          <w:rFonts w:ascii="Times New Roman" w:eastAsia="Times New Roman" w:hAnsi="Times New Roman" w:cs="Times New Roman"/>
          <w:b/>
          <w:iCs/>
          <w:sz w:val="28"/>
          <w:szCs w:val="28"/>
          <w:lang w:eastAsia="x-none"/>
        </w:rPr>
        <w:t xml:space="preserve">are de seamă </w:t>
      </w:r>
      <w:r w:rsidRPr="00606373">
        <w:rPr>
          <w:rFonts w:ascii="Times New Roman" w:eastAsia="Times New Roman" w:hAnsi="Times New Roman" w:cs="Times New Roman"/>
          <w:b/>
          <w:iCs/>
          <w:sz w:val="28"/>
          <w:szCs w:val="28"/>
          <w:lang w:eastAsia="x-none"/>
        </w:rPr>
        <w:t>fiscală/declarație fiscală</w:t>
      </w:r>
      <w:r w:rsidR="00F830C3" w:rsidRPr="0053384E">
        <w:rPr>
          <w:rFonts w:ascii="Times New Roman" w:eastAsia="Times New Roman" w:hAnsi="Times New Roman" w:cs="Times New Roman"/>
          <w:sz w:val="28"/>
          <w:szCs w:val="28"/>
          <w:lang w:eastAsia="x-none"/>
        </w:rPr>
        <w:t xml:space="preserve"> – orice </w:t>
      </w:r>
      <w:proofErr w:type="spellStart"/>
      <w:r w:rsidR="00F830C3" w:rsidRPr="0053384E">
        <w:rPr>
          <w:rFonts w:ascii="Times New Roman" w:eastAsia="Times New Roman" w:hAnsi="Times New Roman" w:cs="Times New Roman"/>
          <w:sz w:val="28"/>
          <w:szCs w:val="28"/>
          <w:lang w:eastAsia="x-none"/>
        </w:rPr>
        <w:t>declaraţie</w:t>
      </w:r>
      <w:proofErr w:type="spellEnd"/>
      <w:r w:rsidR="00F830C3" w:rsidRPr="0053384E">
        <w:rPr>
          <w:rFonts w:ascii="Times New Roman" w:eastAsia="Times New Roman" w:hAnsi="Times New Roman" w:cs="Times New Roman"/>
          <w:sz w:val="28"/>
          <w:szCs w:val="28"/>
          <w:lang w:eastAsia="x-none"/>
        </w:rPr>
        <w:t xml:space="preserve">, </w:t>
      </w:r>
      <w:proofErr w:type="spellStart"/>
      <w:r w:rsidR="00F830C3" w:rsidRPr="0053384E">
        <w:rPr>
          <w:rFonts w:ascii="Times New Roman" w:eastAsia="Times New Roman" w:hAnsi="Times New Roman" w:cs="Times New Roman"/>
          <w:sz w:val="28"/>
          <w:szCs w:val="28"/>
          <w:lang w:eastAsia="x-none"/>
        </w:rPr>
        <w:t>informaţie</w:t>
      </w:r>
      <w:proofErr w:type="spellEnd"/>
      <w:r w:rsidR="00F830C3" w:rsidRPr="0053384E">
        <w:rPr>
          <w:rFonts w:ascii="Times New Roman" w:eastAsia="Times New Roman" w:hAnsi="Times New Roman" w:cs="Times New Roman"/>
          <w:sz w:val="28"/>
          <w:szCs w:val="28"/>
          <w:lang w:eastAsia="x-none"/>
        </w:rPr>
        <w:t>, calcul, notă informativă, alt document, care s</w:t>
      </w:r>
      <w:r w:rsidR="00E366DC">
        <w:rPr>
          <w:rFonts w:ascii="Times New Roman" w:eastAsia="Times New Roman" w:hAnsi="Times New Roman" w:cs="Times New Roman"/>
          <w:sz w:val="28"/>
          <w:szCs w:val="28"/>
          <w:lang w:eastAsia="x-none"/>
        </w:rPr>
        <w:t>u</w:t>
      </w:r>
      <w:r w:rsidR="00F830C3" w:rsidRPr="0053384E">
        <w:rPr>
          <w:rFonts w:ascii="Times New Roman" w:eastAsia="Times New Roman" w:hAnsi="Times New Roman" w:cs="Times New Roman"/>
          <w:sz w:val="28"/>
          <w:szCs w:val="28"/>
          <w:lang w:eastAsia="x-none"/>
        </w:rPr>
        <w:t>nt prezentate sau trebuie să fie prezentate S</w:t>
      </w:r>
      <w:r w:rsidR="0090620C">
        <w:rPr>
          <w:rFonts w:ascii="Times New Roman" w:eastAsia="Times New Roman" w:hAnsi="Times New Roman" w:cs="Times New Roman"/>
          <w:sz w:val="28"/>
          <w:szCs w:val="28"/>
          <w:lang w:eastAsia="x-none"/>
        </w:rPr>
        <w:t>FS</w:t>
      </w:r>
      <w:r w:rsidR="00F830C3" w:rsidRPr="0053384E">
        <w:rPr>
          <w:rFonts w:ascii="Times New Roman" w:eastAsia="Times New Roman" w:hAnsi="Times New Roman" w:cs="Times New Roman"/>
          <w:sz w:val="28"/>
          <w:szCs w:val="28"/>
          <w:lang w:eastAsia="x-none"/>
        </w:rPr>
        <w:t xml:space="preserve">, privind calcularea, achitarea, </w:t>
      </w:r>
      <w:proofErr w:type="spellStart"/>
      <w:r w:rsidR="00F830C3" w:rsidRPr="0053384E">
        <w:rPr>
          <w:rFonts w:ascii="Times New Roman" w:eastAsia="Times New Roman" w:hAnsi="Times New Roman" w:cs="Times New Roman"/>
          <w:sz w:val="28"/>
          <w:szCs w:val="28"/>
          <w:lang w:eastAsia="x-none"/>
        </w:rPr>
        <w:t>reţinerea</w:t>
      </w:r>
      <w:proofErr w:type="spellEnd"/>
      <w:r w:rsidR="00F830C3" w:rsidRPr="0053384E">
        <w:rPr>
          <w:rFonts w:ascii="Times New Roman" w:eastAsia="Times New Roman" w:hAnsi="Times New Roman" w:cs="Times New Roman"/>
          <w:sz w:val="28"/>
          <w:szCs w:val="28"/>
          <w:lang w:eastAsia="x-none"/>
        </w:rPr>
        <w:t xml:space="preserve"> impozitelor, taxelor, </w:t>
      </w:r>
      <w:r w:rsidR="00F830C3" w:rsidRPr="0053384E">
        <w:rPr>
          <w:rFonts w:ascii="Times New Roman" w:eastAsia="Calibri" w:hAnsi="Times New Roman" w:cs="Times New Roman"/>
          <w:sz w:val="28"/>
          <w:szCs w:val="28"/>
          <w:lang w:eastAsia="x-none"/>
        </w:rPr>
        <w:t xml:space="preserve">primelor de asigurare obligatorie de </w:t>
      </w:r>
      <w:proofErr w:type="spellStart"/>
      <w:r w:rsidR="00F830C3" w:rsidRPr="0053384E">
        <w:rPr>
          <w:rFonts w:ascii="Times New Roman" w:eastAsia="Calibri" w:hAnsi="Times New Roman" w:cs="Times New Roman"/>
          <w:sz w:val="28"/>
          <w:szCs w:val="28"/>
          <w:lang w:eastAsia="x-none"/>
        </w:rPr>
        <w:t>asistenţă</w:t>
      </w:r>
      <w:proofErr w:type="spellEnd"/>
      <w:r w:rsidR="00F830C3" w:rsidRPr="0053384E">
        <w:rPr>
          <w:rFonts w:ascii="Times New Roman" w:eastAsia="Calibri" w:hAnsi="Times New Roman" w:cs="Times New Roman"/>
          <w:sz w:val="28"/>
          <w:szCs w:val="28"/>
          <w:lang w:eastAsia="x-none"/>
        </w:rPr>
        <w:t xml:space="preserve"> medicală </w:t>
      </w:r>
      <w:proofErr w:type="spellStart"/>
      <w:r w:rsidR="00F830C3" w:rsidRPr="0053384E">
        <w:rPr>
          <w:rFonts w:ascii="Times New Roman" w:eastAsia="Calibri" w:hAnsi="Times New Roman" w:cs="Times New Roman"/>
          <w:sz w:val="28"/>
          <w:szCs w:val="28"/>
          <w:lang w:eastAsia="x-none"/>
        </w:rPr>
        <w:t>şi</w:t>
      </w:r>
      <w:proofErr w:type="spellEnd"/>
      <w:r w:rsidR="00F830C3" w:rsidRPr="0053384E">
        <w:rPr>
          <w:rFonts w:ascii="Times New Roman" w:eastAsia="Calibri" w:hAnsi="Times New Roman" w:cs="Times New Roman"/>
          <w:sz w:val="28"/>
          <w:szCs w:val="28"/>
          <w:lang w:eastAsia="x-none"/>
        </w:rPr>
        <w:t xml:space="preserve"> a </w:t>
      </w:r>
      <w:proofErr w:type="spellStart"/>
      <w:r w:rsidR="00F830C3" w:rsidRPr="0053384E">
        <w:rPr>
          <w:rFonts w:ascii="Times New Roman" w:eastAsia="Calibri" w:hAnsi="Times New Roman" w:cs="Times New Roman"/>
          <w:sz w:val="28"/>
          <w:szCs w:val="28"/>
          <w:lang w:eastAsia="x-none"/>
        </w:rPr>
        <w:t>contribuţiilor</w:t>
      </w:r>
      <w:proofErr w:type="spellEnd"/>
      <w:r w:rsidR="00F830C3" w:rsidRPr="0053384E">
        <w:rPr>
          <w:rFonts w:ascii="Times New Roman" w:eastAsia="Calibri" w:hAnsi="Times New Roman" w:cs="Times New Roman"/>
          <w:sz w:val="28"/>
          <w:szCs w:val="28"/>
          <w:lang w:eastAsia="x-none"/>
        </w:rPr>
        <w:t xml:space="preserve"> de asigurări sociale de stat obligatorii, </w:t>
      </w:r>
      <w:r w:rsidR="00F830C3" w:rsidRPr="0053384E">
        <w:rPr>
          <w:rFonts w:ascii="Times New Roman" w:eastAsia="Times New Roman" w:hAnsi="Times New Roman" w:cs="Times New Roman"/>
          <w:sz w:val="28"/>
          <w:szCs w:val="28"/>
          <w:lang w:eastAsia="x-none"/>
        </w:rPr>
        <w:t>majorărilor de înt</w:t>
      </w:r>
      <w:r w:rsidR="00E366DC">
        <w:rPr>
          <w:rFonts w:ascii="Times New Roman" w:eastAsia="Times New Roman" w:hAnsi="Times New Roman" w:cs="Times New Roman"/>
          <w:sz w:val="28"/>
          <w:szCs w:val="28"/>
          <w:lang w:eastAsia="x-none"/>
        </w:rPr>
        <w:t>â</w:t>
      </w:r>
      <w:r w:rsidR="00F830C3" w:rsidRPr="0053384E">
        <w:rPr>
          <w:rFonts w:ascii="Times New Roman" w:eastAsia="Times New Roman" w:hAnsi="Times New Roman" w:cs="Times New Roman"/>
          <w:sz w:val="28"/>
          <w:szCs w:val="28"/>
          <w:lang w:eastAsia="x-none"/>
        </w:rPr>
        <w:t>rziere (</w:t>
      </w:r>
      <w:proofErr w:type="spellStart"/>
      <w:r w:rsidR="00F830C3" w:rsidRPr="0053384E">
        <w:rPr>
          <w:rFonts w:ascii="Times New Roman" w:eastAsia="Times New Roman" w:hAnsi="Times New Roman" w:cs="Times New Roman"/>
          <w:sz w:val="28"/>
          <w:szCs w:val="28"/>
          <w:lang w:eastAsia="x-none"/>
        </w:rPr>
        <w:t>penalităţilor</w:t>
      </w:r>
      <w:proofErr w:type="spellEnd"/>
      <w:r w:rsidR="00F830C3" w:rsidRPr="0053384E">
        <w:rPr>
          <w:rFonts w:ascii="Times New Roman" w:eastAsia="Times New Roman" w:hAnsi="Times New Roman" w:cs="Times New Roman"/>
          <w:sz w:val="28"/>
          <w:szCs w:val="28"/>
          <w:lang w:eastAsia="x-none"/>
        </w:rPr>
        <w:t xml:space="preserve">) </w:t>
      </w:r>
      <w:proofErr w:type="spellStart"/>
      <w:r w:rsidR="00F830C3" w:rsidRPr="0053384E">
        <w:rPr>
          <w:rFonts w:ascii="Times New Roman" w:eastAsia="Times New Roman" w:hAnsi="Times New Roman" w:cs="Times New Roman"/>
          <w:sz w:val="28"/>
          <w:szCs w:val="28"/>
          <w:lang w:eastAsia="x-none"/>
        </w:rPr>
        <w:t>şi</w:t>
      </w:r>
      <w:proofErr w:type="spellEnd"/>
      <w:r w:rsidR="00F830C3" w:rsidRPr="0053384E">
        <w:rPr>
          <w:rFonts w:ascii="Times New Roman" w:eastAsia="Times New Roman" w:hAnsi="Times New Roman" w:cs="Times New Roman"/>
          <w:sz w:val="28"/>
          <w:szCs w:val="28"/>
          <w:lang w:eastAsia="x-none"/>
        </w:rPr>
        <w:t>/sau amenzilor</w:t>
      </w:r>
      <w:r w:rsidR="00E366DC">
        <w:rPr>
          <w:rFonts w:ascii="Times New Roman" w:eastAsia="Times New Roman" w:hAnsi="Times New Roman" w:cs="Times New Roman"/>
          <w:sz w:val="28"/>
          <w:szCs w:val="28"/>
          <w:lang w:eastAsia="x-none"/>
        </w:rPr>
        <w:t>,</w:t>
      </w:r>
      <w:r w:rsidR="00F830C3" w:rsidRPr="0053384E">
        <w:rPr>
          <w:rFonts w:ascii="Times New Roman" w:eastAsia="Times New Roman" w:hAnsi="Times New Roman" w:cs="Times New Roman"/>
          <w:sz w:val="28"/>
          <w:szCs w:val="28"/>
          <w:lang w:eastAsia="x-none"/>
        </w:rPr>
        <w:t xml:space="preserve"> ori privind alte fapte ce </w:t>
      </w:r>
      <w:proofErr w:type="spellStart"/>
      <w:r w:rsidR="00F830C3" w:rsidRPr="0053384E">
        <w:rPr>
          <w:rFonts w:ascii="Times New Roman" w:eastAsia="Times New Roman" w:hAnsi="Times New Roman" w:cs="Times New Roman"/>
          <w:sz w:val="28"/>
          <w:szCs w:val="28"/>
          <w:lang w:eastAsia="x-none"/>
        </w:rPr>
        <w:t>ţin</w:t>
      </w:r>
      <w:proofErr w:type="spellEnd"/>
      <w:r w:rsidR="00F830C3" w:rsidRPr="0053384E">
        <w:rPr>
          <w:rFonts w:ascii="Times New Roman" w:eastAsia="Times New Roman" w:hAnsi="Times New Roman" w:cs="Times New Roman"/>
          <w:sz w:val="28"/>
          <w:szCs w:val="28"/>
          <w:lang w:eastAsia="x-none"/>
        </w:rPr>
        <w:t xml:space="preserve"> </w:t>
      </w:r>
      <w:r w:rsidR="00F830C3" w:rsidRPr="00236832">
        <w:rPr>
          <w:rFonts w:ascii="Times New Roman" w:eastAsia="Times New Roman" w:hAnsi="Times New Roman" w:cs="Times New Roman"/>
          <w:sz w:val="28"/>
          <w:szCs w:val="28"/>
          <w:lang w:eastAsia="x-none"/>
        </w:rPr>
        <w:t xml:space="preserve">de </w:t>
      </w:r>
      <w:proofErr w:type="spellStart"/>
      <w:r w:rsidR="00F830C3" w:rsidRPr="00236832">
        <w:rPr>
          <w:rFonts w:ascii="Times New Roman" w:eastAsia="Times New Roman" w:hAnsi="Times New Roman" w:cs="Times New Roman"/>
          <w:sz w:val="28"/>
          <w:szCs w:val="28"/>
          <w:lang w:eastAsia="x-none"/>
        </w:rPr>
        <w:t>naşterea</w:t>
      </w:r>
      <w:proofErr w:type="spellEnd"/>
      <w:r w:rsidR="00F830C3" w:rsidRPr="00236832">
        <w:rPr>
          <w:rFonts w:ascii="Times New Roman" w:eastAsia="Times New Roman" w:hAnsi="Times New Roman" w:cs="Times New Roman"/>
          <w:sz w:val="28"/>
          <w:szCs w:val="28"/>
          <w:lang w:eastAsia="x-none"/>
        </w:rPr>
        <w:t>, modificarea</w:t>
      </w:r>
      <w:r w:rsidR="00F830C3" w:rsidRPr="0053384E">
        <w:rPr>
          <w:rFonts w:ascii="Times New Roman" w:eastAsia="Times New Roman" w:hAnsi="Times New Roman" w:cs="Times New Roman"/>
          <w:sz w:val="28"/>
          <w:szCs w:val="28"/>
          <w:lang w:eastAsia="x-none"/>
        </w:rPr>
        <w:t xml:space="preserve"> sau stingerea </w:t>
      </w:r>
      <w:proofErr w:type="spellStart"/>
      <w:r w:rsidR="00F830C3" w:rsidRPr="0053384E">
        <w:rPr>
          <w:rFonts w:ascii="Times New Roman" w:eastAsia="Times New Roman" w:hAnsi="Times New Roman" w:cs="Times New Roman"/>
          <w:sz w:val="28"/>
          <w:szCs w:val="28"/>
          <w:lang w:eastAsia="x-none"/>
        </w:rPr>
        <w:t>obligaţiei</w:t>
      </w:r>
      <w:proofErr w:type="spellEnd"/>
      <w:r w:rsidR="00F830C3" w:rsidRPr="0053384E">
        <w:rPr>
          <w:rFonts w:ascii="Times New Roman" w:eastAsia="Times New Roman" w:hAnsi="Times New Roman" w:cs="Times New Roman"/>
          <w:sz w:val="28"/>
          <w:szCs w:val="28"/>
          <w:lang w:eastAsia="x-none"/>
        </w:rPr>
        <w:t xml:space="preserve"> fiscale. </w:t>
      </w:r>
    </w:p>
    <w:p w:rsidR="00606373" w:rsidRDefault="00606373" w:rsidP="00300711">
      <w:pPr>
        <w:spacing w:after="0" w:line="276" w:lineRule="auto"/>
        <w:ind w:firstLine="720"/>
        <w:jc w:val="both"/>
        <w:rPr>
          <w:rFonts w:ascii="Times New Roman" w:eastAsia="Times New Roman" w:hAnsi="Times New Roman" w:cs="Times New Roman"/>
          <w:sz w:val="28"/>
          <w:szCs w:val="28"/>
        </w:rPr>
      </w:pPr>
      <w:r w:rsidRPr="00606373">
        <w:rPr>
          <w:rFonts w:ascii="Times New Roman" w:eastAsia="Times New Roman" w:hAnsi="Times New Roman" w:cs="Times New Roman"/>
          <w:b/>
          <w:iCs/>
          <w:sz w:val="28"/>
          <w:szCs w:val="28"/>
        </w:rPr>
        <w:t>Drepturi de import; drepturi de export</w:t>
      </w:r>
      <w:r w:rsidRPr="00606373">
        <w:rPr>
          <w:rFonts w:ascii="Times New Roman" w:eastAsia="Times New Roman" w:hAnsi="Times New Roman" w:cs="Times New Roman"/>
          <w:iCs/>
          <w:sz w:val="28"/>
          <w:szCs w:val="28"/>
        </w:rPr>
        <w:t xml:space="preserve"> </w:t>
      </w:r>
      <w:r w:rsidRPr="0053384E">
        <w:rPr>
          <w:rFonts w:ascii="Times New Roman" w:eastAsia="Times New Roman" w:hAnsi="Times New Roman" w:cs="Times New Roman"/>
          <w:sz w:val="28"/>
          <w:szCs w:val="28"/>
          <w:lang w:eastAsia="x-none"/>
        </w:rPr>
        <w:t>–</w:t>
      </w:r>
      <w:r w:rsidRPr="00606373">
        <w:rPr>
          <w:rFonts w:ascii="Times New Roman" w:eastAsia="Times New Roman" w:hAnsi="Times New Roman" w:cs="Times New Roman"/>
          <w:sz w:val="28"/>
          <w:szCs w:val="28"/>
          <w:lang w:eastAsia="x-none"/>
        </w:rPr>
        <w:t xml:space="preserve"> </w:t>
      </w:r>
      <w:r w:rsidRPr="00606373">
        <w:rPr>
          <w:rFonts w:ascii="Times New Roman" w:eastAsia="Times New Roman" w:hAnsi="Times New Roman" w:cs="Times New Roman"/>
          <w:sz w:val="28"/>
          <w:szCs w:val="28"/>
        </w:rPr>
        <w:t xml:space="preserve">taxa vamală, taxa pentru procedurile vamale, taxa pe valoarea adăugată, accizele </w:t>
      </w:r>
      <w:proofErr w:type="spellStart"/>
      <w:r w:rsidRPr="00606373">
        <w:rPr>
          <w:rFonts w:ascii="Times New Roman" w:eastAsia="Times New Roman" w:hAnsi="Times New Roman" w:cs="Times New Roman"/>
          <w:sz w:val="28"/>
          <w:szCs w:val="28"/>
        </w:rPr>
        <w:t>şi</w:t>
      </w:r>
      <w:proofErr w:type="spellEnd"/>
      <w:r w:rsidRPr="00606373">
        <w:rPr>
          <w:rFonts w:ascii="Times New Roman" w:eastAsia="Times New Roman" w:hAnsi="Times New Roman" w:cs="Times New Roman"/>
          <w:sz w:val="28"/>
          <w:szCs w:val="28"/>
        </w:rPr>
        <w:t xml:space="preserve"> orice alte sume care se cuvin statului la importul de mărfuri, încasate de organul vamal în conformitate cu </w:t>
      </w:r>
      <w:proofErr w:type="spellStart"/>
      <w:r w:rsidRPr="00606373">
        <w:rPr>
          <w:rFonts w:ascii="Times New Roman" w:eastAsia="Times New Roman" w:hAnsi="Times New Roman" w:cs="Times New Roman"/>
          <w:sz w:val="28"/>
          <w:szCs w:val="28"/>
        </w:rPr>
        <w:t>legislaţia</w:t>
      </w:r>
      <w:proofErr w:type="spellEnd"/>
      <w:r w:rsidR="00E366DC">
        <w:rPr>
          <w:rFonts w:ascii="Times New Roman" w:eastAsia="Times New Roman" w:hAnsi="Times New Roman" w:cs="Times New Roman"/>
          <w:sz w:val="28"/>
          <w:szCs w:val="28"/>
        </w:rPr>
        <w:t>,</w:t>
      </w:r>
      <w:r w:rsidRPr="00606373">
        <w:rPr>
          <w:rFonts w:ascii="Times New Roman" w:eastAsia="Times New Roman" w:hAnsi="Times New Roman" w:cs="Times New Roman"/>
          <w:sz w:val="28"/>
          <w:szCs w:val="28"/>
        </w:rPr>
        <w:t xml:space="preserve"> taxa pentru procedurile vamale, orice alte sume care se cuvin statului la exportul de mărfuri, încasate de organul vamal în conformitate cu </w:t>
      </w:r>
      <w:proofErr w:type="spellStart"/>
      <w:r w:rsidRPr="00606373">
        <w:rPr>
          <w:rFonts w:ascii="Times New Roman" w:eastAsia="Times New Roman" w:hAnsi="Times New Roman" w:cs="Times New Roman"/>
          <w:sz w:val="28"/>
          <w:szCs w:val="28"/>
        </w:rPr>
        <w:t>legislaţia</w:t>
      </w:r>
      <w:proofErr w:type="spellEnd"/>
      <w:r w:rsidRPr="00606373">
        <w:rPr>
          <w:rFonts w:ascii="Times New Roman" w:eastAsia="Times New Roman" w:hAnsi="Times New Roman" w:cs="Times New Roman"/>
          <w:sz w:val="28"/>
          <w:szCs w:val="28"/>
        </w:rPr>
        <w:t>.</w:t>
      </w:r>
    </w:p>
    <w:p w:rsidR="00606373" w:rsidRDefault="00606373" w:rsidP="00300711">
      <w:pPr>
        <w:spacing w:after="0" w:line="276" w:lineRule="auto"/>
        <w:ind w:firstLine="720"/>
        <w:jc w:val="both"/>
        <w:rPr>
          <w:rFonts w:ascii="Times New Roman" w:hAnsi="Times New Roman" w:cs="Times New Roman"/>
          <w:sz w:val="28"/>
          <w:szCs w:val="28"/>
        </w:rPr>
      </w:pPr>
      <w:r w:rsidRPr="00606373">
        <w:rPr>
          <w:rFonts w:ascii="Times New Roman" w:hAnsi="Times New Roman" w:cs="Times New Roman"/>
          <w:b/>
          <w:iCs/>
          <w:sz w:val="28"/>
          <w:szCs w:val="28"/>
        </w:rPr>
        <w:t>V</w:t>
      </w:r>
      <w:r w:rsidR="00006999" w:rsidRPr="00606373">
        <w:rPr>
          <w:rFonts w:ascii="Times New Roman" w:hAnsi="Times New Roman" w:cs="Times New Roman"/>
          <w:b/>
          <w:iCs/>
          <w:sz w:val="28"/>
          <w:szCs w:val="28"/>
        </w:rPr>
        <w:t>ămuire</w:t>
      </w:r>
      <w:r w:rsidR="00006999" w:rsidRPr="00606373">
        <w:rPr>
          <w:rFonts w:ascii="Times New Roman" w:hAnsi="Times New Roman" w:cs="Times New Roman"/>
          <w:b/>
          <w:sz w:val="28"/>
          <w:szCs w:val="28"/>
        </w:rPr>
        <w:t> </w:t>
      </w:r>
      <w:r w:rsidRPr="0053384E">
        <w:rPr>
          <w:rFonts w:ascii="Times New Roman" w:eastAsia="Times New Roman" w:hAnsi="Times New Roman" w:cs="Times New Roman"/>
          <w:sz w:val="28"/>
          <w:szCs w:val="28"/>
          <w:lang w:eastAsia="x-none"/>
        </w:rPr>
        <w:t>–</w:t>
      </w:r>
      <w:r>
        <w:rPr>
          <w:rFonts w:ascii="Times New Roman" w:hAnsi="Times New Roman" w:cs="Times New Roman"/>
          <w:sz w:val="28"/>
          <w:szCs w:val="28"/>
        </w:rPr>
        <w:t xml:space="preserve"> procedeu</w:t>
      </w:r>
      <w:r w:rsidR="00006999" w:rsidRPr="00606373">
        <w:rPr>
          <w:rFonts w:ascii="Times New Roman" w:hAnsi="Times New Roman" w:cs="Times New Roman"/>
          <w:sz w:val="28"/>
          <w:szCs w:val="28"/>
        </w:rPr>
        <w:t xml:space="preserve"> de plasare a mărfurilor </w:t>
      </w:r>
      <w:proofErr w:type="spellStart"/>
      <w:r w:rsidR="00006999" w:rsidRPr="00606373">
        <w:rPr>
          <w:rFonts w:ascii="Times New Roman" w:hAnsi="Times New Roman" w:cs="Times New Roman"/>
          <w:sz w:val="28"/>
          <w:szCs w:val="28"/>
        </w:rPr>
        <w:t>şi</w:t>
      </w:r>
      <w:proofErr w:type="spellEnd"/>
      <w:r w:rsidR="00006999" w:rsidRPr="00606373">
        <w:rPr>
          <w:rFonts w:ascii="Times New Roman" w:hAnsi="Times New Roman" w:cs="Times New Roman"/>
          <w:sz w:val="28"/>
          <w:szCs w:val="28"/>
        </w:rPr>
        <w:t xml:space="preserve"> mijloacelor de transport într-un anumit regim vamal </w:t>
      </w:r>
      <w:proofErr w:type="spellStart"/>
      <w:r w:rsidR="00006999" w:rsidRPr="00606373">
        <w:rPr>
          <w:rFonts w:ascii="Times New Roman" w:hAnsi="Times New Roman" w:cs="Times New Roman"/>
          <w:sz w:val="28"/>
          <w:szCs w:val="28"/>
        </w:rPr>
        <w:t>şi</w:t>
      </w:r>
      <w:proofErr w:type="spellEnd"/>
      <w:r w:rsidR="00006999" w:rsidRPr="00606373">
        <w:rPr>
          <w:rFonts w:ascii="Times New Roman" w:hAnsi="Times New Roman" w:cs="Times New Roman"/>
          <w:sz w:val="28"/>
          <w:szCs w:val="28"/>
        </w:rPr>
        <w:t xml:space="preserve"> încheierea acestui regim, în </w:t>
      </w:r>
      <w:proofErr w:type="spellStart"/>
      <w:r w:rsidR="00006999" w:rsidRPr="00606373">
        <w:rPr>
          <w:rFonts w:ascii="Times New Roman" w:hAnsi="Times New Roman" w:cs="Times New Roman"/>
          <w:sz w:val="28"/>
          <w:szCs w:val="28"/>
        </w:rPr>
        <w:t>condiţiile</w:t>
      </w:r>
      <w:proofErr w:type="spellEnd"/>
      <w:r w:rsidR="00006999" w:rsidRPr="00606373">
        <w:rPr>
          <w:rFonts w:ascii="Times New Roman" w:hAnsi="Times New Roman" w:cs="Times New Roman"/>
          <w:sz w:val="28"/>
          <w:szCs w:val="28"/>
        </w:rPr>
        <w:t xml:space="preserve"> </w:t>
      </w:r>
      <w:r w:rsidRPr="00606373">
        <w:rPr>
          <w:rFonts w:ascii="Times New Roman" w:hAnsi="Times New Roman" w:cs="Times New Roman"/>
          <w:sz w:val="28"/>
          <w:szCs w:val="28"/>
        </w:rPr>
        <w:t>C</w:t>
      </w:r>
      <w:r>
        <w:rPr>
          <w:rFonts w:ascii="Times New Roman" w:hAnsi="Times New Roman" w:cs="Times New Roman"/>
          <w:sz w:val="28"/>
          <w:szCs w:val="28"/>
        </w:rPr>
        <w:t xml:space="preserve">odului </w:t>
      </w:r>
      <w:r w:rsidR="00241ECE">
        <w:rPr>
          <w:rFonts w:ascii="Times New Roman" w:hAnsi="Times New Roman" w:cs="Times New Roman"/>
          <w:sz w:val="28"/>
          <w:szCs w:val="28"/>
        </w:rPr>
        <w:t>vamal.</w:t>
      </w:r>
    </w:p>
    <w:p w:rsidR="002717B0" w:rsidRDefault="00606373" w:rsidP="00300711">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Impozit/taxă</w:t>
      </w:r>
      <w:r w:rsidRPr="0053384E">
        <w:rPr>
          <w:rFonts w:ascii="Times New Roman" w:eastAsia="Times New Roman" w:hAnsi="Times New Roman" w:cs="Times New Roman"/>
          <w:sz w:val="28"/>
          <w:szCs w:val="28"/>
          <w:lang w:eastAsia="ru-RU"/>
        </w:rPr>
        <w:t xml:space="preserve"> </w:t>
      </w:r>
      <w:r w:rsidRPr="0053384E">
        <w:rPr>
          <w:rFonts w:ascii="Times New Roman" w:eastAsia="Times New Roman" w:hAnsi="Times New Roman" w:cs="Times New Roman"/>
          <w:sz w:val="28"/>
          <w:szCs w:val="28"/>
          <w:lang w:eastAsia="x-none"/>
        </w:rPr>
        <w:t>–</w:t>
      </w:r>
      <w:r w:rsidRPr="0053384E">
        <w:rPr>
          <w:rFonts w:ascii="Times New Roman" w:eastAsia="Times New Roman" w:hAnsi="Times New Roman" w:cs="Times New Roman"/>
          <w:sz w:val="28"/>
          <w:szCs w:val="28"/>
          <w:lang w:eastAsia="ru-RU"/>
        </w:rPr>
        <w:t xml:space="preserve"> plată obligatorie cu titlu gratuit, care nu </w:t>
      </w:r>
      <w:proofErr w:type="spellStart"/>
      <w:r w:rsidRPr="0053384E">
        <w:rPr>
          <w:rFonts w:ascii="Times New Roman" w:eastAsia="Times New Roman" w:hAnsi="Times New Roman" w:cs="Times New Roman"/>
          <w:sz w:val="28"/>
          <w:szCs w:val="28"/>
          <w:lang w:eastAsia="ru-RU"/>
        </w:rPr>
        <w:t>ţine</w:t>
      </w:r>
      <w:proofErr w:type="spellEnd"/>
      <w:r w:rsidRPr="0053384E">
        <w:rPr>
          <w:rFonts w:ascii="Times New Roman" w:eastAsia="Times New Roman" w:hAnsi="Times New Roman" w:cs="Times New Roman"/>
          <w:sz w:val="28"/>
          <w:szCs w:val="28"/>
          <w:lang w:eastAsia="ru-RU"/>
        </w:rPr>
        <w:t xml:space="preserve"> de efectuarea unor </w:t>
      </w:r>
      <w:proofErr w:type="spellStart"/>
      <w:r w:rsidRPr="0053384E">
        <w:rPr>
          <w:rFonts w:ascii="Times New Roman" w:eastAsia="Times New Roman" w:hAnsi="Times New Roman" w:cs="Times New Roman"/>
          <w:sz w:val="28"/>
          <w:szCs w:val="28"/>
          <w:lang w:eastAsia="ru-RU"/>
        </w:rPr>
        <w:t>acţiuni</w:t>
      </w:r>
      <w:proofErr w:type="spellEnd"/>
      <w:r w:rsidRPr="0053384E">
        <w:rPr>
          <w:rFonts w:ascii="Times New Roman" w:eastAsia="Times New Roman" w:hAnsi="Times New Roman" w:cs="Times New Roman"/>
          <w:sz w:val="28"/>
          <w:szCs w:val="28"/>
          <w:lang w:eastAsia="ru-RU"/>
        </w:rPr>
        <w:t xml:space="preserve"> determinate </w:t>
      </w:r>
      <w:proofErr w:type="spellStart"/>
      <w:r w:rsidRPr="0053384E">
        <w:rPr>
          <w:rFonts w:ascii="Times New Roman" w:eastAsia="Times New Roman" w:hAnsi="Times New Roman" w:cs="Times New Roman"/>
          <w:sz w:val="28"/>
          <w:szCs w:val="28"/>
          <w:lang w:eastAsia="ru-RU"/>
        </w:rPr>
        <w:t>şi</w:t>
      </w:r>
      <w:proofErr w:type="spellEnd"/>
      <w:r w:rsidRPr="0053384E">
        <w:rPr>
          <w:rFonts w:ascii="Times New Roman" w:eastAsia="Times New Roman" w:hAnsi="Times New Roman" w:cs="Times New Roman"/>
          <w:sz w:val="28"/>
          <w:szCs w:val="28"/>
          <w:lang w:eastAsia="ru-RU"/>
        </w:rPr>
        <w:t xml:space="preserve"> concrete de către organul împuternicit sau de către persoana cu </w:t>
      </w:r>
      <w:proofErr w:type="spellStart"/>
      <w:r w:rsidRPr="0053384E">
        <w:rPr>
          <w:rFonts w:ascii="Times New Roman" w:eastAsia="Times New Roman" w:hAnsi="Times New Roman" w:cs="Times New Roman"/>
          <w:sz w:val="28"/>
          <w:szCs w:val="28"/>
          <w:lang w:eastAsia="ru-RU"/>
        </w:rPr>
        <w:t>funcţii</w:t>
      </w:r>
      <w:proofErr w:type="spellEnd"/>
      <w:r w:rsidRPr="0053384E">
        <w:rPr>
          <w:rFonts w:ascii="Times New Roman" w:eastAsia="Times New Roman" w:hAnsi="Times New Roman" w:cs="Times New Roman"/>
          <w:sz w:val="28"/>
          <w:szCs w:val="28"/>
          <w:lang w:eastAsia="ru-RU"/>
        </w:rPr>
        <w:t xml:space="preserve"> de răspundere a acestuia pentru sau în raport cu contribuabilu</w:t>
      </w:r>
      <w:r>
        <w:rPr>
          <w:rFonts w:ascii="Times New Roman" w:eastAsia="Times New Roman" w:hAnsi="Times New Roman" w:cs="Times New Roman"/>
          <w:sz w:val="28"/>
          <w:szCs w:val="28"/>
          <w:lang w:eastAsia="ru-RU"/>
        </w:rPr>
        <w:t>l care a achitat această plată.</w:t>
      </w:r>
    </w:p>
    <w:p w:rsidR="00241ECE" w:rsidRDefault="00241ECE" w:rsidP="00300711">
      <w:pPr>
        <w:spacing w:after="0" w:line="276" w:lineRule="auto"/>
        <w:ind w:firstLine="720"/>
        <w:jc w:val="both"/>
        <w:rPr>
          <w:rFonts w:ascii="Times New Roman" w:eastAsia="Times New Roman" w:hAnsi="Times New Roman" w:cs="Times New Roman"/>
          <w:sz w:val="28"/>
          <w:szCs w:val="28"/>
          <w:lang w:eastAsia="x-none"/>
        </w:rPr>
      </w:pPr>
      <w:r w:rsidRPr="0053384E">
        <w:rPr>
          <w:rFonts w:ascii="Times New Roman" w:eastAsia="Times New Roman" w:hAnsi="Times New Roman" w:cs="Times New Roman"/>
          <w:b/>
          <w:sz w:val="28"/>
          <w:szCs w:val="28"/>
          <w:lang w:eastAsia="x-none"/>
        </w:rPr>
        <w:t>Conformare fiscală voluntară</w:t>
      </w:r>
      <w:r w:rsidRPr="0053384E">
        <w:rPr>
          <w:rFonts w:ascii="Times New Roman" w:eastAsia="Times New Roman" w:hAnsi="Times New Roman" w:cs="Times New Roman"/>
          <w:sz w:val="28"/>
          <w:szCs w:val="28"/>
          <w:lang w:eastAsia="x-none"/>
        </w:rPr>
        <w:t xml:space="preserve"> – calculare corectă, raportare și achitare deplină și la timp la buget a obligației fiscale de către contribuabil în mod benevol.</w:t>
      </w:r>
    </w:p>
    <w:p w:rsidR="00F73A0A" w:rsidRPr="00F73A0A" w:rsidRDefault="00F73A0A" w:rsidP="00300711">
      <w:pPr>
        <w:spacing w:after="0" w:line="276" w:lineRule="auto"/>
        <w:ind w:firstLine="720"/>
        <w:jc w:val="both"/>
        <w:rPr>
          <w:rFonts w:ascii="Times New Roman" w:hAnsi="Times New Roman" w:cs="Times New Roman"/>
          <w:sz w:val="28"/>
          <w:szCs w:val="28"/>
        </w:rPr>
      </w:pPr>
      <w:proofErr w:type="spellStart"/>
      <w:r w:rsidRPr="00F73A0A">
        <w:rPr>
          <w:rFonts w:ascii="Times New Roman" w:hAnsi="Times New Roman" w:cs="Times New Roman"/>
          <w:b/>
          <w:iCs/>
          <w:sz w:val="28"/>
          <w:szCs w:val="28"/>
        </w:rPr>
        <w:lastRenderedPageBreak/>
        <w:t>Restanţă</w:t>
      </w:r>
      <w:proofErr w:type="spellEnd"/>
      <w:r w:rsidRPr="00F73A0A">
        <w:rPr>
          <w:rFonts w:ascii="Times New Roman" w:hAnsi="Times New Roman" w:cs="Times New Roman"/>
          <w:iCs/>
          <w:sz w:val="28"/>
          <w:szCs w:val="28"/>
        </w:rPr>
        <w:t xml:space="preserve"> </w:t>
      </w:r>
      <w:r w:rsidRPr="00F73A0A">
        <w:rPr>
          <w:rFonts w:ascii="Times New Roman" w:hAnsi="Times New Roman" w:cs="Times New Roman"/>
          <w:sz w:val="28"/>
          <w:szCs w:val="28"/>
        </w:rPr>
        <w:t>– sumă pe care contribuabilul</w:t>
      </w:r>
      <w:r>
        <w:rPr>
          <w:rFonts w:ascii="Times New Roman" w:hAnsi="Times New Roman" w:cs="Times New Roman"/>
          <w:sz w:val="28"/>
          <w:szCs w:val="28"/>
        </w:rPr>
        <w:t>/plătitorul vamal</w:t>
      </w:r>
      <w:r w:rsidRPr="00F73A0A">
        <w:rPr>
          <w:rFonts w:ascii="Times New Roman" w:hAnsi="Times New Roman" w:cs="Times New Roman"/>
          <w:sz w:val="28"/>
          <w:szCs w:val="28"/>
        </w:rPr>
        <w:t xml:space="preserve"> era obligat să o plătească la buget ca impozit, taxă sau altă plată, dar pe care nu a plătit-o în termen, precum </w:t>
      </w:r>
      <w:proofErr w:type="spellStart"/>
      <w:r w:rsidRPr="00F73A0A">
        <w:rPr>
          <w:rFonts w:ascii="Times New Roman" w:hAnsi="Times New Roman" w:cs="Times New Roman"/>
          <w:sz w:val="28"/>
          <w:szCs w:val="28"/>
        </w:rPr>
        <w:t>şi</w:t>
      </w:r>
      <w:proofErr w:type="spellEnd"/>
      <w:r w:rsidRPr="00F73A0A">
        <w:rPr>
          <w:rFonts w:ascii="Times New Roman" w:hAnsi="Times New Roman" w:cs="Times New Roman"/>
          <w:sz w:val="28"/>
          <w:szCs w:val="28"/>
        </w:rPr>
        <w:t xml:space="preserve"> suma majorării de înt</w:t>
      </w:r>
      <w:r w:rsidR="00E366DC">
        <w:rPr>
          <w:rFonts w:ascii="Times New Roman" w:hAnsi="Times New Roman" w:cs="Times New Roman"/>
          <w:sz w:val="28"/>
          <w:szCs w:val="28"/>
        </w:rPr>
        <w:t>â</w:t>
      </w:r>
      <w:r w:rsidRPr="00F73A0A">
        <w:rPr>
          <w:rFonts w:ascii="Times New Roman" w:hAnsi="Times New Roman" w:cs="Times New Roman"/>
          <w:sz w:val="28"/>
          <w:szCs w:val="28"/>
        </w:rPr>
        <w:t>rziere (</w:t>
      </w:r>
      <w:proofErr w:type="spellStart"/>
      <w:r w:rsidRPr="00F73A0A">
        <w:rPr>
          <w:rFonts w:ascii="Times New Roman" w:hAnsi="Times New Roman" w:cs="Times New Roman"/>
          <w:sz w:val="28"/>
          <w:szCs w:val="28"/>
        </w:rPr>
        <w:t>penalităţii</w:t>
      </w:r>
      <w:proofErr w:type="spellEnd"/>
      <w:r w:rsidRPr="00F73A0A">
        <w:rPr>
          <w:rFonts w:ascii="Times New Roman" w:hAnsi="Times New Roman" w:cs="Times New Roman"/>
          <w:sz w:val="28"/>
          <w:szCs w:val="28"/>
        </w:rPr>
        <w:t xml:space="preserve">) </w:t>
      </w:r>
      <w:proofErr w:type="spellStart"/>
      <w:r w:rsidRPr="00F73A0A">
        <w:rPr>
          <w:rFonts w:ascii="Times New Roman" w:hAnsi="Times New Roman" w:cs="Times New Roman"/>
          <w:sz w:val="28"/>
          <w:szCs w:val="28"/>
        </w:rPr>
        <w:t>şi</w:t>
      </w:r>
      <w:proofErr w:type="spellEnd"/>
      <w:r w:rsidRPr="00F73A0A">
        <w:rPr>
          <w:rFonts w:ascii="Times New Roman" w:hAnsi="Times New Roman" w:cs="Times New Roman"/>
          <w:sz w:val="28"/>
          <w:szCs w:val="28"/>
        </w:rPr>
        <w:t>/sau amenzii.</w:t>
      </w:r>
    </w:p>
    <w:p w:rsidR="00EA587E" w:rsidRDefault="00241ECE" w:rsidP="00EA587E">
      <w:pPr>
        <w:spacing w:after="0" w:line="276" w:lineRule="auto"/>
        <w:ind w:firstLine="720"/>
        <w:jc w:val="both"/>
        <w:rPr>
          <w:rFonts w:ascii="Times New Roman" w:eastAsia="Times New Roman" w:hAnsi="Times New Roman" w:cs="Times New Roman"/>
          <w:sz w:val="28"/>
          <w:szCs w:val="28"/>
          <w:lang w:eastAsia="x-none"/>
        </w:rPr>
      </w:pPr>
      <w:r w:rsidRPr="007116A5">
        <w:rPr>
          <w:rFonts w:ascii="Times New Roman" w:eastAsia="Times New Roman" w:hAnsi="Times New Roman" w:cs="Times New Roman"/>
          <w:b/>
          <w:iCs/>
          <w:sz w:val="28"/>
          <w:szCs w:val="28"/>
          <w:lang w:eastAsia="x-none"/>
        </w:rPr>
        <w:t>Control fiscal</w:t>
      </w:r>
      <w:r w:rsidRPr="007116A5">
        <w:rPr>
          <w:rFonts w:ascii="Times New Roman" w:eastAsia="Times New Roman" w:hAnsi="Times New Roman" w:cs="Times New Roman"/>
          <w:sz w:val="28"/>
          <w:szCs w:val="28"/>
          <w:lang w:eastAsia="x-none"/>
        </w:rPr>
        <w:t xml:space="preserve"> – verificarea corectitudinii cu care contribuabilul execută </w:t>
      </w:r>
      <w:proofErr w:type="spellStart"/>
      <w:r w:rsidRPr="007116A5">
        <w:rPr>
          <w:rFonts w:ascii="Times New Roman" w:eastAsia="Times New Roman" w:hAnsi="Times New Roman" w:cs="Times New Roman"/>
          <w:sz w:val="28"/>
          <w:szCs w:val="28"/>
          <w:lang w:eastAsia="x-none"/>
        </w:rPr>
        <w:t>obligaţia</w:t>
      </w:r>
      <w:proofErr w:type="spellEnd"/>
      <w:r w:rsidRPr="007116A5">
        <w:rPr>
          <w:rFonts w:ascii="Times New Roman" w:eastAsia="Times New Roman" w:hAnsi="Times New Roman" w:cs="Times New Roman"/>
          <w:sz w:val="28"/>
          <w:szCs w:val="28"/>
          <w:lang w:eastAsia="x-none"/>
        </w:rPr>
        <w:t xml:space="preserve"> fiscală </w:t>
      </w:r>
      <w:proofErr w:type="spellStart"/>
      <w:r w:rsidRPr="007116A5">
        <w:rPr>
          <w:rFonts w:ascii="Times New Roman" w:eastAsia="Times New Roman" w:hAnsi="Times New Roman" w:cs="Times New Roman"/>
          <w:sz w:val="28"/>
          <w:szCs w:val="28"/>
          <w:lang w:eastAsia="x-none"/>
        </w:rPr>
        <w:t>şi</w:t>
      </w:r>
      <w:proofErr w:type="spellEnd"/>
      <w:r w:rsidRPr="007116A5">
        <w:rPr>
          <w:rFonts w:ascii="Times New Roman" w:eastAsia="Times New Roman" w:hAnsi="Times New Roman" w:cs="Times New Roman"/>
          <w:sz w:val="28"/>
          <w:szCs w:val="28"/>
          <w:lang w:eastAsia="x-none"/>
        </w:rPr>
        <w:t xml:space="preserve"> alte </w:t>
      </w:r>
      <w:proofErr w:type="spellStart"/>
      <w:r w:rsidRPr="007116A5">
        <w:rPr>
          <w:rFonts w:ascii="Times New Roman" w:eastAsia="Times New Roman" w:hAnsi="Times New Roman" w:cs="Times New Roman"/>
          <w:sz w:val="28"/>
          <w:szCs w:val="28"/>
          <w:lang w:eastAsia="x-none"/>
        </w:rPr>
        <w:t>obligaţii</w:t>
      </w:r>
      <w:proofErr w:type="spellEnd"/>
      <w:r w:rsidRPr="007116A5">
        <w:rPr>
          <w:rFonts w:ascii="Times New Roman" w:eastAsia="Times New Roman" w:hAnsi="Times New Roman" w:cs="Times New Roman"/>
          <w:sz w:val="28"/>
          <w:szCs w:val="28"/>
          <w:lang w:eastAsia="x-none"/>
        </w:rPr>
        <w:t xml:space="preserve"> prevăzute de </w:t>
      </w:r>
      <w:proofErr w:type="spellStart"/>
      <w:r w:rsidRPr="007116A5">
        <w:rPr>
          <w:rFonts w:ascii="Times New Roman" w:eastAsia="Times New Roman" w:hAnsi="Times New Roman" w:cs="Times New Roman"/>
          <w:sz w:val="28"/>
          <w:szCs w:val="28"/>
          <w:lang w:eastAsia="x-none"/>
        </w:rPr>
        <w:t>legislaţia</w:t>
      </w:r>
      <w:proofErr w:type="spellEnd"/>
      <w:r w:rsidRPr="007116A5">
        <w:rPr>
          <w:rFonts w:ascii="Times New Roman" w:eastAsia="Times New Roman" w:hAnsi="Times New Roman" w:cs="Times New Roman"/>
          <w:sz w:val="28"/>
          <w:szCs w:val="28"/>
          <w:lang w:eastAsia="x-none"/>
        </w:rPr>
        <w:t xml:space="preserve"> fiscală, inclusiv verificarea altor persoane sub aspectul legăturii lor cu activitatea contribuabilului</w:t>
      </w:r>
      <w:r w:rsidR="00E366DC">
        <w:rPr>
          <w:rFonts w:ascii="Times New Roman" w:eastAsia="Times New Roman" w:hAnsi="Times New Roman" w:cs="Times New Roman"/>
          <w:sz w:val="28"/>
          <w:szCs w:val="28"/>
          <w:lang w:eastAsia="x-none"/>
        </w:rPr>
        <w:t>,</w:t>
      </w:r>
      <w:r w:rsidRPr="007116A5">
        <w:rPr>
          <w:rFonts w:ascii="Times New Roman" w:eastAsia="Times New Roman" w:hAnsi="Times New Roman" w:cs="Times New Roman"/>
          <w:sz w:val="28"/>
          <w:szCs w:val="28"/>
          <w:lang w:eastAsia="x-none"/>
        </w:rPr>
        <w:t xml:space="preserve"> prin metode, forme </w:t>
      </w:r>
      <w:proofErr w:type="spellStart"/>
      <w:r w:rsidRPr="007116A5">
        <w:rPr>
          <w:rFonts w:ascii="Times New Roman" w:eastAsia="Times New Roman" w:hAnsi="Times New Roman" w:cs="Times New Roman"/>
          <w:sz w:val="28"/>
          <w:szCs w:val="28"/>
          <w:lang w:eastAsia="x-none"/>
        </w:rPr>
        <w:t>şi</w:t>
      </w:r>
      <w:proofErr w:type="spellEnd"/>
      <w:r w:rsidRPr="007116A5">
        <w:rPr>
          <w:rFonts w:ascii="Times New Roman" w:eastAsia="Times New Roman" w:hAnsi="Times New Roman" w:cs="Times New Roman"/>
          <w:sz w:val="28"/>
          <w:szCs w:val="28"/>
          <w:lang w:eastAsia="x-none"/>
        </w:rPr>
        <w:t xml:space="preserve"> </w:t>
      </w:r>
      <w:proofErr w:type="spellStart"/>
      <w:r w:rsidRPr="007116A5">
        <w:rPr>
          <w:rFonts w:ascii="Times New Roman" w:eastAsia="Times New Roman" w:hAnsi="Times New Roman" w:cs="Times New Roman"/>
          <w:sz w:val="28"/>
          <w:szCs w:val="28"/>
          <w:lang w:eastAsia="x-none"/>
        </w:rPr>
        <w:t>operaţiuni</w:t>
      </w:r>
      <w:proofErr w:type="spellEnd"/>
      <w:r w:rsidRPr="007116A5">
        <w:rPr>
          <w:rFonts w:ascii="Times New Roman" w:eastAsia="Times New Roman" w:hAnsi="Times New Roman" w:cs="Times New Roman"/>
          <w:sz w:val="28"/>
          <w:szCs w:val="28"/>
          <w:lang w:eastAsia="x-none"/>
        </w:rPr>
        <w:t xml:space="preserve"> prevăzute de Codul fiscal.</w:t>
      </w:r>
    </w:p>
    <w:p w:rsidR="00F73A0A" w:rsidRPr="00EA587E" w:rsidRDefault="00F73A0A" w:rsidP="00EA587E">
      <w:pPr>
        <w:spacing w:after="0" w:line="276" w:lineRule="auto"/>
        <w:ind w:firstLine="720"/>
        <w:jc w:val="both"/>
        <w:rPr>
          <w:rFonts w:ascii="Times New Roman" w:eastAsia="Times New Roman" w:hAnsi="Times New Roman" w:cs="Times New Roman"/>
          <w:sz w:val="28"/>
          <w:szCs w:val="28"/>
          <w:lang w:eastAsia="x-none"/>
        </w:rPr>
      </w:pPr>
      <w:r w:rsidRPr="007116A5">
        <w:rPr>
          <w:rFonts w:ascii="Times New Roman" w:hAnsi="Times New Roman" w:cs="Times New Roman"/>
          <w:b/>
          <w:sz w:val="28"/>
          <w:szCs w:val="28"/>
        </w:rPr>
        <w:t>Control vamal</w:t>
      </w:r>
      <w:r w:rsidRPr="007116A5">
        <w:rPr>
          <w:rFonts w:ascii="Times New Roman" w:hAnsi="Times New Roman" w:cs="Times New Roman"/>
          <w:sz w:val="28"/>
          <w:szCs w:val="28"/>
        </w:rPr>
        <w:t xml:space="preserve"> – ansamblu de </w:t>
      </w:r>
      <w:proofErr w:type="spellStart"/>
      <w:r w:rsidRPr="007116A5">
        <w:rPr>
          <w:rFonts w:ascii="Times New Roman" w:hAnsi="Times New Roman" w:cs="Times New Roman"/>
          <w:sz w:val="28"/>
          <w:szCs w:val="28"/>
        </w:rPr>
        <w:t>acţiuni</w:t>
      </w:r>
      <w:proofErr w:type="spellEnd"/>
      <w:r w:rsidRPr="007116A5">
        <w:rPr>
          <w:rFonts w:ascii="Times New Roman" w:hAnsi="Times New Roman" w:cs="Times New Roman"/>
          <w:sz w:val="28"/>
          <w:szCs w:val="28"/>
        </w:rPr>
        <w:t xml:space="preserve"> întreprinse de organele vamale pentru aplicarea </w:t>
      </w:r>
      <w:proofErr w:type="spellStart"/>
      <w:r w:rsidRPr="007116A5">
        <w:rPr>
          <w:rFonts w:ascii="Times New Roman" w:hAnsi="Times New Roman" w:cs="Times New Roman"/>
          <w:sz w:val="28"/>
          <w:szCs w:val="28"/>
        </w:rPr>
        <w:t>şi</w:t>
      </w:r>
      <w:proofErr w:type="spellEnd"/>
      <w:r w:rsidRPr="007116A5">
        <w:rPr>
          <w:rFonts w:ascii="Times New Roman" w:hAnsi="Times New Roman" w:cs="Times New Roman"/>
          <w:sz w:val="28"/>
          <w:szCs w:val="28"/>
        </w:rPr>
        <w:t xml:space="preserve"> respectarea legilor </w:t>
      </w:r>
      <w:proofErr w:type="spellStart"/>
      <w:r w:rsidRPr="007116A5">
        <w:rPr>
          <w:rFonts w:ascii="Times New Roman" w:hAnsi="Times New Roman" w:cs="Times New Roman"/>
          <w:sz w:val="28"/>
          <w:szCs w:val="28"/>
        </w:rPr>
        <w:t>şi</w:t>
      </w:r>
      <w:proofErr w:type="spellEnd"/>
      <w:r w:rsidRPr="007116A5">
        <w:rPr>
          <w:rFonts w:ascii="Times New Roman" w:hAnsi="Times New Roman" w:cs="Times New Roman"/>
          <w:sz w:val="28"/>
          <w:szCs w:val="28"/>
        </w:rPr>
        <w:t xml:space="preserve"> a reglementărilor pe care organele vamale au sarcina să le aplice.</w:t>
      </w:r>
    </w:p>
    <w:p w:rsidR="0090620C" w:rsidRDefault="0090620C" w:rsidP="007116A5">
      <w:pPr>
        <w:spacing w:after="0" w:line="276" w:lineRule="auto"/>
        <w:ind w:firstLine="720"/>
        <w:jc w:val="both"/>
        <w:rPr>
          <w:rFonts w:ascii="Times New Roman" w:hAnsi="Times New Roman" w:cs="Times New Roman"/>
          <w:color w:val="000000"/>
          <w:sz w:val="28"/>
          <w:szCs w:val="28"/>
        </w:rPr>
      </w:pPr>
      <w:r w:rsidRPr="007116A5">
        <w:rPr>
          <w:rFonts w:ascii="Times New Roman" w:hAnsi="Times New Roman" w:cs="Times New Roman"/>
          <w:b/>
          <w:sz w:val="28"/>
          <w:szCs w:val="28"/>
        </w:rPr>
        <w:t>Analiza riscurilor</w:t>
      </w:r>
      <w:r w:rsidRPr="007116A5">
        <w:rPr>
          <w:rFonts w:ascii="Times New Roman" w:hAnsi="Times New Roman" w:cs="Times New Roman"/>
          <w:sz w:val="28"/>
          <w:szCs w:val="28"/>
        </w:rPr>
        <w:t xml:space="preserve"> – utilizarea sistematică a informațiilor disponibile pentru a determina cauzele și condițiile apariției riscurilor</w:t>
      </w:r>
      <w:r w:rsidRPr="00F73A0A">
        <w:rPr>
          <w:rFonts w:ascii="Times New Roman" w:hAnsi="Times New Roman" w:cs="Times New Roman"/>
          <w:color w:val="000000"/>
          <w:sz w:val="28"/>
          <w:szCs w:val="28"/>
        </w:rPr>
        <w:t xml:space="preserve">, identificarea lor, evaluarea </w:t>
      </w:r>
      <w:r>
        <w:rPr>
          <w:rFonts w:ascii="Times New Roman" w:hAnsi="Times New Roman" w:cs="Times New Roman"/>
          <w:color w:val="000000"/>
          <w:sz w:val="28"/>
          <w:szCs w:val="28"/>
        </w:rPr>
        <w:t>frecvenței și gravitatea impactului acestora.</w:t>
      </w:r>
    </w:p>
    <w:p w:rsidR="00F73A0A" w:rsidRPr="00F73A0A" w:rsidRDefault="00F73A0A" w:rsidP="00300711">
      <w:pPr>
        <w:spacing w:after="0" w:line="276" w:lineRule="auto"/>
        <w:ind w:firstLine="720"/>
        <w:jc w:val="both"/>
        <w:rPr>
          <w:rFonts w:ascii="Times New Roman" w:hAnsi="Times New Roman" w:cs="Times New Roman"/>
          <w:color w:val="000000"/>
          <w:sz w:val="28"/>
          <w:szCs w:val="28"/>
        </w:rPr>
      </w:pPr>
      <w:r w:rsidRPr="00F73A0A">
        <w:rPr>
          <w:rFonts w:ascii="Times New Roman" w:hAnsi="Times New Roman" w:cs="Times New Roman"/>
          <w:b/>
          <w:iCs/>
          <w:color w:val="000000"/>
          <w:sz w:val="28"/>
          <w:szCs w:val="28"/>
        </w:rPr>
        <w:t>Control ulterior</w:t>
      </w:r>
      <w:r w:rsidRPr="00F73A0A">
        <w:rPr>
          <w:rFonts w:ascii="Times New Roman" w:hAnsi="Times New Roman" w:cs="Times New Roman"/>
          <w:color w:val="000000"/>
          <w:sz w:val="28"/>
          <w:szCs w:val="28"/>
        </w:rPr>
        <w:t xml:space="preserve"> – verificarea </w:t>
      </w:r>
      <w:proofErr w:type="spellStart"/>
      <w:r w:rsidRPr="00F73A0A">
        <w:rPr>
          <w:rFonts w:ascii="Times New Roman" w:hAnsi="Times New Roman" w:cs="Times New Roman"/>
          <w:color w:val="000000"/>
          <w:sz w:val="28"/>
          <w:szCs w:val="28"/>
        </w:rPr>
        <w:t>informaţiilor</w:t>
      </w:r>
      <w:proofErr w:type="spellEnd"/>
      <w:r w:rsidRPr="00F73A0A">
        <w:rPr>
          <w:rFonts w:ascii="Times New Roman" w:hAnsi="Times New Roman" w:cs="Times New Roman"/>
          <w:color w:val="000000"/>
          <w:sz w:val="28"/>
          <w:szCs w:val="28"/>
        </w:rPr>
        <w:t xml:space="preserve"> din </w:t>
      </w:r>
      <w:proofErr w:type="spellStart"/>
      <w:r w:rsidRPr="00F73A0A">
        <w:rPr>
          <w:rFonts w:ascii="Times New Roman" w:hAnsi="Times New Roman" w:cs="Times New Roman"/>
          <w:color w:val="000000"/>
          <w:sz w:val="28"/>
          <w:szCs w:val="28"/>
        </w:rPr>
        <w:t>declaraţia</w:t>
      </w:r>
      <w:proofErr w:type="spellEnd"/>
      <w:r w:rsidRPr="00F73A0A">
        <w:rPr>
          <w:rFonts w:ascii="Times New Roman" w:hAnsi="Times New Roman" w:cs="Times New Roman"/>
          <w:color w:val="000000"/>
          <w:sz w:val="28"/>
          <w:szCs w:val="28"/>
        </w:rPr>
        <w:t xml:space="preserve"> vamală </w:t>
      </w:r>
      <w:proofErr w:type="spellStart"/>
      <w:r w:rsidRPr="00F73A0A">
        <w:rPr>
          <w:rFonts w:ascii="Times New Roman" w:hAnsi="Times New Roman" w:cs="Times New Roman"/>
          <w:color w:val="000000"/>
          <w:sz w:val="28"/>
          <w:szCs w:val="28"/>
        </w:rPr>
        <w:t>şi</w:t>
      </w:r>
      <w:proofErr w:type="spellEnd"/>
      <w:r w:rsidRPr="00F73A0A">
        <w:rPr>
          <w:rFonts w:ascii="Times New Roman" w:hAnsi="Times New Roman" w:cs="Times New Roman"/>
          <w:color w:val="000000"/>
          <w:sz w:val="28"/>
          <w:szCs w:val="28"/>
        </w:rPr>
        <w:t xml:space="preserve"> din documentele </w:t>
      </w:r>
      <w:proofErr w:type="spellStart"/>
      <w:r w:rsidRPr="00F73A0A">
        <w:rPr>
          <w:rFonts w:ascii="Times New Roman" w:hAnsi="Times New Roman" w:cs="Times New Roman"/>
          <w:color w:val="000000"/>
          <w:sz w:val="28"/>
          <w:szCs w:val="28"/>
        </w:rPr>
        <w:t>însoţitoare</w:t>
      </w:r>
      <w:proofErr w:type="spellEnd"/>
      <w:r w:rsidRPr="00F73A0A">
        <w:rPr>
          <w:rFonts w:ascii="Times New Roman" w:hAnsi="Times New Roman" w:cs="Times New Roman"/>
          <w:color w:val="000000"/>
          <w:sz w:val="28"/>
          <w:szCs w:val="28"/>
        </w:rPr>
        <w:t xml:space="preserve">, verificarea </w:t>
      </w:r>
      <w:proofErr w:type="spellStart"/>
      <w:r w:rsidRPr="00F73A0A">
        <w:rPr>
          <w:rFonts w:ascii="Times New Roman" w:hAnsi="Times New Roman" w:cs="Times New Roman"/>
          <w:color w:val="000000"/>
          <w:sz w:val="28"/>
          <w:szCs w:val="28"/>
        </w:rPr>
        <w:t>existenţei</w:t>
      </w:r>
      <w:proofErr w:type="spellEnd"/>
      <w:r w:rsidRPr="00F73A0A">
        <w:rPr>
          <w:rFonts w:ascii="Times New Roman" w:hAnsi="Times New Roman" w:cs="Times New Roman"/>
          <w:color w:val="000000"/>
          <w:sz w:val="28"/>
          <w:szCs w:val="28"/>
        </w:rPr>
        <w:t xml:space="preserve"> </w:t>
      </w:r>
      <w:proofErr w:type="spellStart"/>
      <w:r w:rsidRPr="00F73A0A">
        <w:rPr>
          <w:rFonts w:ascii="Times New Roman" w:hAnsi="Times New Roman" w:cs="Times New Roman"/>
          <w:color w:val="000000"/>
          <w:sz w:val="28"/>
          <w:szCs w:val="28"/>
        </w:rPr>
        <w:t>şi</w:t>
      </w:r>
      <w:proofErr w:type="spellEnd"/>
      <w:r w:rsidRPr="00F73A0A">
        <w:rPr>
          <w:rFonts w:ascii="Times New Roman" w:hAnsi="Times New Roman" w:cs="Times New Roman"/>
          <w:color w:val="000000"/>
          <w:sz w:val="28"/>
          <w:szCs w:val="28"/>
        </w:rPr>
        <w:t xml:space="preserve"> conformității documentelor prevăzute pentru derularea unei </w:t>
      </w:r>
      <w:proofErr w:type="spellStart"/>
      <w:r w:rsidRPr="00F73A0A">
        <w:rPr>
          <w:rFonts w:ascii="Times New Roman" w:hAnsi="Times New Roman" w:cs="Times New Roman"/>
          <w:color w:val="000000"/>
          <w:sz w:val="28"/>
          <w:szCs w:val="28"/>
        </w:rPr>
        <w:t>destinaţii</w:t>
      </w:r>
      <w:proofErr w:type="spellEnd"/>
      <w:r w:rsidRPr="00F73A0A">
        <w:rPr>
          <w:rFonts w:ascii="Times New Roman" w:hAnsi="Times New Roman" w:cs="Times New Roman"/>
          <w:color w:val="000000"/>
          <w:sz w:val="28"/>
          <w:szCs w:val="28"/>
        </w:rPr>
        <w:t xml:space="preserve"> vamale sau regim vamal, examinarea </w:t>
      </w:r>
      <w:proofErr w:type="spellStart"/>
      <w:r w:rsidRPr="00F73A0A">
        <w:rPr>
          <w:rFonts w:ascii="Times New Roman" w:hAnsi="Times New Roman" w:cs="Times New Roman"/>
          <w:color w:val="000000"/>
          <w:sz w:val="28"/>
          <w:szCs w:val="28"/>
        </w:rPr>
        <w:t>contabilităţii</w:t>
      </w:r>
      <w:proofErr w:type="spellEnd"/>
      <w:r w:rsidRPr="00F73A0A">
        <w:rPr>
          <w:rFonts w:ascii="Times New Roman" w:hAnsi="Times New Roman" w:cs="Times New Roman"/>
          <w:color w:val="000000"/>
          <w:sz w:val="28"/>
          <w:szCs w:val="28"/>
        </w:rPr>
        <w:t xml:space="preserve"> </w:t>
      </w:r>
      <w:proofErr w:type="spellStart"/>
      <w:r w:rsidRPr="00F73A0A">
        <w:rPr>
          <w:rFonts w:ascii="Times New Roman" w:hAnsi="Times New Roman" w:cs="Times New Roman"/>
          <w:color w:val="000000"/>
          <w:sz w:val="28"/>
          <w:szCs w:val="28"/>
        </w:rPr>
        <w:t>şi</w:t>
      </w:r>
      <w:proofErr w:type="spellEnd"/>
      <w:r w:rsidRPr="00F73A0A">
        <w:rPr>
          <w:rFonts w:ascii="Times New Roman" w:hAnsi="Times New Roman" w:cs="Times New Roman"/>
          <w:color w:val="000000"/>
          <w:sz w:val="28"/>
          <w:szCs w:val="28"/>
        </w:rPr>
        <w:t xml:space="preserve"> a tuturor documentelor </w:t>
      </w:r>
      <w:proofErr w:type="spellStart"/>
      <w:r w:rsidRPr="00F73A0A">
        <w:rPr>
          <w:rFonts w:ascii="Times New Roman" w:hAnsi="Times New Roman" w:cs="Times New Roman"/>
          <w:color w:val="000000"/>
          <w:sz w:val="28"/>
          <w:szCs w:val="28"/>
        </w:rPr>
        <w:t>şi</w:t>
      </w:r>
      <w:proofErr w:type="spellEnd"/>
      <w:r w:rsidRPr="00F73A0A">
        <w:rPr>
          <w:rFonts w:ascii="Times New Roman" w:hAnsi="Times New Roman" w:cs="Times New Roman"/>
          <w:color w:val="000000"/>
          <w:sz w:val="28"/>
          <w:szCs w:val="28"/>
        </w:rPr>
        <w:t xml:space="preserve"> datelor sub orice formă, inclusiv computerizată, care se raportează la </w:t>
      </w:r>
      <w:proofErr w:type="spellStart"/>
      <w:r w:rsidRPr="00F73A0A">
        <w:rPr>
          <w:rFonts w:ascii="Times New Roman" w:hAnsi="Times New Roman" w:cs="Times New Roman"/>
          <w:color w:val="000000"/>
          <w:sz w:val="28"/>
          <w:szCs w:val="28"/>
        </w:rPr>
        <w:t>operaţiunile</w:t>
      </w:r>
      <w:proofErr w:type="spellEnd"/>
      <w:r w:rsidRPr="00F73A0A">
        <w:rPr>
          <w:rFonts w:ascii="Times New Roman" w:hAnsi="Times New Roman" w:cs="Times New Roman"/>
          <w:color w:val="000000"/>
          <w:sz w:val="28"/>
          <w:szCs w:val="28"/>
        </w:rPr>
        <w:t xml:space="preserve"> privind mărfurile</w:t>
      </w:r>
      <w:r w:rsidR="00CF4CF0">
        <w:rPr>
          <w:rFonts w:ascii="Times New Roman" w:hAnsi="Times New Roman" w:cs="Times New Roman"/>
          <w:color w:val="000000"/>
          <w:sz w:val="28"/>
          <w:szCs w:val="28"/>
        </w:rPr>
        <w:t xml:space="preserve"> </w:t>
      </w:r>
      <w:r w:rsidRPr="00F73A0A">
        <w:rPr>
          <w:rFonts w:ascii="Times New Roman" w:hAnsi="Times New Roman" w:cs="Times New Roman"/>
          <w:color w:val="000000"/>
          <w:sz w:val="28"/>
          <w:szCs w:val="28"/>
        </w:rPr>
        <w:t>provenite din comerțul internațional ori la alte operațiuni comerciale anterioare sau ulterioare</w:t>
      </w:r>
      <w:r w:rsidR="00CF4CF0">
        <w:rPr>
          <w:rFonts w:ascii="Times New Roman" w:hAnsi="Times New Roman" w:cs="Times New Roman"/>
          <w:color w:val="000000"/>
          <w:sz w:val="28"/>
          <w:szCs w:val="28"/>
        </w:rPr>
        <w:t xml:space="preserve"> </w:t>
      </w:r>
      <w:r w:rsidRPr="00F73A0A">
        <w:rPr>
          <w:rFonts w:ascii="Times New Roman" w:hAnsi="Times New Roman" w:cs="Times New Roman"/>
          <w:color w:val="000000"/>
          <w:sz w:val="28"/>
          <w:szCs w:val="28"/>
        </w:rPr>
        <w:t xml:space="preserve"> implic</w:t>
      </w:r>
      <w:r w:rsidR="00CF4CF0">
        <w:rPr>
          <w:rFonts w:ascii="Times New Roman" w:hAnsi="Times New Roman" w:cs="Times New Roman"/>
          <w:color w:val="000000"/>
          <w:sz w:val="28"/>
          <w:szCs w:val="28"/>
        </w:rPr>
        <w:t>â</w:t>
      </w:r>
      <w:r w:rsidRPr="00F73A0A">
        <w:rPr>
          <w:rFonts w:ascii="Times New Roman" w:hAnsi="Times New Roman" w:cs="Times New Roman"/>
          <w:color w:val="000000"/>
          <w:sz w:val="28"/>
          <w:szCs w:val="28"/>
        </w:rPr>
        <w:t xml:space="preserve">nd aceste </w:t>
      </w:r>
      <w:r w:rsidRPr="00CF4CF0">
        <w:rPr>
          <w:rFonts w:ascii="Times New Roman" w:hAnsi="Times New Roman" w:cs="Times New Roman"/>
          <w:color w:val="000000"/>
          <w:sz w:val="28"/>
          <w:szCs w:val="28"/>
        </w:rPr>
        <w:t>m</w:t>
      </w:r>
      <w:proofErr w:type="spellStart"/>
      <w:r w:rsidRPr="00236832">
        <w:rPr>
          <w:rFonts w:ascii="Times New Roman" w:hAnsi="Times New Roman" w:cs="Times New Roman"/>
          <w:color w:val="000000"/>
          <w:sz w:val="28"/>
          <w:szCs w:val="28"/>
          <w:lang w:val="en-US"/>
        </w:rPr>
        <w:t>ăr</w:t>
      </w:r>
      <w:proofErr w:type="spellEnd"/>
      <w:r w:rsidRPr="00CF4CF0">
        <w:rPr>
          <w:rFonts w:ascii="Times New Roman" w:hAnsi="Times New Roman" w:cs="Times New Roman"/>
          <w:color w:val="000000"/>
          <w:sz w:val="28"/>
          <w:szCs w:val="28"/>
        </w:rPr>
        <w:t>furi</w:t>
      </w:r>
      <w:r w:rsidRPr="00F73A0A">
        <w:rPr>
          <w:rFonts w:ascii="Times New Roman" w:hAnsi="Times New Roman" w:cs="Times New Roman"/>
          <w:color w:val="000000"/>
          <w:sz w:val="28"/>
          <w:szCs w:val="28"/>
        </w:rPr>
        <w:t xml:space="preserve">, verificarea mărfurilor, în cazul în care acestea pot fi </w:t>
      </w:r>
      <w:r w:rsidR="00CF4CF0">
        <w:rPr>
          <w:rFonts w:ascii="Times New Roman" w:hAnsi="Times New Roman" w:cs="Times New Roman"/>
          <w:color w:val="000000"/>
          <w:sz w:val="28"/>
          <w:szCs w:val="28"/>
        </w:rPr>
        <w:t>identificate</w:t>
      </w:r>
      <w:r w:rsidRPr="00F73A0A">
        <w:rPr>
          <w:rFonts w:ascii="Times New Roman" w:hAnsi="Times New Roman" w:cs="Times New Roman"/>
          <w:color w:val="000000"/>
          <w:sz w:val="28"/>
          <w:szCs w:val="28"/>
        </w:rPr>
        <w:t>, a mijloacelor de transport, încăperilor și spațiilor de depozitare</w:t>
      </w:r>
      <w:r w:rsidR="00CF4CF0">
        <w:rPr>
          <w:rFonts w:ascii="Times New Roman" w:hAnsi="Times New Roman" w:cs="Times New Roman"/>
          <w:color w:val="000000"/>
          <w:sz w:val="28"/>
          <w:szCs w:val="28"/>
        </w:rPr>
        <w:t>.</w:t>
      </w:r>
    </w:p>
    <w:p w:rsidR="00F73A0A" w:rsidRPr="00F73A0A" w:rsidRDefault="00F73A0A" w:rsidP="00300711">
      <w:pPr>
        <w:spacing w:after="0" w:line="276" w:lineRule="auto"/>
        <w:ind w:firstLine="720"/>
        <w:jc w:val="both"/>
        <w:rPr>
          <w:rFonts w:ascii="Times New Roman" w:hAnsi="Times New Roman" w:cs="Times New Roman"/>
          <w:sz w:val="28"/>
          <w:szCs w:val="28"/>
        </w:rPr>
      </w:pPr>
      <w:r w:rsidRPr="00F73A0A">
        <w:rPr>
          <w:rFonts w:ascii="Times New Roman" w:hAnsi="Times New Roman" w:cs="Times New Roman"/>
          <w:b/>
          <w:sz w:val="28"/>
          <w:szCs w:val="28"/>
        </w:rPr>
        <w:t xml:space="preserve">Decalaj fiscal – </w:t>
      </w:r>
      <w:r w:rsidRPr="00F73A0A">
        <w:rPr>
          <w:rFonts w:ascii="Times New Roman" w:hAnsi="Times New Roman" w:cs="Times New Roman"/>
          <w:sz w:val="28"/>
          <w:szCs w:val="28"/>
        </w:rPr>
        <w:t>diferența dintre suma impozitelor și/sau taxelor datorate teoretic și suma impozitelor și/sau taxelor efectiv colectate pentru o anumită perioadă.</w:t>
      </w:r>
    </w:p>
    <w:p w:rsidR="00C767DB" w:rsidRDefault="00F73A0A" w:rsidP="00300711">
      <w:pPr>
        <w:spacing w:after="0" w:line="276" w:lineRule="auto"/>
        <w:ind w:firstLine="720"/>
        <w:jc w:val="both"/>
        <w:rPr>
          <w:rFonts w:ascii="Times New Roman" w:hAnsi="Times New Roman" w:cs="Times New Roman"/>
          <w:sz w:val="28"/>
          <w:szCs w:val="28"/>
        </w:rPr>
      </w:pPr>
      <w:r w:rsidRPr="00F73A0A">
        <w:rPr>
          <w:rFonts w:ascii="Times New Roman" w:hAnsi="Times New Roman" w:cs="Times New Roman"/>
          <w:b/>
          <w:sz w:val="28"/>
          <w:szCs w:val="28"/>
        </w:rPr>
        <w:t>Impozit</w:t>
      </w:r>
      <w:r w:rsidR="0058797F">
        <w:rPr>
          <w:rFonts w:ascii="Times New Roman" w:hAnsi="Times New Roman" w:cs="Times New Roman"/>
          <w:b/>
          <w:sz w:val="28"/>
          <w:szCs w:val="28"/>
        </w:rPr>
        <w:t>/</w:t>
      </w:r>
      <w:r w:rsidRPr="00F73A0A">
        <w:rPr>
          <w:rFonts w:ascii="Times New Roman" w:hAnsi="Times New Roman" w:cs="Times New Roman"/>
          <w:b/>
          <w:sz w:val="28"/>
          <w:szCs w:val="28"/>
        </w:rPr>
        <w:t>taxă datorat</w:t>
      </w:r>
      <w:r w:rsidR="0058797F">
        <w:rPr>
          <w:rFonts w:ascii="Times New Roman" w:hAnsi="Times New Roman" w:cs="Times New Roman"/>
          <w:b/>
          <w:sz w:val="28"/>
          <w:szCs w:val="28"/>
        </w:rPr>
        <w:t>ă</w:t>
      </w:r>
      <w:r w:rsidRPr="00F73A0A">
        <w:rPr>
          <w:rFonts w:ascii="Times New Roman" w:hAnsi="Times New Roman" w:cs="Times New Roman"/>
          <w:b/>
          <w:sz w:val="28"/>
          <w:szCs w:val="28"/>
        </w:rPr>
        <w:t xml:space="preserve"> teoretic</w:t>
      </w:r>
      <w:r w:rsidRPr="00F73A0A">
        <w:rPr>
          <w:rFonts w:ascii="Times New Roman" w:hAnsi="Times New Roman" w:cs="Times New Roman"/>
          <w:sz w:val="28"/>
          <w:szCs w:val="28"/>
        </w:rPr>
        <w:t xml:space="preserve"> – valoarea impozabilă a venitului, costurile intermediare sau altă bază de evaluare înmulțită cu rata de impozitare aplicabilă pentru fiecare unitate a unei astfel de valori.</w:t>
      </w:r>
    </w:p>
    <w:p w:rsidR="00C767DB" w:rsidRDefault="00C767DB" w:rsidP="00300711">
      <w:pPr>
        <w:spacing w:after="0" w:line="276" w:lineRule="auto"/>
        <w:ind w:firstLine="720"/>
        <w:jc w:val="both"/>
        <w:rPr>
          <w:rFonts w:ascii="Times New Roman" w:hAnsi="Times New Roman" w:cs="Times New Roman"/>
          <w:color w:val="000000"/>
          <w:sz w:val="28"/>
          <w:szCs w:val="28"/>
        </w:rPr>
      </w:pPr>
      <w:r w:rsidRPr="001D67FA">
        <w:rPr>
          <w:rFonts w:ascii="Times New Roman" w:eastAsia="Times New Roman" w:hAnsi="Times New Roman" w:cs="Times New Roman"/>
          <w:b/>
          <w:iCs/>
          <w:sz w:val="28"/>
          <w:szCs w:val="28"/>
          <w:lang w:eastAsia="x-none"/>
        </w:rPr>
        <w:t xml:space="preserve">Executare silită a </w:t>
      </w:r>
      <w:proofErr w:type="spellStart"/>
      <w:r w:rsidRPr="001D67FA">
        <w:rPr>
          <w:rFonts w:ascii="Times New Roman" w:eastAsia="Times New Roman" w:hAnsi="Times New Roman" w:cs="Times New Roman"/>
          <w:b/>
          <w:iCs/>
          <w:sz w:val="28"/>
          <w:szCs w:val="28"/>
          <w:lang w:eastAsia="x-none"/>
        </w:rPr>
        <w:t>obligaţiei</w:t>
      </w:r>
      <w:proofErr w:type="spellEnd"/>
      <w:r w:rsidRPr="001D67FA">
        <w:rPr>
          <w:rFonts w:ascii="Times New Roman" w:eastAsia="Times New Roman" w:hAnsi="Times New Roman" w:cs="Times New Roman"/>
          <w:b/>
          <w:iCs/>
          <w:sz w:val="28"/>
          <w:szCs w:val="28"/>
          <w:lang w:eastAsia="x-none"/>
        </w:rPr>
        <w:t xml:space="preserve"> fiscale</w:t>
      </w:r>
      <w:r>
        <w:rPr>
          <w:rFonts w:ascii="Times New Roman" w:eastAsia="Times New Roman" w:hAnsi="Times New Roman" w:cs="Times New Roman"/>
          <w:b/>
          <w:iCs/>
          <w:sz w:val="28"/>
          <w:szCs w:val="28"/>
          <w:lang w:eastAsia="x-none"/>
        </w:rPr>
        <w:t xml:space="preserve"> și vamale</w:t>
      </w:r>
      <w:r w:rsidRPr="001D67FA">
        <w:rPr>
          <w:rFonts w:ascii="Times New Roman" w:eastAsia="Times New Roman" w:hAnsi="Times New Roman" w:cs="Times New Roman"/>
          <w:sz w:val="28"/>
          <w:szCs w:val="28"/>
          <w:lang w:eastAsia="x-none"/>
        </w:rPr>
        <w:t xml:space="preserve"> – </w:t>
      </w:r>
      <w:proofErr w:type="spellStart"/>
      <w:r w:rsidRPr="001D67FA">
        <w:rPr>
          <w:rFonts w:ascii="Times New Roman" w:eastAsia="Times New Roman" w:hAnsi="Times New Roman" w:cs="Times New Roman"/>
          <w:sz w:val="28"/>
          <w:szCs w:val="28"/>
          <w:lang w:eastAsia="x-none"/>
        </w:rPr>
        <w:t>acţiuni</w:t>
      </w:r>
      <w:proofErr w:type="spellEnd"/>
      <w:r w:rsidRPr="001D67FA">
        <w:rPr>
          <w:rFonts w:ascii="Times New Roman" w:eastAsia="Times New Roman" w:hAnsi="Times New Roman" w:cs="Times New Roman"/>
          <w:sz w:val="28"/>
          <w:szCs w:val="28"/>
          <w:lang w:eastAsia="x-none"/>
        </w:rPr>
        <w:t xml:space="preserve"> întreprinse de </w:t>
      </w:r>
      <w:r w:rsidRPr="001D67FA">
        <w:rPr>
          <w:rFonts w:ascii="Times New Roman" w:eastAsia="Times New Roman" w:hAnsi="Times New Roman" w:cs="Times New Roman"/>
          <w:sz w:val="28"/>
          <w:szCs w:val="28"/>
          <w:lang w:val="x-none" w:eastAsia="x-none"/>
        </w:rPr>
        <w:t>S</w:t>
      </w:r>
      <w:r w:rsidR="0014303B">
        <w:rPr>
          <w:rFonts w:ascii="Times New Roman" w:eastAsia="Times New Roman" w:hAnsi="Times New Roman" w:cs="Times New Roman"/>
          <w:sz w:val="28"/>
          <w:szCs w:val="28"/>
          <w:lang w:val="ro-MD" w:eastAsia="x-none"/>
        </w:rPr>
        <w:t>FS și SV</w:t>
      </w:r>
      <w:r w:rsidRPr="001D67FA">
        <w:rPr>
          <w:rFonts w:ascii="Times New Roman" w:eastAsia="Times New Roman" w:hAnsi="Times New Roman" w:cs="Times New Roman"/>
          <w:sz w:val="28"/>
          <w:szCs w:val="28"/>
          <w:lang w:eastAsia="x-none"/>
        </w:rPr>
        <w:t xml:space="preserve"> pentru perceperea </w:t>
      </w:r>
      <w:proofErr w:type="spellStart"/>
      <w:r w:rsidRPr="001D67FA">
        <w:rPr>
          <w:rFonts w:ascii="Times New Roman" w:eastAsia="Times New Roman" w:hAnsi="Times New Roman" w:cs="Times New Roman"/>
          <w:sz w:val="28"/>
          <w:szCs w:val="28"/>
          <w:lang w:eastAsia="x-none"/>
        </w:rPr>
        <w:t>forţată</w:t>
      </w:r>
      <w:proofErr w:type="spellEnd"/>
      <w:r w:rsidRPr="001D67FA">
        <w:rPr>
          <w:rFonts w:ascii="Times New Roman" w:eastAsia="Times New Roman" w:hAnsi="Times New Roman" w:cs="Times New Roman"/>
          <w:sz w:val="28"/>
          <w:szCs w:val="28"/>
          <w:lang w:eastAsia="x-none"/>
        </w:rPr>
        <w:t xml:space="preserve"> a </w:t>
      </w:r>
      <w:proofErr w:type="spellStart"/>
      <w:r w:rsidRPr="001D67FA">
        <w:rPr>
          <w:rFonts w:ascii="Times New Roman" w:eastAsia="Times New Roman" w:hAnsi="Times New Roman" w:cs="Times New Roman"/>
          <w:sz w:val="28"/>
          <w:szCs w:val="28"/>
          <w:lang w:eastAsia="x-none"/>
        </w:rPr>
        <w:t>restanţei</w:t>
      </w:r>
      <w:proofErr w:type="spellEnd"/>
      <w:r w:rsidR="0014303B">
        <w:rPr>
          <w:rFonts w:ascii="Times New Roman" w:eastAsia="Times New Roman" w:hAnsi="Times New Roman" w:cs="Times New Roman"/>
          <w:sz w:val="28"/>
          <w:szCs w:val="28"/>
          <w:lang w:eastAsia="x-none"/>
        </w:rPr>
        <w:t>/</w:t>
      </w:r>
      <w:proofErr w:type="spellStart"/>
      <w:r w:rsidR="0014303B" w:rsidRPr="00F73A0A">
        <w:rPr>
          <w:rFonts w:ascii="Times New Roman" w:hAnsi="Times New Roman" w:cs="Times New Roman"/>
          <w:color w:val="000000"/>
          <w:sz w:val="28"/>
          <w:szCs w:val="28"/>
        </w:rPr>
        <w:t>oblig</w:t>
      </w:r>
      <w:r w:rsidR="0014303B">
        <w:rPr>
          <w:rFonts w:ascii="Times New Roman" w:hAnsi="Times New Roman" w:cs="Times New Roman"/>
          <w:color w:val="000000"/>
          <w:sz w:val="28"/>
          <w:szCs w:val="28"/>
        </w:rPr>
        <w:t>aţiei</w:t>
      </w:r>
      <w:proofErr w:type="spellEnd"/>
      <w:r w:rsidR="0014303B">
        <w:rPr>
          <w:rFonts w:ascii="Times New Roman" w:hAnsi="Times New Roman" w:cs="Times New Roman"/>
          <w:color w:val="000000"/>
          <w:sz w:val="28"/>
          <w:szCs w:val="28"/>
        </w:rPr>
        <w:t xml:space="preserve"> vamale ajunsă la </w:t>
      </w:r>
      <w:proofErr w:type="spellStart"/>
      <w:r w:rsidR="0014303B">
        <w:rPr>
          <w:rFonts w:ascii="Times New Roman" w:hAnsi="Times New Roman" w:cs="Times New Roman"/>
          <w:color w:val="000000"/>
          <w:sz w:val="28"/>
          <w:szCs w:val="28"/>
        </w:rPr>
        <w:t>scadenţă</w:t>
      </w:r>
      <w:proofErr w:type="spellEnd"/>
      <w:r w:rsidR="0014303B">
        <w:rPr>
          <w:rFonts w:ascii="Times New Roman" w:hAnsi="Times New Roman" w:cs="Times New Roman"/>
          <w:color w:val="000000"/>
          <w:sz w:val="28"/>
          <w:szCs w:val="28"/>
        </w:rPr>
        <w:t>.</w:t>
      </w:r>
    </w:p>
    <w:p w:rsidR="00971632" w:rsidRPr="00DA1154" w:rsidRDefault="0014303B" w:rsidP="00300711">
      <w:pPr>
        <w:spacing w:after="0" w:line="276" w:lineRule="auto"/>
        <w:ind w:firstLine="720"/>
        <w:jc w:val="both"/>
        <w:rPr>
          <w:rFonts w:ascii="Times New Roman" w:hAnsi="Times New Roman" w:cs="Times New Roman"/>
          <w:color w:val="000000"/>
          <w:sz w:val="28"/>
          <w:szCs w:val="28"/>
        </w:rPr>
      </w:pPr>
      <w:r w:rsidRPr="00DA1154">
        <w:rPr>
          <w:rFonts w:ascii="Times New Roman" w:hAnsi="Times New Roman" w:cs="Times New Roman"/>
          <w:b/>
          <w:color w:val="000000"/>
          <w:sz w:val="28"/>
          <w:szCs w:val="28"/>
        </w:rPr>
        <w:t>Evaziune fiscală</w:t>
      </w:r>
      <w:r w:rsidRPr="00DA1154">
        <w:rPr>
          <w:rFonts w:ascii="Times New Roman" w:hAnsi="Times New Roman" w:cs="Times New Roman"/>
          <w:color w:val="000000"/>
          <w:sz w:val="28"/>
          <w:szCs w:val="28"/>
        </w:rPr>
        <w:t xml:space="preserve"> </w:t>
      </w:r>
      <w:r w:rsidRPr="005A5243">
        <w:rPr>
          <w:rFonts w:ascii="Times New Roman" w:eastAsia="Times New Roman" w:hAnsi="Times New Roman" w:cs="Times New Roman"/>
          <w:sz w:val="28"/>
          <w:szCs w:val="28"/>
          <w:lang w:eastAsia="x-none"/>
        </w:rPr>
        <w:t xml:space="preserve">– </w:t>
      </w:r>
      <w:r w:rsidR="00E15A52">
        <w:rPr>
          <w:rFonts w:ascii="Times New Roman" w:eastAsia="Times New Roman" w:hAnsi="Times New Roman" w:cs="Times New Roman"/>
          <w:sz w:val="28"/>
          <w:szCs w:val="28"/>
          <w:lang w:eastAsia="x-none"/>
        </w:rPr>
        <w:t xml:space="preserve">eschivarea </w:t>
      </w:r>
      <w:r w:rsidR="00DA1154" w:rsidRPr="00DA1154">
        <w:rPr>
          <w:rFonts w:ascii="Times New Roman" w:hAnsi="Times New Roman" w:cs="Times New Roman"/>
          <w:sz w:val="28"/>
          <w:szCs w:val="28"/>
        </w:rPr>
        <w:t>contribuabililor/plătitorilor vamali</w:t>
      </w:r>
      <w:r w:rsidR="00DA1154" w:rsidRPr="00DA1154">
        <w:rPr>
          <w:rFonts w:ascii="Times New Roman" w:hAnsi="Times New Roman" w:cs="Times New Roman"/>
          <w:color w:val="222222"/>
          <w:sz w:val="28"/>
          <w:szCs w:val="28"/>
          <w:shd w:val="clear" w:color="auto" w:fill="FFFFFF"/>
        </w:rPr>
        <w:t xml:space="preserve"> de la plata impozitelor, taxelor, contribuțiilor și a altor sume datorate bugetului,</w:t>
      </w:r>
      <w:r w:rsidR="00DA1154" w:rsidRPr="00DA1154">
        <w:rPr>
          <w:rFonts w:ascii="Times New Roman" w:hAnsi="Times New Roman" w:cs="Times New Roman"/>
          <w:sz w:val="28"/>
          <w:szCs w:val="28"/>
        </w:rPr>
        <w:t xml:space="preserve"> </w:t>
      </w:r>
      <w:r w:rsidRPr="00DA1154">
        <w:rPr>
          <w:rFonts w:ascii="Times New Roman" w:hAnsi="Times New Roman" w:cs="Times New Roman"/>
          <w:color w:val="000000"/>
          <w:sz w:val="28"/>
          <w:szCs w:val="28"/>
        </w:rPr>
        <w:t xml:space="preserve">prin includerea în documentele contabile, fiscale sau financiare a unor date denaturate privind veniturile sau cheltuielile, a unor cheltuieli care nu au la bază </w:t>
      </w:r>
      <w:proofErr w:type="spellStart"/>
      <w:r w:rsidRPr="00DA1154">
        <w:rPr>
          <w:rFonts w:ascii="Times New Roman" w:hAnsi="Times New Roman" w:cs="Times New Roman"/>
          <w:color w:val="000000"/>
          <w:sz w:val="28"/>
          <w:szCs w:val="28"/>
        </w:rPr>
        <w:t>operaţiuni</w:t>
      </w:r>
      <w:proofErr w:type="spellEnd"/>
      <w:r w:rsidRPr="00DA1154">
        <w:rPr>
          <w:rFonts w:ascii="Times New Roman" w:hAnsi="Times New Roman" w:cs="Times New Roman"/>
          <w:color w:val="000000"/>
          <w:sz w:val="28"/>
          <w:szCs w:val="28"/>
        </w:rPr>
        <w:t xml:space="preserve"> reale ori care au la bază </w:t>
      </w:r>
      <w:proofErr w:type="spellStart"/>
      <w:r w:rsidRPr="00DA1154">
        <w:rPr>
          <w:rFonts w:ascii="Times New Roman" w:hAnsi="Times New Roman" w:cs="Times New Roman"/>
          <w:color w:val="000000"/>
          <w:sz w:val="28"/>
          <w:szCs w:val="28"/>
        </w:rPr>
        <w:t>operaţiuni</w:t>
      </w:r>
      <w:proofErr w:type="spellEnd"/>
      <w:r w:rsidRPr="00DA1154">
        <w:rPr>
          <w:rFonts w:ascii="Times New Roman" w:hAnsi="Times New Roman" w:cs="Times New Roman"/>
          <w:color w:val="000000"/>
          <w:sz w:val="28"/>
          <w:szCs w:val="28"/>
        </w:rPr>
        <w:t xml:space="preserve"> ce nu au existat, fie prin tăinuirea unor </w:t>
      </w:r>
      <w:r w:rsidR="000857E7">
        <w:rPr>
          <w:rFonts w:ascii="Times New Roman" w:hAnsi="Times New Roman" w:cs="Times New Roman"/>
          <w:color w:val="000000"/>
          <w:sz w:val="28"/>
          <w:szCs w:val="28"/>
        </w:rPr>
        <w:t>obiecte impozabile.</w:t>
      </w:r>
    </w:p>
    <w:p w:rsidR="000A329C" w:rsidRPr="00300711" w:rsidRDefault="009F2555" w:rsidP="00417529">
      <w:pPr>
        <w:pStyle w:val="1"/>
        <w:spacing w:before="0" w:line="276" w:lineRule="auto"/>
        <w:ind w:right="-334"/>
        <w:jc w:val="center"/>
        <w:rPr>
          <w:rFonts w:ascii="Times New Roman" w:hAnsi="Times New Roman" w:cs="Times New Roman"/>
          <w:b/>
          <w:color w:val="auto"/>
        </w:rPr>
      </w:pPr>
      <w:bookmarkStart w:id="2" w:name="_Toc515894883"/>
      <w:bookmarkEnd w:id="1"/>
      <w:r w:rsidRPr="003C4B9E">
        <w:rPr>
          <w:rFonts w:ascii="Times New Roman" w:hAnsi="Times New Roman" w:cs="Times New Roman"/>
          <w:b/>
          <w:color w:val="auto"/>
        </w:rPr>
        <w:lastRenderedPageBreak/>
        <w:t>SINTEZA</w:t>
      </w:r>
      <w:bookmarkStart w:id="3" w:name="_Toc505603938"/>
      <w:bookmarkEnd w:id="2"/>
    </w:p>
    <w:p w:rsidR="006358AD" w:rsidRDefault="006358AD" w:rsidP="00DA1154">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color w:val="000000"/>
          <w:sz w:val="28"/>
          <w:szCs w:val="28"/>
          <w:lang w:bidi="en-US"/>
        </w:rPr>
        <w:t>Curtea de Conturi a efectuat</w:t>
      </w:r>
      <w:r w:rsidR="00236832">
        <w:rPr>
          <w:rFonts w:ascii="Times New Roman" w:hAnsi="Times New Roman" w:cs="Times New Roman"/>
          <w:color w:val="000000"/>
          <w:sz w:val="28"/>
          <w:szCs w:val="28"/>
          <w:lang w:bidi="en-US"/>
        </w:rPr>
        <w:t>,</w:t>
      </w:r>
      <w:r w:rsidRPr="001D0846">
        <w:rPr>
          <w:rFonts w:ascii="Times New Roman" w:hAnsi="Times New Roman" w:cs="Times New Roman"/>
          <w:color w:val="000000"/>
          <w:sz w:val="28"/>
          <w:szCs w:val="28"/>
          <w:lang w:bidi="en-US"/>
        </w:rPr>
        <w:t xml:space="preserve"> </w:t>
      </w:r>
      <w:r w:rsidRPr="001D0846">
        <w:rPr>
          <w:rFonts w:ascii="Times New Roman" w:hAnsi="Times New Roman" w:cs="Times New Roman"/>
          <w:noProof/>
          <w:sz w:val="28"/>
          <w:szCs w:val="28"/>
          <w:lang w:eastAsia="ru-RU"/>
        </w:rPr>
        <w:t xml:space="preserve">în conformitate cu </w:t>
      </w:r>
      <w:r w:rsidRPr="001D0846">
        <w:rPr>
          <w:rFonts w:ascii="Times New Roman" w:hAnsi="Times New Roman" w:cs="Times New Roman"/>
          <w:noProof/>
          <w:sz w:val="28"/>
          <w:szCs w:val="28"/>
        </w:rPr>
        <w:t xml:space="preserve">Programul activităţii de audit </w:t>
      </w:r>
      <w:r w:rsidRPr="001D0846">
        <w:rPr>
          <w:rFonts w:ascii="Times New Roman" w:hAnsi="Times New Roman" w:cs="Times New Roman"/>
          <w:sz w:val="28"/>
          <w:szCs w:val="28"/>
        </w:rPr>
        <w:t>pe anul 2017</w:t>
      </w:r>
      <w:r w:rsidRPr="001D0846">
        <w:rPr>
          <w:rStyle w:val="a6"/>
          <w:rFonts w:ascii="Times New Roman" w:hAnsi="Times New Roman" w:cs="Times New Roman"/>
          <w:sz w:val="28"/>
          <w:szCs w:val="28"/>
        </w:rPr>
        <w:footnoteReference w:id="1"/>
      </w:r>
      <w:r w:rsidR="00236832">
        <w:rPr>
          <w:rFonts w:ascii="Times New Roman" w:hAnsi="Times New Roman" w:cs="Times New Roman"/>
          <w:sz w:val="28"/>
          <w:szCs w:val="28"/>
        </w:rPr>
        <w:t>,</w:t>
      </w:r>
      <w:r w:rsidRPr="001D0846">
        <w:rPr>
          <w:rFonts w:ascii="Times New Roman" w:hAnsi="Times New Roman" w:cs="Times New Roman"/>
          <w:sz w:val="28"/>
          <w:szCs w:val="28"/>
        </w:rPr>
        <w:t xml:space="preserve"> </w:t>
      </w:r>
      <w:r w:rsidRPr="001D0846">
        <w:rPr>
          <w:rFonts w:ascii="Times New Roman" w:hAnsi="Times New Roman" w:cs="Times New Roman"/>
          <w:noProof/>
          <w:color w:val="000000"/>
          <w:sz w:val="28"/>
          <w:szCs w:val="28"/>
        </w:rPr>
        <w:t xml:space="preserve">auditul performanței </w:t>
      </w:r>
      <w:r w:rsidRPr="001D0846">
        <w:rPr>
          <w:rFonts w:ascii="Times New Roman" w:hAnsi="Times New Roman" w:cs="Times New Roman"/>
          <w:color w:val="000000"/>
          <w:sz w:val="28"/>
          <w:szCs w:val="28"/>
          <w:lang w:bidi="en-US"/>
        </w:rPr>
        <w:t>„</w:t>
      </w:r>
      <w:r w:rsidRPr="001D0846">
        <w:rPr>
          <w:rFonts w:ascii="Times New Roman" w:hAnsi="Times New Roman" w:cs="Times New Roman"/>
          <w:sz w:val="28"/>
          <w:szCs w:val="28"/>
        </w:rPr>
        <w:t xml:space="preserve">Funcționalitatea și </w:t>
      </w:r>
      <w:proofErr w:type="spellStart"/>
      <w:r w:rsidRPr="001D0846">
        <w:rPr>
          <w:rFonts w:ascii="Times New Roman" w:hAnsi="Times New Roman" w:cs="Times New Roman"/>
          <w:sz w:val="28"/>
          <w:szCs w:val="28"/>
        </w:rPr>
        <w:t>rezul</w:t>
      </w:r>
      <w:r w:rsidR="00DA1154">
        <w:rPr>
          <w:rFonts w:ascii="Times New Roman" w:hAnsi="Times New Roman" w:cs="Times New Roman"/>
          <w:sz w:val="28"/>
          <w:szCs w:val="28"/>
        </w:rPr>
        <w:t>tativitatea</w:t>
      </w:r>
      <w:proofErr w:type="spellEnd"/>
      <w:r w:rsidR="00DA1154">
        <w:rPr>
          <w:rFonts w:ascii="Times New Roman" w:hAnsi="Times New Roman" w:cs="Times New Roman"/>
          <w:sz w:val="28"/>
          <w:szCs w:val="28"/>
        </w:rPr>
        <w:t xml:space="preserve"> operațională aferente</w:t>
      </w:r>
      <w:r w:rsidR="007116A5">
        <w:rPr>
          <w:rFonts w:ascii="Times New Roman" w:hAnsi="Times New Roman" w:cs="Times New Roman"/>
          <w:sz w:val="28"/>
          <w:szCs w:val="28"/>
        </w:rPr>
        <w:t xml:space="preserve"> </w:t>
      </w:r>
      <w:r w:rsidRPr="001D0846">
        <w:rPr>
          <w:rFonts w:ascii="Times New Roman" w:hAnsi="Times New Roman" w:cs="Times New Roman"/>
          <w:sz w:val="28"/>
          <w:szCs w:val="28"/>
        </w:rPr>
        <w:t>administrării impozitelor și taxelor”, evaluând managementul și performanțele instituționale ale organelor fiscale și vamale în administrarea impozitelor și taxelor.</w:t>
      </w:r>
      <w:r w:rsidR="00E410DF" w:rsidRPr="001D0846">
        <w:rPr>
          <w:rFonts w:ascii="Times New Roman" w:hAnsi="Times New Roman" w:cs="Times New Roman"/>
          <w:sz w:val="28"/>
          <w:szCs w:val="28"/>
        </w:rPr>
        <w:t xml:space="preserve"> </w:t>
      </w:r>
      <w:r w:rsidR="00E15A52">
        <w:rPr>
          <w:rFonts w:ascii="Times New Roman" w:hAnsi="Times New Roman" w:cs="Times New Roman"/>
          <w:sz w:val="28"/>
          <w:szCs w:val="28"/>
        </w:rPr>
        <w:t>Cele</w:t>
      </w:r>
      <w:r w:rsidRPr="001D0846">
        <w:rPr>
          <w:rFonts w:ascii="Times New Roman" w:hAnsi="Times New Roman" w:cs="Times New Roman"/>
          <w:sz w:val="28"/>
          <w:szCs w:val="28"/>
        </w:rPr>
        <w:t xml:space="preserve"> mai semni</w:t>
      </w:r>
      <w:r w:rsidR="00E410DF" w:rsidRPr="001D0846">
        <w:rPr>
          <w:rFonts w:ascii="Times New Roman" w:hAnsi="Times New Roman" w:cs="Times New Roman"/>
          <w:sz w:val="28"/>
          <w:szCs w:val="28"/>
        </w:rPr>
        <w:t>ficative aspecte</w:t>
      </w:r>
      <w:r w:rsidR="00236832">
        <w:rPr>
          <w:rFonts w:ascii="Times New Roman" w:hAnsi="Times New Roman" w:cs="Times New Roman"/>
          <w:sz w:val="28"/>
          <w:szCs w:val="28"/>
        </w:rPr>
        <w:t>-</w:t>
      </w:r>
      <w:r w:rsidR="00E410DF" w:rsidRPr="001D0846">
        <w:rPr>
          <w:rFonts w:ascii="Times New Roman" w:hAnsi="Times New Roman" w:cs="Times New Roman"/>
          <w:sz w:val="28"/>
          <w:szCs w:val="28"/>
        </w:rPr>
        <w:t>cheie de audit</w:t>
      </w:r>
      <w:r w:rsidR="00236832">
        <w:rPr>
          <w:rFonts w:ascii="Times New Roman" w:hAnsi="Times New Roman" w:cs="Times New Roman"/>
          <w:sz w:val="28"/>
          <w:szCs w:val="28"/>
        </w:rPr>
        <w:t xml:space="preserve"> </w:t>
      </w:r>
      <w:r w:rsidR="001E16F8">
        <w:rPr>
          <w:rFonts w:ascii="Times New Roman" w:hAnsi="Times New Roman" w:cs="Times New Roman"/>
          <w:sz w:val="28"/>
          <w:szCs w:val="28"/>
        </w:rPr>
        <w:t>fiind</w:t>
      </w:r>
      <w:r w:rsidR="00A472E9">
        <w:rPr>
          <w:rFonts w:ascii="Times New Roman" w:hAnsi="Times New Roman" w:cs="Times New Roman"/>
          <w:sz w:val="28"/>
          <w:szCs w:val="28"/>
        </w:rPr>
        <w:t xml:space="preserve"> prez</w:t>
      </w:r>
      <w:r w:rsidR="001E16F8">
        <w:rPr>
          <w:rFonts w:ascii="Times New Roman" w:hAnsi="Times New Roman" w:cs="Times New Roman"/>
          <w:sz w:val="28"/>
          <w:szCs w:val="28"/>
        </w:rPr>
        <w:t>entate</w:t>
      </w:r>
      <w:r w:rsidR="00236832">
        <w:rPr>
          <w:rFonts w:ascii="Times New Roman" w:hAnsi="Times New Roman" w:cs="Times New Roman"/>
          <w:sz w:val="28"/>
          <w:szCs w:val="28"/>
        </w:rPr>
        <w:t xml:space="preserve"> </w:t>
      </w:r>
      <w:r w:rsidRPr="001D0846">
        <w:rPr>
          <w:rFonts w:ascii="Times New Roman" w:hAnsi="Times New Roman" w:cs="Times New Roman"/>
          <w:sz w:val="28"/>
          <w:szCs w:val="28"/>
        </w:rPr>
        <w:t xml:space="preserve"> după cum urmează:</w:t>
      </w:r>
    </w:p>
    <w:p w:rsidR="00E15A52" w:rsidRDefault="00E15A52" w:rsidP="00E15A52">
      <w:pPr>
        <w:tabs>
          <w:tab w:val="left" w:pos="270"/>
          <w:tab w:val="left" w:pos="360"/>
          <w:tab w:val="left" w:pos="72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w:t>
      </w:r>
      <w:r w:rsidR="00422664" w:rsidRPr="00E15A52">
        <w:rPr>
          <w:rFonts w:ascii="Times New Roman" w:hAnsi="Times New Roman" w:cs="Times New Roman"/>
          <w:sz w:val="28"/>
          <w:szCs w:val="28"/>
        </w:rPr>
        <w:t>Referitor la p</w:t>
      </w:r>
      <w:r w:rsidR="00A00E0B" w:rsidRPr="00E15A52">
        <w:rPr>
          <w:rFonts w:ascii="Times New Roman" w:hAnsi="Times New Roman" w:cs="Times New Roman"/>
          <w:sz w:val="28"/>
          <w:szCs w:val="28"/>
        </w:rPr>
        <w:t>rocesul de elaborare</w:t>
      </w:r>
      <w:r w:rsidR="00F02032" w:rsidRPr="00E15A52">
        <w:rPr>
          <w:rFonts w:ascii="Times New Roman" w:hAnsi="Times New Roman" w:cs="Times New Roman"/>
          <w:sz w:val="28"/>
          <w:szCs w:val="28"/>
        </w:rPr>
        <w:t xml:space="preserve"> și realizare de către organele fiscale și vamale a unor indicatori de performanță în administrarea impozitelor și taxelor</w:t>
      </w:r>
      <w:r w:rsidR="00422664" w:rsidRPr="00E15A52">
        <w:rPr>
          <w:rFonts w:ascii="Times New Roman" w:hAnsi="Times New Roman" w:cs="Times New Roman"/>
          <w:sz w:val="28"/>
          <w:szCs w:val="28"/>
        </w:rPr>
        <w:t>, se</w:t>
      </w:r>
      <w:r w:rsidR="00F02032" w:rsidRPr="00E15A52">
        <w:rPr>
          <w:rFonts w:ascii="Times New Roman" w:hAnsi="Times New Roman" w:cs="Times New Roman"/>
          <w:sz w:val="28"/>
          <w:szCs w:val="28"/>
        </w:rPr>
        <w:t xml:space="preserve"> </w:t>
      </w:r>
      <w:r w:rsidR="00422664" w:rsidRPr="00E15A52">
        <w:rPr>
          <w:rFonts w:ascii="Times New Roman" w:hAnsi="Times New Roman" w:cs="Times New Roman"/>
          <w:sz w:val="28"/>
          <w:szCs w:val="28"/>
        </w:rPr>
        <w:t xml:space="preserve">menționează </w:t>
      </w:r>
      <w:r w:rsidR="00A00E0B" w:rsidRPr="00E15A52">
        <w:rPr>
          <w:rFonts w:ascii="Times New Roman" w:hAnsi="Times New Roman" w:cs="Times New Roman"/>
          <w:sz w:val="28"/>
          <w:szCs w:val="28"/>
        </w:rPr>
        <w:t xml:space="preserve">că, deși </w:t>
      </w:r>
      <w:r w:rsidR="00D51A4F" w:rsidRPr="00E15A52">
        <w:rPr>
          <w:rFonts w:ascii="Times New Roman" w:hAnsi="Times New Roman" w:cs="Times New Roman"/>
          <w:sz w:val="28"/>
          <w:szCs w:val="28"/>
        </w:rPr>
        <w:t>s-</w:t>
      </w:r>
      <w:r w:rsidR="00A00E0B" w:rsidRPr="00E15A52">
        <w:rPr>
          <w:rFonts w:ascii="Times New Roman" w:hAnsi="Times New Roman" w:cs="Times New Roman"/>
          <w:sz w:val="28"/>
          <w:szCs w:val="28"/>
        </w:rPr>
        <w:t xml:space="preserve">au  întreprins măsuri pentru atingerea rezultatelor planificate, fiind realizate unele performanțe în domeniu, se atestă unele nerealizări/realizări parțiale ale indicatorilor de performanță, </w:t>
      </w:r>
      <w:r w:rsidR="00A00E0B" w:rsidRPr="00E15A52">
        <w:rPr>
          <w:rFonts w:ascii="Times New Roman" w:hAnsi="Times New Roman" w:cs="Times New Roman"/>
          <w:sz w:val="28"/>
          <w:szCs w:val="28"/>
          <w:lang w:val="ro-MD"/>
        </w:rPr>
        <w:t xml:space="preserve">lipsa unor caracteristici definitorii ale obiectivelor stabilite, elaborarea unor indicatori fără o fundamentare a modalității de calcul și a sursei de colectare a informației, necorelarea în documentele de politici a unor indicatori de performanță, </w:t>
      </w:r>
      <w:r w:rsidR="00D81312" w:rsidRPr="00E15A52">
        <w:rPr>
          <w:rFonts w:ascii="Times New Roman" w:hAnsi="Times New Roman" w:cs="Times New Roman"/>
          <w:sz w:val="28"/>
          <w:szCs w:val="28"/>
          <w:lang w:val="ro-MD"/>
        </w:rPr>
        <w:t>precum</w:t>
      </w:r>
      <w:r w:rsidR="00A00E0B" w:rsidRPr="00E15A52">
        <w:rPr>
          <w:rFonts w:ascii="Times New Roman" w:hAnsi="Times New Roman" w:cs="Times New Roman"/>
          <w:sz w:val="28"/>
          <w:szCs w:val="28"/>
          <w:lang w:val="ro-MD"/>
        </w:rPr>
        <w:t xml:space="preserve"> și neestimarea resurselor/costurilor necesare în vederea realizării obiectivelor strategice.</w:t>
      </w:r>
    </w:p>
    <w:p w:rsidR="00E15A52" w:rsidRDefault="00E15A52" w:rsidP="00E15A52">
      <w:pPr>
        <w:tabs>
          <w:tab w:val="left" w:pos="270"/>
          <w:tab w:val="left" w:pos="360"/>
          <w:tab w:val="left" w:pos="72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 </w:t>
      </w:r>
      <w:r w:rsidR="00422664" w:rsidRPr="00E15A52">
        <w:rPr>
          <w:rFonts w:ascii="Times New Roman" w:hAnsi="Times New Roman" w:cs="Times New Roman"/>
          <w:sz w:val="28"/>
          <w:szCs w:val="28"/>
        </w:rPr>
        <w:t>În p</w:t>
      </w:r>
      <w:r w:rsidR="007528E6" w:rsidRPr="00E15A52">
        <w:rPr>
          <w:rFonts w:ascii="Times New Roman" w:hAnsi="Times New Roman" w:cs="Times New Roman"/>
          <w:sz w:val="28"/>
          <w:szCs w:val="28"/>
        </w:rPr>
        <w:t>rocesul de estimare</w:t>
      </w:r>
      <w:r w:rsidR="00D12239" w:rsidRPr="00E15A52">
        <w:rPr>
          <w:rFonts w:ascii="Times New Roman" w:hAnsi="Times New Roman" w:cs="Times New Roman"/>
          <w:sz w:val="28"/>
          <w:szCs w:val="28"/>
        </w:rPr>
        <w:t>/prognozare</w:t>
      </w:r>
      <w:r w:rsidR="007528E6" w:rsidRPr="00E15A52">
        <w:rPr>
          <w:rFonts w:ascii="Times New Roman" w:hAnsi="Times New Roman" w:cs="Times New Roman"/>
          <w:sz w:val="28"/>
          <w:szCs w:val="28"/>
        </w:rPr>
        <w:t xml:space="preserve"> </w:t>
      </w:r>
      <w:r w:rsidR="00D12239" w:rsidRPr="00E15A52">
        <w:rPr>
          <w:rFonts w:ascii="Times New Roman" w:hAnsi="Times New Roman" w:cs="Times New Roman"/>
          <w:sz w:val="28"/>
          <w:szCs w:val="28"/>
        </w:rPr>
        <w:t>a veniturilor fiscale și vamale</w:t>
      </w:r>
      <w:r w:rsidR="008A27C1" w:rsidRPr="00E15A52">
        <w:rPr>
          <w:rFonts w:ascii="Times New Roman" w:hAnsi="Times New Roman" w:cs="Times New Roman"/>
          <w:sz w:val="28"/>
          <w:szCs w:val="28"/>
        </w:rPr>
        <w:t>,</w:t>
      </w:r>
      <w:r w:rsidR="007528E6" w:rsidRPr="00E15A52">
        <w:rPr>
          <w:rFonts w:ascii="Times New Roman" w:hAnsi="Times New Roman" w:cs="Times New Roman"/>
          <w:sz w:val="28"/>
          <w:szCs w:val="28"/>
        </w:rPr>
        <w:t xml:space="preserve"> deși </w:t>
      </w:r>
      <w:r w:rsidR="008A27C1" w:rsidRPr="00E15A52">
        <w:rPr>
          <w:rFonts w:ascii="Times New Roman" w:hAnsi="Times New Roman" w:cs="Times New Roman"/>
          <w:sz w:val="28"/>
          <w:szCs w:val="28"/>
        </w:rPr>
        <w:t>administratorii de venituri</w:t>
      </w:r>
      <w:r w:rsidR="00D81312" w:rsidRPr="00E15A52">
        <w:rPr>
          <w:rFonts w:ascii="Times New Roman" w:hAnsi="Times New Roman" w:cs="Times New Roman"/>
          <w:sz w:val="28"/>
          <w:szCs w:val="28"/>
        </w:rPr>
        <w:t>,</w:t>
      </w:r>
      <w:r w:rsidR="008A27C1" w:rsidRPr="00E15A52">
        <w:rPr>
          <w:rFonts w:ascii="Times New Roman" w:hAnsi="Times New Roman" w:cs="Times New Roman"/>
          <w:sz w:val="28"/>
          <w:szCs w:val="28"/>
        </w:rPr>
        <w:t xml:space="preserve"> </w:t>
      </w:r>
      <w:r w:rsidR="00D81312" w:rsidRPr="00E15A52">
        <w:rPr>
          <w:rFonts w:ascii="Times New Roman" w:hAnsi="Times New Roman" w:cs="Times New Roman"/>
          <w:sz w:val="28"/>
          <w:szCs w:val="28"/>
        </w:rPr>
        <w:t>dar</w:t>
      </w:r>
      <w:r w:rsidR="000857E7" w:rsidRPr="00E15A52">
        <w:rPr>
          <w:rFonts w:ascii="Times New Roman" w:hAnsi="Times New Roman" w:cs="Times New Roman"/>
          <w:sz w:val="28"/>
          <w:szCs w:val="28"/>
        </w:rPr>
        <w:t xml:space="preserve"> </w:t>
      </w:r>
      <w:r w:rsidR="008A27C1" w:rsidRPr="00E15A52">
        <w:rPr>
          <w:rFonts w:ascii="Times New Roman" w:hAnsi="Times New Roman" w:cs="Times New Roman"/>
          <w:sz w:val="28"/>
          <w:szCs w:val="28"/>
        </w:rPr>
        <w:t>și MF în calitate de administrator de buget</w:t>
      </w:r>
      <w:r w:rsidR="007528E6" w:rsidRPr="00E15A52">
        <w:rPr>
          <w:rFonts w:ascii="Times New Roman" w:hAnsi="Times New Roman" w:cs="Times New Roman"/>
          <w:color w:val="000000"/>
          <w:sz w:val="28"/>
          <w:szCs w:val="28"/>
        </w:rPr>
        <w:t xml:space="preserve"> dispun d</w:t>
      </w:r>
      <w:r w:rsidR="008A27C1" w:rsidRPr="00E15A52">
        <w:rPr>
          <w:rFonts w:ascii="Times New Roman" w:hAnsi="Times New Roman" w:cs="Times New Roman"/>
          <w:color w:val="000000"/>
          <w:sz w:val="28"/>
          <w:szCs w:val="28"/>
        </w:rPr>
        <w:t xml:space="preserve">e metode și tehnici de estimare/prognozare, </w:t>
      </w:r>
      <w:r w:rsidR="00422664" w:rsidRPr="00E15A52">
        <w:rPr>
          <w:rFonts w:ascii="Times New Roman" w:hAnsi="Times New Roman" w:cs="Times New Roman"/>
          <w:color w:val="000000"/>
          <w:sz w:val="28"/>
          <w:szCs w:val="28"/>
        </w:rPr>
        <w:t>mai există</w:t>
      </w:r>
      <w:r w:rsidR="008A27C1" w:rsidRPr="00E15A52">
        <w:rPr>
          <w:rFonts w:ascii="Times New Roman" w:hAnsi="Times New Roman" w:cs="Times New Roman"/>
          <w:color w:val="000000"/>
          <w:sz w:val="28"/>
          <w:szCs w:val="28"/>
        </w:rPr>
        <w:t xml:space="preserve"> unele rezerve </w:t>
      </w:r>
      <w:r w:rsidR="002835B6" w:rsidRPr="00E15A52">
        <w:rPr>
          <w:rFonts w:ascii="Times New Roman" w:hAnsi="Times New Roman" w:cs="Times New Roman"/>
          <w:color w:val="000000"/>
          <w:sz w:val="28"/>
          <w:szCs w:val="28"/>
        </w:rPr>
        <w:t>la</w:t>
      </w:r>
      <w:r w:rsidR="00797EFF" w:rsidRPr="00E15A52">
        <w:rPr>
          <w:rFonts w:ascii="Times New Roman" w:hAnsi="Times New Roman" w:cs="Times New Roman"/>
          <w:color w:val="000000"/>
          <w:sz w:val="28"/>
          <w:szCs w:val="28"/>
        </w:rPr>
        <w:t xml:space="preserve"> </w:t>
      </w:r>
      <w:r w:rsidR="00797EFF" w:rsidRPr="00E15A52">
        <w:rPr>
          <w:rFonts w:ascii="Times New Roman" w:hAnsi="Times New Roman" w:cs="Times New Roman"/>
          <w:spacing w:val="3"/>
          <w:sz w:val="28"/>
          <w:szCs w:val="28"/>
        </w:rPr>
        <w:t>fundamentarea veniturilor bugetare</w:t>
      </w:r>
      <w:r w:rsidR="00D81312" w:rsidRPr="00E15A52">
        <w:rPr>
          <w:rFonts w:ascii="Times New Roman" w:hAnsi="Times New Roman" w:cs="Times New Roman"/>
          <w:spacing w:val="3"/>
          <w:sz w:val="28"/>
          <w:szCs w:val="28"/>
        </w:rPr>
        <w:t>,</w:t>
      </w:r>
      <w:r w:rsidR="00797EFF" w:rsidRPr="00E15A52">
        <w:rPr>
          <w:rFonts w:ascii="Times New Roman" w:hAnsi="Times New Roman" w:cs="Times New Roman"/>
          <w:color w:val="000000"/>
          <w:sz w:val="28"/>
          <w:szCs w:val="28"/>
        </w:rPr>
        <w:t xml:space="preserve"> care au afectat </w:t>
      </w:r>
      <w:r w:rsidR="00797EFF" w:rsidRPr="00E15A52">
        <w:rPr>
          <w:rFonts w:ascii="Times New Roman" w:hAnsi="Times New Roman" w:cs="Times New Roman"/>
          <w:sz w:val="28"/>
          <w:szCs w:val="28"/>
        </w:rPr>
        <w:t>acuratețea estimărilor</w:t>
      </w:r>
      <w:r w:rsidR="008F2719" w:rsidRPr="00E15A52">
        <w:rPr>
          <w:rFonts w:ascii="Times New Roman" w:hAnsi="Times New Roman" w:cs="Times New Roman"/>
          <w:sz w:val="28"/>
          <w:szCs w:val="28"/>
        </w:rPr>
        <w:t xml:space="preserve"> elaborate</w:t>
      </w:r>
      <w:r w:rsidR="00797EFF" w:rsidRPr="00E15A52">
        <w:rPr>
          <w:rFonts w:ascii="Times New Roman" w:hAnsi="Times New Roman" w:cs="Times New Roman"/>
          <w:sz w:val="28"/>
          <w:szCs w:val="28"/>
        </w:rPr>
        <w:t>.</w:t>
      </w:r>
    </w:p>
    <w:p w:rsidR="00E15A52" w:rsidRDefault="00E15A52" w:rsidP="00E15A52">
      <w:pPr>
        <w:tabs>
          <w:tab w:val="left" w:pos="270"/>
          <w:tab w:val="left" w:pos="360"/>
          <w:tab w:val="left" w:pos="72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(iii)  </w:t>
      </w:r>
      <w:r w:rsidR="002835B6" w:rsidRPr="00E15A52">
        <w:rPr>
          <w:rFonts w:ascii="Times New Roman" w:hAnsi="Times New Roman" w:cs="Times New Roman"/>
          <w:sz w:val="28"/>
          <w:szCs w:val="28"/>
        </w:rPr>
        <w:t>La e</w:t>
      </w:r>
      <w:r w:rsidR="00D81312" w:rsidRPr="00E15A52">
        <w:rPr>
          <w:rFonts w:ascii="Times New Roman" w:hAnsi="Times New Roman" w:cs="Times New Roman"/>
          <w:sz w:val="28"/>
          <w:szCs w:val="28"/>
        </w:rPr>
        <w:t>xecutarea</w:t>
      </w:r>
      <w:r w:rsidR="00797EFF" w:rsidRPr="00E15A52">
        <w:rPr>
          <w:rFonts w:ascii="Times New Roman" w:hAnsi="Times New Roman" w:cs="Times New Roman"/>
          <w:sz w:val="28"/>
          <w:szCs w:val="28"/>
        </w:rPr>
        <w:t xml:space="preserve"> sarcinii de colectare a veniturilor la BPN</w:t>
      </w:r>
      <w:r w:rsidR="002835B6" w:rsidRPr="00E15A52">
        <w:rPr>
          <w:rFonts w:ascii="Times New Roman" w:hAnsi="Times New Roman" w:cs="Times New Roman"/>
          <w:sz w:val="28"/>
          <w:szCs w:val="28"/>
        </w:rPr>
        <w:t>,</w:t>
      </w:r>
      <w:r w:rsidR="00797EFF" w:rsidRPr="00E15A52">
        <w:rPr>
          <w:rFonts w:ascii="Times New Roman" w:hAnsi="Times New Roman" w:cs="Times New Roman"/>
          <w:sz w:val="28"/>
          <w:szCs w:val="28"/>
        </w:rPr>
        <w:t xml:space="preserve"> deși organele fiscal</w:t>
      </w:r>
      <w:r w:rsidR="0035775C" w:rsidRPr="00E15A52">
        <w:rPr>
          <w:rFonts w:ascii="Times New Roman" w:hAnsi="Times New Roman" w:cs="Times New Roman"/>
          <w:sz w:val="28"/>
          <w:szCs w:val="28"/>
        </w:rPr>
        <w:t>e</w:t>
      </w:r>
      <w:r w:rsidR="00797EFF" w:rsidRPr="00E15A52">
        <w:rPr>
          <w:rFonts w:ascii="Times New Roman" w:hAnsi="Times New Roman" w:cs="Times New Roman"/>
          <w:sz w:val="28"/>
          <w:szCs w:val="28"/>
        </w:rPr>
        <w:t xml:space="preserve"> și vamale </w:t>
      </w:r>
      <w:r w:rsidR="0035775C" w:rsidRPr="00E15A52">
        <w:rPr>
          <w:rFonts w:ascii="Times New Roman" w:hAnsi="Times New Roman" w:cs="Times New Roman"/>
          <w:sz w:val="28"/>
          <w:szCs w:val="28"/>
        </w:rPr>
        <w:t xml:space="preserve">au îndeplinit per ansamblu obiectivele asumate, </w:t>
      </w:r>
      <w:r w:rsidR="0035775C" w:rsidRPr="00E15A52">
        <w:rPr>
          <w:rFonts w:ascii="Times New Roman" w:hAnsi="Times New Roman" w:cs="Times New Roman"/>
          <w:sz w:val="28"/>
          <w:szCs w:val="28"/>
          <w:lang w:val="ro-MD"/>
        </w:rPr>
        <w:t xml:space="preserve">înregistrându-se </w:t>
      </w:r>
      <w:r w:rsidR="0035775C" w:rsidRPr="00E15A52">
        <w:rPr>
          <w:rFonts w:ascii="Times New Roman" w:hAnsi="Times New Roman" w:cs="Times New Roman"/>
          <w:sz w:val="28"/>
          <w:szCs w:val="28"/>
        </w:rPr>
        <w:t>tendințe pozitive de majorare a veniturilor bugetare din impozite și taxe</w:t>
      </w:r>
      <w:r w:rsidR="007116A5" w:rsidRPr="00E15A52">
        <w:rPr>
          <w:rFonts w:ascii="Times New Roman" w:hAnsi="Times New Roman" w:cs="Times New Roman"/>
          <w:sz w:val="28"/>
          <w:szCs w:val="28"/>
        </w:rPr>
        <w:t xml:space="preserve"> (de la 38,6 </w:t>
      </w:r>
      <w:proofErr w:type="spellStart"/>
      <w:r w:rsidR="007116A5" w:rsidRPr="00E15A52">
        <w:rPr>
          <w:rFonts w:ascii="Times New Roman" w:hAnsi="Times New Roman" w:cs="Times New Roman"/>
          <w:sz w:val="28"/>
          <w:szCs w:val="28"/>
        </w:rPr>
        <w:t>mlrd</w:t>
      </w:r>
      <w:proofErr w:type="spellEnd"/>
      <w:r w:rsidR="007116A5" w:rsidRPr="00E15A52">
        <w:rPr>
          <w:rFonts w:ascii="Times New Roman" w:hAnsi="Times New Roman" w:cs="Times New Roman"/>
          <w:sz w:val="28"/>
          <w:szCs w:val="28"/>
        </w:rPr>
        <w:t>. lei - în anul 2015</w:t>
      </w:r>
      <w:r w:rsidR="00D81312" w:rsidRPr="00E15A52">
        <w:rPr>
          <w:rFonts w:ascii="Times New Roman" w:hAnsi="Times New Roman" w:cs="Times New Roman"/>
          <w:sz w:val="28"/>
          <w:szCs w:val="28"/>
        </w:rPr>
        <w:t>,</w:t>
      </w:r>
      <w:r w:rsidR="007116A5" w:rsidRPr="00E15A52">
        <w:rPr>
          <w:rFonts w:ascii="Times New Roman" w:hAnsi="Times New Roman" w:cs="Times New Roman"/>
          <w:sz w:val="28"/>
          <w:szCs w:val="28"/>
        </w:rPr>
        <w:t xml:space="preserve"> până la 50,3 </w:t>
      </w:r>
      <w:proofErr w:type="spellStart"/>
      <w:r w:rsidR="007116A5" w:rsidRPr="00E15A52">
        <w:rPr>
          <w:rFonts w:ascii="Times New Roman" w:hAnsi="Times New Roman" w:cs="Times New Roman"/>
          <w:sz w:val="28"/>
          <w:szCs w:val="28"/>
        </w:rPr>
        <w:t>mlrd</w:t>
      </w:r>
      <w:proofErr w:type="spellEnd"/>
      <w:r w:rsidR="007116A5" w:rsidRPr="00E15A52">
        <w:rPr>
          <w:rFonts w:ascii="Times New Roman" w:hAnsi="Times New Roman" w:cs="Times New Roman"/>
          <w:sz w:val="28"/>
          <w:szCs w:val="28"/>
        </w:rPr>
        <w:t>. lei - în anul 2017)</w:t>
      </w:r>
      <w:r w:rsidR="0035775C" w:rsidRPr="00E15A52">
        <w:rPr>
          <w:rFonts w:ascii="Times New Roman" w:hAnsi="Times New Roman" w:cs="Times New Roman"/>
          <w:sz w:val="28"/>
          <w:szCs w:val="28"/>
        </w:rPr>
        <w:t>, precum și</w:t>
      </w:r>
      <w:r w:rsidR="0035775C" w:rsidRPr="00E15A52">
        <w:rPr>
          <w:rFonts w:ascii="Times New Roman" w:hAnsi="Times New Roman" w:cs="Times New Roman"/>
          <w:sz w:val="28"/>
          <w:szCs w:val="28"/>
          <w:lang w:val="ro-MD"/>
        </w:rPr>
        <w:t xml:space="preserve"> </w:t>
      </w:r>
      <w:r w:rsidR="0035775C" w:rsidRPr="00E15A52">
        <w:rPr>
          <w:rFonts w:ascii="Times New Roman" w:hAnsi="Times New Roman" w:cs="Times New Roman"/>
          <w:sz w:val="28"/>
          <w:szCs w:val="28"/>
          <w:lang w:val="it-IT"/>
        </w:rPr>
        <w:t xml:space="preserve">o dinamică pozitivă a veniturilor </w:t>
      </w:r>
      <w:r w:rsidR="0035775C" w:rsidRPr="00E15A52">
        <w:rPr>
          <w:rFonts w:ascii="Times New Roman" w:hAnsi="Times New Roman" w:cs="Times New Roman"/>
          <w:sz w:val="28"/>
          <w:szCs w:val="28"/>
          <w:lang w:val="ro-MD"/>
        </w:rPr>
        <w:t>colectate în P</w:t>
      </w:r>
      <w:r w:rsidR="007116A5" w:rsidRPr="00E15A52">
        <w:rPr>
          <w:rFonts w:ascii="Times New Roman" w:hAnsi="Times New Roman" w:cs="Times New Roman"/>
          <w:sz w:val="28"/>
          <w:szCs w:val="28"/>
          <w:lang w:val="ro-MD"/>
        </w:rPr>
        <w:t>IB (de la 31,5 % - în anul 2015</w:t>
      </w:r>
      <w:r w:rsidR="00D81312" w:rsidRPr="00E15A52">
        <w:rPr>
          <w:rFonts w:ascii="Times New Roman" w:hAnsi="Times New Roman" w:cs="Times New Roman"/>
          <w:sz w:val="28"/>
          <w:szCs w:val="28"/>
          <w:lang w:val="ro-MD"/>
        </w:rPr>
        <w:t>,</w:t>
      </w:r>
      <w:r w:rsidR="007116A5" w:rsidRPr="00E15A52">
        <w:rPr>
          <w:rFonts w:ascii="Times New Roman" w:hAnsi="Times New Roman" w:cs="Times New Roman"/>
          <w:sz w:val="28"/>
          <w:szCs w:val="28"/>
          <w:lang w:val="ro-MD"/>
        </w:rPr>
        <w:t xml:space="preserve"> până la 33,4 % - în anul 2017), </w:t>
      </w:r>
      <w:r w:rsidR="0035775C" w:rsidRPr="00E15A52">
        <w:rPr>
          <w:rFonts w:ascii="Times New Roman" w:hAnsi="Times New Roman" w:cs="Times New Roman"/>
          <w:sz w:val="28"/>
          <w:szCs w:val="28"/>
          <w:lang w:val="ro-MD"/>
        </w:rPr>
        <w:t xml:space="preserve">se atestă </w:t>
      </w:r>
      <w:r w:rsidR="0035775C" w:rsidRPr="00E15A52">
        <w:rPr>
          <w:rFonts w:ascii="Times New Roman" w:hAnsi="Times New Roman" w:cs="Times New Roman"/>
          <w:sz w:val="28"/>
          <w:szCs w:val="28"/>
        </w:rPr>
        <w:t>ne</w:t>
      </w:r>
      <w:r w:rsidR="0035775C" w:rsidRPr="00E15A52">
        <w:rPr>
          <w:rFonts w:ascii="Times New Roman" w:hAnsi="Times New Roman" w:cs="Times New Roman"/>
          <w:sz w:val="28"/>
          <w:szCs w:val="28"/>
          <w:lang w:val="ro-MD"/>
        </w:rPr>
        <w:t xml:space="preserve">realizarea planului de încasări în aspectul unor tipuri de impozite și taxe, un ritm încetinit </w:t>
      </w:r>
      <w:r w:rsidR="0035775C" w:rsidRPr="00E15A52">
        <w:rPr>
          <w:rFonts w:ascii="Times New Roman" w:hAnsi="Times New Roman" w:cs="Times New Roman"/>
          <w:bCs/>
          <w:sz w:val="28"/>
          <w:szCs w:val="28"/>
          <w:lang w:val="ro-MD" w:eastAsia="ro-RO"/>
        </w:rPr>
        <w:t>de creștere a veniturilor fiscale și vamale</w:t>
      </w:r>
      <w:r w:rsidR="002835B6" w:rsidRPr="00E15A52">
        <w:rPr>
          <w:rFonts w:ascii="Times New Roman" w:hAnsi="Times New Roman" w:cs="Times New Roman"/>
          <w:bCs/>
          <w:sz w:val="28"/>
          <w:szCs w:val="28"/>
          <w:lang w:val="ro-MD" w:eastAsia="ro-RO"/>
        </w:rPr>
        <w:t>,</w:t>
      </w:r>
      <w:r w:rsidR="0035775C" w:rsidRPr="00E15A52">
        <w:rPr>
          <w:rFonts w:ascii="Times New Roman" w:hAnsi="Times New Roman" w:cs="Times New Roman"/>
          <w:bCs/>
          <w:sz w:val="28"/>
          <w:szCs w:val="28"/>
          <w:lang w:val="ro-MD" w:eastAsia="ro-RO"/>
        </w:rPr>
        <w:t xml:space="preserve"> raportat la evoluția PIB,</w:t>
      </w:r>
      <w:r w:rsidR="004C1DF9" w:rsidRPr="00E15A52">
        <w:rPr>
          <w:rFonts w:ascii="Times New Roman" w:hAnsi="Times New Roman" w:cs="Times New Roman"/>
          <w:bCs/>
          <w:sz w:val="28"/>
          <w:szCs w:val="28"/>
          <w:lang w:val="ro-MD" w:eastAsia="ro-RO"/>
        </w:rPr>
        <w:t xml:space="preserve"> </w:t>
      </w:r>
      <w:r w:rsidR="0035775C" w:rsidRPr="00E15A52">
        <w:rPr>
          <w:rFonts w:ascii="Times New Roman" w:hAnsi="Times New Roman" w:cs="Times New Roman"/>
          <w:sz w:val="28"/>
          <w:szCs w:val="28"/>
          <w:lang w:val="ro-MD"/>
        </w:rPr>
        <w:t>precum și modificări impredictibile în politica bugetar-fiscală pe parcursul anului</w:t>
      </w:r>
      <w:r w:rsidR="00D81312" w:rsidRPr="00E15A52">
        <w:rPr>
          <w:rFonts w:ascii="Times New Roman" w:hAnsi="Times New Roman" w:cs="Times New Roman"/>
          <w:sz w:val="28"/>
          <w:szCs w:val="28"/>
          <w:lang w:val="ro-MD"/>
        </w:rPr>
        <w:t>,</w:t>
      </w:r>
      <w:r w:rsidR="0035775C" w:rsidRPr="00E15A52">
        <w:rPr>
          <w:rFonts w:ascii="Times New Roman" w:hAnsi="Times New Roman" w:cs="Times New Roman"/>
          <w:sz w:val="28"/>
          <w:szCs w:val="28"/>
          <w:lang w:val="ro-MD"/>
        </w:rPr>
        <w:t xml:space="preserve"> care au majorat veniturile bugetare fără eforturi de administrare.</w:t>
      </w:r>
    </w:p>
    <w:p w:rsidR="007E580C" w:rsidRPr="00E15A52" w:rsidRDefault="00E15A52" w:rsidP="00E15A52">
      <w:pPr>
        <w:tabs>
          <w:tab w:val="left" w:pos="270"/>
          <w:tab w:val="left" w:pos="360"/>
          <w:tab w:val="left" w:pos="720"/>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(iv)  </w:t>
      </w:r>
      <w:r w:rsidR="00E76B2F" w:rsidRPr="00E15A52">
        <w:rPr>
          <w:rFonts w:ascii="Times New Roman" w:hAnsi="Times New Roman" w:cs="Times New Roman"/>
          <w:sz w:val="28"/>
          <w:szCs w:val="28"/>
          <w:lang w:val="ro-MD"/>
        </w:rPr>
        <w:t>Cât privește</w:t>
      </w:r>
      <w:r w:rsidR="00422664" w:rsidRPr="00E15A52">
        <w:rPr>
          <w:rFonts w:ascii="Times New Roman" w:hAnsi="Times New Roman" w:cs="Times New Roman"/>
          <w:sz w:val="28"/>
          <w:szCs w:val="28"/>
          <w:lang w:val="ro-MD"/>
        </w:rPr>
        <w:t xml:space="preserve"> r</w:t>
      </w:r>
      <w:r w:rsidR="00F1125D" w:rsidRPr="00E15A52">
        <w:rPr>
          <w:rFonts w:ascii="Times New Roman" w:hAnsi="Times New Roman" w:cs="Times New Roman"/>
          <w:sz w:val="28"/>
          <w:szCs w:val="28"/>
          <w:lang w:val="ro-MD"/>
        </w:rPr>
        <w:t xml:space="preserve">ealizarea obiectivelor </w:t>
      </w:r>
      <w:r w:rsidR="0090620C" w:rsidRPr="00E15A52">
        <w:rPr>
          <w:rFonts w:ascii="Times New Roman" w:hAnsi="Times New Roman" w:cs="Times New Roman"/>
          <w:sz w:val="28"/>
          <w:szCs w:val="28"/>
          <w:lang w:val="ro-MD"/>
        </w:rPr>
        <w:t xml:space="preserve">strategice </w:t>
      </w:r>
      <w:r w:rsidR="00F1125D" w:rsidRPr="00E15A52">
        <w:rPr>
          <w:rFonts w:ascii="Times New Roman" w:hAnsi="Times New Roman" w:cs="Times New Roman"/>
          <w:sz w:val="28"/>
          <w:szCs w:val="28"/>
          <w:lang w:val="ro-MD"/>
        </w:rPr>
        <w:t>și atingerea performa</w:t>
      </w:r>
      <w:r w:rsidR="0090620C" w:rsidRPr="00E15A52">
        <w:rPr>
          <w:rFonts w:ascii="Times New Roman" w:hAnsi="Times New Roman" w:cs="Times New Roman"/>
          <w:sz w:val="28"/>
          <w:szCs w:val="28"/>
          <w:lang w:val="ro-MD"/>
        </w:rPr>
        <w:t>n</w:t>
      </w:r>
      <w:r w:rsidR="00F1125D" w:rsidRPr="00E15A52">
        <w:rPr>
          <w:rFonts w:ascii="Times New Roman" w:hAnsi="Times New Roman" w:cs="Times New Roman"/>
          <w:sz w:val="28"/>
          <w:szCs w:val="28"/>
          <w:lang w:val="ro-MD"/>
        </w:rPr>
        <w:t xml:space="preserve">țelor </w:t>
      </w:r>
      <w:r w:rsidR="0090620C" w:rsidRPr="00E15A52">
        <w:rPr>
          <w:rFonts w:ascii="Times New Roman" w:hAnsi="Times New Roman" w:cs="Times New Roman"/>
          <w:sz w:val="28"/>
          <w:szCs w:val="28"/>
          <w:lang w:val="ro-MD"/>
        </w:rPr>
        <w:t>în admin</w:t>
      </w:r>
      <w:r w:rsidR="005477BB" w:rsidRPr="00E15A52">
        <w:rPr>
          <w:rFonts w:ascii="Times New Roman" w:hAnsi="Times New Roman" w:cs="Times New Roman"/>
          <w:sz w:val="28"/>
          <w:szCs w:val="28"/>
          <w:lang w:val="ro-MD"/>
        </w:rPr>
        <w:t>i</w:t>
      </w:r>
      <w:r w:rsidR="0090620C" w:rsidRPr="00E15A52">
        <w:rPr>
          <w:rFonts w:ascii="Times New Roman" w:hAnsi="Times New Roman" w:cs="Times New Roman"/>
          <w:sz w:val="28"/>
          <w:szCs w:val="28"/>
          <w:lang w:val="ro-MD"/>
        </w:rPr>
        <w:t xml:space="preserve">strarea impozitelor și taxelor în condiții de economicitate, </w:t>
      </w:r>
      <w:r w:rsidR="00E123C4" w:rsidRPr="00E15A52">
        <w:rPr>
          <w:rFonts w:ascii="Times New Roman" w:hAnsi="Times New Roman" w:cs="Times New Roman"/>
          <w:sz w:val="28"/>
          <w:szCs w:val="28"/>
          <w:lang w:val="ro-MD"/>
        </w:rPr>
        <w:t xml:space="preserve">cu toate că </w:t>
      </w:r>
      <w:r w:rsidR="0090620C" w:rsidRPr="00E15A52">
        <w:rPr>
          <w:rFonts w:ascii="Times New Roman" w:hAnsi="Times New Roman" w:cs="Times New Roman"/>
          <w:sz w:val="28"/>
          <w:szCs w:val="28"/>
          <w:lang w:val="ro-MD"/>
        </w:rPr>
        <w:t xml:space="preserve"> organele fiscale și vamale </w:t>
      </w:r>
      <w:r w:rsidR="0090620C" w:rsidRPr="00E15A52">
        <w:rPr>
          <w:rFonts w:ascii="Times New Roman" w:hAnsi="Times New Roman" w:cs="Times New Roman"/>
          <w:sz w:val="28"/>
          <w:szCs w:val="28"/>
        </w:rPr>
        <w:t xml:space="preserve">au depus eforturi </w:t>
      </w:r>
      <w:r w:rsidR="00D81312" w:rsidRPr="00E15A52">
        <w:rPr>
          <w:rFonts w:ascii="Times New Roman" w:hAnsi="Times New Roman" w:cs="Times New Roman"/>
          <w:sz w:val="28"/>
          <w:szCs w:val="28"/>
        </w:rPr>
        <w:t>pentru</w:t>
      </w:r>
      <w:r w:rsidR="0090620C" w:rsidRPr="00E15A52">
        <w:rPr>
          <w:rFonts w:ascii="Times New Roman" w:hAnsi="Times New Roman" w:cs="Times New Roman"/>
          <w:sz w:val="28"/>
          <w:szCs w:val="28"/>
        </w:rPr>
        <w:t xml:space="preserve"> asigura</w:t>
      </w:r>
      <w:r w:rsidR="00D81312" w:rsidRPr="00E15A52">
        <w:rPr>
          <w:rFonts w:ascii="Times New Roman" w:hAnsi="Times New Roman" w:cs="Times New Roman"/>
          <w:sz w:val="28"/>
          <w:szCs w:val="28"/>
        </w:rPr>
        <w:t>rea</w:t>
      </w:r>
      <w:r w:rsidR="0090620C" w:rsidRPr="00E15A52">
        <w:rPr>
          <w:rFonts w:ascii="Times New Roman" w:hAnsi="Times New Roman" w:cs="Times New Roman"/>
          <w:sz w:val="28"/>
          <w:szCs w:val="28"/>
        </w:rPr>
        <w:t xml:space="preserve"> eficienț</w:t>
      </w:r>
      <w:r w:rsidR="00D81312" w:rsidRPr="00E15A52">
        <w:rPr>
          <w:rFonts w:ascii="Times New Roman" w:hAnsi="Times New Roman" w:cs="Times New Roman"/>
          <w:sz w:val="28"/>
          <w:szCs w:val="28"/>
        </w:rPr>
        <w:t>ei</w:t>
      </w:r>
      <w:r w:rsidR="0090620C" w:rsidRPr="00E15A52">
        <w:rPr>
          <w:rFonts w:ascii="Times New Roman" w:hAnsi="Times New Roman" w:cs="Times New Roman"/>
          <w:sz w:val="28"/>
          <w:szCs w:val="28"/>
        </w:rPr>
        <w:t xml:space="preserve"> maxim</w:t>
      </w:r>
      <w:r w:rsidR="00D81312" w:rsidRPr="00E15A52">
        <w:rPr>
          <w:rFonts w:ascii="Times New Roman" w:hAnsi="Times New Roman" w:cs="Times New Roman"/>
          <w:sz w:val="28"/>
          <w:szCs w:val="28"/>
        </w:rPr>
        <w:t>e</w:t>
      </w:r>
      <w:r w:rsidR="0090620C" w:rsidRPr="00E15A52">
        <w:rPr>
          <w:rFonts w:ascii="Times New Roman" w:hAnsi="Times New Roman" w:cs="Times New Roman"/>
          <w:sz w:val="28"/>
          <w:szCs w:val="28"/>
        </w:rPr>
        <w:t xml:space="preserve"> în colectarea veniturilor la costuri minime, se </w:t>
      </w:r>
      <w:r w:rsidR="00B33A68" w:rsidRPr="00E15A52">
        <w:rPr>
          <w:rFonts w:ascii="Times New Roman" w:hAnsi="Times New Roman" w:cs="Times New Roman"/>
          <w:sz w:val="28"/>
          <w:szCs w:val="28"/>
        </w:rPr>
        <w:t>constată</w:t>
      </w:r>
      <w:r w:rsidR="0090620C" w:rsidRPr="00E15A52">
        <w:rPr>
          <w:rFonts w:ascii="Times New Roman" w:hAnsi="Times New Roman" w:cs="Times New Roman"/>
          <w:sz w:val="28"/>
          <w:szCs w:val="28"/>
        </w:rPr>
        <w:t xml:space="preserve"> o dinamică ascendentă a costurilor suportate în activitatea de administrare, care pe fundalul creșterii veniturilor încasate au atins în anul 2017 plafonul maxim al perioadei analizate.</w:t>
      </w:r>
    </w:p>
    <w:p w:rsidR="00E15A52" w:rsidRDefault="00E15A52" w:rsidP="00E15A52">
      <w:pPr>
        <w:tabs>
          <w:tab w:val="left" w:pos="270"/>
          <w:tab w:val="left" w:pos="360"/>
          <w:tab w:val="left" w:pos="72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(v) </w:t>
      </w:r>
      <w:r w:rsidR="00E123C4" w:rsidRPr="00E15A52">
        <w:rPr>
          <w:rFonts w:ascii="Times New Roman" w:hAnsi="Times New Roman" w:cs="Times New Roman"/>
          <w:sz w:val="28"/>
          <w:szCs w:val="28"/>
          <w:lang w:val="ro-MD"/>
        </w:rPr>
        <w:t>În p</w:t>
      </w:r>
      <w:r w:rsidR="0058797F" w:rsidRPr="00E15A52">
        <w:rPr>
          <w:rFonts w:ascii="Times New Roman" w:hAnsi="Times New Roman" w:cs="Times New Roman"/>
          <w:sz w:val="28"/>
          <w:szCs w:val="28"/>
          <w:lang w:val="ro-MD"/>
        </w:rPr>
        <w:t>rocesul de administrare a restanțelor la BPN</w:t>
      </w:r>
      <w:r w:rsidR="007E580C" w:rsidRPr="00E15A52">
        <w:rPr>
          <w:rFonts w:ascii="Times New Roman" w:hAnsi="Times New Roman" w:cs="Times New Roman"/>
          <w:sz w:val="28"/>
          <w:szCs w:val="28"/>
          <w:lang w:val="ro-MD"/>
        </w:rPr>
        <w:t>,</w:t>
      </w:r>
      <w:r w:rsidR="0058797F" w:rsidRPr="00E15A52">
        <w:rPr>
          <w:rFonts w:ascii="Times New Roman" w:hAnsi="Times New Roman" w:cs="Times New Roman"/>
          <w:sz w:val="28"/>
          <w:szCs w:val="28"/>
          <w:lang w:val="ro-MD"/>
        </w:rPr>
        <w:t xml:space="preserve"> deși organele fiscale și vamale </w:t>
      </w:r>
      <w:r w:rsidR="0058797F" w:rsidRPr="00E15A52">
        <w:rPr>
          <w:rFonts w:ascii="Times New Roman" w:hAnsi="Times New Roman" w:cs="Times New Roman"/>
          <w:sz w:val="28"/>
          <w:szCs w:val="28"/>
        </w:rPr>
        <w:t xml:space="preserve">au întreprins măsuri în vederea încasării plăților restante, fiind atinse unele rezultate în domeniu, se atestă </w:t>
      </w:r>
      <w:r w:rsidR="007E580C" w:rsidRPr="00E15A52">
        <w:rPr>
          <w:rFonts w:ascii="Times New Roman" w:hAnsi="Times New Roman" w:cs="Times New Roman"/>
          <w:sz w:val="28"/>
          <w:szCs w:val="28"/>
        </w:rPr>
        <w:t xml:space="preserve">o dinamică ascendentă și </w:t>
      </w:r>
      <w:r w:rsidR="0058797F" w:rsidRPr="00E15A52">
        <w:rPr>
          <w:rFonts w:ascii="Times New Roman" w:hAnsi="Times New Roman" w:cs="Times New Roman"/>
          <w:sz w:val="28"/>
          <w:szCs w:val="28"/>
        </w:rPr>
        <w:t>tendințe de c</w:t>
      </w:r>
      <w:r w:rsidR="007116A5" w:rsidRPr="00E15A52">
        <w:rPr>
          <w:rFonts w:ascii="Times New Roman" w:hAnsi="Times New Roman" w:cs="Times New Roman"/>
          <w:sz w:val="28"/>
          <w:szCs w:val="28"/>
        </w:rPr>
        <w:t xml:space="preserve">reștere continuă a restanțelor </w:t>
      </w:r>
      <w:r w:rsidR="0035758B" w:rsidRPr="00E15A52">
        <w:rPr>
          <w:rFonts w:ascii="Times New Roman" w:hAnsi="Times New Roman" w:cs="Times New Roman"/>
          <w:sz w:val="28"/>
          <w:szCs w:val="28"/>
        </w:rPr>
        <w:t xml:space="preserve">administrate de SFS </w:t>
      </w:r>
      <w:r w:rsidR="007116A5" w:rsidRPr="00E15A52">
        <w:rPr>
          <w:rFonts w:ascii="Times New Roman" w:eastAsia="Times New Roman" w:hAnsi="Times New Roman" w:cs="Times New Roman"/>
          <w:bCs/>
          <w:sz w:val="28"/>
          <w:szCs w:val="28"/>
        </w:rPr>
        <w:t>(de la 1844,6 mil.lei - în anul 2015, până la 2182 mil.lei - în anul 2017</w:t>
      </w:r>
      <w:r w:rsidR="0035758B" w:rsidRPr="00E15A52">
        <w:rPr>
          <w:rFonts w:ascii="Times New Roman" w:eastAsia="Times New Roman" w:hAnsi="Times New Roman" w:cs="Times New Roman"/>
          <w:bCs/>
          <w:sz w:val="28"/>
          <w:szCs w:val="28"/>
        </w:rPr>
        <w:t xml:space="preserve">), precum și a celor administrate de SV (de la 307,2 mil.lei - în anul 2015, până la 385,8 mil.lei - în anul 2017), </w:t>
      </w:r>
      <w:r w:rsidR="0058797F" w:rsidRPr="00E15A52">
        <w:rPr>
          <w:rFonts w:ascii="Times New Roman" w:hAnsi="Times New Roman" w:cs="Times New Roman"/>
          <w:sz w:val="28"/>
          <w:szCs w:val="28"/>
        </w:rPr>
        <w:t>rezerve în monitorizarea a</w:t>
      </w:r>
      <w:r w:rsidR="00E123C4" w:rsidRPr="00E15A52">
        <w:rPr>
          <w:rFonts w:ascii="Times New Roman" w:hAnsi="Times New Roman" w:cs="Times New Roman"/>
          <w:sz w:val="28"/>
          <w:szCs w:val="28"/>
        </w:rPr>
        <w:t>c</w:t>
      </w:r>
      <w:r w:rsidR="0058797F" w:rsidRPr="00E15A52">
        <w:rPr>
          <w:rFonts w:ascii="Times New Roman" w:hAnsi="Times New Roman" w:cs="Times New Roman"/>
          <w:sz w:val="28"/>
          <w:szCs w:val="28"/>
        </w:rPr>
        <w:t xml:space="preserve">tivității subdiviziunilor cu atribuții de încasare silită a obligațiilor fiscale și vamale, insuficiența, </w:t>
      </w:r>
      <w:proofErr w:type="spellStart"/>
      <w:r w:rsidR="0058797F" w:rsidRPr="00E15A52">
        <w:rPr>
          <w:rFonts w:ascii="Times New Roman" w:hAnsi="Times New Roman" w:cs="Times New Roman"/>
          <w:sz w:val="28"/>
          <w:szCs w:val="28"/>
        </w:rPr>
        <w:t>rezultativitatea</w:t>
      </w:r>
      <w:proofErr w:type="spellEnd"/>
      <w:r w:rsidR="0058797F" w:rsidRPr="00E15A52">
        <w:rPr>
          <w:rFonts w:ascii="Times New Roman" w:hAnsi="Times New Roman" w:cs="Times New Roman"/>
          <w:sz w:val="28"/>
          <w:szCs w:val="28"/>
        </w:rPr>
        <w:t xml:space="preserve"> și funcționalitatea redus</w:t>
      </w:r>
      <w:r w:rsidR="00E123C4" w:rsidRPr="00E15A52">
        <w:rPr>
          <w:rFonts w:ascii="Times New Roman" w:hAnsi="Times New Roman" w:cs="Times New Roman"/>
          <w:sz w:val="28"/>
          <w:szCs w:val="28"/>
        </w:rPr>
        <w:t>e,</w:t>
      </w:r>
      <w:r w:rsidR="0058797F" w:rsidRPr="00E15A52">
        <w:rPr>
          <w:rFonts w:ascii="Times New Roman" w:hAnsi="Times New Roman" w:cs="Times New Roman"/>
          <w:sz w:val="28"/>
          <w:szCs w:val="28"/>
        </w:rPr>
        <w:t xml:space="preserve"> în unele cazuri</w:t>
      </w:r>
      <w:r w:rsidR="00E123C4" w:rsidRPr="00E15A52">
        <w:rPr>
          <w:rFonts w:ascii="Times New Roman" w:hAnsi="Times New Roman" w:cs="Times New Roman"/>
          <w:sz w:val="28"/>
          <w:szCs w:val="28"/>
        </w:rPr>
        <w:t>,</w:t>
      </w:r>
      <w:r w:rsidR="0058797F" w:rsidRPr="00E15A52">
        <w:rPr>
          <w:rFonts w:ascii="Times New Roman" w:hAnsi="Times New Roman" w:cs="Times New Roman"/>
          <w:sz w:val="28"/>
          <w:szCs w:val="28"/>
        </w:rPr>
        <w:t xml:space="preserve"> a</w:t>
      </w:r>
      <w:r w:rsidR="00E123C4" w:rsidRPr="00E15A52">
        <w:rPr>
          <w:rFonts w:ascii="Times New Roman" w:hAnsi="Times New Roman" w:cs="Times New Roman"/>
          <w:sz w:val="28"/>
          <w:szCs w:val="28"/>
        </w:rPr>
        <w:t>le</w:t>
      </w:r>
      <w:r w:rsidR="0058797F" w:rsidRPr="00E15A52">
        <w:rPr>
          <w:rFonts w:ascii="Times New Roman" w:hAnsi="Times New Roman" w:cs="Times New Roman"/>
          <w:sz w:val="28"/>
          <w:szCs w:val="28"/>
        </w:rPr>
        <w:t xml:space="preserve"> măsurilor/ mecanismelor aplicate de </w:t>
      </w:r>
      <w:r w:rsidR="00E123C4" w:rsidRPr="00E15A52">
        <w:rPr>
          <w:rFonts w:ascii="Times New Roman" w:hAnsi="Times New Roman" w:cs="Times New Roman"/>
          <w:sz w:val="28"/>
          <w:szCs w:val="28"/>
        </w:rPr>
        <w:t xml:space="preserve">către </w:t>
      </w:r>
      <w:r w:rsidR="0058797F" w:rsidRPr="00E15A52">
        <w:rPr>
          <w:rFonts w:ascii="Times New Roman" w:hAnsi="Times New Roman" w:cs="Times New Roman"/>
          <w:sz w:val="28"/>
          <w:szCs w:val="28"/>
        </w:rPr>
        <w:t>SFS și SV în vederea recuperării restanțelor</w:t>
      </w:r>
      <w:r>
        <w:rPr>
          <w:rFonts w:ascii="Times New Roman" w:hAnsi="Times New Roman" w:cs="Times New Roman"/>
          <w:sz w:val="28"/>
          <w:szCs w:val="28"/>
        </w:rPr>
        <w:t>.</w:t>
      </w:r>
    </w:p>
    <w:p w:rsidR="00E15A52" w:rsidRDefault="00E15A52" w:rsidP="00E15A52">
      <w:pPr>
        <w:tabs>
          <w:tab w:val="left" w:pos="270"/>
          <w:tab w:val="left" w:pos="360"/>
          <w:tab w:val="left" w:pos="720"/>
        </w:tabs>
        <w:spacing w:after="0" w:line="276" w:lineRule="auto"/>
        <w:jc w:val="both"/>
        <w:rPr>
          <w:rFonts w:ascii="Times New Roman" w:hAnsi="Times New Roman" w:cs="Times New Roman"/>
          <w:sz w:val="28"/>
          <w:szCs w:val="28"/>
          <w:lang w:val="ro-MD"/>
        </w:rPr>
      </w:pPr>
      <w:r>
        <w:rPr>
          <w:rFonts w:ascii="Times New Roman" w:hAnsi="Times New Roman" w:cs="Times New Roman"/>
          <w:sz w:val="28"/>
          <w:szCs w:val="28"/>
        </w:rPr>
        <w:tab/>
      </w:r>
      <w:r>
        <w:rPr>
          <w:rFonts w:ascii="Times New Roman" w:hAnsi="Times New Roman" w:cs="Times New Roman"/>
          <w:sz w:val="28"/>
          <w:szCs w:val="28"/>
        </w:rPr>
        <w:tab/>
        <w:t xml:space="preserve">(vi) </w:t>
      </w:r>
      <w:r w:rsidR="00E123C4" w:rsidRPr="00E15A52">
        <w:rPr>
          <w:rFonts w:ascii="Times New Roman" w:eastAsia="Times New Roman" w:hAnsi="Times New Roman" w:cs="Times New Roman"/>
          <w:sz w:val="28"/>
          <w:szCs w:val="28"/>
        </w:rPr>
        <w:t>Cât privește p</w:t>
      </w:r>
      <w:r w:rsidR="007E580C" w:rsidRPr="00E15A52">
        <w:rPr>
          <w:rFonts w:ascii="Times New Roman" w:eastAsia="Times New Roman" w:hAnsi="Times New Roman" w:cs="Times New Roman"/>
          <w:sz w:val="28"/>
          <w:szCs w:val="28"/>
        </w:rPr>
        <w:t>rocesul de c</w:t>
      </w:r>
      <w:proofErr w:type="spellStart"/>
      <w:r w:rsidR="007E580C" w:rsidRPr="00E15A52">
        <w:rPr>
          <w:rFonts w:ascii="Times New Roman" w:hAnsi="Times New Roman" w:cs="Times New Roman"/>
          <w:sz w:val="28"/>
          <w:szCs w:val="28"/>
          <w:lang w:val="ro-MD"/>
        </w:rPr>
        <w:t>onformare</w:t>
      </w:r>
      <w:proofErr w:type="spellEnd"/>
      <w:r w:rsidR="007E580C" w:rsidRPr="00E15A52">
        <w:rPr>
          <w:rFonts w:ascii="Times New Roman" w:hAnsi="Times New Roman" w:cs="Times New Roman"/>
          <w:sz w:val="28"/>
          <w:szCs w:val="28"/>
          <w:lang w:val="ro-MD"/>
        </w:rPr>
        <w:t xml:space="preserve"> voluntară la declararea și achitarea impozitelor și taxelor</w:t>
      </w:r>
      <w:r w:rsidR="00E123C4" w:rsidRPr="00E15A52">
        <w:rPr>
          <w:rFonts w:ascii="Times New Roman" w:hAnsi="Times New Roman" w:cs="Times New Roman"/>
          <w:sz w:val="28"/>
          <w:szCs w:val="28"/>
          <w:lang w:val="ro-MD"/>
        </w:rPr>
        <w:t>,</w:t>
      </w:r>
      <w:r w:rsidR="007E580C" w:rsidRPr="00E15A52">
        <w:rPr>
          <w:rFonts w:ascii="Times New Roman" w:hAnsi="Times New Roman" w:cs="Times New Roman"/>
          <w:sz w:val="28"/>
          <w:szCs w:val="28"/>
          <w:lang w:val="ro-MD"/>
        </w:rPr>
        <w:t xml:space="preserve">  </w:t>
      </w:r>
      <w:r w:rsidR="00E123C4" w:rsidRPr="00E15A52">
        <w:rPr>
          <w:rFonts w:ascii="Times New Roman" w:hAnsi="Times New Roman" w:cs="Times New Roman"/>
          <w:sz w:val="28"/>
          <w:szCs w:val="28"/>
          <w:lang w:val="ro-MD"/>
        </w:rPr>
        <w:t xml:space="preserve">auditul denotă </w:t>
      </w:r>
      <w:r w:rsidR="007E580C" w:rsidRPr="00E15A52">
        <w:rPr>
          <w:rFonts w:ascii="Times New Roman" w:hAnsi="Times New Roman" w:cs="Times New Roman"/>
          <w:sz w:val="28"/>
          <w:szCs w:val="28"/>
          <w:lang w:val="ro-MD"/>
        </w:rPr>
        <w:t xml:space="preserve">că, deși organele fiscale și vamale au întreprins măsuri în vederea </w:t>
      </w:r>
      <w:r w:rsidR="0035758B" w:rsidRPr="00E15A52">
        <w:rPr>
          <w:rFonts w:ascii="Times New Roman" w:hAnsi="Times New Roman" w:cs="Times New Roman"/>
          <w:sz w:val="28"/>
          <w:szCs w:val="28"/>
          <w:lang w:val="ro-MD"/>
        </w:rPr>
        <w:t>promovării continue a conformării voluntare</w:t>
      </w:r>
      <w:r w:rsidR="007E580C" w:rsidRPr="00E15A52">
        <w:rPr>
          <w:rFonts w:ascii="Times New Roman" w:hAnsi="Times New Roman" w:cs="Times New Roman"/>
          <w:sz w:val="28"/>
          <w:szCs w:val="28"/>
          <w:lang w:val="ro-MD"/>
        </w:rPr>
        <w:t xml:space="preserve">, fiind atinse unele rezultate în domeniu, </w:t>
      </w:r>
      <w:r w:rsidR="00B33A68" w:rsidRPr="00E15A52">
        <w:rPr>
          <w:rFonts w:ascii="Times New Roman" w:hAnsi="Times New Roman" w:cs="Times New Roman"/>
          <w:sz w:val="28"/>
          <w:szCs w:val="28"/>
          <w:lang w:val="ro-MD"/>
        </w:rPr>
        <w:t xml:space="preserve">se constată </w:t>
      </w:r>
      <w:r w:rsidR="0035758B" w:rsidRPr="00E15A52">
        <w:rPr>
          <w:rFonts w:ascii="Times New Roman" w:hAnsi="Times New Roman" w:cs="Times New Roman"/>
          <w:sz w:val="28"/>
          <w:szCs w:val="28"/>
          <w:lang w:val="ro-MD"/>
        </w:rPr>
        <w:t>un nivel insuficient a</w:t>
      </w:r>
      <w:r w:rsidR="00B33A68" w:rsidRPr="00E15A52">
        <w:rPr>
          <w:rFonts w:ascii="Times New Roman" w:hAnsi="Times New Roman" w:cs="Times New Roman"/>
          <w:sz w:val="28"/>
          <w:szCs w:val="28"/>
          <w:lang w:val="ro-MD"/>
        </w:rPr>
        <w:t>l</w:t>
      </w:r>
      <w:r w:rsidR="0035758B" w:rsidRPr="00E15A52">
        <w:rPr>
          <w:rFonts w:ascii="Times New Roman" w:hAnsi="Times New Roman" w:cs="Times New Roman"/>
          <w:sz w:val="28"/>
          <w:szCs w:val="28"/>
          <w:lang w:val="ro-MD"/>
        </w:rPr>
        <w:t xml:space="preserve"> conformării voluntare a </w:t>
      </w:r>
      <w:r w:rsidR="004C1DF9" w:rsidRPr="00E15A52">
        <w:rPr>
          <w:rFonts w:ascii="Times New Roman" w:hAnsi="Times New Roman" w:cs="Times New Roman"/>
          <w:sz w:val="28"/>
          <w:szCs w:val="28"/>
          <w:lang w:val="ro-MD"/>
        </w:rPr>
        <w:t>contribuabililor și plătitorilor vamali.</w:t>
      </w:r>
    </w:p>
    <w:p w:rsidR="00E15A52" w:rsidRDefault="00E15A52" w:rsidP="00E15A52">
      <w:pPr>
        <w:tabs>
          <w:tab w:val="left" w:pos="270"/>
          <w:tab w:val="left" w:pos="360"/>
          <w:tab w:val="left" w:pos="720"/>
        </w:tabs>
        <w:spacing w:after="0" w:line="276" w:lineRule="auto"/>
        <w:jc w:val="both"/>
        <w:rPr>
          <w:rFonts w:ascii="Times New Roman" w:hAnsi="Times New Roman" w:cs="Times New Roman"/>
          <w:sz w:val="28"/>
          <w:szCs w:val="28"/>
        </w:rPr>
      </w:pPr>
      <w:r>
        <w:rPr>
          <w:rFonts w:ascii="Times New Roman" w:hAnsi="Times New Roman" w:cs="Times New Roman"/>
          <w:sz w:val="28"/>
          <w:szCs w:val="28"/>
          <w:lang w:val="ro-MD"/>
        </w:rPr>
        <w:tab/>
      </w:r>
      <w:r>
        <w:rPr>
          <w:rFonts w:ascii="Times New Roman" w:hAnsi="Times New Roman" w:cs="Times New Roman"/>
          <w:sz w:val="28"/>
          <w:szCs w:val="28"/>
          <w:lang w:val="ro-MD"/>
        </w:rPr>
        <w:tab/>
        <w:t xml:space="preserve">(vii) </w:t>
      </w:r>
      <w:r w:rsidR="00E76B2F" w:rsidRPr="00E15A52">
        <w:rPr>
          <w:rFonts w:ascii="Times New Roman" w:hAnsi="Times New Roman" w:cs="Times New Roman"/>
          <w:sz w:val="28"/>
          <w:szCs w:val="28"/>
          <w:lang w:val="ro-MD"/>
        </w:rPr>
        <w:t>În</w:t>
      </w:r>
      <w:r w:rsidR="00B33A68" w:rsidRPr="00E15A52">
        <w:rPr>
          <w:rFonts w:ascii="Times New Roman" w:hAnsi="Times New Roman" w:cs="Times New Roman"/>
          <w:sz w:val="28"/>
          <w:szCs w:val="28"/>
          <w:lang w:val="ro-MD"/>
        </w:rPr>
        <w:t xml:space="preserve"> p</w:t>
      </w:r>
      <w:r w:rsidR="004D3D09" w:rsidRPr="00E15A52">
        <w:rPr>
          <w:rFonts w:ascii="Times New Roman" w:hAnsi="Times New Roman" w:cs="Times New Roman"/>
          <w:sz w:val="28"/>
          <w:szCs w:val="28"/>
          <w:lang w:val="ro-MD"/>
        </w:rPr>
        <w:t>roces</w:t>
      </w:r>
      <w:r w:rsidR="00B33A68" w:rsidRPr="00E15A52">
        <w:rPr>
          <w:rFonts w:ascii="Times New Roman" w:hAnsi="Times New Roman" w:cs="Times New Roman"/>
          <w:sz w:val="28"/>
          <w:szCs w:val="28"/>
          <w:lang w:val="ro-MD"/>
        </w:rPr>
        <w:t>ele</w:t>
      </w:r>
      <w:r w:rsidR="004D3D09" w:rsidRPr="00E15A52">
        <w:rPr>
          <w:rFonts w:ascii="Times New Roman" w:hAnsi="Times New Roman" w:cs="Times New Roman"/>
          <w:sz w:val="28"/>
          <w:szCs w:val="28"/>
          <w:lang w:val="ro-MD"/>
        </w:rPr>
        <w:t xml:space="preserve"> de </w:t>
      </w:r>
      <w:r w:rsidR="004D3D09" w:rsidRPr="00E15A52">
        <w:rPr>
          <w:rFonts w:ascii="Times New Roman" w:eastAsia="Times New Roman" w:hAnsi="Times New Roman" w:cs="Times New Roman"/>
          <w:sz w:val="28"/>
          <w:szCs w:val="28"/>
          <w:lang w:eastAsia="ru-RU"/>
        </w:rPr>
        <w:t xml:space="preserve">organizare, efectuare și exercitare a controalelor fiscale și vamale, deși administratorii de venituri </w:t>
      </w:r>
      <w:r w:rsidR="004D3D09" w:rsidRPr="00E15A52">
        <w:rPr>
          <w:rFonts w:ascii="Times New Roman" w:hAnsi="Times New Roman" w:cs="Times New Roman"/>
          <w:sz w:val="28"/>
          <w:szCs w:val="28"/>
        </w:rPr>
        <w:t>au modernizat și actualizat procesele de control</w:t>
      </w:r>
      <w:r w:rsidR="004D3D09" w:rsidRPr="00E15A52">
        <w:rPr>
          <w:rFonts w:ascii="Times New Roman" w:hAnsi="Times New Roman" w:cs="Times New Roman"/>
          <w:sz w:val="28"/>
          <w:szCs w:val="28"/>
          <w:lang w:val="ro-MD"/>
        </w:rPr>
        <w:t>, precum și criteriile de selectivitate</w:t>
      </w:r>
      <w:r w:rsidR="00E76B2F" w:rsidRPr="00E15A52">
        <w:rPr>
          <w:rFonts w:ascii="Times New Roman" w:hAnsi="Times New Roman" w:cs="Times New Roman"/>
          <w:sz w:val="28"/>
          <w:szCs w:val="28"/>
          <w:lang w:val="ro-MD"/>
        </w:rPr>
        <w:t>,</w:t>
      </w:r>
      <w:r w:rsidR="004D3D09" w:rsidRPr="00E15A52">
        <w:rPr>
          <w:rFonts w:ascii="Times New Roman" w:hAnsi="Times New Roman" w:cs="Times New Roman"/>
          <w:sz w:val="28"/>
          <w:szCs w:val="28"/>
          <w:lang w:val="ro-MD"/>
        </w:rPr>
        <w:t xml:space="preserve"> </w:t>
      </w:r>
      <w:r w:rsidR="004D3D09" w:rsidRPr="00E15A52">
        <w:rPr>
          <w:rFonts w:ascii="Times New Roman" w:hAnsi="Times New Roman"/>
          <w:sz w:val="28"/>
          <w:szCs w:val="28"/>
          <w:lang w:val="ro-MD" w:eastAsia="zh-CN"/>
        </w:rPr>
        <w:t>bazate pe procedee de analiză a riscurilor</w:t>
      </w:r>
      <w:r w:rsidR="004D3D09" w:rsidRPr="00E15A52">
        <w:rPr>
          <w:rFonts w:ascii="Times New Roman" w:hAnsi="Times New Roman" w:cs="Times New Roman"/>
          <w:sz w:val="28"/>
          <w:szCs w:val="28"/>
          <w:lang w:val="ro-MD"/>
        </w:rPr>
        <w:t xml:space="preserve">, se </w:t>
      </w:r>
      <w:r w:rsidR="00E76B2F" w:rsidRPr="00E15A52">
        <w:rPr>
          <w:rFonts w:ascii="Times New Roman" w:hAnsi="Times New Roman" w:cs="Times New Roman"/>
          <w:sz w:val="28"/>
          <w:szCs w:val="28"/>
          <w:lang w:val="ro-MD"/>
        </w:rPr>
        <w:t>atestă</w:t>
      </w:r>
      <w:r w:rsidR="004D3D09" w:rsidRPr="00E15A52">
        <w:rPr>
          <w:rFonts w:ascii="Times New Roman" w:hAnsi="Times New Roman" w:cs="Times New Roman"/>
          <w:sz w:val="28"/>
          <w:szCs w:val="28"/>
          <w:lang w:val="ro-MD"/>
        </w:rPr>
        <w:t xml:space="preserve"> neîncasarea </w:t>
      </w:r>
      <w:r w:rsidR="00300711" w:rsidRPr="00E15A52">
        <w:rPr>
          <w:rFonts w:ascii="Times New Roman" w:hAnsi="Times New Roman" w:cs="Times New Roman"/>
          <w:sz w:val="28"/>
          <w:szCs w:val="28"/>
          <w:lang w:val="ro-MD"/>
        </w:rPr>
        <w:t xml:space="preserve">la buget </w:t>
      </w:r>
      <w:r w:rsidR="00E76B2F" w:rsidRPr="00E15A52">
        <w:rPr>
          <w:rFonts w:ascii="Times New Roman" w:hAnsi="Times New Roman" w:cs="Times New Roman"/>
          <w:sz w:val="28"/>
          <w:szCs w:val="28"/>
          <w:lang w:val="ro-MD"/>
        </w:rPr>
        <w:t xml:space="preserve">a </w:t>
      </w:r>
      <w:r w:rsidR="004D3D09" w:rsidRPr="00E15A52">
        <w:rPr>
          <w:rFonts w:ascii="Times New Roman" w:hAnsi="Times New Roman" w:cs="Times New Roman"/>
          <w:sz w:val="28"/>
          <w:szCs w:val="28"/>
        </w:rPr>
        <w:t>unor sume calculate suplimentar/</w:t>
      </w:r>
      <w:r w:rsidR="00A472E9">
        <w:rPr>
          <w:rFonts w:ascii="Times New Roman" w:hAnsi="Times New Roman" w:cs="Times New Roman"/>
          <w:sz w:val="28"/>
          <w:szCs w:val="28"/>
        </w:rPr>
        <w:t xml:space="preserve"> </w:t>
      </w:r>
      <w:r w:rsidR="004D3D09" w:rsidRPr="00E15A52">
        <w:rPr>
          <w:rFonts w:ascii="Times New Roman" w:hAnsi="Times New Roman" w:cs="Times New Roman"/>
          <w:sz w:val="28"/>
          <w:szCs w:val="28"/>
        </w:rPr>
        <w:t>recalculate în baza controalelor efectuate</w:t>
      </w:r>
      <w:r w:rsidR="00A472E9">
        <w:rPr>
          <w:rFonts w:ascii="Times New Roman" w:hAnsi="Times New Roman" w:cs="Times New Roman"/>
          <w:sz w:val="28"/>
          <w:szCs w:val="28"/>
          <w:lang w:val="ro-MD"/>
        </w:rPr>
        <w:t xml:space="preserve">, </w:t>
      </w:r>
      <w:r w:rsidR="004D3D09" w:rsidRPr="00E15A52">
        <w:rPr>
          <w:rFonts w:ascii="Times New Roman" w:hAnsi="Times New Roman" w:cs="Times New Roman"/>
          <w:sz w:val="28"/>
          <w:szCs w:val="28"/>
          <w:lang w:val="ro-MD"/>
        </w:rPr>
        <w:t>precum și</w:t>
      </w:r>
      <w:r w:rsidR="004D3D09" w:rsidRPr="00E15A52">
        <w:rPr>
          <w:rFonts w:ascii="Times New Roman" w:hAnsi="Times New Roman" w:cs="Times New Roman"/>
          <w:sz w:val="28"/>
          <w:szCs w:val="28"/>
        </w:rPr>
        <w:t xml:space="preserve"> anularea unor calcule</w:t>
      </w:r>
      <w:r w:rsidR="00300711" w:rsidRPr="00E15A52">
        <w:rPr>
          <w:rFonts w:ascii="Times New Roman" w:hAnsi="Times New Roman" w:cs="Times New Roman"/>
          <w:sz w:val="28"/>
          <w:szCs w:val="28"/>
        </w:rPr>
        <w:t xml:space="preserve"> </w:t>
      </w:r>
      <w:r w:rsidR="00582AA1" w:rsidRPr="00E15A52">
        <w:rPr>
          <w:rFonts w:ascii="Times New Roman" w:hAnsi="Times New Roman" w:cs="Times New Roman"/>
          <w:sz w:val="28"/>
          <w:szCs w:val="28"/>
        </w:rPr>
        <w:t xml:space="preserve">suplimentare la buget </w:t>
      </w:r>
      <w:r w:rsidR="00300711" w:rsidRPr="00E15A52">
        <w:rPr>
          <w:rFonts w:ascii="Times New Roman" w:hAnsi="Times New Roman" w:cs="Times New Roman"/>
          <w:sz w:val="28"/>
          <w:szCs w:val="28"/>
        </w:rPr>
        <w:t>în urma</w:t>
      </w:r>
      <w:r w:rsidR="004D3D09" w:rsidRPr="00E15A52">
        <w:rPr>
          <w:rFonts w:ascii="Times New Roman" w:hAnsi="Times New Roman" w:cs="Times New Roman"/>
          <w:sz w:val="28"/>
          <w:szCs w:val="28"/>
        </w:rPr>
        <w:t xml:space="preserve"> examinării contestațiilor/cererilor de chemare în judecată depuse de cont</w:t>
      </w:r>
      <w:r>
        <w:rPr>
          <w:rFonts w:ascii="Times New Roman" w:hAnsi="Times New Roman" w:cs="Times New Roman"/>
          <w:sz w:val="28"/>
          <w:szCs w:val="28"/>
        </w:rPr>
        <w:t>ribuabili și plătitorii vamali.</w:t>
      </w:r>
    </w:p>
    <w:p w:rsidR="00E15A52" w:rsidRDefault="00E15A52" w:rsidP="00E15A52">
      <w:pPr>
        <w:tabs>
          <w:tab w:val="left" w:pos="270"/>
          <w:tab w:val="left" w:pos="360"/>
          <w:tab w:val="left" w:pos="720"/>
        </w:tabs>
        <w:spacing w:after="0" w:line="276"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(viii) </w:t>
      </w:r>
      <w:r w:rsidR="00E76B2F" w:rsidRPr="00E15A52">
        <w:rPr>
          <w:rFonts w:ascii="Times New Roman" w:hAnsi="Times New Roman" w:cs="Times New Roman"/>
          <w:sz w:val="28"/>
          <w:szCs w:val="28"/>
        </w:rPr>
        <w:t>Referitor la i</w:t>
      </w:r>
      <w:r w:rsidR="00300711" w:rsidRPr="00E15A52">
        <w:rPr>
          <w:rFonts w:ascii="Times New Roman" w:hAnsi="Times New Roman" w:cs="Times New Roman"/>
          <w:sz w:val="28"/>
          <w:szCs w:val="28"/>
        </w:rPr>
        <w:t>mplementarea de către organele fiscale și vamale a recomandărilor auditurilor precedente ale C</w:t>
      </w:r>
      <w:r w:rsidR="000857E7" w:rsidRPr="00E15A52">
        <w:rPr>
          <w:rFonts w:ascii="Times New Roman" w:hAnsi="Times New Roman" w:cs="Times New Roman"/>
          <w:sz w:val="28"/>
          <w:szCs w:val="28"/>
        </w:rPr>
        <w:t>CRM</w:t>
      </w:r>
      <w:r w:rsidR="00E76B2F" w:rsidRPr="00E15A52">
        <w:rPr>
          <w:rFonts w:ascii="Times New Roman" w:hAnsi="Times New Roman" w:cs="Times New Roman"/>
          <w:sz w:val="28"/>
          <w:szCs w:val="28"/>
        </w:rPr>
        <w:t>,</w:t>
      </w:r>
      <w:r w:rsidR="00300711" w:rsidRPr="00E15A52">
        <w:rPr>
          <w:rFonts w:ascii="Times New Roman" w:hAnsi="Times New Roman" w:cs="Times New Roman"/>
          <w:sz w:val="28"/>
          <w:szCs w:val="28"/>
        </w:rPr>
        <w:t xml:space="preserve"> </w:t>
      </w:r>
      <w:r w:rsidR="00E76B2F" w:rsidRPr="00E15A52">
        <w:rPr>
          <w:rFonts w:ascii="Times New Roman" w:hAnsi="Times New Roman"/>
          <w:sz w:val="28"/>
          <w:szCs w:val="28"/>
        </w:rPr>
        <w:t xml:space="preserve">auditul denotă </w:t>
      </w:r>
      <w:r w:rsidR="00300711" w:rsidRPr="00E15A52">
        <w:rPr>
          <w:rFonts w:ascii="Times New Roman" w:hAnsi="Times New Roman" w:cs="Times New Roman"/>
          <w:sz w:val="28"/>
          <w:szCs w:val="28"/>
        </w:rPr>
        <w:t xml:space="preserve">că, </w:t>
      </w:r>
      <w:r w:rsidR="00300711" w:rsidRPr="00E15A52">
        <w:rPr>
          <w:rFonts w:ascii="Times New Roman" w:eastAsia="Times New Roman" w:hAnsi="Times New Roman"/>
          <w:sz w:val="28"/>
          <w:szCs w:val="28"/>
          <w:lang w:eastAsia="ru-RU"/>
        </w:rPr>
        <w:t>deși factorii de decizie a</w:t>
      </w:r>
      <w:r w:rsidR="00E76B2F" w:rsidRPr="00E15A52">
        <w:rPr>
          <w:rFonts w:ascii="Times New Roman" w:eastAsia="Times New Roman" w:hAnsi="Times New Roman"/>
          <w:sz w:val="28"/>
          <w:szCs w:val="28"/>
          <w:lang w:eastAsia="ru-RU"/>
        </w:rPr>
        <w:t>i</w:t>
      </w:r>
      <w:r w:rsidR="00300711" w:rsidRPr="00E15A52">
        <w:rPr>
          <w:rFonts w:ascii="Times New Roman" w:eastAsia="Times New Roman" w:hAnsi="Times New Roman"/>
          <w:sz w:val="28"/>
          <w:szCs w:val="28"/>
          <w:lang w:eastAsia="ru-RU"/>
        </w:rPr>
        <w:t xml:space="preserve"> entităților auditate a</w:t>
      </w:r>
      <w:r w:rsidR="00300711" w:rsidRPr="00E15A52">
        <w:rPr>
          <w:rFonts w:ascii="Times New Roman" w:hAnsi="Times New Roman"/>
          <w:sz w:val="28"/>
          <w:szCs w:val="28"/>
        </w:rPr>
        <w:t xml:space="preserve">u întreprins </w:t>
      </w:r>
      <w:r w:rsidR="0035758B" w:rsidRPr="00E15A52">
        <w:rPr>
          <w:rFonts w:ascii="Times New Roman" w:hAnsi="Times New Roman"/>
          <w:sz w:val="28"/>
          <w:szCs w:val="28"/>
        </w:rPr>
        <w:t xml:space="preserve">unele măsuri </w:t>
      </w:r>
      <w:r w:rsidR="00E76B2F" w:rsidRPr="00E15A52">
        <w:rPr>
          <w:rFonts w:ascii="Times New Roman" w:hAnsi="Times New Roman"/>
          <w:sz w:val="28"/>
          <w:szCs w:val="28"/>
        </w:rPr>
        <w:t xml:space="preserve">în </w:t>
      </w:r>
      <w:r w:rsidR="00300711" w:rsidRPr="00E15A52">
        <w:rPr>
          <w:rFonts w:ascii="Times New Roman" w:hAnsi="Times New Roman"/>
          <w:sz w:val="28"/>
          <w:szCs w:val="28"/>
        </w:rPr>
        <w:t xml:space="preserve">vederea remedierii problematicilor și vulnerabilităților </w:t>
      </w:r>
      <w:r w:rsidR="0035758B" w:rsidRPr="00E15A52">
        <w:rPr>
          <w:rFonts w:ascii="Times New Roman" w:hAnsi="Times New Roman"/>
          <w:sz w:val="28"/>
          <w:szCs w:val="28"/>
        </w:rPr>
        <w:t>constatate în cadrul misiunilor</w:t>
      </w:r>
      <w:r w:rsidR="00300711" w:rsidRPr="00E15A52">
        <w:rPr>
          <w:rFonts w:ascii="Times New Roman" w:hAnsi="Times New Roman"/>
          <w:sz w:val="28"/>
          <w:szCs w:val="28"/>
        </w:rPr>
        <w:t xml:space="preserve"> de audit precedente, </w:t>
      </w:r>
      <w:r w:rsidR="00E76B2F" w:rsidRPr="00E15A52">
        <w:rPr>
          <w:rFonts w:ascii="Times New Roman" w:hAnsi="Times New Roman"/>
          <w:sz w:val="28"/>
          <w:szCs w:val="28"/>
        </w:rPr>
        <w:t xml:space="preserve">mai </w:t>
      </w:r>
      <w:r w:rsidR="0035758B" w:rsidRPr="00E15A52">
        <w:rPr>
          <w:rFonts w:ascii="Times New Roman" w:hAnsi="Times New Roman"/>
          <w:sz w:val="28"/>
          <w:szCs w:val="28"/>
        </w:rPr>
        <w:t>persist</w:t>
      </w:r>
      <w:r w:rsidR="00E76B2F" w:rsidRPr="00E15A52">
        <w:rPr>
          <w:rFonts w:ascii="Times New Roman" w:hAnsi="Times New Roman"/>
          <w:sz w:val="28"/>
          <w:szCs w:val="28"/>
        </w:rPr>
        <w:t>ă</w:t>
      </w:r>
      <w:r w:rsidR="00300711" w:rsidRPr="00E15A52">
        <w:rPr>
          <w:rFonts w:ascii="Times New Roman" w:hAnsi="Times New Roman"/>
          <w:sz w:val="28"/>
          <w:szCs w:val="28"/>
        </w:rPr>
        <w:t xml:space="preserve"> un</w:t>
      </w:r>
      <w:r w:rsidR="00E76B2F" w:rsidRPr="00E15A52">
        <w:rPr>
          <w:rFonts w:ascii="Times New Roman" w:hAnsi="Times New Roman"/>
          <w:sz w:val="28"/>
          <w:szCs w:val="28"/>
        </w:rPr>
        <w:t>ele</w:t>
      </w:r>
      <w:r w:rsidR="000857E7" w:rsidRPr="00E15A52">
        <w:rPr>
          <w:rFonts w:ascii="Times New Roman" w:hAnsi="Times New Roman"/>
          <w:sz w:val="28"/>
          <w:szCs w:val="28"/>
        </w:rPr>
        <w:t xml:space="preserve"> deficiențe</w:t>
      </w:r>
      <w:r w:rsidR="0035758B" w:rsidRPr="00E15A52">
        <w:rPr>
          <w:rFonts w:ascii="Times New Roman" w:hAnsi="Times New Roman"/>
          <w:sz w:val="28"/>
          <w:szCs w:val="28"/>
        </w:rPr>
        <w:t>, fapt</w:t>
      </w:r>
      <w:r w:rsidR="000857E7" w:rsidRPr="00E15A52">
        <w:rPr>
          <w:rFonts w:ascii="Times New Roman" w:hAnsi="Times New Roman"/>
          <w:sz w:val="28"/>
          <w:szCs w:val="28"/>
        </w:rPr>
        <w:t xml:space="preserve"> care afectează în continuare procesul de administrare a impozitelor și taxelor.</w:t>
      </w:r>
    </w:p>
    <w:p w:rsidR="000857E7" w:rsidRPr="00E15A52" w:rsidRDefault="00E15A52" w:rsidP="00E15A52">
      <w:pPr>
        <w:tabs>
          <w:tab w:val="left" w:pos="270"/>
          <w:tab w:val="left" w:pos="360"/>
          <w:tab w:val="left" w:pos="720"/>
        </w:tabs>
        <w:spacing w:after="0" w:line="276" w:lineRule="auto"/>
        <w:jc w:val="both"/>
        <w:rPr>
          <w:rFonts w:ascii="Times New Roman" w:hAnsi="Times New Roman" w:cs="Times New Roman"/>
          <w:sz w:val="28"/>
          <w:szCs w:val="28"/>
          <w:lang w:val="ro-MD"/>
        </w:rPr>
      </w:pPr>
      <w:r>
        <w:rPr>
          <w:rFonts w:ascii="Times New Roman" w:hAnsi="Times New Roman"/>
          <w:sz w:val="28"/>
          <w:szCs w:val="28"/>
        </w:rPr>
        <w:tab/>
      </w:r>
      <w:r>
        <w:rPr>
          <w:rFonts w:ascii="Times New Roman" w:hAnsi="Times New Roman"/>
          <w:sz w:val="28"/>
          <w:szCs w:val="28"/>
        </w:rPr>
        <w:tab/>
        <w:t xml:space="preserve"> (ix) </w:t>
      </w:r>
      <w:r w:rsidR="00A472E9">
        <w:rPr>
          <w:rFonts w:ascii="Times New Roman" w:hAnsi="Times New Roman"/>
          <w:sz w:val="28"/>
          <w:szCs w:val="28"/>
        </w:rPr>
        <w:t xml:space="preserve"> </w:t>
      </w:r>
      <w:r w:rsidR="00EF12CD" w:rsidRPr="00E15A52">
        <w:rPr>
          <w:rFonts w:ascii="Times New Roman" w:hAnsi="Times New Roman" w:cs="Times New Roman"/>
          <w:sz w:val="28"/>
          <w:szCs w:val="28"/>
          <w:lang w:val="ro-MD"/>
        </w:rPr>
        <w:t>La o</w:t>
      </w:r>
      <w:r w:rsidR="000857E7" w:rsidRPr="00E15A52">
        <w:rPr>
          <w:rFonts w:ascii="Times New Roman" w:hAnsi="Times New Roman" w:cs="Times New Roman"/>
          <w:sz w:val="28"/>
          <w:szCs w:val="28"/>
          <w:lang w:val="ro-MD"/>
        </w:rPr>
        <w:t>rganizarea și implementarea de către organele fiscale și vamale a SCI, deși au fost asigurate condițiile de instituire și organizare a acestui sistem</w:t>
      </w:r>
      <w:r w:rsidR="00EF12CD" w:rsidRPr="00E15A52">
        <w:rPr>
          <w:rFonts w:ascii="Times New Roman" w:hAnsi="Times New Roman" w:cs="Times New Roman"/>
          <w:sz w:val="28"/>
          <w:szCs w:val="28"/>
          <w:lang w:val="ro-MD"/>
        </w:rPr>
        <w:t>,</w:t>
      </w:r>
      <w:r w:rsidR="000857E7" w:rsidRPr="00E15A52">
        <w:rPr>
          <w:rFonts w:ascii="Times New Roman" w:hAnsi="Times New Roman" w:cs="Times New Roman"/>
          <w:sz w:val="28"/>
          <w:szCs w:val="28"/>
          <w:lang w:val="ro-MD"/>
        </w:rPr>
        <w:t xml:space="preserve"> </w:t>
      </w:r>
      <w:r w:rsidR="000857E7" w:rsidRPr="00E15A52">
        <w:rPr>
          <w:rFonts w:ascii="Times New Roman" w:hAnsi="Times New Roman" w:cs="Times New Roman"/>
          <w:color w:val="000000"/>
          <w:sz w:val="28"/>
          <w:szCs w:val="28"/>
          <w:lang w:val="ro-MD"/>
        </w:rPr>
        <w:t>pentru a</w:t>
      </w:r>
      <w:r w:rsidR="000857E7" w:rsidRPr="00E15A52">
        <w:rPr>
          <w:rFonts w:ascii="Times New Roman" w:hAnsi="Times New Roman" w:cs="Times New Roman"/>
          <w:sz w:val="28"/>
          <w:szCs w:val="28"/>
          <w:lang w:val="ro-MD"/>
        </w:rPr>
        <w:t xml:space="preserve"> oferi o asigurare rezonabilă privind atingerea obiectivelor și rezultatelor planificate, evaluările și activitățile desfășurate de auditul public extern</w:t>
      </w:r>
      <w:r w:rsidR="00EF12CD" w:rsidRPr="00E15A52">
        <w:rPr>
          <w:rFonts w:ascii="Times New Roman" w:hAnsi="Times New Roman" w:cs="Times New Roman"/>
          <w:sz w:val="28"/>
          <w:szCs w:val="28"/>
          <w:lang w:val="ro-MD"/>
        </w:rPr>
        <w:t>,</w:t>
      </w:r>
      <w:r w:rsidR="000857E7" w:rsidRPr="00E15A52">
        <w:rPr>
          <w:rFonts w:ascii="Times New Roman" w:hAnsi="Times New Roman" w:cs="Times New Roman"/>
          <w:sz w:val="28"/>
          <w:szCs w:val="28"/>
          <w:lang w:val="ro-MD"/>
        </w:rPr>
        <w:t xml:space="preserve"> </w:t>
      </w:r>
      <w:r w:rsidR="00EF12CD" w:rsidRPr="00E15A52">
        <w:rPr>
          <w:rFonts w:ascii="Times New Roman" w:hAnsi="Times New Roman" w:cs="Times New Roman"/>
          <w:sz w:val="28"/>
          <w:szCs w:val="28"/>
          <w:lang w:val="ro-MD"/>
        </w:rPr>
        <w:t>atestă</w:t>
      </w:r>
      <w:r w:rsidR="000857E7" w:rsidRPr="00E15A52">
        <w:rPr>
          <w:rFonts w:ascii="Times New Roman" w:hAnsi="Times New Roman" w:cs="Times New Roman"/>
          <w:sz w:val="28"/>
          <w:szCs w:val="28"/>
          <w:lang w:val="ro-MD"/>
        </w:rPr>
        <w:t xml:space="preserve"> unele rezerve, </w:t>
      </w:r>
      <w:r w:rsidR="000857E7" w:rsidRPr="00E15A52">
        <w:rPr>
          <w:rFonts w:ascii="Times New Roman" w:hAnsi="Times New Roman" w:cs="Times New Roman"/>
          <w:sz w:val="28"/>
          <w:szCs w:val="28"/>
        </w:rPr>
        <w:t>care au avut impact asupra</w:t>
      </w:r>
      <w:r w:rsidR="00A472E9">
        <w:rPr>
          <w:rFonts w:ascii="Times New Roman" w:hAnsi="Times New Roman" w:cs="Times New Roman"/>
          <w:sz w:val="28"/>
          <w:szCs w:val="28"/>
        </w:rPr>
        <w:t xml:space="preserve"> </w:t>
      </w:r>
      <w:r w:rsidR="008F2719" w:rsidRPr="00E15A52">
        <w:rPr>
          <w:rFonts w:ascii="Times New Roman" w:hAnsi="Times New Roman" w:cs="Times New Roman"/>
          <w:sz w:val="28"/>
          <w:szCs w:val="28"/>
        </w:rPr>
        <w:t xml:space="preserve">funcționalității și </w:t>
      </w:r>
      <w:proofErr w:type="spellStart"/>
      <w:r w:rsidR="008F2719" w:rsidRPr="00E15A52">
        <w:rPr>
          <w:rFonts w:ascii="Times New Roman" w:hAnsi="Times New Roman" w:cs="Times New Roman"/>
          <w:sz w:val="28"/>
          <w:szCs w:val="28"/>
        </w:rPr>
        <w:t>rezultativității</w:t>
      </w:r>
      <w:proofErr w:type="spellEnd"/>
      <w:r w:rsidR="008F2719" w:rsidRPr="00E15A52">
        <w:rPr>
          <w:rFonts w:ascii="Times New Roman" w:hAnsi="Times New Roman" w:cs="Times New Roman"/>
          <w:sz w:val="28"/>
          <w:szCs w:val="28"/>
        </w:rPr>
        <w:t xml:space="preserve"> operaționale </w:t>
      </w:r>
      <w:r w:rsidR="000857E7" w:rsidRPr="00E15A52">
        <w:rPr>
          <w:rFonts w:ascii="Times New Roman" w:hAnsi="Times New Roman" w:cs="Times New Roman"/>
          <w:sz w:val="28"/>
          <w:szCs w:val="28"/>
        </w:rPr>
        <w:t>în administrarea impozitelor și taxelor.</w:t>
      </w:r>
    </w:p>
    <w:p w:rsidR="000857E7" w:rsidRPr="00C77119" w:rsidRDefault="000857E7" w:rsidP="000857E7">
      <w:pPr>
        <w:tabs>
          <w:tab w:val="left" w:pos="270"/>
          <w:tab w:val="left" w:pos="360"/>
          <w:tab w:val="left" w:pos="720"/>
        </w:tabs>
        <w:spacing w:after="0" w:line="276" w:lineRule="auto"/>
        <w:jc w:val="both"/>
        <w:rPr>
          <w:rFonts w:ascii="Times New Roman" w:hAnsi="Times New Roman" w:cs="Times New Roman"/>
          <w:sz w:val="28"/>
          <w:szCs w:val="28"/>
        </w:rPr>
      </w:pPr>
    </w:p>
    <w:p w:rsidR="000857E7" w:rsidRDefault="000857E7" w:rsidP="000857E7">
      <w:pPr>
        <w:tabs>
          <w:tab w:val="left" w:pos="270"/>
          <w:tab w:val="left" w:pos="360"/>
          <w:tab w:val="left" w:pos="720"/>
        </w:tabs>
        <w:spacing w:after="0" w:line="276" w:lineRule="auto"/>
        <w:jc w:val="both"/>
        <w:rPr>
          <w:rFonts w:ascii="Times New Roman" w:hAnsi="Times New Roman" w:cs="Times New Roman"/>
          <w:sz w:val="28"/>
          <w:szCs w:val="28"/>
          <w:lang w:val="ro-MD"/>
        </w:rPr>
      </w:pPr>
    </w:p>
    <w:p w:rsidR="000857E7" w:rsidRDefault="000857E7" w:rsidP="000857E7">
      <w:pPr>
        <w:tabs>
          <w:tab w:val="left" w:pos="270"/>
          <w:tab w:val="left" w:pos="360"/>
          <w:tab w:val="left" w:pos="720"/>
        </w:tabs>
        <w:spacing w:after="0" w:line="276" w:lineRule="auto"/>
        <w:jc w:val="both"/>
        <w:rPr>
          <w:rFonts w:ascii="Times New Roman" w:hAnsi="Times New Roman" w:cs="Times New Roman"/>
          <w:sz w:val="28"/>
          <w:szCs w:val="28"/>
          <w:lang w:val="ro-MD"/>
        </w:rPr>
      </w:pPr>
    </w:p>
    <w:p w:rsidR="00417529" w:rsidRPr="002F48EB" w:rsidRDefault="000857E7" w:rsidP="000857E7">
      <w:pPr>
        <w:tabs>
          <w:tab w:val="left" w:pos="851"/>
          <w:tab w:val="left" w:pos="1134"/>
        </w:tabs>
        <w:spacing w:after="0" w:line="276" w:lineRule="auto"/>
        <w:jc w:val="both"/>
        <w:rPr>
          <w:rFonts w:ascii="Times New Roman" w:hAnsi="Times New Roman" w:cs="Times New Roman"/>
          <w:color w:val="000000"/>
          <w:sz w:val="28"/>
          <w:szCs w:val="28"/>
          <w:highlight w:val="green"/>
        </w:rPr>
      </w:pPr>
      <w:r>
        <w:rPr>
          <w:rFonts w:ascii="Times New Roman" w:eastAsia="Calibri" w:hAnsi="Times New Roman" w:cs="Times New Roman"/>
          <w:iCs/>
          <w:sz w:val="28"/>
          <w:szCs w:val="28"/>
          <w:lang w:eastAsia="ru-RU"/>
        </w:rPr>
        <w:tab/>
      </w:r>
    </w:p>
    <w:p w:rsidR="000A329C" w:rsidRPr="001D0846" w:rsidRDefault="00BB3186" w:rsidP="007864B6">
      <w:pPr>
        <w:pStyle w:val="1"/>
        <w:spacing w:before="0" w:line="276" w:lineRule="auto"/>
        <w:jc w:val="center"/>
        <w:rPr>
          <w:rFonts w:ascii="Times New Roman" w:hAnsi="Times New Roman" w:cs="Times New Roman"/>
          <w:b/>
          <w:color w:val="auto"/>
        </w:rPr>
      </w:pPr>
      <w:bookmarkStart w:id="4" w:name="_Toc515894884"/>
      <w:r w:rsidRPr="007116A5">
        <w:rPr>
          <w:rFonts w:ascii="Times New Roman" w:hAnsi="Times New Roman" w:cs="Times New Roman"/>
          <w:b/>
          <w:color w:val="auto"/>
        </w:rPr>
        <w:lastRenderedPageBreak/>
        <w:t>I. INTRODUCERE</w:t>
      </w:r>
      <w:bookmarkEnd w:id="4"/>
    </w:p>
    <w:bookmarkEnd w:id="3"/>
    <w:p w:rsidR="00123CB3" w:rsidRPr="001D0846" w:rsidRDefault="002976DF" w:rsidP="00F85F40">
      <w:pPr>
        <w:pStyle w:val="a7"/>
        <w:spacing w:after="0" w:line="276" w:lineRule="auto"/>
        <w:ind w:left="0" w:firstLine="709"/>
        <w:jc w:val="both"/>
        <w:rPr>
          <w:rFonts w:ascii="Times New Roman" w:hAnsi="Times New Roman" w:cs="Times New Roman"/>
          <w:sz w:val="28"/>
          <w:szCs w:val="28"/>
        </w:rPr>
      </w:pPr>
      <w:r w:rsidRPr="001D0846">
        <w:rPr>
          <w:rFonts w:ascii="Times New Roman" w:eastAsia="Calibri" w:hAnsi="Times New Roman" w:cs="Times New Roman"/>
          <w:sz w:val="28"/>
          <w:szCs w:val="28"/>
          <w:lang w:val="ro-MD"/>
        </w:rPr>
        <w:tab/>
      </w:r>
      <w:r w:rsidR="00123CB3" w:rsidRPr="001D0846">
        <w:rPr>
          <w:rFonts w:ascii="Times New Roman" w:hAnsi="Times New Roman" w:cs="Times New Roman"/>
          <w:color w:val="000000"/>
          <w:sz w:val="28"/>
          <w:szCs w:val="28"/>
        </w:rPr>
        <w:t xml:space="preserve">Administrarea fiscală și vamală reprezintă activitatea organelor de stat împuternicite </w:t>
      </w:r>
      <w:proofErr w:type="spellStart"/>
      <w:r w:rsidR="00123CB3" w:rsidRPr="001D0846">
        <w:rPr>
          <w:rFonts w:ascii="Times New Roman" w:hAnsi="Times New Roman" w:cs="Times New Roman"/>
          <w:color w:val="000000"/>
          <w:sz w:val="28"/>
          <w:szCs w:val="28"/>
        </w:rPr>
        <w:t>şi</w:t>
      </w:r>
      <w:proofErr w:type="spellEnd"/>
      <w:r w:rsidR="00123CB3" w:rsidRPr="001D0846">
        <w:rPr>
          <w:rFonts w:ascii="Times New Roman" w:hAnsi="Times New Roman" w:cs="Times New Roman"/>
          <w:color w:val="000000"/>
          <w:sz w:val="28"/>
          <w:szCs w:val="28"/>
        </w:rPr>
        <w:t xml:space="preserve"> responsabile de asigurarea colectării depline </w:t>
      </w:r>
      <w:proofErr w:type="spellStart"/>
      <w:r w:rsidR="00123CB3" w:rsidRPr="001D0846">
        <w:rPr>
          <w:rFonts w:ascii="Times New Roman" w:hAnsi="Times New Roman" w:cs="Times New Roman"/>
          <w:color w:val="000000"/>
          <w:sz w:val="28"/>
          <w:szCs w:val="28"/>
        </w:rPr>
        <w:t>şi</w:t>
      </w:r>
      <w:proofErr w:type="spellEnd"/>
      <w:r w:rsidR="00123CB3" w:rsidRPr="001D0846">
        <w:rPr>
          <w:rFonts w:ascii="Times New Roman" w:hAnsi="Times New Roman" w:cs="Times New Roman"/>
          <w:color w:val="000000"/>
          <w:sz w:val="28"/>
          <w:szCs w:val="28"/>
        </w:rPr>
        <w:t xml:space="preserve"> la termen a impozitelor </w:t>
      </w:r>
      <w:proofErr w:type="spellStart"/>
      <w:r w:rsidR="00123CB3" w:rsidRPr="001D0846">
        <w:rPr>
          <w:rFonts w:ascii="Times New Roman" w:hAnsi="Times New Roman" w:cs="Times New Roman"/>
          <w:color w:val="000000"/>
          <w:sz w:val="28"/>
          <w:szCs w:val="28"/>
        </w:rPr>
        <w:t>şi</w:t>
      </w:r>
      <w:proofErr w:type="spellEnd"/>
      <w:r w:rsidR="00123CB3" w:rsidRPr="001D0846">
        <w:rPr>
          <w:rFonts w:ascii="Times New Roman" w:hAnsi="Times New Roman" w:cs="Times New Roman"/>
          <w:color w:val="000000"/>
          <w:sz w:val="28"/>
          <w:szCs w:val="28"/>
        </w:rPr>
        <w:t xml:space="preserve"> taxelor, a </w:t>
      </w:r>
      <w:proofErr w:type="spellStart"/>
      <w:r w:rsidR="00123CB3" w:rsidRPr="001D0846">
        <w:rPr>
          <w:rFonts w:ascii="Times New Roman" w:hAnsi="Times New Roman" w:cs="Times New Roman"/>
          <w:color w:val="000000"/>
          <w:sz w:val="28"/>
          <w:szCs w:val="28"/>
        </w:rPr>
        <w:t>penalităţilor</w:t>
      </w:r>
      <w:proofErr w:type="spellEnd"/>
      <w:r w:rsidR="00123CB3" w:rsidRPr="001D0846">
        <w:rPr>
          <w:rFonts w:ascii="Times New Roman" w:hAnsi="Times New Roman" w:cs="Times New Roman"/>
          <w:color w:val="000000"/>
          <w:sz w:val="28"/>
          <w:szCs w:val="28"/>
        </w:rPr>
        <w:t xml:space="preserve"> </w:t>
      </w:r>
      <w:proofErr w:type="spellStart"/>
      <w:r w:rsidR="00123CB3" w:rsidRPr="001D0846">
        <w:rPr>
          <w:rFonts w:ascii="Times New Roman" w:hAnsi="Times New Roman" w:cs="Times New Roman"/>
          <w:color w:val="000000"/>
          <w:sz w:val="28"/>
          <w:szCs w:val="28"/>
        </w:rPr>
        <w:t>şi</w:t>
      </w:r>
      <w:proofErr w:type="spellEnd"/>
      <w:r w:rsidR="00123CB3" w:rsidRPr="001D0846">
        <w:rPr>
          <w:rFonts w:ascii="Times New Roman" w:hAnsi="Times New Roman" w:cs="Times New Roman"/>
          <w:color w:val="000000"/>
          <w:sz w:val="28"/>
          <w:szCs w:val="28"/>
        </w:rPr>
        <w:t xml:space="preserve"> amenzilor în bugetele de toate nivelurile, precum </w:t>
      </w:r>
      <w:proofErr w:type="spellStart"/>
      <w:r w:rsidR="00123CB3" w:rsidRPr="001D0846">
        <w:rPr>
          <w:rFonts w:ascii="Times New Roman" w:hAnsi="Times New Roman" w:cs="Times New Roman"/>
          <w:color w:val="000000"/>
          <w:sz w:val="28"/>
          <w:szCs w:val="28"/>
        </w:rPr>
        <w:t>şi</w:t>
      </w:r>
      <w:proofErr w:type="spellEnd"/>
      <w:r w:rsidR="00123CB3" w:rsidRPr="001D0846">
        <w:rPr>
          <w:rFonts w:ascii="Times New Roman" w:hAnsi="Times New Roman" w:cs="Times New Roman"/>
          <w:color w:val="000000"/>
          <w:sz w:val="28"/>
          <w:szCs w:val="28"/>
        </w:rPr>
        <w:t xml:space="preserve"> de efectuarea </w:t>
      </w:r>
      <w:proofErr w:type="spellStart"/>
      <w:r w:rsidR="00123CB3" w:rsidRPr="001D0846">
        <w:rPr>
          <w:rFonts w:ascii="Times New Roman" w:hAnsi="Times New Roman" w:cs="Times New Roman"/>
          <w:color w:val="000000"/>
          <w:sz w:val="28"/>
          <w:szCs w:val="28"/>
        </w:rPr>
        <w:t>acţiunilor</w:t>
      </w:r>
      <w:proofErr w:type="spellEnd"/>
      <w:r w:rsidR="00123CB3" w:rsidRPr="001D0846">
        <w:rPr>
          <w:rFonts w:ascii="Times New Roman" w:hAnsi="Times New Roman" w:cs="Times New Roman"/>
          <w:color w:val="000000"/>
          <w:sz w:val="28"/>
          <w:szCs w:val="28"/>
        </w:rPr>
        <w:t xml:space="preserve"> de urmărire penală în caz de </w:t>
      </w:r>
      <w:proofErr w:type="spellStart"/>
      <w:r w:rsidR="00123CB3" w:rsidRPr="001D0846">
        <w:rPr>
          <w:rFonts w:ascii="Times New Roman" w:hAnsi="Times New Roman" w:cs="Times New Roman"/>
          <w:color w:val="000000"/>
          <w:sz w:val="28"/>
          <w:szCs w:val="28"/>
        </w:rPr>
        <w:t>existenţă</w:t>
      </w:r>
      <w:proofErr w:type="spellEnd"/>
      <w:r w:rsidR="00123CB3" w:rsidRPr="001D0846">
        <w:rPr>
          <w:rFonts w:ascii="Times New Roman" w:hAnsi="Times New Roman" w:cs="Times New Roman"/>
          <w:color w:val="000000"/>
          <w:sz w:val="28"/>
          <w:szCs w:val="28"/>
        </w:rPr>
        <w:t xml:space="preserve"> a unor </w:t>
      </w:r>
      <w:proofErr w:type="spellStart"/>
      <w:r w:rsidR="00123CB3" w:rsidRPr="001D0846">
        <w:rPr>
          <w:rFonts w:ascii="Times New Roman" w:hAnsi="Times New Roman" w:cs="Times New Roman"/>
          <w:color w:val="000000"/>
          <w:sz w:val="28"/>
          <w:szCs w:val="28"/>
        </w:rPr>
        <w:t>circumstanţe</w:t>
      </w:r>
      <w:proofErr w:type="spellEnd"/>
      <w:r w:rsidR="00123CB3" w:rsidRPr="001D0846">
        <w:rPr>
          <w:rFonts w:ascii="Times New Roman" w:hAnsi="Times New Roman" w:cs="Times New Roman"/>
          <w:color w:val="000000"/>
          <w:sz w:val="28"/>
          <w:szCs w:val="28"/>
        </w:rPr>
        <w:t xml:space="preserve"> ce atestă comiterea </w:t>
      </w:r>
      <w:proofErr w:type="spellStart"/>
      <w:r w:rsidR="00123CB3" w:rsidRPr="001D0846">
        <w:rPr>
          <w:rFonts w:ascii="Times New Roman" w:hAnsi="Times New Roman" w:cs="Times New Roman"/>
          <w:color w:val="000000"/>
          <w:sz w:val="28"/>
          <w:szCs w:val="28"/>
        </w:rPr>
        <w:t>infracţiunilor</w:t>
      </w:r>
      <w:proofErr w:type="spellEnd"/>
      <w:r w:rsidR="00123CB3" w:rsidRPr="001D0846">
        <w:rPr>
          <w:rFonts w:ascii="Times New Roman" w:hAnsi="Times New Roman" w:cs="Times New Roman"/>
          <w:color w:val="000000"/>
          <w:sz w:val="28"/>
          <w:szCs w:val="28"/>
        </w:rPr>
        <w:t>.</w:t>
      </w:r>
    </w:p>
    <w:p w:rsidR="00123CB3" w:rsidRPr="00DA4F6D" w:rsidRDefault="00123CB3" w:rsidP="00DA4F6D">
      <w:pPr>
        <w:pStyle w:val="80"/>
        <w:shd w:val="clear" w:color="auto" w:fill="auto"/>
        <w:spacing w:after="0" w:line="276" w:lineRule="auto"/>
        <w:ind w:firstLine="709"/>
        <w:jc w:val="both"/>
        <w:rPr>
          <w:b w:val="0"/>
          <w:sz w:val="28"/>
          <w:szCs w:val="28"/>
        </w:rPr>
      </w:pPr>
      <w:r w:rsidRPr="001D0846">
        <w:rPr>
          <w:b w:val="0"/>
          <w:sz w:val="28"/>
          <w:szCs w:val="28"/>
        </w:rPr>
        <w:t xml:space="preserve">Principala sarcină a administrării fiscale și vamale o constituie colectarea </w:t>
      </w:r>
      <w:r w:rsidRPr="0035758B">
        <w:rPr>
          <w:b w:val="0"/>
          <w:sz w:val="28"/>
          <w:szCs w:val="28"/>
        </w:rPr>
        <w:t>deplină și în termen a impozitelor</w:t>
      </w:r>
      <w:r w:rsidRPr="001D0846">
        <w:rPr>
          <w:b w:val="0"/>
          <w:sz w:val="28"/>
          <w:szCs w:val="28"/>
        </w:rPr>
        <w:t xml:space="preserve"> și taxelor la BPN</w:t>
      </w:r>
      <w:r w:rsidR="00EF1F97">
        <w:rPr>
          <w:b w:val="0"/>
          <w:sz w:val="28"/>
          <w:szCs w:val="28"/>
        </w:rPr>
        <w:t>,</w:t>
      </w:r>
      <w:r w:rsidRPr="001D0846">
        <w:rPr>
          <w:b w:val="0"/>
          <w:sz w:val="28"/>
          <w:szCs w:val="28"/>
        </w:rPr>
        <w:t xml:space="preserve"> în scopul finanțării cheltuielilor în</w:t>
      </w:r>
      <w:r w:rsidR="0035758B">
        <w:rPr>
          <w:b w:val="0"/>
          <w:sz w:val="28"/>
          <w:szCs w:val="28"/>
        </w:rPr>
        <w:t xml:space="preserve"> domenii</w:t>
      </w:r>
      <w:r w:rsidR="00EF1F97">
        <w:rPr>
          <w:b w:val="0"/>
          <w:sz w:val="28"/>
          <w:szCs w:val="28"/>
        </w:rPr>
        <w:t>le</w:t>
      </w:r>
      <w:r w:rsidR="0035758B">
        <w:rPr>
          <w:b w:val="0"/>
          <w:sz w:val="28"/>
          <w:szCs w:val="28"/>
        </w:rPr>
        <w:t xml:space="preserve"> social-importa</w:t>
      </w:r>
      <w:r w:rsidR="00EF1F97">
        <w:rPr>
          <w:b w:val="0"/>
          <w:sz w:val="28"/>
          <w:szCs w:val="28"/>
        </w:rPr>
        <w:t>n</w:t>
      </w:r>
      <w:r w:rsidR="0035758B">
        <w:rPr>
          <w:b w:val="0"/>
          <w:sz w:val="28"/>
          <w:szCs w:val="28"/>
        </w:rPr>
        <w:t>te</w:t>
      </w:r>
      <w:r w:rsidR="00DA4F6D">
        <w:rPr>
          <w:b w:val="0"/>
          <w:sz w:val="28"/>
          <w:szCs w:val="28"/>
        </w:rPr>
        <w:t xml:space="preserve"> ale statului</w:t>
      </w:r>
      <w:r w:rsidR="00B70164">
        <w:rPr>
          <w:b w:val="0"/>
          <w:sz w:val="28"/>
          <w:szCs w:val="28"/>
        </w:rPr>
        <w:t xml:space="preserve"> </w:t>
      </w:r>
      <w:r w:rsidRPr="001D0846">
        <w:rPr>
          <w:b w:val="0"/>
          <w:sz w:val="28"/>
          <w:szCs w:val="28"/>
        </w:rPr>
        <w:t>(educație, sănătate, asistență socială, economie, infrastructură, mediu</w:t>
      </w:r>
      <w:r w:rsidR="00DA4F6D">
        <w:rPr>
          <w:b w:val="0"/>
          <w:sz w:val="28"/>
          <w:szCs w:val="28"/>
        </w:rPr>
        <w:t xml:space="preserve"> </w:t>
      </w:r>
      <w:r w:rsidRPr="001D0846">
        <w:rPr>
          <w:b w:val="0"/>
          <w:sz w:val="28"/>
          <w:szCs w:val="28"/>
        </w:rPr>
        <w:t>etc.). Gradul de performanță al administrării fiscale și vamale influențează în mod direct capacitatea de funcționare și dezvoltare a statului în scopul</w:t>
      </w:r>
      <w:r w:rsidRPr="001D0846">
        <w:rPr>
          <w:b w:val="0"/>
          <w:color w:val="000000"/>
          <w:sz w:val="28"/>
          <w:szCs w:val="28"/>
        </w:rPr>
        <w:t xml:space="preserve"> acoperirii necesităților social-economice.</w:t>
      </w:r>
    </w:p>
    <w:p w:rsidR="00123CB3" w:rsidRPr="001D0846" w:rsidRDefault="00123CB3" w:rsidP="00385FE6">
      <w:pPr>
        <w:widowControl w:val="0"/>
        <w:tabs>
          <w:tab w:val="left" w:pos="720"/>
        </w:tabs>
        <w:autoSpaceDE w:val="0"/>
        <w:autoSpaceDN w:val="0"/>
        <w:adjustRightInd w:val="0"/>
        <w:spacing w:after="0" w:line="276" w:lineRule="auto"/>
        <w:jc w:val="both"/>
        <w:rPr>
          <w:rFonts w:ascii="Times New Roman" w:hAnsi="Times New Roman" w:cs="Times New Roman"/>
          <w:sz w:val="28"/>
          <w:szCs w:val="28"/>
        </w:rPr>
      </w:pPr>
      <w:r w:rsidRPr="001D0846">
        <w:rPr>
          <w:rFonts w:eastAsia="Impact"/>
          <w:bCs/>
          <w:iCs/>
          <w:color w:val="000000"/>
          <w:szCs w:val="28"/>
          <w:shd w:val="clear" w:color="auto" w:fill="FFFFFF"/>
          <w:lang w:bidi="en-US"/>
        </w:rPr>
        <w:tab/>
      </w:r>
      <w:r w:rsidRPr="001D0846">
        <w:rPr>
          <w:rFonts w:ascii="Times New Roman" w:hAnsi="Times New Roman" w:cs="Times New Roman"/>
          <w:sz w:val="28"/>
          <w:szCs w:val="28"/>
        </w:rPr>
        <w:t xml:space="preserve">Organele care exercită </w:t>
      </w:r>
      <w:proofErr w:type="spellStart"/>
      <w:r w:rsidRPr="001D0846">
        <w:rPr>
          <w:rFonts w:ascii="Times New Roman" w:hAnsi="Times New Roman" w:cs="Times New Roman"/>
          <w:sz w:val="28"/>
          <w:szCs w:val="28"/>
        </w:rPr>
        <w:t>atribuţii</w:t>
      </w:r>
      <w:proofErr w:type="spellEnd"/>
      <w:r w:rsidRPr="001D0846">
        <w:rPr>
          <w:rFonts w:ascii="Times New Roman" w:hAnsi="Times New Roman" w:cs="Times New Roman"/>
          <w:sz w:val="28"/>
          <w:szCs w:val="28"/>
        </w:rPr>
        <w:t xml:space="preserve"> de administrare fiscală s</w:t>
      </w:r>
      <w:r w:rsidR="00EF1F97">
        <w:rPr>
          <w:rFonts w:ascii="Times New Roman" w:hAnsi="Times New Roman" w:cs="Times New Roman"/>
          <w:sz w:val="28"/>
          <w:szCs w:val="28"/>
        </w:rPr>
        <w:t>u</w:t>
      </w:r>
      <w:r w:rsidRPr="001D0846">
        <w:rPr>
          <w:rFonts w:ascii="Times New Roman" w:hAnsi="Times New Roman" w:cs="Times New Roman"/>
          <w:sz w:val="28"/>
          <w:szCs w:val="28"/>
        </w:rPr>
        <w:t xml:space="preserve">nt: Serviciul Fiscal de Stat, </w:t>
      </w:r>
      <w:r w:rsidR="00E77CDE" w:rsidRPr="001D0846">
        <w:rPr>
          <w:rFonts w:ascii="Times New Roman" w:hAnsi="Times New Roman" w:cs="Times New Roman"/>
          <w:sz w:val="28"/>
          <w:szCs w:val="28"/>
        </w:rPr>
        <w:t>Serviciul Vamal</w:t>
      </w:r>
      <w:r w:rsidRPr="001D0846">
        <w:rPr>
          <w:rFonts w:ascii="Times New Roman" w:hAnsi="Times New Roman" w:cs="Times New Roman"/>
          <w:sz w:val="28"/>
          <w:szCs w:val="28"/>
        </w:rPr>
        <w:t xml:space="preserve">, serviciile de colectare a impozitelor </w:t>
      </w:r>
      <w:proofErr w:type="spellStart"/>
      <w:r w:rsidRPr="001D0846">
        <w:rPr>
          <w:rFonts w:ascii="Times New Roman" w:hAnsi="Times New Roman" w:cs="Times New Roman"/>
          <w:sz w:val="28"/>
          <w:szCs w:val="28"/>
        </w:rPr>
        <w:t>şi</w:t>
      </w:r>
      <w:proofErr w:type="spellEnd"/>
      <w:r w:rsidRPr="001D0846">
        <w:rPr>
          <w:rFonts w:ascii="Times New Roman" w:hAnsi="Times New Roman" w:cs="Times New Roman"/>
          <w:sz w:val="28"/>
          <w:szCs w:val="28"/>
        </w:rPr>
        <w:t xml:space="preserve"> taxelor locale din cadrul primăriilor </w:t>
      </w:r>
      <w:proofErr w:type="spellStart"/>
      <w:r w:rsidRPr="001D0846">
        <w:rPr>
          <w:rFonts w:ascii="Times New Roman" w:hAnsi="Times New Roman" w:cs="Times New Roman"/>
          <w:sz w:val="28"/>
          <w:szCs w:val="28"/>
        </w:rPr>
        <w:t>şi</w:t>
      </w:r>
      <w:proofErr w:type="spellEnd"/>
      <w:r w:rsidRPr="001D0846">
        <w:rPr>
          <w:rFonts w:ascii="Times New Roman" w:hAnsi="Times New Roman" w:cs="Times New Roman"/>
          <w:sz w:val="28"/>
          <w:szCs w:val="28"/>
        </w:rPr>
        <w:t xml:space="preserve"> alte organe abilitate, conform </w:t>
      </w:r>
      <w:proofErr w:type="spellStart"/>
      <w:r w:rsidRPr="001D0846">
        <w:rPr>
          <w:rFonts w:ascii="Times New Roman" w:hAnsi="Times New Roman" w:cs="Times New Roman"/>
          <w:sz w:val="28"/>
          <w:szCs w:val="28"/>
        </w:rPr>
        <w:t>legislaţiei</w:t>
      </w:r>
      <w:proofErr w:type="spellEnd"/>
      <w:r w:rsidRPr="001D0846">
        <w:rPr>
          <w:rFonts w:ascii="Times New Roman" w:hAnsi="Times New Roman" w:cs="Times New Roman"/>
          <w:sz w:val="28"/>
          <w:szCs w:val="28"/>
        </w:rPr>
        <w:t>.</w:t>
      </w:r>
    </w:p>
    <w:p w:rsidR="006E5604" w:rsidRDefault="00123CB3" w:rsidP="006E5604">
      <w:pPr>
        <w:widowControl w:val="0"/>
        <w:tabs>
          <w:tab w:val="left" w:pos="720"/>
        </w:tabs>
        <w:autoSpaceDE w:val="0"/>
        <w:autoSpaceDN w:val="0"/>
        <w:adjustRightInd w:val="0"/>
        <w:spacing w:after="0" w:line="276" w:lineRule="auto"/>
        <w:jc w:val="both"/>
        <w:rPr>
          <w:rFonts w:ascii="Times New Roman" w:hAnsi="Times New Roman" w:cs="Times New Roman"/>
          <w:color w:val="000000" w:themeColor="text1"/>
          <w:sz w:val="28"/>
          <w:szCs w:val="28"/>
          <w:shd w:val="clear" w:color="auto" w:fill="FFFFFF"/>
        </w:rPr>
      </w:pPr>
      <w:r w:rsidRPr="001D0846">
        <w:rPr>
          <w:rFonts w:ascii="Times New Roman" w:hAnsi="Times New Roman" w:cs="Times New Roman"/>
          <w:sz w:val="28"/>
          <w:szCs w:val="28"/>
        </w:rPr>
        <w:tab/>
      </w:r>
      <w:r w:rsidR="00691310" w:rsidRPr="001D0846">
        <w:rPr>
          <w:rFonts w:ascii="Times New Roman" w:eastAsia="Impact" w:hAnsi="Times New Roman" w:cs="Times New Roman"/>
          <w:bCs/>
          <w:iCs/>
          <w:color w:val="000000"/>
          <w:sz w:val="28"/>
          <w:szCs w:val="28"/>
          <w:shd w:val="clear" w:color="auto" w:fill="FFFFFF"/>
          <w:lang w:bidi="en-US"/>
        </w:rPr>
        <w:t>S</w:t>
      </w:r>
      <w:r w:rsidR="00DA4F6D">
        <w:rPr>
          <w:rFonts w:ascii="Times New Roman" w:eastAsia="Impact" w:hAnsi="Times New Roman" w:cs="Times New Roman"/>
          <w:bCs/>
          <w:iCs/>
          <w:color w:val="000000"/>
          <w:sz w:val="28"/>
          <w:szCs w:val="28"/>
          <w:shd w:val="clear" w:color="auto" w:fill="FFFFFF"/>
          <w:lang w:bidi="en-US"/>
        </w:rPr>
        <w:t xml:space="preserve">FS este </w:t>
      </w:r>
      <w:r w:rsidRPr="001D0846">
        <w:rPr>
          <w:rFonts w:ascii="Times New Roman" w:hAnsi="Times New Roman" w:cs="Times New Roman"/>
          <w:color w:val="000000"/>
          <w:sz w:val="28"/>
          <w:szCs w:val="28"/>
          <w:lang w:eastAsia="en-GB"/>
        </w:rPr>
        <w:t>autoritate</w:t>
      </w:r>
      <w:r w:rsidR="00DA4F6D">
        <w:rPr>
          <w:rFonts w:ascii="Times New Roman" w:hAnsi="Times New Roman" w:cs="Times New Roman"/>
          <w:color w:val="000000"/>
          <w:sz w:val="28"/>
          <w:szCs w:val="28"/>
          <w:lang w:eastAsia="en-GB"/>
        </w:rPr>
        <w:t>a</w:t>
      </w:r>
      <w:r w:rsidRPr="001D0846">
        <w:rPr>
          <w:rFonts w:ascii="Times New Roman" w:hAnsi="Times New Roman" w:cs="Times New Roman"/>
          <w:color w:val="000000"/>
          <w:sz w:val="28"/>
          <w:szCs w:val="28"/>
          <w:lang w:eastAsia="en-GB"/>
        </w:rPr>
        <w:t xml:space="preserve"> administrativă din subordinea Ministerului Finanțelor, împuternicită să administreze impozitele, taxele și alte plăți în interesul statului. </w:t>
      </w:r>
      <w:r w:rsidR="006E5604" w:rsidRPr="001D0846">
        <w:rPr>
          <w:rFonts w:ascii="Times New Roman" w:hAnsi="Times New Roman" w:cs="Times New Roman"/>
          <w:color w:val="000000" w:themeColor="text1"/>
          <w:sz w:val="28"/>
          <w:szCs w:val="28"/>
          <w:shd w:val="clear" w:color="auto" w:fill="FFFFFF"/>
        </w:rPr>
        <w:t>Încep</w:t>
      </w:r>
      <w:r w:rsidR="00EF1F97">
        <w:rPr>
          <w:rFonts w:ascii="Times New Roman" w:hAnsi="Times New Roman" w:cs="Times New Roman"/>
          <w:color w:val="000000" w:themeColor="text1"/>
          <w:sz w:val="28"/>
          <w:szCs w:val="28"/>
          <w:shd w:val="clear" w:color="auto" w:fill="FFFFFF"/>
        </w:rPr>
        <w:t>â</w:t>
      </w:r>
      <w:r w:rsidR="006E5604" w:rsidRPr="001D0846">
        <w:rPr>
          <w:rFonts w:ascii="Times New Roman" w:hAnsi="Times New Roman" w:cs="Times New Roman"/>
          <w:color w:val="000000" w:themeColor="text1"/>
          <w:sz w:val="28"/>
          <w:szCs w:val="28"/>
          <w:shd w:val="clear" w:color="auto" w:fill="FFFFFF"/>
        </w:rPr>
        <w:t>nd cu 1 aprilie 2017, autoritatea fiscală din Republica Moldova a fost reorganizată și activează ca o entitate juridică unică</w:t>
      </w:r>
      <w:r w:rsidR="00DA4F6D">
        <w:rPr>
          <w:rStyle w:val="afd"/>
          <w:rFonts w:ascii="Times New Roman" w:hAnsi="Times New Roman" w:cs="Times New Roman"/>
          <w:b w:val="0"/>
          <w:color w:val="000000" w:themeColor="text1"/>
          <w:sz w:val="28"/>
          <w:szCs w:val="28"/>
          <w:bdr w:val="none" w:sz="0" w:space="0" w:color="auto" w:frame="1"/>
          <w:shd w:val="clear" w:color="auto" w:fill="FFFFFF"/>
        </w:rPr>
        <w:t>.</w:t>
      </w:r>
      <w:r w:rsidR="006E5604" w:rsidRPr="001D0846">
        <w:rPr>
          <w:rFonts w:ascii="Arial" w:eastAsia="Times New Roman" w:hAnsi="Arial" w:cs="Arial"/>
          <w:color w:val="000000" w:themeColor="text1"/>
          <w:sz w:val="18"/>
          <w:szCs w:val="18"/>
          <w:shd w:val="clear" w:color="auto" w:fill="FFFFFF"/>
        </w:rPr>
        <w:t xml:space="preserve"> </w:t>
      </w:r>
      <w:r w:rsidR="006E5604" w:rsidRPr="001D0846">
        <w:rPr>
          <w:rFonts w:ascii="Times New Roman" w:hAnsi="Times New Roman" w:cs="Times New Roman"/>
          <w:color w:val="000000" w:themeColor="text1"/>
          <w:sz w:val="28"/>
          <w:szCs w:val="28"/>
          <w:shd w:val="clear" w:color="auto" w:fill="FFFFFF"/>
        </w:rPr>
        <w:t>Conform conceptului de reorganizare, S</w:t>
      </w:r>
      <w:r w:rsidR="00DA4F6D">
        <w:rPr>
          <w:rFonts w:ascii="Times New Roman" w:hAnsi="Times New Roman" w:cs="Times New Roman"/>
          <w:color w:val="000000" w:themeColor="text1"/>
          <w:sz w:val="28"/>
          <w:szCs w:val="28"/>
          <w:shd w:val="clear" w:color="auto" w:fill="FFFFFF"/>
        </w:rPr>
        <w:t>FS</w:t>
      </w:r>
      <w:r w:rsidR="006E5604" w:rsidRPr="001D0846">
        <w:rPr>
          <w:rFonts w:ascii="Times New Roman" w:hAnsi="Times New Roman" w:cs="Times New Roman"/>
          <w:color w:val="000000" w:themeColor="text1"/>
          <w:sz w:val="28"/>
          <w:szCs w:val="28"/>
          <w:shd w:val="clear" w:color="auto" w:fill="FFFFFF"/>
        </w:rPr>
        <w:t xml:space="preserve"> a devenit un organ unificat cu competență teritorială pe întreg teritoriul </w:t>
      </w:r>
      <w:r w:rsidR="00EF1F97">
        <w:rPr>
          <w:rFonts w:ascii="Times New Roman" w:hAnsi="Times New Roman" w:cs="Times New Roman"/>
          <w:color w:val="000000" w:themeColor="text1"/>
          <w:sz w:val="28"/>
          <w:szCs w:val="28"/>
          <w:shd w:val="clear" w:color="auto" w:fill="FFFFFF"/>
        </w:rPr>
        <w:t>țării</w:t>
      </w:r>
      <w:r w:rsidR="006E5604" w:rsidRPr="001D0846">
        <w:rPr>
          <w:rFonts w:ascii="Times New Roman" w:hAnsi="Times New Roman" w:cs="Times New Roman"/>
          <w:color w:val="000000" w:themeColor="text1"/>
          <w:sz w:val="28"/>
          <w:szCs w:val="28"/>
          <w:shd w:val="clear" w:color="auto" w:fill="FFFFFF"/>
        </w:rPr>
        <w:t xml:space="preserve">. Personalul SFS a fost concentrat într-o structură </w:t>
      </w:r>
      <w:r w:rsidR="006E5604" w:rsidRPr="00B70164">
        <w:rPr>
          <w:rFonts w:ascii="Times New Roman" w:hAnsi="Times New Roman" w:cs="Times New Roman"/>
          <w:color w:val="000000" w:themeColor="text1"/>
          <w:sz w:val="28"/>
          <w:szCs w:val="28"/>
          <w:shd w:val="clear" w:color="auto" w:fill="FFFFFF"/>
        </w:rPr>
        <w:t>centralizată</w:t>
      </w:r>
      <w:r w:rsidR="00DA4F6D">
        <w:rPr>
          <w:rFonts w:ascii="Times New Roman" w:hAnsi="Times New Roman" w:cs="Times New Roman"/>
          <w:color w:val="000000" w:themeColor="text1"/>
          <w:sz w:val="28"/>
          <w:szCs w:val="28"/>
          <w:shd w:val="clear" w:color="auto" w:fill="FFFFFF"/>
        </w:rPr>
        <w:t>, care include</w:t>
      </w:r>
      <w:r w:rsidR="006E5604" w:rsidRPr="00B70164">
        <w:rPr>
          <w:rFonts w:ascii="Times New Roman" w:hAnsi="Times New Roman" w:cs="Times New Roman"/>
          <w:color w:val="000000" w:themeColor="text1"/>
          <w:sz w:val="28"/>
          <w:szCs w:val="28"/>
          <w:shd w:val="clear" w:color="auto" w:fill="FFFFFF"/>
        </w:rPr>
        <w:t>:</w:t>
      </w:r>
      <w:r w:rsidR="00B70164" w:rsidRPr="00B70164">
        <w:rPr>
          <w:rFonts w:ascii="Times New Roman" w:hAnsi="Times New Roman" w:cs="Times New Roman"/>
          <w:color w:val="000000" w:themeColor="text1"/>
          <w:sz w:val="28"/>
          <w:szCs w:val="28"/>
          <w:shd w:val="clear" w:color="auto" w:fill="FFFFFF"/>
        </w:rPr>
        <w:t xml:space="preserve"> </w:t>
      </w:r>
    </w:p>
    <w:p w:rsidR="00DA4F6D" w:rsidRDefault="00DA4F6D" w:rsidP="00DA4F6D">
      <w:pPr>
        <w:widowControl w:val="0"/>
        <w:tabs>
          <w:tab w:val="left" w:pos="720"/>
        </w:tabs>
        <w:autoSpaceDE w:val="0"/>
        <w:autoSpaceDN w:val="0"/>
        <w:adjustRightInd w:val="0"/>
        <w:spacing w:after="0" w:line="276" w:lineRule="auto"/>
        <w:jc w:val="both"/>
        <w:rPr>
          <w:rFonts w:ascii="Times New Roman" w:hAnsi="Times New Roman" w:cs="Times New Roman"/>
          <w:color w:val="000000" w:themeColor="text1"/>
          <w:sz w:val="28"/>
          <w:szCs w:val="28"/>
          <w:shd w:val="clear" w:color="auto" w:fill="FFFFFF"/>
        </w:rPr>
      </w:pPr>
      <w:r w:rsidRPr="00F73A0A">
        <w:rPr>
          <w:rFonts w:ascii="Times New Roman" w:hAnsi="Times New Roman" w:cs="Times New Roman"/>
          <w:sz w:val="28"/>
          <w:szCs w:val="28"/>
        </w:rPr>
        <w:t>–</w:t>
      </w:r>
      <w:r>
        <w:rPr>
          <w:rFonts w:ascii="Times New Roman" w:hAnsi="Times New Roman" w:cs="Times New Roman"/>
          <w:sz w:val="28"/>
          <w:szCs w:val="28"/>
        </w:rPr>
        <w:t xml:space="preserve">  </w:t>
      </w:r>
      <w:r w:rsidR="006E5604" w:rsidRPr="00B70164">
        <w:rPr>
          <w:rFonts w:ascii="Times New Roman" w:hAnsi="Times New Roman" w:cs="Times New Roman"/>
          <w:color w:val="000000" w:themeColor="text1"/>
          <w:sz w:val="28"/>
          <w:szCs w:val="28"/>
          <w:shd w:val="clear" w:color="auto" w:fill="FFFFFF"/>
        </w:rPr>
        <w:t>aparatul central, responsabil de aspectele metodologice</w:t>
      </w:r>
      <w:r w:rsidR="006E5604" w:rsidRPr="001D0846">
        <w:rPr>
          <w:rFonts w:ascii="Times New Roman" w:hAnsi="Times New Roman" w:cs="Times New Roman"/>
          <w:color w:val="000000" w:themeColor="text1"/>
          <w:sz w:val="28"/>
          <w:szCs w:val="28"/>
          <w:shd w:val="clear" w:color="auto" w:fill="FFFFFF"/>
        </w:rPr>
        <w:t>, de suport și gestiune;</w:t>
      </w:r>
    </w:p>
    <w:p w:rsidR="006E5604" w:rsidRPr="001D0846" w:rsidRDefault="00DA4F6D" w:rsidP="00DA4F6D">
      <w:pPr>
        <w:widowControl w:val="0"/>
        <w:tabs>
          <w:tab w:val="left" w:pos="720"/>
        </w:tabs>
        <w:autoSpaceDE w:val="0"/>
        <w:autoSpaceDN w:val="0"/>
        <w:adjustRightInd w:val="0"/>
        <w:spacing w:after="0" w:line="276" w:lineRule="auto"/>
        <w:jc w:val="both"/>
        <w:rPr>
          <w:rFonts w:ascii="Times New Roman" w:hAnsi="Times New Roman" w:cs="Times New Roman"/>
          <w:color w:val="000000" w:themeColor="text1"/>
          <w:sz w:val="28"/>
          <w:szCs w:val="28"/>
          <w:shd w:val="clear" w:color="auto" w:fill="FFFFFF"/>
        </w:rPr>
      </w:pPr>
      <w:r w:rsidRPr="00F73A0A">
        <w:rPr>
          <w:rFonts w:ascii="Times New Roman" w:hAnsi="Times New Roman" w:cs="Times New Roman"/>
          <w:sz w:val="28"/>
          <w:szCs w:val="28"/>
        </w:rPr>
        <w:t>–</w:t>
      </w:r>
      <w:r>
        <w:rPr>
          <w:rFonts w:ascii="Times New Roman" w:hAnsi="Times New Roman" w:cs="Times New Roman"/>
          <w:sz w:val="28"/>
          <w:szCs w:val="28"/>
        </w:rPr>
        <w:t xml:space="preserve"> </w:t>
      </w:r>
      <w:r w:rsidR="006E5604" w:rsidRPr="001D0846">
        <w:rPr>
          <w:rFonts w:ascii="Times New Roman" w:hAnsi="Times New Roman" w:cs="Times New Roman"/>
          <w:color w:val="000000" w:themeColor="text1"/>
          <w:sz w:val="28"/>
          <w:szCs w:val="28"/>
          <w:shd w:val="clear" w:color="auto" w:fill="FFFFFF"/>
        </w:rPr>
        <w:t xml:space="preserve">3 regiuni de administrare fiscală (Nord, Sud și Centru) și Direcția generală administrare fiscală </w:t>
      </w:r>
      <w:r>
        <w:rPr>
          <w:rFonts w:ascii="Times New Roman" w:hAnsi="Times New Roman" w:cs="Times New Roman"/>
          <w:color w:val="000000" w:themeColor="text1"/>
          <w:sz w:val="28"/>
          <w:szCs w:val="28"/>
          <w:shd w:val="clear" w:color="auto" w:fill="FFFFFF"/>
        </w:rPr>
        <w:t xml:space="preserve">pe </w:t>
      </w:r>
      <w:proofErr w:type="spellStart"/>
      <w:r w:rsidR="006E5604" w:rsidRPr="001D0846">
        <w:rPr>
          <w:rFonts w:ascii="Times New Roman" w:hAnsi="Times New Roman" w:cs="Times New Roman"/>
          <w:color w:val="000000" w:themeColor="text1"/>
          <w:sz w:val="28"/>
          <w:szCs w:val="28"/>
          <w:shd w:val="clear" w:color="auto" w:fill="FFFFFF"/>
        </w:rPr>
        <w:t>mun.Chişinău</w:t>
      </w:r>
      <w:proofErr w:type="spellEnd"/>
      <w:r w:rsidR="006E5604" w:rsidRPr="001D0846">
        <w:rPr>
          <w:rFonts w:ascii="Times New Roman" w:hAnsi="Times New Roman" w:cs="Times New Roman"/>
          <w:color w:val="000000" w:themeColor="text1"/>
          <w:sz w:val="28"/>
          <w:szCs w:val="28"/>
          <w:shd w:val="clear" w:color="auto" w:fill="FFFFFF"/>
        </w:rPr>
        <w:t>, cu funcții de control și de gestionare a arieratelor;</w:t>
      </w:r>
    </w:p>
    <w:p w:rsidR="006E5604" w:rsidRPr="001D0846" w:rsidRDefault="00DA4F6D" w:rsidP="00DA4F6D">
      <w:pPr>
        <w:pStyle w:val="a7"/>
        <w:widowControl w:val="0"/>
        <w:tabs>
          <w:tab w:val="left" w:pos="284"/>
        </w:tabs>
        <w:autoSpaceDE w:val="0"/>
        <w:autoSpaceDN w:val="0"/>
        <w:adjustRightInd w:val="0"/>
        <w:spacing w:after="0" w:line="276" w:lineRule="auto"/>
        <w:ind w:left="0"/>
        <w:jc w:val="both"/>
        <w:rPr>
          <w:rFonts w:ascii="Times New Roman" w:hAnsi="Times New Roman" w:cs="Times New Roman"/>
          <w:color w:val="000000" w:themeColor="text1"/>
          <w:sz w:val="28"/>
          <w:szCs w:val="28"/>
          <w:shd w:val="clear" w:color="auto" w:fill="FFFFFF"/>
        </w:rPr>
      </w:pPr>
      <w:r w:rsidRPr="00F73A0A">
        <w:rPr>
          <w:rFonts w:ascii="Times New Roman" w:hAnsi="Times New Roman" w:cs="Times New Roman"/>
          <w:sz w:val="28"/>
          <w:szCs w:val="28"/>
        </w:rPr>
        <w:t>–</w:t>
      </w:r>
      <w:r>
        <w:rPr>
          <w:rFonts w:ascii="Times New Roman" w:hAnsi="Times New Roman" w:cs="Times New Roman"/>
          <w:sz w:val="28"/>
          <w:szCs w:val="28"/>
        </w:rPr>
        <w:t xml:space="preserve">  </w:t>
      </w:r>
      <w:r w:rsidR="006E5604" w:rsidRPr="001D0846">
        <w:rPr>
          <w:rFonts w:ascii="Times New Roman" w:hAnsi="Times New Roman" w:cs="Times New Roman"/>
          <w:color w:val="000000" w:themeColor="text1"/>
          <w:sz w:val="28"/>
          <w:szCs w:val="28"/>
          <w:shd w:val="clear" w:color="auto" w:fill="FFFFFF"/>
        </w:rPr>
        <w:t>oficii de deservire și prestări servicii contribuabililor la nivel teritorial.</w:t>
      </w:r>
    </w:p>
    <w:p w:rsidR="00FE7E52" w:rsidRDefault="00123CB3" w:rsidP="00385FE6">
      <w:pPr>
        <w:widowControl w:val="0"/>
        <w:tabs>
          <w:tab w:val="left" w:pos="720"/>
        </w:tabs>
        <w:autoSpaceDE w:val="0"/>
        <w:autoSpaceDN w:val="0"/>
        <w:adjustRightInd w:val="0"/>
        <w:spacing w:after="0" w:line="276" w:lineRule="auto"/>
        <w:jc w:val="both"/>
        <w:rPr>
          <w:rFonts w:ascii="Times New Roman" w:hAnsi="Times New Roman" w:cs="Times New Roman"/>
          <w:color w:val="000000" w:themeColor="text1"/>
          <w:sz w:val="28"/>
          <w:szCs w:val="28"/>
          <w:lang w:eastAsia="en-GB"/>
        </w:rPr>
      </w:pPr>
      <w:r w:rsidRPr="001D0846">
        <w:rPr>
          <w:rFonts w:ascii="Times New Roman" w:eastAsia="Impact" w:hAnsi="Times New Roman" w:cs="Times New Roman"/>
          <w:b/>
          <w:bCs/>
          <w:iCs/>
          <w:color w:val="000000"/>
          <w:sz w:val="28"/>
          <w:szCs w:val="28"/>
          <w:shd w:val="clear" w:color="auto" w:fill="FFFFFF"/>
          <w:lang w:bidi="en-US"/>
        </w:rPr>
        <w:tab/>
      </w:r>
      <w:r w:rsidRPr="001D0846">
        <w:rPr>
          <w:rFonts w:ascii="Times New Roman" w:eastAsia="Impact" w:hAnsi="Times New Roman" w:cs="Times New Roman"/>
          <w:bCs/>
          <w:iCs/>
          <w:color w:val="000000"/>
          <w:sz w:val="28"/>
          <w:szCs w:val="28"/>
          <w:shd w:val="clear" w:color="auto" w:fill="FFFFFF"/>
          <w:lang w:bidi="en-US"/>
        </w:rPr>
        <w:t>Serviciul Vamal</w:t>
      </w:r>
      <w:r w:rsidR="00DA4F6D">
        <w:rPr>
          <w:rFonts w:ascii="Times New Roman" w:hAnsi="Times New Roman" w:cs="Times New Roman"/>
          <w:sz w:val="28"/>
          <w:szCs w:val="28"/>
        </w:rPr>
        <w:t xml:space="preserve"> </w:t>
      </w:r>
      <w:r w:rsidR="00EF1F97">
        <w:rPr>
          <w:rFonts w:ascii="Times New Roman" w:hAnsi="Times New Roman" w:cs="Times New Roman"/>
          <w:sz w:val="28"/>
          <w:szCs w:val="28"/>
        </w:rPr>
        <w:t xml:space="preserve"> </w:t>
      </w:r>
      <w:r w:rsidR="00DA4F6D">
        <w:rPr>
          <w:rFonts w:ascii="Times New Roman" w:hAnsi="Times New Roman" w:cs="Times New Roman"/>
          <w:sz w:val="28"/>
          <w:szCs w:val="28"/>
        </w:rPr>
        <w:t xml:space="preserve">este </w:t>
      </w:r>
      <w:r w:rsidRPr="001D0846">
        <w:rPr>
          <w:rFonts w:ascii="Times New Roman" w:hAnsi="Times New Roman" w:cs="Times New Roman"/>
          <w:sz w:val="28"/>
          <w:szCs w:val="28"/>
          <w:lang w:eastAsia="en-GB"/>
        </w:rPr>
        <w:t>organul administrației publice subordonat Ministerului Finanțelor</w:t>
      </w:r>
      <w:r w:rsidR="00EF1F97">
        <w:rPr>
          <w:rFonts w:ascii="Times New Roman" w:hAnsi="Times New Roman" w:cs="Times New Roman"/>
          <w:sz w:val="28"/>
          <w:szCs w:val="28"/>
          <w:lang w:eastAsia="en-GB"/>
        </w:rPr>
        <w:t>,</w:t>
      </w:r>
      <w:r w:rsidRPr="001D0846">
        <w:rPr>
          <w:rFonts w:ascii="Times New Roman" w:hAnsi="Times New Roman" w:cs="Times New Roman"/>
          <w:sz w:val="28"/>
          <w:szCs w:val="28"/>
          <w:lang w:eastAsia="en-GB"/>
        </w:rPr>
        <w:t xml:space="preserve"> care asigură securitatea economică a statului, </w:t>
      </w:r>
      <w:r w:rsidRPr="00DA4F6D">
        <w:rPr>
          <w:rFonts w:ascii="Times New Roman" w:hAnsi="Times New Roman" w:cs="Times New Roman"/>
          <w:sz w:val="28"/>
          <w:szCs w:val="28"/>
          <w:lang w:eastAsia="en-GB"/>
        </w:rPr>
        <w:t xml:space="preserve">implementează politica vamală și conduce nemijlocit activitatea vamală în Republica Moldova. </w:t>
      </w:r>
      <w:r w:rsidR="00FE7E52">
        <w:rPr>
          <w:rFonts w:ascii="Times New Roman" w:hAnsi="Times New Roman" w:cs="Times New Roman"/>
          <w:sz w:val="28"/>
          <w:szCs w:val="28"/>
          <w:lang w:eastAsia="en-GB"/>
        </w:rPr>
        <w:t>Începând cu anul</w:t>
      </w:r>
      <w:r w:rsidR="006E5604" w:rsidRPr="00DA4F6D">
        <w:rPr>
          <w:rFonts w:ascii="Times New Roman" w:hAnsi="Times New Roman" w:cs="Times New Roman"/>
          <w:color w:val="000000" w:themeColor="text1"/>
          <w:sz w:val="28"/>
          <w:szCs w:val="28"/>
          <w:lang w:eastAsia="en-GB"/>
        </w:rPr>
        <w:t xml:space="preserve"> 2017</w:t>
      </w:r>
      <w:r w:rsidR="00EF1F97">
        <w:rPr>
          <w:rFonts w:ascii="Times New Roman" w:hAnsi="Times New Roman" w:cs="Times New Roman"/>
          <w:color w:val="000000" w:themeColor="text1"/>
          <w:sz w:val="28"/>
          <w:szCs w:val="28"/>
          <w:lang w:eastAsia="en-GB"/>
        </w:rPr>
        <w:t>,</w:t>
      </w:r>
      <w:r w:rsidR="006E5604" w:rsidRPr="00DA4F6D">
        <w:rPr>
          <w:rFonts w:ascii="Times New Roman" w:hAnsi="Times New Roman" w:cs="Times New Roman"/>
          <w:color w:val="000000" w:themeColor="text1"/>
          <w:sz w:val="28"/>
          <w:szCs w:val="28"/>
          <w:lang w:eastAsia="en-GB"/>
        </w:rPr>
        <w:t xml:space="preserve"> </w:t>
      </w:r>
      <w:r w:rsidR="00DA4F6D" w:rsidRPr="00DA4F6D">
        <w:rPr>
          <w:rFonts w:ascii="Times New Roman" w:hAnsi="Times New Roman" w:cs="Times New Roman"/>
          <w:color w:val="000000" w:themeColor="text1"/>
          <w:sz w:val="28"/>
          <w:szCs w:val="28"/>
          <w:lang w:eastAsia="en-GB"/>
        </w:rPr>
        <w:t xml:space="preserve">SV </w:t>
      </w:r>
      <w:r w:rsidR="00FE7E52">
        <w:rPr>
          <w:rFonts w:ascii="Times New Roman" w:hAnsi="Times New Roman" w:cs="Times New Roman"/>
          <w:color w:val="000000" w:themeColor="text1"/>
          <w:sz w:val="28"/>
          <w:szCs w:val="28"/>
          <w:lang w:eastAsia="en-GB"/>
        </w:rPr>
        <w:t xml:space="preserve">activează în baza unei noi organigrame, </w:t>
      </w:r>
      <w:r w:rsidR="00FE7E52" w:rsidRPr="00DA4F6D">
        <w:rPr>
          <w:rFonts w:ascii="Times New Roman" w:hAnsi="Times New Roman" w:cs="Times New Roman"/>
          <w:color w:val="000000" w:themeColor="text1"/>
          <w:sz w:val="28"/>
          <w:szCs w:val="28"/>
          <w:lang w:eastAsia="en-GB"/>
        </w:rPr>
        <w:t>fiind comasate 7 birouri vamale și create 3 subdiviziuni</w:t>
      </w:r>
      <w:r w:rsidR="00FE7E52">
        <w:rPr>
          <w:rFonts w:ascii="Times New Roman" w:hAnsi="Times New Roman" w:cs="Times New Roman"/>
          <w:color w:val="000000" w:themeColor="text1"/>
          <w:sz w:val="28"/>
          <w:szCs w:val="28"/>
          <w:lang w:eastAsia="en-GB"/>
        </w:rPr>
        <w:t xml:space="preserve"> ale SV</w:t>
      </w:r>
      <w:r w:rsidR="00FE7E52" w:rsidRPr="00DA4F6D">
        <w:rPr>
          <w:rFonts w:ascii="Times New Roman" w:hAnsi="Times New Roman" w:cs="Times New Roman"/>
          <w:color w:val="000000" w:themeColor="text1"/>
          <w:sz w:val="28"/>
          <w:szCs w:val="28"/>
          <w:lang w:eastAsia="en-GB"/>
        </w:rPr>
        <w:t>: Nord, Centru și Sud.</w:t>
      </w:r>
    </w:p>
    <w:p w:rsidR="00123CB3" w:rsidRDefault="00123CB3" w:rsidP="00385FE6">
      <w:pPr>
        <w:widowControl w:val="0"/>
        <w:tabs>
          <w:tab w:val="left" w:pos="720"/>
        </w:tabs>
        <w:autoSpaceDE w:val="0"/>
        <w:autoSpaceDN w:val="0"/>
        <w:adjustRightInd w:val="0"/>
        <w:spacing w:after="0" w:line="276" w:lineRule="auto"/>
        <w:jc w:val="both"/>
        <w:rPr>
          <w:rFonts w:ascii="Times New Roman" w:hAnsi="Times New Roman" w:cs="Times New Roman"/>
          <w:i/>
          <w:color w:val="000000"/>
          <w:sz w:val="28"/>
          <w:szCs w:val="28"/>
        </w:rPr>
      </w:pPr>
      <w:r w:rsidRPr="001D0846">
        <w:rPr>
          <w:rFonts w:ascii="Times New Roman" w:hAnsi="Times New Roman" w:cs="Times New Roman"/>
          <w:sz w:val="28"/>
          <w:szCs w:val="28"/>
          <w:lang w:eastAsia="en-GB"/>
        </w:rPr>
        <w:tab/>
      </w:r>
      <w:r w:rsidRPr="001D0846">
        <w:rPr>
          <w:rFonts w:ascii="Times New Roman" w:eastAsia="Impact" w:hAnsi="Times New Roman" w:cs="Times New Roman"/>
          <w:bCs/>
          <w:iCs/>
          <w:color w:val="000000"/>
          <w:sz w:val="28"/>
          <w:szCs w:val="28"/>
          <w:shd w:val="clear" w:color="auto" w:fill="FFFFFF"/>
          <w:lang w:bidi="en-US"/>
        </w:rPr>
        <w:t>Misiunea, funcțiile de bază, atribuțiile, drepturile și o</w:t>
      </w:r>
      <w:r w:rsidRPr="001D0846">
        <w:rPr>
          <w:rFonts w:ascii="Times New Roman" w:hAnsi="Times New Roman" w:cs="Times New Roman"/>
          <w:color w:val="000000"/>
          <w:sz w:val="28"/>
          <w:szCs w:val="28"/>
        </w:rPr>
        <w:t xml:space="preserve">rganizarea </w:t>
      </w:r>
      <w:proofErr w:type="spellStart"/>
      <w:r w:rsidRPr="001D0846">
        <w:rPr>
          <w:rFonts w:ascii="Times New Roman" w:hAnsi="Times New Roman" w:cs="Times New Roman"/>
          <w:color w:val="000000"/>
          <w:sz w:val="28"/>
          <w:szCs w:val="28"/>
        </w:rPr>
        <w:t>activităţii</w:t>
      </w:r>
      <w:proofErr w:type="spellEnd"/>
      <w:r w:rsidRPr="001D0846">
        <w:rPr>
          <w:rFonts w:ascii="Times New Roman" w:hAnsi="Times New Roman" w:cs="Times New Roman"/>
          <w:color w:val="000000"/>
          <w:sz w:val="28"/>
          <w:szCs w:val="28"/>
        </w:rPr>
        <w:t xml:space="preserve"> organelor cu </w:t>
      </w:r>
      <w:proofErr w:type="spellStart"/>
      <w:r w:rsidRPr="001D0846">
        <w:rPr>
          <w:rFonts w:ascii="Times New Roman" w:hAnsi="Times New Roman" w:cs="Times New Roman"/>
          <w:color w:val="000000"/>
          <w:sz w:val="28"/>
          <w:szCs w:val="28"/>
        </w:rPr>
        <w:t>atribuţii</w:t>
      </w:r>
      <w:proofErr w:type="spellEnd"/>
      <w:r w:rsidRPr="001D0846">
        <w:rPr>
          <w:rFonts w:ascii="Times New Roman" w:hAnsi="Times New Roman" w:cs="Times New Roman"/>
          <w:color w:val="000000"/>
          <w:sz w:val="28"/>
          <w:szCs w:val="28"/>
        </w:rPr>
        <w:t xml:space="preserve"> de administrare fiscală </w:t>
      </w:r>
      <w:r w:rsidR="00FE7E52">
        <w:rPr>
          <w:rFonts w:ascii="Times New Roman" w:hAnsi="Times New Roman" w:cs="Times New Roman"/>
          <w:color w:val="000000"/>
          <w:sz w:val="28"/>
          <w:szCs w:val="28"/>
        </w:rPr>
        <w:t xml:space="preserve">și vamală </w:t>
      </w:r>
      <w:r w:rsidRPr="001D0846">
        <w:rPr>
          <w:rFonts w:ascii="Times New Roman" w:hAnsi="Times New Roman" w:cs="Times New Roman"/>
          <w:color w:val="000000"/>
          <w:sz w:val="28"/>
          <w:szCs w:val="28"/>
        </w:rPr>
        <w:t xml:space="preserve">sunt reglementate de </w:t>
      </w:r>
      <w:proofErr w:type="spellStart"/>
      <w:r w:rsidRPr="001D0846">
        <w:rPr>
          <w:rFonts w:ascii="Times New Roman" w:hAnsi="Times New Roman" w:cs="Times New Roman"/>
          <w:color w:val="000000"/>
          <w:sz w:val="28"/>
          <w:szCs w:val="28"/>
        </w:rPr>
        <w:t>legislaţia</w:t>
      </w:r>
      <w:proofErr w:type="spellEnd"/>
      <w:r w:rsidRPr="001D0846">
        <w:rPr>
          <w:rFonts w:ascii="Times New Roman" w:hAnsi="Times New Roman" w:cs="Times New Roman"/>
          <w:color w:val="000000"/>
          <w:sz w:val="28"/>
          <w:szCs w:val="28"/>
        </w:rPr>
        <w:t xml:space="preserve"> Republicii Moldova</w:t>
      </w:r>
      <w:r w:rsidR="00F67D51" w:rsidRPr="001D0846">
        <w:rPr>
          <w:rStyle w:val="a6"/>
          <w:rFonts w:ascii="Times New Roman" w:hAnsi="Times New Roman" w:cs="Times New Roman"/>
          <w:color w:val="000000"/>
          <w:sz w:val="28"/>
          <w:szCs w:val="28"/>
        </w:rPr>
        <w:footnoteReference w:id="2"/>
      </w:r>
      <w:r w:rsidRPr="001D0846">
        <w:rPr>
          <w:rFonts w:ascii="Times New Roman" w:hAnsi="Times New Roman" w:cs="Times New Roman"/>
          <w:color w:val="000000"/>
          <w:sz w:val="28"/>
          <w:szCs w:val="28"/>
        </w:rPr>
        <w:t xml:space="preserve"> </w:t>
      </w:r>
      <w:proofErr w:type="spellStart"/>
      <w:r w:rsidRPr="001D0846">
        <w:rPr>
          <w:rFonts w:ascii="Times New Roman" w:hAnsi="Times New Roman" w:cs="Times New Roman"/>
          <w:color w:val="000000"/>
          <w:sz w:val="28"/>
          <w:szCs w:val="28"/>
        </w:rPr>
        <w:t>şi</w:t>
      </w:r>
      <w:proofErr w:type="spellEnd"/>
      <w:r w:rsidRPr="001D0846">
        <w:rPr>
          <w:rFonts w:ascii="Times New Roman" w:hAnsi="Times New Roman" w:cs="Times New Roman"/>
          <w:color w:val="000000"/>
          <w:sz w:val="28"/>
          <w:szCs w:val="28"/>
        </w:rPr>
        <w:t xml:space="preserve"> tratatele </w:t>
      </w:r>
      <w:proofErr w:type="spellStart"/>
      <w:r w:rsidRPr="001D0846">
        <w:rPr>
          <w:rFonts w:ascii="Times New Roman" w:hAnsi="Times New Roman" w:cs="Times New Roman"/>
          <w:color w:val="000000"/>
          <w:sz w:val="28"/>
          <w:szCs w:val="28"/>
          <w:lang w:val="ro-MD"/>
        </w:rPr>
        <w:t>internaţionale</w:t>
      </w:r>
      <w:proofErr w:type="spellEnd"/>
      <w:r w:rsidRPr="001D0846">
        <w:rPr>
          <w:rFonts w:ascii="Times New Roman" w:hAnsi="Times New Roman" w:cs="Times New Roman"/>
          <w:color w:val="000000"/>
          <w:sz w:val="28"/>
          <w:szCs w:val="28"/>
          <w:lang w:val="ro-MD"/>
        </w:rPr>
        <w:t xml:space="preserve"> la</w:t>
      </w:r>
      <w:r w:rsidRPr="001D0846">
        <w:rPr>
          <w:rFonts w:ascii="Times New Roman" w:hAnsi="Times New Roman" w:cs="Times New Roman"/>
          <w:color w:val="000000"/>
          <w:sz w:val="28"/>
          <w:szCs w:val="28"/>
        </w:rPr>
        <w:t xml:space="preserve"> care Repu</w:t>
      </w:r>
      <w:r w:rsidR="00B1515B" w:rsidRPr="001D0846">
        <w:rPr>
          <w:rFonts w:ascii="Times New Roman" w:hAnsi="Times New Roman" w:cs="Times New Roman"/>
          <w:color w:val="000000"/>
          <w:sz w:val="28"/>
          <w:szCs w:val="28"/>
        </w:rPr>
        <w:t xml:space="preserve">blica Moldova </w:t>
      </w:r>
      <w:r w:rsidR="00B1515B" w:rsidRPr="001D0846">
        <w:rPr>
          <w:rFonts w:ascii="Times New Roman" w:hAnsi="Times New Roman" w:cs="Times New Roman"/>
          <w:color w:val="000000"/>
          <w:sz w:val="28"/>
          <w:szCs w:val="28"/>
        </w:rPr>
        <w:lastRenderedPageBreak/>
        <w:t xml:space="preserve">este parte. </w:t>
      </w:r>
      <w:r w:rsidR="00B1515B" w:rsidRPr="001D0846">
        <w:rPr>
          <w:rFonts w:ascii="Times New Roman" w:hAnsi="Times New Roman" w:cs="Times New Roman"/>
          <w:i/>
          <w:color w:val="000000"/>
          <w:sz w:val="28"/>
          <w:szCs w:val="28"/>
        </w:rPr>
        <w:t>Funcțiile și atribuțiile SFS și SV în domeniul administrării fiscale și vamale s</w:t>
      </w:r>
      <w:r w:rsidR="00EF1F97">
        <w:rPr>
          <w:rFonts w:ascii="Times New Roman" w:hAnsi="Times New Roman" w:cs="Times New Roman"/>
          <w:i/>
          <w:color w:val="000000"/>
          <w:sz w:val="28"/>
          <w:szCs w:val="28"/>
        </w:rPr>
        <w:t>unt</w:t>
      </w:r>
      <w:r w:rsidR="00B1515B" w:rsidRPr="001D0846">
        <w:rPr>
          <w:rFonts w:ascii="Times New Roman" w:hAnsi="Times New Roman" w:cs="Times New Roman"/>
          <w:i/>
          <w:color w:val="000000"/>
          <w:sz w:val="28"/>
          <w:szCs w:val="28"/>
        </w:rPr>
        <w:t xml:space="preserve"> prez</w:t>
      </w:r>
      <w:r w:rsidR="00A84B93">
        <w:rPr>
          <w:rFonts w:ascii="Times New Roman" w:hAnsi="Times New Roman" w:cs="Times New Roman"/>
          <w:i/>
          <w:color w:val="000000"/>
          <w:sz w:val="28"/>
          <w:szCs w:val="28"/>
        </w:rPr>
        <w:t>entate</w:t>
      </w:r>
      <w:r w:rsidR="00B1515B" w:rsidRPr="001D0846">
        <w:rPr>
          <w:rFonts w:ascii="Times New Roman" w:hAnsi="Times New Roman" w:cs="Times New Roman"/>
          <w:i/>
          <w:color w:val="000000"/>
          <w:sz w:val="28"/>
          <w:szCs w:val="28"/>
        </w:rPr>
        <w:t xml:space="preserve"> în Anexa nr.1 la Raport</w:t>
      </w:r>
      <w:r w:rsidR="00A84B93">
        <w:rPr>
          <w:rFonts w:ascii="Times New Roman" w:hAnsi="Times New Roman" w:cs="Times New Roman"/>
          <w:i/>
          <w:color w:val="000000"/>
          <w:sz w:val="28"/>
          <w:szCs w:val="28"/>
        </w:rPr>
        <w:t>ul</w:t>
      </w:r>
      <w:r w:rsidR="00B1515B" w:rsidRPr="001D0846">
        <w:rPr>
          <w:rFonts w:ascii="Times New Roman" w:hAnsi="Times New Roman" w:cs="Times New Roman"/>
          <w:i/>
          <w:color w:val="000000"/>
          <w:sz w:val="28"/>
          <w:szCs w:val="28"/>
        </w:rPr>
        <w:t xml:space="preserve"> de audit.</w:t>
      </w:r>
    </w:p>
    <w:p w:rsidR="00E2400B" w:rsidRPr="001D0846" w:rsidRDefault="00E2400B" w:rsidP="00385FE6">
      <w:pPr>
        <w:widowControl w:val="0"/>
        <w:tabs>
          <w:tab w:val="left" w:pos="720"/>
        </w:tabs>
        <w:autoSpaceDE w:val="0"/>
        <w:autoSpaceDN w:val="0"/>
        <w:adjustRightInd w:val="0"/>
        <w:spacing w:after="0" w:line="276" w:lineRule="auto"/>
        <w:jc w:val="both"/>
        <w:rPr>
          <w:rFonts w:ascii="Times New Roman" w:hAnsi="Times New Roman" w:cs="Times New Roman"/>
          <w:color w:val="000000"/>
          <w:sz w:val="28"/>
          <w:szCs w:val="28"/>
          <w:lang w:val="ro-MD"/>
        </w:rPr>
      </w:pPr>
      <w:r w:rsidRPr="001D0846">
        <w:rPr>
          <w:rFonts w:ascii="Times New Roman" w:hAnsi="Times New Roman" w:cs="Times New Roman"/>
          <w:b/>
          <w:color w:val="000000"/>
          <w:sz w:val="28"/>
          <w:szCs w:val="28"/>
        </w:rPr>
        <w:tab/>
      </w:r>
      <w:r w:rsidRPr="001D0846">
        <w:rPr>
          <w:rFonts w:ascii="Times New Roman" w:hAnsi="Times New Roman" w:cs="Times New Roman"/>
          <w:color w:val="000000"/>
          <w:sz w:val="28"/>
          <w:szCs w:val="28"/>
        </w:rPr>
        <w:t xml:space="preserve">Organele cu </w:t>
      </w:r>
      <w:proofErr w:type="spellStart"/>
      <w:r w:rsidRPr="001D0846">
        <w:rPr>
          <w:rFonts w:ascii="Times New Roman" w:hAnsi="Times New Roman" w:cs="Times New Roman"/>
          <w:color w:val="000000"/>
          <w:sz w:val="28"/>
          <w:szCs w:val="28"/>
        </w:rPr>
        <w:t>atribuţii</w:t>
      </w:r>
      <w:proofErr w:type="spellEnd"/>
      <w:r w:rsidRPr="001D0846">
        <w:rPr>
          <w:rFonts w:ascii="Times New Roman" w:hAnsi="Times New Roman" w:cs="Times New Roman"/>
          <w:color w:val="000000"/>
          <w:sz w:val="28"/>
          <w:szCs w:val="28"/>
        </w:rPr>
        <w:t xml:space="preserve"> de administrare fiscală</w:t>
      </w:r>
      <w:r w:rsidR="00CF4B7F">
        <w:rPr>
          <w:rFonts w:ascii="Times New Roman" w:hAnsi="Times New Roman" w:cs="Times New Roman"/>
          <w:color w:val="000000"/>
          <w:sz w:val="28"/>
          <w:szCs w:val="28"/>
        </w:rPr>
        <w:t xml:space="preserve"> și vamală</w:t>
      </w:r>
      <w:r w:rsidRPr="001D0846">
        <w:rPr>
          <w:rFonts w:ascii="Times New Roman" w:hAnsi="Times New Roman" w:cs="Times New Roman"/>
          <w:color w:val="000000"/>
          <w:sz w:val="28"/>
          <w:szCs w:val="28"/>
        </w:rPr>
        <w:t xml:space="preserve">, în procesul exercitării </w:t>
      </w:r>
      <w:proofErr w:type="spellStart"/>
      <w:r w:rsidRPr="001D0846">
        <w:rPr>
          <w:rFonts w:ascii="Times New Roman" w:hAnsi="Times New Roman" w:cs="Times New Roman"/>
          <w:color w:val="000000"/>
          <w:sz w:val="28"/>
          <w:szCs w:val="28"/>
        </w:rPr>
        <w:t>atribuţiilor</w:t>
      </w:r>
      <w:proofErr w:type="spellEnd"/>
      <w:r w:rsidRPr="001D0846">
        <w:rPr>
          <w:rFonts w:ascii="Times New Roman" w:hAnsi="Times New Roman" w:cs="Times New Roman"/>
          <w:color w:val="000000"/>
          <w:sz w:val="28"/>
          <w:szCs w:val="28"/>
        </w:rPr>
        <w:t xml:space="preserve"> respective, conlucrează între ele </w:t>
      </w:r>
      <w:proofErr w:type="spellStart"/>
      <w:r w:rsidRPr="001D0846">
        <w:rPr>
          <w:rFonts w:ascii="Times New Roman" w:hAnsi="Times New Roman" w:cs="Times New Roman"/>
          <w:color w:val="000000"/>
          <w:sz w:val="28"/>
          <w:szCs w:val="28"/>
        </w:rPr>
        <w:t>şi</w:t>
      </w:r>
      <w:proofErr w:type="spellEnd"/>
      <w:r w:rsidRPr="001D0846">
        <w:rPr>
          <w:rFonts w:ascii="Times New Roman" w:hAnsi="Times New Roman" w:cs="Times New Roman"/>
          <w:color w:val="000000"/>
          <w:sz w:val="28"/>
          <w:szCs w:val="28"/>
        </w:rPr>
        <w:t xml:space="preserve"> colaborează cu alte </w:t>
      </w:r>
      <w:proofErr w:type="spellStart"/>
      <w:r w:rsidRPr="001D0846">
        <w:rPr>
          <w:rFonts w:ascii="Times New Roman" w:hAnsi="Times New Roman" w:cs="Times New Roman"/>
          <w:color w:val="000000"/>
          <w:sz w:val="28"/>
          <w:szCs w:val="28"/>
        </w:rPr>
        <w:t>autorităţi</w:t>
      </w:r>
      <w:proofErr w:type="spellEnd"/>
      <w:r w:rsidRPr="001D0846">
        <w:rPr>
          <w:rFonts w:ascii="Times New Roman" w:hAnsi="Times New Roman" w:cs="Times New Roman"/>
          <w:color w:val="000000"/>
          <w:sz w:val="28"/>
          <w:szCs w:val="28"/>
        </w:rPr>
        <w:t xml:space="preserve"> publice.</w:t>
      </w:r>
      <w:r w:rsidRPr="001D0846">
        <w:rPr>
          <w:rFonts w:ascii="Times New Roman" w:hAnsi="Times New Roman" w:cs="Times New Roman"/>
          <w:color w:val="000000"/>
          <w:sz w:val="28"/>
          <w:szCs w:val="28"/>
        </w:rPr>
        <w:tab/>
      </w:r>
      <w:r w:rsidRPr="001D0846">
        <w:rPr>
          <w:rFonts w:ascii="Times New Roman" w:hAnsi="Times New Roman" w:cs="Times New Roman"/>
          <w:color w:val="000000"/>
          <w:sz w:val="28"/>
          <w:szCs w:val="28"/>
          <w:lang w:val="ro-MD"/>
        </w:rPr>
        <w:t xml:space="preserve">Ministerul </w:t>
      </w:r>
      <w:proofErr w:type="spellStart"/>
      <w:r w:rsidRPr="001D0846">
        <w:rPr>
          <w:rFonts w:ascii="Times New Roman" w:hAnsi="Times New Roman" w:cs="Times New Roman"/>
          <w:color w:val="000000"/>
          <w:sz w:val="28"/>
          <w:szCs w:val="28"/>
          <w:lang w:val="ro-MD"/>
        </w:rPr>
        <w:t>Finanţelor</w:t>
      </w:r>
      <w:proofErr w:type="spellEnd"/>
      <w:r w:rsidRPr="001D0846">
        <w:rPr>
          <w:rFonts w:ascii="Times New Roman" w:hAnsi="Times New Roman" w:cs="Times New Roman"/>
          <w:color w:val="000000"/>
          <w:sz w:val="28"/>
          <w:szCs w:val="28"/>
          <w:lang w:val="ro-MD"/>
        </w:rPr>
        <w:t xml:space="preserve"> </w:t>
      </w:r>
      <w:r w:rsidR="00CF4B7F">
        <w:rPr>
          <w:rFonts w:ascii="Times New Roman" w:hAnsi="Times New Roman" w:cs="Times New Roman"/>
          <w:color w:val="000000"/>
          <w:sz w:val="28"/>
          <w:szCs w:val="28"/>
          <w:lang w:val="ro-MD"/>
        </w:rPr>
        <w:t>efectuează</w:t>
      </w:r>
      <w:r w:rsidRPr="001D0846">
        <w:rPr>
          <w:rFonts w:ascii="Times New Roman" w:hAnsi="Times New Roman" w:cs="Times New Roman"/>
          <w:color w:val="000000"/>
          <w:sz w:val="28"/>
          <w:szCs w:val="28"/>
          <w:lang w:val="ro-MD"/>
        </w:rPr>
        <w:t xml:space="preserve"> dirijarea metodologică a</w:t>
      </w:r>
      <w:r w:rsidR="00F25B0D">
        <w:rPr>
          <w:rFonts w:ascii="Times New Roman" w:hAnsi="Times New Roman" w:cs="Times New Roman"/>
          <w:color w:val="000000"/>
          <w:sz w:val="28"/>
          <w:szCs w:val="28"/>
          <w:lang w:val="ro-MD"/>
        </w:rPr>
        <w:t xml:space="preserve"> activității</w:t>
      </w:r>
      <w:r w:rsidRPr="001D0846">
        <w:rPr>
          <w:rFonts w:ascii="Times New Roman" w:hAnsi="Times New Roman" w:cs="Times New Roman"/>
          <w:color w:val="000000"/>
          <w:sz w:val="28"/>
          <w:szCs w:val="28"/>
          <w:lang w:val="ro-MD"/>
        </w:rPr>
        <w:t xml:space="preserve"> SFS și SV</w:t>
      </w:r>
      <w:r w:rsidR="00A84B93">
        <w:rPr>
          <w:rFonts w:ascii="Times New Roman" w:hAnsi="Times New Roman" w:cs="Times New Roman"/>
          <w:color w:val="000000"/>
          <w:sz w:val="28"/>
          <w:szCs w:val="28"/>
          <w:lang w:val="ro-MD"/>
        </w:rPr>
        <w:t>,</w:t>
      </w:r>
      <w:r w:rsidRPr="001D0846">
        <w:rPr>
          <w:rFonts w:ascii="Times New Roman" w:hAnsi="Times New Roman" w:cs="Times New Roman"/>
          <w:color w:val="000000"/>
          <w:sz w:val="28"/>
          <w:szCs w:val="28"/>
          <w:lang w:val="ro-MD"/>
        </w:rPr>
        <w:t xml:space="preserve"> </w:t>
      </w:r>
      <w:r w:rsidR="00F25B0D">
        <w:rPr>
          <w:rFonts w:ascii="Times New Roman" w:hAnsi="Times New Roman" w:cs="Times New Roman"/>
          <w:color w:val="000000"/>
          <w:sz w:val="28"/>
          <w:szCs w:val="28"/>
          <w:lang w:val="ro-MD"/>
        </w:rPr>
        <w:t>prin exercitarea următoarelor</w:t>
      </w:r>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atribuţii</w:t>
      </w:r>
      <w:proofErr w:type="spellEnd"/>
      <w:r w:rsidRPr="001D0846">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(i)</w:t>
      </w:r>
      <w:r w:rsidRPr="001D0846">
        <w:rPr>
          <w:rFonts w:ascii="Times New Roman" w:hAnsi="Times New Roman" w:cs="Times New Roman"/>
          <w:color w:val="000000"/>
          <w:sz w:val="28"/>
          <w:szCs w:val="28"/>
          <w:lang w:val="ro-MD"/>
        </w:rPr>
        <w:t xml:space="preserve"> aprobă structura SFS și </w:t>
      </w:r>
      <w:r w:rsidR="00A84B93">
        <w:rPr>
          <w:rFonts w:ascii="Times New Roman" w:hAnsi="Times New Roman" w:cs="Times New Roman"/>
          <w:color w:val="000000"/>
          <w:sz w:val="28"/>
          <w:szCs w:val="28"/>
          <w:lang w:val="ro-MD"/>
        </w:rPr>
        <w:t xml:space="preserve">a </w:t>
      </w:r>
      <w:r w:rsidRPr="001D0846">
        <w:rPr>
          <w:rFonts w:ascii="Times New Roman" w:hAnsi="Times New Roman" w:cs="Times New Roman"/>
          <w:color w:val="000000"/>
          <w:sz w:val="28"/>
          <w:szCs w:val="28"/>
          <w:lang w:val="ro-MD"/>
        </w:rPr>
        <w:t xml:space="preserve">SV; </w:t>
      </w:r>
      <w:r w:rsidR="00F25B0D">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(ii)</w:t>
      </w:r>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stabileşte</w:t>
      </w:r>
      <w:proofErr w:type="spellEnd"/>
      <w:r w:rsidRPr="001D0846">
        <w:rPr>
          <w:rFonts w:ascii="Times New Roman" w:hAnsi="Times New Roman" w:cs="Times New Roman"/>
          <w:color w:val="000000"/>
          <w:sz w:val="28"/>
          <w:szCs w:val="28"/>
          <w:lang w:val="ro-MD"/>
        </w:rPr>
        <w:t xml:space="preserve"> obiectivele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indicatorii de </w:t>
      </w:r>
      <w:proofErr w:type="spellStart"/>
      <w:r w:rsidRPr="001D0846">
        <w:rPr>
          <w:rFonts w:ascii="Times New Roman" w:hAnsi="Times New Roman" w:cs="Times New Roman"/>
          <w:color w:val="000000"/>
          <w:sz w:val="28"/>
          <w:szCs w:val="28"/>
          <w:lang w:val="ro-MD"/>
        </w:rPr>
        <w:t>performanţă</w:t>
      </w:r>
      <w:proofErr w:type="spellEnd"/>
      <w:r w:rsidRPr="001D0846">
        <w:rPr>
          <w:rFonts w:ascii="Times New Roman" w:hAnsi="Times New Roman" w:cs="Times New Roman"/>
          <w:color w:val="000000"/>
          <w:sz w:val="28"/>
          <w:szCs w:val="28"/>
          <w:lang w:val="ro-MD"/>
        </w:rPr>
        <w:t xml:space="preserve"> a</w:t>
      </w:r>
      <w:r w:rsidR="00A84B93">
        <w:rPr>
          <w:rFonts w:ascii="Times New Roman" w:hAnsi="Times New Roman" w:cs="Times New Roman"/>
          <w:color w:val="000000"/>
          <w:sz w:val="28"/>
          <w:szCs w:val="28"/>
          <w:lang w:val="ro-MD"/>
        </w:rPr>
        <w:t>i</w:t>
      </w:r>
      <w:r w:rsidRPr="001D0846">
        <w:rPr>
          <w:rFonts w:ascii="Times New Roman" w:hAnsi="Times New Roman" w:cs="Times New Roman"/>
          <w:color w:val="000000"/>
          <w:sz w:val="28"/>
          <w:szCs w:val="28"/>
          <w:lang w:val="ro-MD"/>
        </w:rPr>
        <w:t xml:space="preserve"> SFS și SV; </w:t>
      </w:r>
      <w:r w:rsidRPr="001D0846">
        <w:rPr>
          <w:rFonts w:ascii="Times New Roman" w:hAnsi="Times New Roman" w:cs="Times New Roman"/>
          <w:i/>
          <w:color w:val="000000"/>
          <w:sz w:val="28"/>
          <w:szCs w:val="28"/>
          <w:lang w:val="ro-MD"/>
        </w:rPr>
        <w:t>(iii)</w:t>
      </w:r>
      <w:r w:rsidRPr="001D0846">
        <w:rPr>
          <w:rFonts w:ascii="Times New Roman" w:hAnsi="Times New Roman" w:cs="Times New Roman"/>
          <w:color w:val="000000"/>
          <w:sz w:val="28"/>
          <w:szCs w:val="28"/>
          <w:lang w:val="ro-MD"/>
        </w:rPr>
        <w:t xml:space="preserve"> evaluează </w:t>
      </w:r>
      <w:proofErr w:type="spellStart"/>
      <w:r w:rsidRPr="001D0846">
        <w:rPr>
          <w:rFonts w:ascii="Times New Roman" w:hAnsi="Times New Roman" w:cs="Times New Roman"/>
          <w:color w:val="000000"/>
          <w:sz w:val="28"/>
          <w:szCs w:val="28"/>
          <w:lang w:val="ro-MD"/>
        </w:rPr>
        <w:t>performanţa</w:t>
      </w:r>
      <w:proofErr w:type="spellEnd"/>
      <w:r w:rsidRPr="001D0846">
        <w:rPr>
          <w:rFonts w:ascii="Times New Roman" w:hAnsi="Times New Roman" w:cs="Times New Roman"/>
          <w:color w:val="000000"/>
          <w:sz w:val="28"/>
          <w:szCs w:val="28"/>
          <w:lang w:val="ro-MD"/>
        </w:rPr>
        <w:t xml:space="preserve"> </w:t>
      </w:r>
      <w:r w:rsidR="00F25B0D">
        <w:rPr>
          <w:rFonts w:ascii="Times New Roman" w:hAnsi="Times New Roman" w:cs="Times New Roman"/>
          <w:color w:val="000000"/>
          <w:sz w:val="28"/>
          <w:szCs w:val="28"/>
          <w:lang w:val="ro-MD"/>
        </w:rPr>
        <w:t xml:space="preserve">activității </w:t>
      </w:r>
      <w:r w:rsidRPr="001D0846">
        <w:rPr>
          <w:rFonts w:ascii="Times New Roman" w:hAnsi="Times New Roman" w:cs="Times New Roman"/>
          <w:color w:val="000000"/>
          <w:sz w:val="28"/>
          <w:szCs w:val="28"/>
          <w:lang w:val="ro-MD"/>
        </w:rPr>
        <w:t xml:space="preserve">directorului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 directorilor </w:t>
      </w:r>
      <w:proofErr w:type="spellStart"/>
      <w:r w:rsidRPr="001D0846">
        <w:rPr>
          <w:rFonts w:ascii="Times New Roman" w:hAnsi="Times New Roman" w:cs="Times New Roman"/>
          <w:color w:val="000000"/>
          <w:sz w:val="28"/>
          <w:szCs w:val="28"/>
          <w:lang w:val="ro-MD"/>
        </w:rPr>
        <w:t>adjuncţi</w:t>
      </w:r>
      <w:proofErr w:type="spellEnd"/>
      <w:r w:rsidRPr="001D0846">
        <w:rPr>
          <w:rFonts w:ascii="Times New Roman" w:hAnsi="Times New Roman" w:cs="Times New Roman"/>
          <w:color w:val="000000"/>
          <w:sz w:val="28"/>
          <w:szCs w:val="28"/>
          <w:lang w:val="ro-MD"/>
        </w:rPr>
        <w:t xml:space="preserve"> a</w:t>
      </w:r>
      <w:r w:rsidR="00A84B93">
        <w:rPr>
          <w:rFonts w:ascii="Times New Roman" w:hAnsi="Times New Roman" w:cs="Times New Roman"/>
          <w:color w:val="000000"/>
          <w:sz w:val="28"/>
          <w:szCs w:val="28"/>
          <w:lang w:val="ro-MD"/>
        </w:rPr>
        <w:t>i</w:t>
      </w:r>
      <w:r w:rsidRPr="001D0846">
        <w:rPr>
          <w:rFonts w:ascii="Times New Roman" w:hAnsi="Times New Roman" w:cs="Times New Roman"/>
          <w:color w:val="000000"/>
          <w:sz w:val="28"/>
          <w:szCs w:val="28"/>
          <w:lang w:val="ro-MD"/>
        </w:rPr>
        <w:t xml:space="preserve"> SFS și SV; </w:t>
      </w:r>
      <w:r w:rsidRPr="001D0846">
        <w:rPr>
          <w:rFonts w:ascii="Times New Roman" w:hAnsi="Times New Roman" w:cs="Times New Roman"/>
          <w:i/>
          <w:color w:val="000000"/>
          <w:sz w:val="28"/>
          <w:szCs w:val="28"/>
          <w:lang w:val="ro-MD"/>
        </w:rPr>
        <w:t>(iv)</w:t>
      </w:r>
      <w:r w:rsidRPr="001D0846">
        <w:rPr>
          <w:rFonts w:ascii="Times New Roman" w:hAnsi="Times New Roman" w:cs="Times New Roman"/>
          <w:color w:val="000000"/>
          <w:sz w:val="28"/>
          <w:szCs w:val="28"/>
          <w:lang w:val="ro-MD"/>
        </w:rPr>
        <w:t xml:space="preserve"> aprobă bugetul SFS și </w:t>
      </w:r>
      <w:r w:rsidR="00A84B93">
        <w:rPr>
          <w:rFonts w:ascii="Times New Roman" w:hAnsi="Times New Roman" w:cs="Times New Roman"/>
          <w:color w:val="000000"/>
          <w:sz w:val="28"/>
          <w:szCs w:val="28"/>
          <w:lang w:val="ro-MD"/>
        </w:rPr>
        <w:t xml:space="preserve">al </w:t>
      </w:r>
      <w:r w:rsidRPr="001D0846">
        <w:rPr>
          <w:rFonts w:ascii="Times New Roman" w:hAnsi="Times New Roman" w:cs="Times New Roman"/>
          <w:color w:val="000000"/>
          <w:sz w:val="28"/>
          <w:szCs w:val="28"/>
          <w:lang w:val="ro-MD"/>
        </w:rPr>
        <w:t xml:space="preserve">SV; </w:t>
      </w:r>
      <w:r w:rsidRPr="001D0846">
        <w:rPr>
          <w:rFonts w:ascii="Times New Roman" w:hAnsi="Times New Roman" w:cs="Times New Roman"/>
          <w:i/>
          <w:color w:val="000000"/>
          <w:sz w:val="28"/>
          <w:szCs w:val="28"/>
          <w:lang w:val="ro-MD"/>
        </w:rPr>
        <w:t>(v)</w:t>
      </w:r>
      <w:r w:rsidR="00F25B0D">
        <w:rPr>
          <w:rFonts w:ascii="Times New Roman" w:hAnsi="Times New Roman" w:cs="Times New Roman"/>
          <w:color w:val="000000"/>
          <w:sz w:val="28"/>
          <w:szCs w:val="28"/>
          <w:lang w:val="ro-MD"/>
        </w:rPr>
        <w:t xml:space="preserve"> solicită </w:t>
      </w:r>
      <w:proofErr w:type="spellStart"/>
      <w:r w:rsidR="00F25B0D">
        <w:rPr>
          <w:rFonts w:ascii="Times New Roman" w:hAnsi="Times New Roman" w:cs="Times New Roman"/>
          <w:color w:val="000000"/>
          <w:sz w:val="28"/>
          <w:szCs w:val="28"/>
          <w:lang w:val="ro-MD"/>
        </w:rPr>
        <w:t>informaţii</w:t>
      </w:r>
      <w:proofErr w:type="spellEnd"/>
      <w:r w:rsidRPr="001D0846">
        <w:rPr>
          <w:rFonts w:ascii="Times New Roman" w:hAnsi="Times New Roman" w:cs="Times New Roman"/>
          <w:color w:val="000000"/>
          <w:sz w:val="28"/>
          <w:szCs w:val="28"/>
          <w:lang w:val="ro-MD"/>
        </w:rPr>
        <w:t xml:space="preserve"> privind monitorizarea administrării fiscale, inclusiv rapoarte </w:t>
      </w:r>
      <w:r w:rsidR="00F25B0D">
        <w:rPr>
          <w:rFonts w:ascii="Times New Roman" w:hAnsi="Times New Roman" w:cs="Times New Roman"/>
          <w:color w:val="000000"/>
          <w:sz w:val="28"/>
          <w:szCs w:val="28"/>
          <w:lang w:val="ro-MD"/>
        </w:rPr>
        <w:t>cu privire la</w:t>
      </w:r>
      <w:r w:rsidRPr="001D0846">
        <w:rPr>
          <w:rFonts w:ascii="Times New Roman" w:hAnsi="Times New Roman" w:cs="Times New Roman"/>
          <w:color w:val="000000"/>
          <w:sz w:val="28"/>
          <w:szCs w:val="28"/>
          <w:lang w:val="ro-MD"/>
        </w:rPr>
        <w:t xml:space="preserve"> impozitarea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administrarea fiscală, rapoarte trimestriale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anuale privind suma </w:t>
      </w:r>
      <w:proofErr w:type="spellStart"/>
      <w:r w:rsidRPr="001D0846">
        <w:rPr>
          <w:rFonts w:ascii="Times New Roman" w:hAnsi="Times New Roman" w:cs="Times New Roman"/>
          <w:color w:val="000000"/>
          <w:sz w:val="28"/>
          <w:szCs w:val="28"/>
          <w:lang w:val="ro-MD"/>
        </w:rPr>
        <w:t>obligaţiilor</w:t>
      </w:r>
      <w:proofErr w:type="spellEnd"/>
      <w:r w:rsidRPr="001D0846">
        <w:rPr>
          <w:rFonts w:ascii="Times New Roman" w:hAnsi="Times New Roman" w:cs="Times New Roman"/>
          <w:color w:val="000000"/>
          <w:sz w:val="28"/>
          <w:szCs w:val="28"/>
          <w:lang w:val="ro-MD"/>
        </w:rPr>
        <w:t xml:space="preserve"> fiscale luate </w:t>
      </w:r>
      <w:r w:rsidR="00A84B93">
        <w:rPr>
          <w:rFonts w:ascii="Times New Roman" w:hAnsi="Times New Roman" w:cs="Times New Roman"/>
          <w:color w:val="000000"/>
          <w:sz w:val="28"/>
          <w:szCs w:val="28"/>
          <w:lang w:val="ro-MD"/>
        </w:rPr>
        <w:t>la</w:t>
      </w:r>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evidenţ</w:t>
      </w:r>
      <w:r w:rsidR="00A84B93">
        <w:rPr>
          <w:rFonts w:ascii="Times New Roman" w:hAnsi="Times New Roman" w:cs="Times New Roman"/>
          <w:color w:val="000000"/>
          <w:sz w:val="28"/>
          <w:szCs w:val="28"/>
          <w:lang w:val="ro-MD"/>
        </w:rPr>
        <w:t>a</w:t>
      </w:r>
      <w:proofErr w:type="spellEnd"/>
      <w:r w:rsidRPr="001D0846">
        <w:rPr>
          <w:rFonts w:ascii="Times New Roman" w:hAnsi="Times New Roman" w:cs="Times New Roman"/>
          <w:color w:val="000000"/>
          <w:sz w:val="28"/>
          <w:szCs w:val="28"/>
          <w:lang w:val="ro-MD"/>
        </w:rPr>
        <w:t xml:space="preserve"> specială; </w:t>
      </w:r>
      <w:r w:rsidR="00F25B0D">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(vi)</w:t>
      </w:r>
      <w:r w:rsidRPr="001D0846">
        <w:rPr>
          <w:rFonts w:ascii="Times New Roman" w:hAnsi="Times New Roman" w:cs="Times New Roman"/>
          <w:color w:val="000000"/>
          <w:sz w:val="28"/>
          <w:szCs w:val="28"/>
          <w:lang w:val="ro-MD"/>
        </w:rPr>
        <w:t xml:space="preserve"> alte </w:t>
      </w:r>
      <w:proofErr w:type="spellStart"/>
      <w:r w:rsidRPr="001D0846">
        <w:rPr>
          <w:rFonts w:ascii="Times New Roman" w:hAnsi="Times New Roman" w:cs="Times New Roman"/>
          <w:color w:val="000000"/>
          <w:sz w:val="28"/>
          <w:szCs w:val="28"/>
          <w:lang w:val="ro-MD"/>
        </w:rPr>
        <w:t>acţiuni</w:t>
      </w:r>
      <w:proofErr w:type="spellEnd"/>
      <w:r w:rsidRPr="001D0846">
        <w:rPr>
          <w:rFonts w:ascii="Times New Roman" w:hAnsi="Times New Roman" w:cs="Times New Roman"/>
          <w:color w:val="000000"/>
          <w:sz w:val="28"/>
          <w:szCs w:val="28"/>
          <w:lang w:val="ro-MD"/>
        </w:rPr>
        <w:t xml:space="preserve"> prevăzute de legislație.</w:t>
      </w:r>
    </w:p>
    <w:p w:rsidR="00385FE6" w:rsidRPr="001D0846" w:rsidRDefault="00385FE6" w:rsidP="00385FE6">
      <w:pPr>
        <w:pStyle w:val="1"/>
        <w:spacing w:before="0" w:line="276" w:lineRule="auto"/>
        <w:rPr>
          <w:rFonts w:ascii="Times New Roman" w:hAnsi="Times New Roman" w:cs="Times New Roman"/>
          <w:b/>
          <w:color w:val="auto"/>
          <w:sz w:val="28"/>
          <w:szCs w:val="28"/>
        </w:rPr>
      </w:pPr>
      <w:bookmarkStart w:id="5" w:name="_Toc505603939"/>
    </w:p>
    <w:p w:rsidR="00982BF8" w:rsidRPr="001D0846" w:rsidRDefault="00AD19B6" w:rsidP="00AD19B6">
      <w:pPr>
        <w:pStyle w:val="1"/>
        <w:spacing w:before="0" w:line="276" w:lineRule="auto"/>
        <w:jc w:val="center"/>
        <w:rPr>
          <w:rFonts w:ascii="Times New Roman" w:hAnsi="Times New Roman" w:cs="Times New Roman"/>
          <w:b/>
          <w:color w:val="000000"/>
        </w:rPr>
      </w:pPr>
      <w:bookmarkStart w:id="6" w:name="_Toc515894885"/>
      <w:r w:rsidRPr="001D0846">
        <w:rPr>
          <w:rFonts w:ascii="Times New Roman" w:hAnsi="Times New Roman" w:cs="Times New Roman"/>
          <w:b/>
          <w:color w:val="auto"/>
        </w:rPr>
        <w:t>II</w:t>
      </w:r>
      <w:r w:rsidR="00A0239F" w:rsidRPr="001D0846">
        <w:rPr>
          <w:rFonts w:ascii="Times New Roman" w:hAnsi="Times New Roman" w:cs="Times New Roman"/>
          <w:b/>
          <w:color w:val="auto"/>
        </w:rPr>
        <w:t xml:space="preserve">. </w:t>
      </w:r>
      <w:r w:rsidR="009F2555" w:rsidRPr="001D0846">
        <w:rPr>
          <w:rFonts w:ascii="Times New Roman" w:hAnsi="Times New Roman" w:cs="Times New Roman"/>
          <w:b/>
          <w:color w:val="auto"/>
        </w:rPr>
        <w:t>SFERA ȘI ABORDAREA AUDITULUI</w:t>
      </w:r>
      <w:bookmarkEnd w:id="5"/>
      <w:bookmarkEnd w:id="6"/>
    </w:p>
    <w:p w:rsidR="00982BF8" w:rsidRPr="001D0846" w:rsidRDefault="00982BF8" w:rsidP="000349B9">
      <w:pPr>
        <w:pStyle w:val="a7"/>
        <w:spacing w:after="0" w:line="276" w:lineRule="auto"/>
        <w:ind w:left="0" w:firstLine="709"/>
        <w:jc w:val="both"/>
        <w:rPr>
          <w:rFonts w:ascii="Times New Roman" w:hAnsi="Times New Roman" w:cs="Times New Roman"/>
          <w:sz w:val="28"/>
          <w:szCs w:val="28"/>
        </w:rPr>
      </w:pPr>
      <w:r w:rsidRPr="001D0846">
        <w:rPr>
          <w:rFonts w:ascii="Times New Roman" w:hAnsi="Times New Roman" w:cs="Times New Roman"/>
          <w:sz w:val="28"/>
          <w:szCs w:val="28"/>
        </w:rPr>
        <w:t>Potrivit Planului de Dezvoltare Strategică pe anii 2016-2020</w:t>
      </w:r>
      <w:r w:rsidRPr="001D0846">
        <w:rPr>
          <w:rStyle w:val="a6"/>
          <w:rFonts w:ascii="Times New Roman" w:hAnsi="Times New Roman" w:cs="Times New Roman"/>
          <w:sz w:val="28"/>
          <w:szCs w:val="28"/>
        </w:rPr>
        <w:footnoteReference w:id="3"/>
      </w:r>
      <w:r w:rsidRPr="001D0846">
        <w:rPr>
          <w:rFonts w:ascii="Times New Roman" w:hAnsi="Times New Roman" w:cs="Times New Roman"/>
          <w:sz w:val="28"/>
          <w:szCs w:val="28"/>
        </w:rPr>
        <w:t xml:space="preserve">, Curții de Conturi îi revine sarcina de a asigura coeziunea pentru sporirea nivelului de responsabilitate a Parlamentului, Guvernului și </w:t>
      </w:r>
      <w:r w:rsidRPr="00FE7E52">
        <w:rPr>
          <w:rFonts w:ascii="Times New Roman" w:hAnsi="Times New Roman" w:cs="Times New Roman"/>
          <w:sz w:val="28"/>
          <w:szCs w:val="28"/>
        </w:rPr>
        <w:t>managementului instituțiilor publice. Acest deziderat va fi realizat prin desfășurarea inclusiv a auditurilor performanței, care vor contribui la sporirea economicității, eficienței și eficacității operațiunilor guvernamentale.</w:t>
      </w:r>
      <w:r w:rsidRPr="001D0846">
        <w:rPr>
          <w:rFonts w:ascii="Times New Roman" w:hAnsi="Times New Roman" w:cs="Times New Roman"/>
          <w:sz w:val="28"/>
          <w:szCs w:val="28"/>
        </w:rPr>
        <w:t xml:space="preserve"> </w:t>
      </w:r>
    </w:p>
    <w:p w:rsidR="009130CD" w:rsidRPr="001D0846" w:rsidRDefault="00982BF8" w:rsidP="000349B9">
      <w:pPr>
        <w:shd w:val="clear" w:color="auto" w:fill="FFFFFF"/>
        <w:spacing w:after="0" w:line="276" w:lineRule="auto"/>
        <w:ind w:right="59" w:firstLine="709"/>
        <w:jc w:val="both"/>
        <w:rPr>
          <w:rFonts w:ascii="Times New Roman" w:hAnsi="Times New Roman" w:cs="Times New Roman"/>
          <w:sz w:val="28"/>
          <w:szCs w:val="28"/>
          <w:lang w:val="ro-MD"/>
        </w:rPr>
      </w:pPr>
      <w:r w:rsidRPr="001D0846">
        <w:rPr>
          <w:rFonts w:ascii="Times New Roman" w:hAnsi="Times New Roman" w:cs="Times New Roman"/>
          <w:color w:val="000000"/>
          <w:sz w:val="28"/>
          <w:szCs w:val="28"/>
          <w:lang w:bidi="en-US"/>
        </w:rPr>
        <w:t>În vederea realizării dezideratului strategic, Curtea de Conturi a inițiat</w:t>
      </w:r>
      <w:r w:rsidR="00A84B93">
        <w:rPr>
          <w:rFonts w:ascii="Times New Roman" w:hAnsi="Times New Roman" w:cs="Times New Roman"/>
          <w:color w:val="000000"/>
          <w:sz w:val="28"/>
          <w:szCs w:val="28"/>
          <w:lang w:bidi="en-US"/>
        </w:rPr>
        <w:t>,</w:t>
      </w:r>
      <w:r w:rsidRPr="001D0846">
        <w:rPr>
          <w:rFonts w:ascii="Times New Roman" w:hAnsi="Times New Roman" w:cs="Times New Roman"/>
          <w:color w:val="000000"/>
          <w:sz w:val="28"/>
          <w:szCs w:val="28"/>
          <w:lang w:bidi="en-US"/>
        </w:rPr>
        <w:t xml:space="preserve"> </w:t>
      </w:r>
      <w:r w:rsidRPr="001D0846">
        <w:rPr>
          <w:rFonts w:ascii="Times New Roman" w:hAnsi="Times New Roman" w:cs="Times New Roman"/>
          <w:noProof/>
          <w:sz w:val="28"/>
          <w:szCs w:val="28"/>
          <w:lang w:eastAsia="ru-RU"/>
        </w:rPr>
        <w:t xml:space="preserve">în conformitate cu </w:t>
      </w:r>
      <w:r w:rsidRPr="001D0846">
        <w:rPr>
          <w:rFonts w:ascii="Times New Roman" w:hAnsi="Times New Roman" w:cs="Times New Roman"/>
          <w:noProof/>
          <w:sz w:val="28"/>
          <w:szCs w:val="28"/>
        </w:rPr>
        <w:t xml:space="preserve">Programul activităţii de audit </w:t>
      </w:r>
      <w:r w:rsidRPr="001D0846">
        <w:rPr>
          <w:rFonts w:ascii="Times New Roman" w:hAnsi="Times New Roman" w:cs="Times New Roman"/>
          <w:sz w:val="28"/>
          <w:szCs w:val="28"/>
        </w:rPr>
        <w:t>pe anul 2017</w:t>
      </w:r>
      <w:r w:rsidRPr="001D0846">
        <w:rPr>
          <w:rStyle w:val="a6"/>
          <w:rFonts w:ascii="Times New Roman" w:hAnsi="Times New Roman" w:cs="Times New Roman"/>
          <w:sz w:val="28"/>
          <w:szCs w:val="28"/>
        </w:rPr>
        <w:footnoteReference w:id="4"/>
      </w:r>
      <w:r w:rsidR="00A84B93">
        <w:rPr>
          <w:rFonts w:ascii="Times New Roman" w:hAnsi="Times New Roman" w:cs="Times New Roman"/>
          <w:sz w:val="28"/>
          <w:szCs w:val="28"/>
        </w:rPr>
        <w:t>,</w:t>
      </w:r>
      <w:r w:rsidRPr="001D0846">
        <w:rPr>
          <w:rFonts w:ascii="Times New Roman" w:hAnsi="Times New Roman" w:cs="Times New Roman"/>
          <w:sz w:val="28"/>
          <w:szCs w:val="28"/>
        </w:rPr>
        <w:t xml:space="preserve"> </w:t>
      </w:r>
      <w:r w:rsidRPr="001D0846">
        <w:rPr>
          <w:rFonts w:ascii="Times New Roman" w:hAnsi="Times New Roman" w:cs="Times New Roman"/>
          <w:noProof/>
          <w:color w:val="000000"/>
          <w:sz w:val="28"/>
          <w:szCs w:val="28"/>
        </w:rPr>
        <w:t>auditul performanței</w:t>
      </w:r>
      <w:r w:rsidR="009130CD" w:rsidRPr="001D0846">
        <w:rPr>
          <w:rFonts w:ascii="Times New Roman" w:hAnsi="Times New Roman" w:cs="Times New Roman"/>
          <w:noProof/>
          <w:color w:val="000000"/>
          <w:sz w:val="28"/>
          <w:szCs w:val="28"/>
        </w:rPr>
        <w:t xml:space="preserve"> privind f</w:t>
      </w:r>
      <w:r w:rsidRPr="001D0846">
        <w:rPr>
          <w:rFonts w:ascii="Times New Roman" w:hAnsi="Times New Roman" w:cs="Times New Roman"/>
          <w:sz w:val="28"/>
          <w:szCs w:val="28"/>
        </w:rPr>
        <w:t xml:space="preserve">uncționalitatea și </w:t>
      </w:r>
      <w:proofErr w:type="spellStart"/>
      <w:r w:rsidRPr="001D0846">
        <w:rPr>
          <w:rFonts w:ascii="Times New Roman" w:hAnsi="Times New Roman" w:cs="Times New Roman"/>
          <w:sz w:val="28"/>
          <w:szCs w:val="28"/>
        </w:rPr>
        <w:t>rezultativitatea</w:t>
      </w:r>
      <w:proofErr w:type="spellEnd"/>
      <w:r w:rsidRPr="001D0846">
        <w:rPr>
          <w:rFonts w:ascii="Times New Roman" w:hAnsi="Times New Roman" w:cs="Times New Roman"/>
          <w:sz w:val="28"/>
          <w:szCs w:val="28"/>
        </w:rPr>
        <w:t xml:space="preserve"> operațională aferent</w:t>
      </w:r>
      <w:r w:rsidR="00A84B93">
        <w:rPr>
          <w:rFonts w:ascii="Times New Roman" w:hAnsi="Times New Roman" w:cs="Times New Roman"/>
          <w:sz w:val="28"/>
          <w:szCs w:val="28"/>
        </w:rPr>
        <w:t>e</w:t>
      </w:r>
      <w:r w:rsidRPr="001D0846">
        <w:rPr>
          <w:rFonts w:ascii="Times New Roman" w:hAnsi="Times New Roman" w:cs="Times New Roman"/>
          <w:sz w:val="28"/>
          <w:szCs w:val="28"/>
        </w:rPr>
        <w:t xml:space="preserve"> administrării impozitelor și </w:t>
      </w:r>
      <w:r w:rsidR="009130CD" w:rsidRPr="001D0846">
        <w:rPr>
          <w:rFonts w:ascii="Times New Roman" w:hAnsi="Times New Roman" w:cs="Times New Roman"/>
          <w:sz w:val="28"/>
          <w:szCs w:val="28"/>
          <w:lang w:val="ro-MD"/>
        </w:rPr>
        <w:t>taxelor</w:t>
      </w:r>
      <w:r w:rsidR="00D17621" w:rsidRPr="001D0846">
        <w:rPr>
          <w:rFonts w:ascii="Times New Roman" w:hAnsi="Times New Roman" w:cs="Times New Roman"/>
          <w:sz w:val="28"/>
          <w:szCs w:val="28"/>
          <w:lang w:val="ro-MD"/>
        </w:rPr>
        <w:t xml:space="preserve">. </w:t>
      </w:r>
    </w:p>
    <w:p w:rsidR="00982BF8" w:rsidRPr="001D0846" w:rsidRDefault="000349B9" w:rsidP="000349B9">
      <w:pPr>
        <w:pStyle w:val="80"/>
        <w:shd w:val="clear" w:color="auto" w:fill="auto"/>
        <w:spacing w:after="0" w:line="276" w:lineRule="auto"/>
        <w:ind w:firstLine="709"/>
        <w:jc w:val="both"/>
        <w:rPr>
          <w:sz w:val="28"/>
          <w:szCs w:val="28"/>
        </w:rPr>
      </w:pPr>
      <w:r w:rsidRPr="001D0846">
        <w:rPr>
          <w:b w:val="0"/>
          <w:sz w:val="28"/>
          <w:szCs w:val="28"/>
        </w:rPr>
        <w:t>Ast</w:t>
      </w:r>
      <w:r w:rsidR="009130CD" w:rsidRPr="001D0846">
        <w:rPr>
          <w:b w:val="0"/>
          <w:sz w:val="28"/>
          <w:szCs w:val="28"/>
        </w:rPr>
        <w:t xml:space="preserve">fel, </w:t>
      </w:r>
      <w:r w:rsidR="00982BF8" w:rsidRPr="001D0846">
        <w:rPr>
          <w:b w:val="0"/>
          <w:sz w:val="28"/>
          <w:szCs w:val="28"/>
        </w:rPr>
        <w:t xml:space="preserve">Curtea de Conturi, recunoscând importanța social-economică a impozitelor și taxelor, precum și factorii de risc care pot afecta buna administrare a veniturilor publice, și-a propus examinarea sistemului de administrare a impozitelor și taxelor, pentru a evalua managementul și performanțele administrării </w:t>
      </w:r>
      <w:r w:rsidR="009130CD" w:rsidRPr="001D0846">
        <w:rPr>
          <w:b w:val="0"/>
          <w:sz w:val="28"/>
          <w:szCs w:val="28"/>
        </w:rPr>
        <w:t>acestora</w:t>
      </w:r>
      <w:r w:rsidR="00982BF8" w:rsidRPr="001D0846">
        <w:rPr>
          <w:b w:val="0"/>
          <w:sz w:val="28"/>
          <w:szCs w:val="28"/>
        </w:rPr>
        <w:t xml:space="preserve">, a identifica </w:t>
      </w:r>
      <w:r w:rsidR="00F25B0D">
        <w:rPr>
          <w:b w:val="0"/>
          <w:sz w:val="28"/>
          <w:szCs w:val="28"/>
        </w:rPr>
        <w:t>potențialele riscuri, probleme și vulnerabilități</w:t>
      </w:r>
      <w:r w:rsidR="00982BF8" w:rsidRPr="001D0846">
        <w:rPr>
          <w:b w:val="0"/>
          <w:sz w:val="28"/>
          <w:szCs w:val="28"/>
        </w:rPr>
        <w:t xml:space="preserve"> care pot avea impact asupra realizării performanțelor sistemului de administrare,</w:t>
      </w:r>
      <w:r w:rsidR="00612330" w:rsidRPr="001D0846">
        <w:rPr>
          <w:b w:val="0"/>
          <w:sz w:val="28"/>
          <w:szCs w:val="28"/>
        </w:rPr>
        <w:t xml:space="preserve"> precum și </w:t>
      </w:r>
      <w:r w:rsidR="00982BF8" w:rsidRPr="001D0846">
        <w:rPr>
          <w:b w:val="0"/>
          <w:sz w:val="28"/>
          <w:szCs w:val="28"/>
        </w:rPr>
        <w:t>elabora</w:t>
      </w:r>
      <w:r w:rsidR="00612330" w:rsidRPr="001D0846">
        <w:rPr>
          <w:b w:val="0"/>
          <w:sz w:val="28"/>
          <w:szCs w:val="28"/>
        </w:rPr>
        <w:t>rea</w:t>
      </w:r>
      <w:r w:rsidR="00982BF8" w:rsidRPr="001D0846">
        <w:rPr>
          <w:b w:val="0"/>
          <w:sz w:val="28"/>
          <w:szCs w:val="28"/>
        </w:rPr>
        <w:t xml:space="preserve"> recomandări</w:t>
      </w:r>
      <w:r w:rsidR="00612330" w:rsidRPr="001D0846">
        <w:rPr>
          <w:b w:val="0"/>
          <w:sz w:val="28"/>
          <w:szCs w:val="28"/>
        </w:rPr>
        <w:t>lor</w:t>
      </w:r>
      <w:r w:rsidR="00982BF8" w:rsidRPr="001D0846">
        <w:rPr>
          <w:b w:val="0"/>
          <w:sz w:val="28"/>
          <w:szCs w:val="28"/>
        </w:rPr>
        <w:t xml:space="preserve"> pentru îmbunătățirea </w:t>
      </w:r>
      <w:r w:rsidR="00982BF8" w:rsidRPr="00FE7E52">
        <w:rPr>
          <w:b w:val="0"/>
          <w:sz w:val="28"/>
          <w:szCs w:val="28"/>
        </w:rPr>
        <w:t>man</w:t>
      </w:r>
      <w:r w:rsidR="00FE7E52" w:rsidRPr="00FE7E52">
        <w:rPr>
          <w:b w:val="0"/>
          <w:sz w:val="28"/>
          <w:szCs w:val="28"/>
        </w:rPr>
        <w:t>a</w:t>
      </w:r>
      <w:r w:rsidR="00982BF8" w:rsidRPr="00FE7E52">
        <w:rPr>
          <w:b w:val="0"/>
          <w:sz w:val="28"/>
          <w:szCs w:val="28"/>
        </w:rPr>
        <w:t>gementului și a rezultatelor administrării acestui sistem.</w:t>
      </w:r>
    </w:p>
    <w:p w:rsidR="00982BF8" w:rsidRPr="00206E15" w:rsidRDefault="00982BF8" w:rsidP="00D672A9">
      <w:pPr>
        <w:pStyle w:val="a7"/>
        <w:spacing w:after="0" w:line="276" w:lineRule="auto"/>
        <w:ind w:left="0" w:firstLine="709"/>
        <w:jc w:val="both"/>
        <w:rPr>
          <w:rFonts w:ascii="Times New Roman" w:hAnsi="Times New Roman" w:cs="Times New Roman"/>
          <w:sz w:val="28"/>
          <w:szCs w:val="28"/>
        </w:rPr>
      </w:pPr>
      <w:proofErr w:type="spellStart"/>
      <w:r w:rsidRPr="001D0846">
        <w:rPr>
          <w:rFonts w:ascii="Times New Roman" w:hAnsi="Times New Roman" w:cs="Times New Roman"/>
          <w:sz w:val="28"/>
          <w:szCs w:val="28"/>
        </w:rPr>
        <w:t>Iniţierea</w:t>
      </w:r>
      <w:proofErr w:type="spellEnd"/>
      <w:r w:rsidRPr="001D0846">
        <w:rPr>
          <w:rFonts w:ascii="Times New Roman" w:hAnsi="Times New Roman" w:cs="Times New Roman"/>
          <w:sz w:val="28"/>
          <w:szCs w:val="28"/>
        </w:rPr>
        <w:t xml:space="preserve"> misiunii de audit a avut ca fundament interesul deosebit </w:t>
      </w:r>
      <w:r w:rsidR="00F25B0D">
        <w:rPr>
          <w:rFonts w:ascii="Times New Roman" w:hAnsi="Times New Roman" w:cs="Times New Roman"/>
          <w:sz w:val="28"/>
          <w:szCs w:val="28"/>
        </w:rPr>
        <w:t xml:space="preserve">al Curții de Conturi </w:t>
      </w:r>
      <w:r w:rsidRPr="001D0846">
        <w:rPr>
          <w:rFonts w:ascii="Times New Roman" w:hAnsi="Times New Roman" w:cs="Times New Roman"/>
          <w:sz w:val="28"/>
          <w:szCs w:val="28"/>
        </w:rPr>
        <w:t xml:space="preserve">în evaluarea </w:t>
      </w:r>
      <w:proofErr w:type="spellStart"/>
      <w:r w:rsidRPr="001D0846">
        <w:rPr>
          <w:rFonts w:ascii="Times New Roman" w:hAnsi="Times New Roman" w:cs="Times New Roman"/>
          <w:sz w:val="28"/>
          <w:szCs w:val="28"/>
        </w:rPr>
        <w:t>eficienţei</w:t>
      </w:r>
      <w:proofErr w:type="spellEnd"/>
      <w:r w:rsidRPr="001D0846">
        <w:rPr>
          <w:rFonts w:ascii="Times New Roman" w:hAnsi="Times New Roman" w:cs="Times New Roman"/>
          <w:sz w:val="28"/>
          <w:szCs w:val="28"/>
        </w:rPr>
        <w:t xml:space="preserve"> </w:t>
      </w:r>
      <w:proofErr w:type="spellStart"/>
      <w:r w:rsidRPr="001D0846">
        <w:rPr>
          <w:rFonts w:ascii="Times New Roman" w:hAnsi="Times New Roman" w:cs="Times New Roman"/>
          <w:sz w:val="28"/>
          <w:szCs w:val="28"/>
        </w:rPr>
        <w:t>şi</w:t>
      </w:r>
      <w:proofErr w:type="spellEnd"/>
      <w:r w:rsidRPr="001D0846">
        <w:rPr>
          <w:rFonts w:ascii="Times New Roman" w:hAnsi="Times New Roman" w:cs="Times New Roman"/>
          <w:sz w:val="28"/>
          <w:szCs w:val="28"/>
        </w:rPr>
        <w:t xml:space="preserve"> eficacității sistemului de administrare a impozitelor </w:t>
      </w:r>
      <w:r w:rsidRPr="001D0846">
        <w:rPr>
          <w:rFonts w:ascii="Times New Roman" w:hAnsi="Times New Roman" w:cs="Times New Roman"/>
          <w:sz w:val="28"/>
          <w:szCs w:val="28"/>
        </w:rPr>
        <w:lastRenderedPageBreak/>
        <w:t xml:space="preserve">și taxelor ca surse principale de venit ale Bugetului Public Național. Acest interes al </w:t>
      </w:r>
      <w:proofErr w:type="spellStart"/>
      <w:r w:rsidRPr="001D0846">
        <w:rPr>
          <w:rFonts w:ascii="Times New Roman" w:hAnsi="Times New Roman" w:cs="Times New Roman"/>
          <w:sz w:val="28"/>
          <w:szCs w:val="28"/>
        </w:rPr>
        <w:t>Curţii</w:t>
      </w:r>
      <w:proofErr w:type="spellEnd"/>
      <w:r w:rsidRPr="001D0846">
        <w:rPr>
          <w:rFonts w:ascii="Times New Roman" w:hAnsi="Times New Roman" w:cs="Times New Roman"/>
          <w:sz w:val="28"/>
          <w:szCs w:val="28"/>
        </w:rPr>
        <w:t xml:space="preserve"> de Conturi are ca bază mandatul legal</w:t>
      </w:r>
      <w:r w:rsidRPr="001D0846">
        <w:rPr>
          <w:rStyle w:val="a6"/>
          <w:rFonts w:ascii="Times New Roman" w:hAnsi="Times New Roman" w:cs="Times New Roman"/>
          <w:color w:val="000000"/>
          <w:sz w:val="28"/>
          <w:szCs w:val="28"/>
        </w:rPr>
        <w:footnoteReference w:id="5"/>
      </w:r>
      <w:r w:rsidRPr="001D0846">
        <w:rPr>
          <w:rFonts w:ascii="Times New Roman" w:hAnsi="Times New Roman" w:cs="Times New Roman"/>
          <w:color w:val="000000"/>
          <w:sz w:val="28"/>
          <w:szCs w:val="28"/>
        </w:rPr>
        <w:t xml:space="preserve"> </w:t>
      </w:r>
      <w:r w:rsidRPr="001D0846">
        <w:rPr>
          <w:rFonts w:ascii="Times New Roman" w:hAnsi="Times New Roman" w:cs="Times New Roman"/>
          <w:sz w:val="28"/>
          <w:szCs w:val="28"/>
        </w:rPr>
        <w:t xml:space="preserve">de a </w:t>
      </w:r>
      <w:r w:rsidRPr="001D0846">
        <w:rPr>
          <w:rFonts w:ascii="Times New Roman" w:hAnsi="Times New Roman" w:cs="Times New Roman"/>
          <w:color w:val="000000"/>
          <w:sz w:val="28"/>
          <w:szCs w:val="28"/>
        </w:rPr>
        <w:t>efectua</w:t>
      </w:r>
      <w:r w:rsidR="000C7CE1">
        <w:rPr>
          <w:rFonts w:ascii="Times New Roman" w:hAnsi="Times New Roman" w:cs="Times New Roman"/>
          <w:color w:val="000000"/>
          <w:sz w:val="28"/>
          <w:szCs w:val="28"/>
        </w:rPr>
        <w:t>,</w:t>
      </w:r>
      <w:r w:rsidRPr="001D0846">
        <w:rPr>
          <w:rFonts w:ascii="Times New Roman" w:hAnsi="Times New Roman" w:cs="Times New Roman"/>
          <w:color w:val="000000"/>
          <w:sz w:val="28"/>
          <w:szCs w:val="28"/>
        </w:rPr>
        <w:t xml:space="preserve"> </w:t>
      </w:r>
      <w:r w:rsidR="00F25B0D">
        <w:rPr>
          <w:rFonts w:ascii="Times New Roman" w:hAnsi="Times New Roman" w:cs="Times New Roman"/>
          <w:color w:val="000000"/>
          <w:sz w:val="28"/>
          <w:szCs w:val="28"/>
        </w:rPr>
        <w:t>conform</w:t>
      </w:r>
      <w:r w:rsidRPr="001D0846">
        <w:rPr>
          <w:rFonts w:ascii="Times New Roman" w:hAnsi="Times New Roman" w:cs="Times New Roman"/>
          <w:color w:val="000000"/>
          <w:sz w:val="28"/>
          <w:szCs w:val="28"/>
        </w:rPr>
        <w:t xml:space="preserve"> programului anual al activității de audit</w:t>
      </w:r>
      <w:r w:rsidRPr="001D0846">
        <w:rPr>
          <w:rFonts w:ascii="Times New Roman" w:hAnsi="Times New Roman" w:cs="Times New Roman"/>
          <w:sz w:val="28"/>
          <w:szCs w:val="28"/>
        </w:rPr>
        <w:t xml:space="preserve">: </w:t>
      </w:r>
      <w:r w:rsidRPr="00206E15">
        <w:rPr>
          <w:rFonts w:ascii="Times New Roman" w:hAnsi="Times New Roman" w:cs="Times New Roman"/>
          <w:i/>
          <w:sz w:val="28"/>
          <w:szCs w:val="28"/>
        </w:rPr>
        <w:t>(i)</w:t>
      </w:r>
      <w:r w:rsidRPr="001D0846">
        <w:rPr>
          <w:rFonts w:ascii="Times New Roman" w:hAnsi="Times New Roman" w:cs="Times New Roman"/>
          <w:sz w:val="28"/>
          <w:szCs w:val="28"/>
        </w:rPr>
        <w:t xml:space="preserve"> </w:t>
      </w:r>
      <w:r w:rsidRPr="001D0846">
        <w:rPr>
          <w:rFonts w:ascii="Times New Roman" w:hAnsi="Times New Roman" w:cs="Times New Roman"/>
          <w:color w:val="000000"/>
          <w:sz w:val="28"/>
          <w:szCs w:val="28"/>
        </w:rPr>
        <w:t xml:space="preserve">controlul asupra modului de formare, de administrare </w:t>
      </w:r>
      <w:proofErr w:type="spellStart"/>
      <w:r w:rsidRPr="001D0846">
        <w:rPr>
          <w:rFonts w:ascii="Times New Roman" w:hAnsi="Times New Roman" w:cs="Times New Roman"/>
          <w:color w:val="000000"/>
          <w:sz w:val="28"/>
          <w:szCs w:val="28"/>
        </w:rPr>
        <w:t>şi</w:t>
      </w:r>
      <w:proofErr w:type="spellEnd"/>
      <w:r w:rsidRPr="001D0846">
        <w:rPr>
          <w:rFonts w:ascii="Times New Roman" w:hAnsi="Times New Roman" w:cs="Times New Roman"/>
          <w:color w:val="000000"/>
          <w:sz w:val="28"/>
          <w:szCs w:val="28"/>
        </w:rPr>
        <w:t xml:space="preserve"> de </w:t>
      </w:r>
      <w:proofErr w:type="spellStart"/>
      <w:r w:rsidRPr="001D0846">
        <w:rPr>
          <w:rFonts w:ascii="Times New Roman" w:hAnsi="Times New Roman" w:cs="Times New Roman"/>
          <w:color w:val="000000"/>
          <w:sz w:val="28"/>
          <w:szCs w:val="28"/>
        </w:rPr>
        <w:t>întrebuinţare</w:t>
      </w:r>
      <w:proofErr w:type="spellEnd"/>
      <w:r w:rsidRPr="001D0846">
        <w:rPr>
          <w:rFonts w:ascii="Times New Roman" w:hAnsi="Times New Roman" w:cs="Times New Roman"/>
          <w:color w:val="000000"/>
          <w:sz w:val="28"/>
          <w:szCs w:val="28"/>
        </w:rPr>
        <w:t xml:space="preserve"> a resurselor financiare publice</w:t>
      </w:r>
      <w:r w:rsidR="000C7CE1">
        <w:rPr>
          <w:rFonts w:ascii="Times New Roman" w:hAnsi="Times New Roman" w:cs="Times New Roman"/>
          <w:color w:val="000000"/>
          <w:sz w:val="28"/>
          <w:szCs w:val="28"/>
        </w:rPr>
        <w:t>,</w:t>
      </w:r>
      <w:r w:rsidRPr="001D0846">
        <w:rPr>
          <w:rFonts w:ascii="Times New Roman" w:hAnsi="Times New Roman" w:cs="Times New Roman"/>
          <w:color w:val="000000"/>
          <w:sz w:val="28"/>
          <w:szCs w:val="28"/>
        </w:rPr>
        <w:t xml:space="preserve"> prin efectuarea auditului public extern; </w:t>
      </w:r>
      <w:r w:rsidRPr="00206E15">
        <w:rPr>
          <w:rFonts w:ascii="Times New Roman" w:hAnsi="Times New Roman" w:cs="Times New Roman"/>
          <w:i/>
          <w:color w:val="000000"/>
          <w:sz w:val="28"/>
          <w:szCs w:val="28"/>
        </w:rPr>
        <w:t>(ii)</w:t>
      </w:r>
      <w:r w:rsidRPr="001D0846">
        <w:rPr>
          <w:rFonts w:ascii="Times New Roman" w:hAnsi="Times New Roman" w:cs="Times New Roman"/>
          <w:b/>
          <w:i/>
          <w:color w:val="000000"/>
          <w:sz w:val="28"/>
          <w:szCs w:val="28"/>
        </w:rPr>
        <w:t xml:space="preserve"> </w:t>
      </w:r>
      <w:r w:rsidRPr="001D0846">
        <w:rPr>
          <w:rFonts w:ascii="Times New Roman" w:hAnsi="Times New Roman" w:cs="Times New Roman"/>
          <w:color w:val="000000"/>
          <w:sz w:val="28"/>
          <w:szCs w:val="28"/>
        </w:rPr>
        <w:t>efectuarea auditului performanței, prin evaluarea economicității, eficienței și eficacității unui anumit aspect al operațiunilor desfășurate de o entitate sau de o parte a acesteia</w:t>
      </w:r>
      <w:r w:rsidR="000C7CE1">
        <w:rPr>
          <w:rFonts w:ascii="Times New Roman" w:hAnsi="Times New Roman" w:cs="Times New Roman"/>
          <w:color w:val="000000"/>
          <w:sz w:val="28"/>
          <w:szCs w:val="28"/>
        </w:rPr>
        <w:t>,</w:t>
      </w:r>
      <w:r w:rsidRPr="001D0846">
        <w:rPr>
          <w:rFonts w:ascii="Times New Roman" w:hAnsi="Times New Roman" w:cs="Times New Roman"/>
          <w:color w:val="000000"/>
          <w:sz w:val="28"/>
          <w:szCs w:val="28"/>
        </w:rPr>
        <w:t xml:space="preserve"> ori în cadrul unui program sau al unei activități; </w:t>
      </w:r>
      <w:r w:rsidR="00F25B0D">
        <w:rPr>
          <w:rFonts w:ascii="Times New Roman" w:hAnsi="Times New Roman" w:cs="Times New Roman"/>
          <w:color w:val="000000"/>
          <w:sz w:val="28"/>
          <w:szCs w:val="28"/>
        </w:rPr>
        <w:t xml:space="preserve">                      </w:t>
      </w:r>
      <w:r w:rsidRPr="00206E15">
        <w:rPr>
          <w:rFonts w:ascii="Times New Roman" w:hAnsi="Times New Roman" w:cs="Times New Roman"/>
          <w:i/>
          <w:color w:val="000000"/>
          <w:sz w:val="28"/>
          <w:szCs w:val="28"/>
        </w:rPr>
        <w:t>(iii)</w:t>
      </w:r>
      <w:r w:rsidRPr="001D0846">
        <w:rPr>
          <w:rFonts w:ascii="Times New Roman" w:hAnsi="Times New Roman" w:cs="Times New Roman"/>
          <w:b/>
          <w:i/>
          <w:sz w:val="28"/>
          <w:szCs w:val="28"/>
        </w:rPr>
        <w:t xml:space="preserve"> </w:t>
      </w:r>
      <w:r w:rsidRPr="001D0846">
        <w:rPr>
          <w:rFonts w:ascii="Times New Roman" w:hAnsi="Times New Roman" w:cs="Times New Roman"/>
          <w:sz w:val="28"/>
          <w:szCs w:val="28"/>
        </w:rPr>
        <w:t xml:space="preserve">urmărirea </w:t>
      </w:r>
      <w:r w:rsidR="00F25B0D" w:rsidRPr="001D0846">
        <w:rPr>
          <w:rFonts w:ascii="Times New Roman" w:hAnsi="Times New Roman" w:cs="Times New Roman"/>
          <w:sz w:val="28"/>
          <w:szCs w:val="28"/>
        </w:rPr>
        <w:t>execut</w:t>
      </w:r>
      <w:r w:rsidR="00F25B0D">
        <w:rPr>
          <w:rFonts w:ascii="Times New Roman" w:hAnsi="Times New Roman" w:cs="Times New Roman"/>
          <w:sz w:val="28"/>
          <w:szCs w:val="28"/>
        </w:rPr>
        <w:t>ării</w:t>
      </w:r>
      <w:r w:rsidR="00F25B0D" w:rsidRPr="001D0846">
        <w:rPr>
          <w:rFonts w:ascii="Times New Roman" w:hAnsi="Times New Roman" w:cs="Times New Roman"/>
          <w:sz w:val="28"/>
          <w:szCs w:val="28"/>
        </w:rPr>
        <w:t xml:space="preserve"> cerințelor</w:t>
      </w:r>
      <w:r w:rsidR="00F25B0D">
        <w:rPr>
          <w:rFonts w:ascii="Times New Roman" w:hAnsi="Times New Roman" w:cs="Times New Roman"/>
          <w:sz w:val="28"/>
          <w:szCs w:val="28"/>
        </w:rPr>
        <w:t xml:space="preserve"> și</w:t>
      </w:r>
      <w:r w:rsidR="00F25B0D" w:rsidRPr="001D0846">
        <w:rPr>
          <w:rFonts w:ascii="Times New Roman" w:hAnsi="Times New Roman" w:cs="Times New Roman"/>
          <w:sz w:val="28"/>
          <w:szCs w:val="28"/>
        </w:rPr>
        <w:t xml:space="preserve"> </w:t>
      </w:r>
      <w:r w:rsidRPr="001D0846">
        <w:rPr>
          <w:rFonts w:ascii="Times New Roman" w:hAnsi="Times New Roman" w:cs="Times New Roman"/>
          <w:sz w:val="28"/>
          <w:szCs w:val="28"/>
        </w:rPr>
        <w:t xml:space="preserve">implementării recomandărilor Curții de Conturi pe marginea auditurilor </w:t>
      </w:r>
      <w:r w:rsidRPr="00206E15">
        <w:rPr>
          <w:rFonts w:ascii="Times New Roman" w:hAnsi="Times New Roman" w:cs="Times New Roman"/>
          <w:sz w:val="28"/>
          <w:szCs w:val="28"/>
        </w:rPr>
        <w:t xml:space="preserve">precedente. </w:t>
      </w:r>
    </w:p>
    <w:p w:rsidR="00982BF8" w:rsidRPr="001D0846" w:rsidRDefault="00982BF8" w:rsidP="00206E15">
      <w:pPr>
        <w:pStyle w:val="a7"/>
        <w:tabs>
          <w:tab w:val="left" w:pos="630"/>
        </w:tabs>
        <w:spacing w:after="0" w:line="276" w:lineRule="auto"/>
        <w:ind w:left="0" w:firstLine="706"/>
        <w:jc w:val="both"/>
        <w:rPr>
          <w:rFonts w:ascii="Times New Roman" w:hAnsi="Times New Roman" w:cs="Times New Roman"/>
          <w:sz w:val="28"/>
          <w:szCs w:val="28"/>
        </w:rPr>
      </w:pPr>
      <w:r w:rsidRPr="00206E15">
        <w:rPr>
          <w:rFonts w:ascii="Times New Roman" w:hAnsi="Times New Roman" w:cs="Times New Roman"/>
          <w:sz w:val="28"/>
          <w:szCs w:val="28"/>
        </w:rPr>
        <w:tab/>
        <w:t xml:space="preserve">Impactul așteptat al auditului îl constituie informarea organelor legislative și executive, </w:t>
      </w:r>
      <w:r w:rsidR="000C7CE1">
        <w:rPr>
          <w:rFonts w:ascii="Times New Roman" w:hAnsi="Times New Roman" w:cs="Times New Roman"/>
          <w:sz w:val="28"/>
          <w:szCs w:val="28"/>
        </w:rPr>
        <w:t xml:space="preserve">a </w:t>
      </w:r>
      <w:r w:rsidRPr="00206E15">
        <w:rPr>
          <w:rFonts w:ascii="Times New Roman" w:hAnsi="Times New Roman" w:cs="Times New Roman"/>
          <w:sz w:val="28"/>
          <w:szCs w:val="28"/>
        </w:rPr>
        <w:t xml:space="preserve">contribuabililor, </w:t>
      </w:r>
      <w:proofErr w:type="spellStart"/>
      <w:r w:rsidRPr="00206E15">
        <w:rPr>
          <w:rFonts w:ascii="Times New Roman" w:hAnsi="Times New Roman" w:cs="Times New Roman"/>
          <w:sz w:val="28"/>
          <w:szCs w:val="28"/>
        </w:rPr>
        <w:t>cetăţenilor</w:t>
      </w:r>
      <w:proofErr w:type="spellEnd"/>
      <w:r w:rsidRPr="00206E15">
        <w:rPr>
          <w:rFonts w:ascii="Times New Roman" w:hAnsi="Times New Roman" w:cs="Times New Roman"/>
          <w:sz w:val="28"/>
          <w:szCs w:val="28"/>
        </w:rPr>
        <w:t xml:space="preserve"> </w:t>
      </w:r>
      <w:proofErr w:type="spellStart"/>
      <w:r w:rsidRPr="00206E15">
        <w:rPr>
          <w:rFonts w:ascii="Times New Roman" w:hAnsi="Times New Roman" w:cs="Times New Roman"/>
          <w:sz w:val="28"/>
          <w:szCs w:val="28"/>
        </w:rPr>
        <w:t>şi</w:t>
      </w:r>
      <w:proofErr w:type="spellEnd"/>
      <w:r w:rsidRPr="00206E15">
        <w:rPr>
          <w:rFonts w:ascii="Times New Roman" w:hAnsi="Times New Roman" w:cs="Times New Roman"/>
          <w:sz w:val="28"/>
          <w:szCs w:val="28"/>
        </w:rPr>
        <w:t xml:space="preserve"> mass-medi</w:t>
      </w:r>
      <w:r w:rsidR="000C7CE1">
        <w:rPr>
          <w:rFonts w:ascii="Times New Roman" w:hAnsi="Times New Roman" w:cs="Times New Roman"/>
          <w:sz w:val="28"/>
          <w:szCs w:val="28"/>
        </w:rPr>
        <w:t>ei</w:t>
      </w:r>
      <w:r w:rsidRPr="00206E15">
        <w:rPr>
          <w:rFonts w:ascii="Times New Roman" w:hAnsi="Times New Roman" w:cs="Times New Roman"/>
          <w:sz w:val="28"/>
          <w:szCs w:val="28"/>
        </w:rPr>
        <w:t xml:space="preserve"> </w:t>
      </w:r>
      <w:r w:rsidR="000C7CE1">
        <w:rPr>
          <w:rFonts w:ascii="Times New Roman" w:hAnsi="Times New Roman" w:cs="Times New Roman"/>
          <w:sz w:val="28"/>
          <w:szCs w:val="28"/>
        </w:rPr>
        <w:t>despre</w:t>
      </w:r>
      <w:r w:rsidRPr="00206E15">
        <w:rPr>
          <w:rFonts w:ascii="Times New Roman" w:hAnsi="Times New Roman" w:cs="Times New Roman"/>
          <w:sz w:val="28"/>
          <w:szCs w:val="28"/>
        </w:rPr>
        <w:t xml:space="preserve"> situația reală a managementului și rezultatel</w:t>
      </w:r>
      <w:r w:rsidR="000C7CE1">
        <w:rPr>
          <w:rFonts w:ascii="Times New Roman" w:hAnsi="Times New Roman" w:cs="Times New Roman"/>
          <w:sz w:val="28"/>
          <w:szCs w:val="28"/>
        </w:rPr>
        <w:t>e</w:t>
      </w:r>
      <w:r w:rsidRPr="00206E15">
        <w:rPr>
          <w:rFonts w:ascii="Times New Roman" w:hAnsi="Times New Roman" w:cs="Times New Roman"/>
          <w:sz w:val="28"/>
          <w:szCs w:val="28"/>
        </w:rPr>
        <w:t xml:space="preserve"> administrării impozitelor și taxelor </w:t>
      </w:r>
      <w:r w:rsidR="00F55A99" w:rsidRPr="00206E15">
        <w:rPr>
          <w:rFonts w:ascii="Times New Roman" w:hAnsi="Times New Roman" w:cs="Times New Roman"/>
          <w:sz w:val="28"/>
          <w:szCs w:val="28"/>
        </w:rPr>
        <w:t>de către</w:t>
      </w:r>
      <w:r w:rsidRPr="00206E15">
        <w:rPr>
          <w:rFonts w:ascii="Times New Roman" w:hAnsi="Times New Roman" w:cs="Times New Roman"/>
          <w:sz w:val="28"/>
          <w:szCs w:val="28"/>
        </w:rPr>
        <w:t xml:space="preserve"> SFS și SV.</w:t>
      </w:r>
    </w:p>
    <w:p w:rsidR="00982BF8" w:rsidRPr="001D0846" w:rsidRDefault="00982BF8" w:rsidP="00206E15">
      <w:pPr>
        <w:pStyle w:val="a7"/>
        <w:tabs>
          <w:tab w:val="left" w:pos="630"/>
        </w:tabs>
        <w:spacing w:after="0" w:line="276" w:lineRule="auto"/>
        <w:ind w:left="0" w:firstLine="706"/>
        <w:jc w:val="both"/>
        <w:rPr>
          <w:rFonts w:ascii="Times New Roman" w:hAnsi="Times New Roman" w:cs="Times New Roman"/>
          <w:sz w:val="28"/>
          <w:szCs w:val="28"/>
        </w:rPr>
      </w:pPr>
      <w:r w:rsidRPr="001D0846">
        <w:rPr>
          <w:rFonts w:ascii="Times New Roman" w:hAnsi="Times New Roman" w:cs="Times New Roman"/>
          <w:sz w:val="28"/>
          <w:szCs w:val="28"/>
        </w:rPr>
        <w:tab/>
        <w:t xml:space="preserve">O performanță </w:t>
      </w:r>
      <w:r w:rsidRPr="001D0846">
        <w:rPr>
          <w:rFonts w:ascii="Times New Roman" w:eastAsia="Times New Roman" w:hAnsi="Times New Roman" w:cs="Times New Roman"/>
          <w:sz w:val="28"/>
          <w:szCs w:val="28"/>
          <w:lang w:eastAsia="ru-RU"/>
        </w:rPr>
        <w:t>bună în acest domeniu</w:t>
      </w:r>
      <w:r w:rsidRPr="001D0846">
        <w:rPr>
          <w:rFonts w:ascii="Times New Roman" w:hAnsi="Times New Roman" w:cs="Times New Roman"/>
          <w:sz w:val="28"/>
          <w:szCs w:val="28"/>
        </w:rPr>
        <w:t xml:space="preserve"> constituie implementarea unui </w:t>
      </w:r>
      <w:r w:rsidRPr="00206E15">
        <w:rPr>
          <w:rFonts w:ascii="Times New Roman" w:hAnsi="Times New Roman" w:cs="Times New Roman"/>
          <w:sz w:val="28"/>
          <w:szCs w:val="28"/>
        </w:rPr>
        <w:t xml:space="preserve">management </w:t>
      </w:r>
      <w:r w:rsidR="008A5EC9" w:rsidRPr="00206E15">
        <w:rPr>
          <w:rFonts w:ascii="Times New Roman" w:hAnsi="Times New Roman" w:cs="Times New Roman"/>
          <w:sz w:val="28"/>
          <w:szCs w:val="28"/>
        </w:rPr>
        <w:t xml:space="preserve">adecvat </w:t>
      </w:r>
      <w:r w:rsidRPr="00206E15">
        <w:rPr>
          <w:rFonts w:ascii="Times New Roman" w:hAnsi="Times New Roman" w:cs="Times New Roman"/>
          <w:sz w:val="28"/>
          <w:szCs w:val="28"/>
        </w:rPr>
        <w:t>menit să</w:t>
      </w:r>
      <w:r w:rsidRPr="001D0846">
        <w:rPr>
          <w:rFonts w:ascii="Times New Roman" w:hAnsi="Times New Roman" w:cs="Times New Roman"/>
          <w:sz w:val="28"/>
          <w:szCs w:val="28"/>
        </w:rPr>
        <w:t xml:space="preserve"> asigure atingerea rezultatelor scontate în administrarea impozitelor și taxelor.</w:t>
      </w:r>
    </w:p>
    <w:p w:rsidR="00982BF8" w:rsidRPr="001D0846" w:rsidRDefault="00982BF8" w:rsidP="00206E15">
      <w:pPr>
        <w:autoSpaceDE w:val="0"/>
        <w:autoSpaceDN w:val="0"/>
        <w:adjustRightInd w:val="0"/>
        <w:spacing w:after="0" w:line="276" w:lineRule="auto"/>
        <w:ind w:firstLine="630"/>
        <w:jc w:val="both"/>
        <w:rPr>
          <w:rFonts w:ascii="Times New Roman" w:hAnsi="Times New Roman" w:cs="Times New Roman"/>
          <w:sz w:val="28"/>
          <w:szCs w:val="28"/>
          <w:lang w:val="ro-MD"/>
        </w:rPr>
      </w:pPr>
      <w:r w:rsidRPr="001D0846">
        <w:rPr>
          <w:rFonts w:ascii="Times New Roman" w:hAnsi="Times New Roman" w:cs="Times New Roman"/>
          <w:sz w:val="28"/>
          <w:szCs w:val="28"/>
          <w:lang w:val="ro-MD" w:eastAsia="ru-RU"/>
        </w:rPr>
        <w:t xml:space="preserve">Curtea de Conturi consideră rezultatele auditului performanței </w:t>
      </w:r>
      <w:r w:rsidR="000C7CE1" w:rsidRPr="001D0846">
        <w:rPr>
          <w:rFonts w:ascii="Times New Roman" w:hAnsi="Times New Roman" w:cs="Times New Roman"/>
          <w:sz w:val="28"/>
          <w:szCs w:val="28"/>
          <w:lang w:val="ro-MD" w:eastAsia="ru-RU"/>
        </w:rPr>
        <w:t xml:space="preserve">relevante </w:t>
      </w:r>
      <w:r w:rsidRPr="001D0846">
        <w:rPr>
          <w:rFonts w:ascii="Times New Roman" w:hAnsi="Times New Roman" w:cs="Times New Roman"/>
          <w:sz w:val="28"/>
          <w:szCs w:val="28"/>
          <w:lang w:val="ro-MD" w:eastAsia="ru-RU"/>
        </w:rPr>
        <w:t>pentru Parlament și Guvern, autoritățile cu atribuții și responsabilități în administrarea impozitelor și taxelor (MF, SFS, SV)</w:t>
      </w:r>
      <w:r w:rsidR="000C7CE1">
        <w:rPr>
          <w:rFonts w:ascii="Times New Roman" w:hAnsi="Times New Roman" w:cs="Times New Roman"/>
          <w:sz w:val="28"/>
          <w:szCs w:val="28"/>
          <w:lang w:val="ro-MD" w:eastAsia="ru-RU"/>
        </w:rPr>
        <w:t>,</w:t>
      </w:r>
      <w:r w:rsidRPr="001D0846">
        <w:rPr>
          <w:rFonts w:ascii="Times New Roman" w:hAnsi="Times New Roman" w:cs="Times New Roman"/>
          <w:sz w:val="28"/>
          <w:szCs w:val="28"/>
          <w:lang w:val="ro-MD" w:eastAsia="ru-RU"/>
        </w:rPr>
        <w:t xml:space="preserve"> întruc</w:t>
      </w:r>
      <w:r w:rsidR="000C7CE1">
        <w:rPr>
          <w:rFonts w:ascii="Times New Roman" w:hAnsi="Times New Roman" w:cs="Times New Roman"/>
          <w:sz w:val="28"/>
          <w:szCs w:val="28"/>
          <w:lang w:val="ro-MD" w:eastAsia="ru-RU"/>
        </w:rPr>
        <w:t>â</w:t>
      </w:r>
      <w:r w:rsidRPr="001D0846">
        <w:rPr>
          <w:rFonts w:ascii="Times New Roman" w:hAnsi="Times New Roman" w:cs="Times New Roman"/>
          <w:sz w:val="28"/>
          <w:szCs w:val="28"/>
          <w:lang w:val="ro-MD" w:eastAsia="ru-RU"/>
        </w:rPr>
        <w:t xml:space="preserve">t </w:t>
      </w:r>
      <w:r w:rsidR="007B464D" w:rsidRPr="001D0846">
        <w:rPr>
          <w:rFonts w:ascii="Times New Roman" w:hAnsi="Times New Roman" w:cs="Times New Roman"/>
          <w:sz w:val="28"/>
          <w:szCs w:val="28"/>
          <w:lang w:val="ro-MD" w:eastAsia="ru-RU"/>
        </w:rPr>
        <w:t xml:space="preserve">acestea </w:t>
      </w:r>
      <w:r w:rsidRPr="001D0846">
        <w:rPr>
          <w:rFonts w:ascii="Times New Roman" w:hAnsi="Times New Roman" w:cs="Times New Roman"/>
          <w:sz w:val="28"/>
          <w:szCs w:val="28"/>
          <w:lang w:val="ro-MD" w:eastAsia="ru-RU"/>
        </w:rPr>
        <w:t>pot servi ca temei pentru</w:t>
      </w:r>
      <w:r w:rsidR="003206E3" w:rsidRPr="001D0846">
        <w:rPr>
          <w:rFonts w:ascii="Times New Roman" w:hAnsi="Times New Roman" w:cs="Times New Roman"/>
          <w:sz w:val="28"/>
          <w:szCs w:val="28"/>
          <w:lang w:val="ro-MD" w:eastAsia="ru-RU"/>
        </w:rPr>
        <w:t>:</w:t>
      </w:r>
      <w:r w:rsidRPr="001D0846">
        <w:rPr>
          <w:rFonts w:ascii="Times New Roman" w:hAnsi="Times New Roman" w:cs="Times New Roman"/>
          <w:sz w:val="28"/>
          <w:szCs w:val="28"/>
          <w:lang w:val="ro-MD" w:eastAsia="ru-RU"/>
        </w:rPr>
        <w:t xml:space="preserve"> </w:t>
      </w:r>
      <w:r w:rsidR="00206E15">
        <w:rPr>
          <w:rFonts w:ascii="Times New Roman" w:hAnsi="Times New Roman" w:cs="Times New Roman"/>
          <w:sz w:val="28"/>
          <w:szCs w:val="28"/>
          <w:lang w:val="ro-MD" w:eastAsia="ru-RU"/>
        </w:rPr>
        <w:t xml:space="preserve">                </w:t>
      </w:r>
      <w:r w:rsidR="003206E3" w:rsidRPr="001D0846">
        <w:rPr>
          <w:rFonts w:ascii="Times New Roman" w:hAnsi="Times New Roman" w:cs="Times New Roman"/>
          <w:sz w:val="28"/>
          <w:szCs w:val="28"/>
          <w:lang w:val="ro-MD" w:eastAsia="ru-RU"/>
        </w:rPr>
        <w:t xml:space="preserve">1) </w:t>
      </w:r>
      <w:r w:rsidRPr="001D0846">
        <w:rPr>
          <w:rFonts w:ascii="Times New Roman" w:hAnsi="Times New Roman" w:cs="Times New Roman"/>
          <w:sz w:val="28"/>
          <w:szCs w:val="28"/>
          <w:lang w:val="ro-MD" w:eastAsia="ru-RU"/>
        </w:rPr>
        <w:t>adoptarea deciziilor de revizuire și ajustare a</w:t>
      </w:r>
      <w:r w:rsidRPr="001D0846">
        <w:rPr>
          <w:rFonts w:ascii="Times New Roman" w:hAnsi="Times New Roman" w:cs="Times New Roman"/>
          <w:sz w:val="28"/>
          <w:szCs w:val="28"/>
          <w:lang w:val="ro-MD"/>
        </w:rPr>
        <w:t xml:space="preserve"> cadrului legislativ-normativ de reglementare a domeniului administrării impozitelor și taxelor, </w:t>
      </w:r>
      <w:r w:rsidR="003206E3" w:rsidRPr="001D0846">
        <w:rPr>
          <w:rFonts w:ascii="Times New Roman" w:hAnsi="Times New Roman" w:cs="Times New Roman"/>
          <w:sz w:val="28"/>
          <w:szCs w:val="28"/>
          <w:lang w:val="ro-MD"/>
        </w:rPr>
        <w:t xml:space="preserve">2) </w:t>
      </w:r>
      <w:r w:rsidR="00F56F97" w:rsidRPr="00B40843">
        <w:rPr>
          <w:rFonts w:ascii="Times New Roman" w:hAnsi="Times New Roman"/>
          <w:sz w:val="28"/>
          <w:szCs w:val="28"/>
          <w:lang w:val="ro-MD"/>
        </w:rPr>
        <w:t>elaborarea</w:t>
      </w:r>
      <w:r w:rsidR="00F25B0D" w:rsidRPr="00B40843">
        <w:rPr>
          <w:rFonts w:ascii="Times New Roman" w:hAnsi="Times New Roman"/>
          <w:sz w:val="28"/>
          <w:szCs w:val="28"/>
          <w:lang w:val="ro-MD"/>
        </w:rPr>
        <w:t>/</w:t>
      </w:r>
      <w:r w:rsidR="00B40843" w:rsidRPr="00B40843">
        <w:rPr>
          <w:rFonts w:ascii="Times New Roman" w:hAnsi="Times New Roman"/>
          <w:sz w:val="28"/>
          <w:szCs w:val="28"/>
          <w:lang w:val="ro-MD"/>
        </w:rPr>
        <w:t xml:space="preserve"> </w:t>
      </w:r>
      <w:r w:rsidR="00F25B0D" w:rsidRPr="00B40843">
        <w:rPr>
          <w:rFonts w:ascii="Times New Roman" w:hAnsi="Times New Roman"/>
          <w:sz w:val="28"/>
          <w:szCs w:val="28"/>
          <w:lang w:val="ro-MD"/>
        </w:rPr>
        <w:t>ajustarea</w:t>
      </w:r>
      <w:r w:rsidR="000C7CE1" w:rsidRPr="00B40843">
        <w:rPr>
          <w:rFonts w:ascii="Times New Roman" w:hAnsi="Times New Roman"/>
          <w:sz w:val="28"/>
          <w:szCs w:val="28"/>
          <w:lang w:val="ro-MD"/>
        </w:rPr>
        <w:t xml:space="preserve"> </w:t>
      </w:r>
      <w:r w:rsidR="00206E15" w:rsidRPr="00B40843">
        <w:rPr>
          <w:rFonts w:ascii="Times New Roman" w:hAnsi="Times New Roman"/>
          <w:sz w:val="28"/>
          <w:szCs w:val="28"/>
          <w:lang w:val="ro-MD"/>
        </w:rPr>
        <w:t>politicilor, procedurilor și instrumentelor de administrare fiscală</w:t>
      </w:r>
      <w:r w:rsidR="00206E15" w:rsidRPr="00206E15">
        <w:rPr>
          <w:rFonts w:ascii="Times New Roman" w:hAnsi="Times New Roman"/>
          <w:sz w:val="28"/>
          <w:szCs w:val="28"/>
          <w:lang w:val="ro-MD"/>
        </w:rPr>
        <w:t xml:space="preserve"> și vamală,</w:t>
      </w:r>
      <w:r w:rsidR="00206E15">
        <w:rPr>
          <w:rFonts w:ascii="Times New Roman" w:hAnsi="Times New Roman" w:cs="Times New Roman"/>
          <w:sz w:val="28"/>
          <w:szCs w:val="28"/>
          <w:lang w:val="ro-MD"/>
        </w:rPr>
        <w:t xml:space="preserve"> </w:t>
      </w:r>
      <w:r w:rsidR="003206E3" w:rsidRPr="001D0846">
        <w:rPr>
          <w:rFonts w:ascii="Times New Roman" w:hAnsi="Times New Roman" w:cs="Times New Roman"/>
          <w:sz w:val="28"/>
          <w:szCs w:val="28"/>
          <w:lang w:val="ro-MD"/>
        </w:rPr>
        <w:t xml:space="preserve">3) </w:t>
      </w:r>
      <w:r w:rsidRPr="001D0846">
        <w:rPr>
          <w:rFonts w:ascii="Times New Roman" w:hAnsi="Times New Roman" w:cs="Times New Roman"/>
          <w:sz w:val="28"/>
          <w:szCs w:val="28"/>
          <w:lang w:val="ro-MD"/>
        </w:rPr>
        <w:t>remedier</w:t>
      </w:r>
      <w:r w:rsidR="00F56F97">
        <w:rPr>
          <w:rFonts w:ascii="Times New Roman" w:hAnsi="Times New Roman" w:cs="Times New Roman"/>
          <w:sz w:val="28"/>
          <w:szCs w:val="28"/>
          <w:lang w:val="ro-MD"/>
        </w:rPr>
        <w:t>ea</w:t>
      </w:r>
      <w:r w:rsidRPr="001D0846">
        <w:rPr>
          <w:rFonts w:ascii="Times New Roman" w:hAnsi="Times New Roman" w:cs="Times New Roman"/>
          <w:sz w:val="28"/>
          <w:szCs w:val="28"/>
          <w:lang w:val="ro-MD"/>
        </w:rPr>
        <w:t xml:space="preserve"> unor deficiențe și situații problematice, în scopul consolidării acestui sistem.</w:t>
      </w:r>
    </w:p>
    <w:p w:rsidR="00982BF8" w:rsidRPr="001D0846" w:rsidRDefault="00982BF8" w:rsidP="006358AD">
      <w:pPr>
        <w:autoSpaceDE w:val="0"/>
        <w:autoSpaceDN w:val="0"/>
        <w:adjustRightInd w:val="0"/>
        <w:spacing w:after="0" w:line="276" w:lineRule="auto"/>
        <w:ind w:firstLine="630"/>
        <w:jc w:val="both"/>
        <w:rPr>
          <w:rFonts w:ascii="Times New Roman" w:hAnsi="Times New Roman" w:cs="Times New Roman"/>
          <w:sz w:val="28"/>
          <w:szCs w:val="28"/>
        </w:rPr>
      </w:pPr>
      <w:r w:rsidRPr="001D0846">
        <w:rPr>
          <w:rFonts w:ascii="Times New Roman" w:hAnsi="Times New Roman" w:cs="Times New Roman"/>
          <w:sz w:val="28"/>
          <w:szCs w:val="28"/>
        </w:rPr>
        <w:t>De asemenea, rezultatele ar putea fi relevante pentru societatea civilă și mediul de afaceri, întrucât redau situația reală în procesul de administrare a impozitelor și taxelor, informând despre managementul, rezultatele și problemele domeniului analizat, cauzele și impactul acestora asupra BPN, oferind posibilitatea evaluării unor riscuri potențiale în domeniul social-economic, ca rezultat al neachitării impozitelor și taxelor.</w:t>
      </w:r>
    </w:p>
    <w:p w:rsidR="00982BF8" w:rsidRDefault="00982BF8" w:rsidP="006358AD">
      <w:pPr>
        <w:tabs>
          <w:tab w:val="left" w:pos="572"/>
          <w:tab w:val="left" w:pos="598"/>
          <w:tab w:val="left" w:pos="884"/>
          <w:tab w:val="left" w:pos="993"/>
        </w:tabs>
        <w:spacing w:after="0" w:line="276" w:lineRule="auto"/>
        <w:jc w:val="both"/>
        <w:rPr>
          <w:rFonts w:ascii="Times New Roman" w:hAnsi="Times New Roman" w:cs="Times New Roman"/>
          <w:sz w:val="28"/>
          <w:szCs w:val="28"/>
          <w:lang w:eastAsia="ru-RU"/>
        </w:rPr>
      </w:pPr>
      <w:r w:rsidRPr="001D0846">
        <w:rPr>
          <w:rFonts w:ascii="Times New Roman" w:hAnsi="Times New Roman" w:cs="Times New Roman"/>
          <w:color w:val="000000"/>
          <w:spacing w:val="3"/>
          <w:sz w:val="28"/>
          <w:szCs w:val="28"/>
        </w:rPr>
        <w:tab/>
      </w:r>
      <w:r w:rsidRPr="001D0846">
        <w:rPr>
          <w:rFonts w:ascii="Times New Roman" w:hAnsi="Times New Roman" w:cs="Times New Roman"/>
          <w:sz w:val="28"/>
          <w:szCs w:val="28"/>
          <w:lang w:eastAsia="ru-RU"/>
        </w:rPr>
        <w:t xml:space="preserve">Impactul potențial al misiunii de audit </w:t>
      </w:r>
      <w:r w:rsidR="00327912" w:rsidRPr="001D0846">
        <w:rPr>
          <w:rFonts w:ascii="Times New Roman" w:hAnsi="Times New Roman" w:cs="Times New Roman"/>
          <w:sz w:val="28"/>
          <w:szCs w:val="28"/>
          <w:lang w:eastAsia="ru-RU"/>
        </w:rPr>
        <w:t xml:space="preserve">ar putea contribui la </w:t>
      </w:r>
      <w:r w:rsidRPr="001D0846">
        <w:rPr>
          <w:rFonts w:ascii="Times New Roman" w:hAnsi="Times New Roman" w:cs="Times New Roman"/>
          <w:sz w:val="28"/>
          <w:szCs w:val="28"/>
          <w:lang w:eastAsia="ru-RU"/>
        </w:rPr>
        <w:t xml:space="preserve">consolidarea sistemului de administrare a impozitelor și taxelor, prin remedierea unor situații problematice care afectează performanța instituțională, luarea de măsuri pentru sporirea gradului de eficiență și eficacitate a administrării fiscale și îmbunătățirea politicilor de administrare fiscală și vamală. De asemenea, rezultatele misiunii de </w:t>
      </w:r>
      <w:r w:rsidRPr="001D0846">
        <w:rPr>
          <w:rFonts w:ascii="Times New Roman" w:hAnsi="Times New Roman" w:cs="Times New Roman"/>
          <w:sz w:val="28"/>
          <w:szCs w:val="28"/>
          <w:lang w:eastAsia="ru-RU"/>
        </w:rPr>
        <w:lastRenderedPageBreak/>
        <w:t xml:space="preserve">audit al performanței </w:t>
      </w:r>
      <w:r w:rsidR="00327912" w:rsidRPr="001D0846">
        <w:rPr>
          <w:rFonts w:ascii="Times New Roman" w:hAnsi="Times New Roman" w:cs="Times New Roman"/>
          <w:sz w:val="28"/>
          <w:szCs w:val="28"/>
          <w:lang w:eastAsia="ru-RU"/>
        </w:rPr>
        <w:t xml:space="preserve">consolidează bunele </w:t>
      </w:r>
      <w:r w:rsidRPr="001D0846">
        <w:rPr>
          <w:rFonts w:ascii="Times New Roman" w:hAnsi="Times New Roman" w:cs="Times New Roman"/>
          <w:sz w:val="28"/>
          <w:szCs w:val="28"/>
          <w:lang w:eastAsia="ru-RU"/>
        </w:rPr>
        <w:t>practici ale Curții de Conturi în auditarea sistemului de administrare a impozitelor și taxelor.</w:t>
      </w:r>
    </w:p>
    <w:p w:rsidR="00206E15" w:rsidRPr="00206E15" w:rsidRDefault="00206E15" w:rsidP="00206E15">
      <w:pPr>
        <w:spacing w:after="0" w:line="276" w:lineRule="auto"/>
        <w:ind w:firstLine="630"/>
        <w:jc w:val="both"/>
        <w:rPr>
          <w:rFonts w:ascii="Times New Roman" w:hAnsi="Times New Roman" w:cs="Times New Roman"/>
          <w:sz w:val="28"/>
          <w:szCs w:val="28"/>
          <w:lang w:eastAsia="ru-RU"/>
        </w:rPr>
      </w:pPr>
      <w:r w:rsidRPr="00206E15">
        <w:rPr>
          <w:rFonts w:ascii="Times New Roman" w:hAnsi="Times New Roman" w:cs="Times New Roman"/>
          <w:bCs/>
          <w:sz w:val="28"/>
          <w:szCs w:val="28"/>
          <w:lang w:eastAsia="ru-RU"/>
        </w:rPr>
        <w:t>În rezultatul identificării riscurilor</w:t>
      </w:r>
      <w:r w:rsidR="00F56F97">
        <w:rPr>
          <w:rFonts w:ascii="Times New Roman" w:hAnsi="Times New Roman" w:cs="Times New Roman"/>
          <w:bCs/>
          <w:sz w:val="28"/>
          <w:szCs w:val="28"/>
          <w:lang w:eastAsia="ru-RU"/>
        </w:rPr>
        <w:t>,</w:t>
      </w:r>
      <w:r w:rsidRPr="00206E15">
        <w:rPr>
          <w:rFonts w:ascii="Times New Roman" w:hAnsi="Times New Roman" w:cs="Times New Roman"/>
          <w:sz w:val="28"/>
          <w:szCs w:val="28"/>
        </w:rPr>
        <w:t xml:space="preserve"> </w:t>
      </w:r>
      <w:r w:rsidRPr="00206E15">
        <w:rPr>
          <w:rFonts w:ascii="Times New Roman" w:hAnsi="Times New Roman" w:cs="Times New Roman"/>
          <w:sz w:val="28"/>
          <w:szCs w:val="28"/>
          <w:lang w:eastAsia="ru-RU"/>
        </w:rPr>
        <w:t>care pot avea impact asupra rezultatelor administrării</w:t>
      </w:r>
      <w:r w:rsidRPr="00206E15">
        <w:rPr>
          <w:rFonts w:ascii="Times New Roman" w:hAnsi="Times New Roman" w:cs="Times New Roman"/>
          <w:sz w:val="28"/>
          <w:szCs w:val="28"/>
        </w:rPr>
        <w:t xml:space="preserve"> impozitelor și taxelor de către SFS și SV, precum și av</w:t>
      </w:r>
      <w:r w:rsidR="00F56F97">
        <w:rPr>
          <w:rFonts w:ascii="Times New Roman" w:hAnsi="Times New Roman" w:cs="Times New Roman"/>
          <w:sz w:val="28"/>
          <w:szCs w:val="28"/>
        </w:rPr>
        <w:t>â</w:t>
      </w:r>
      <w:r w:rsidRPr="00206E15">
        <w:rPr>
          <w:rFonts w:ascii="Times New Roman" w:hAnsi="Times New Roman" w:cs="Times New Roman"/>
          <w:sz w:val="28"/>
          <w:szCs w:val="28"/>
        </w:rPr>
        <w:t xml:space="preserve">nd în vedere tema de audit selectată, </w:t>
      </w:r>
      <w:r w:rsidR="00B40843">
        <w:rPr>
          <w:rFonts w:ascii="Times New Roman" w:hAnsi="Times New Roman" w:cs="Times New Roman"/>
          <w:sz w:val="28"/>
          <w:szCs w:val="28"/>
        </w:rPr>
        <w:t>au fost</w:t>
      </w:r>
      <w:r w:rsidRPr="00206E15">
        <w:rPr>
          <w:rFonts w:ascii="Times New Roman" w:hAnsi="Times New Roman" w:cs="Times New Roman"/>
          <w:sz w:val="28"/>
          <w:szCs w:val="28"/>
        </w:rPr>
        <w:t xml:space="preserve"> formulat</w:t>
      </w:r>
      <w:r w:rsidR="00B40843">
        <w:rPr>
          <w:rFonts w:ascii="Times New Roman" w:hAnsi="Times New Roman" w:cs="Times New Roman"/>
          <w:sz w:val="28"/>
          <w:szCs w:val="28"/>
        </w:rPr>
        <w:t>e</w:t>
      </w:r>
      <w:r w:rsidRPr="00206E15">
        <w:rPr>
          <w:rFonts w:ascii="Times New Roman" w:hAnsi="Times New Roman" w:cs="Times New Roman"/>
          <w:sz w:val="28"/>
          <w:szCs w:val="28"/>
        </w:rPr>
        <w:t xml:space="preserve"> următoarele </w:t>
      </w:r>
      <w:r w:rsidRPr="005A5243">
        <w:rPr>
          <w:rFonts w:ascii="Times New Roman" w:hAnsi="Times New Roman" w:cs="Times New Roman"/>
          <w:sz w:val="28"/>
          <w:szCs w:val="28"/>
        </w:rPr>
        <w:t>obiective de audit:</w:t>
      </w:r>
    </w:p>
    <w:p w:rsidR="006522E0" w:rsidRDefault="006522E0" w:rsidP="006522E0">
      <w:pPr>
        <w:tabs>
          <w:tab w:val="left" w:pos="630"/>
          <w:tab w:val="left" w:pos="993"/>
        </w:tabs>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ab/>
        <w:t xml:space="preserve">1) </w:t>
      </w:r>
      <w:r w:rsidR="00982BF8" w:rsidRPr="00B40843">
        <w:rPr>
          <w:rFonts w:ascii="Times New Roman" w:hAnsi="Times New Roman" w:cs="Times New Roman"/>
          <w:i/>
          <w:sz w:val="28"/>
          <w:szCs w:val="28"/>
        </w:rPr>
        <w:t xml:space="preserve">Evaluarea managementului </w:t>
      </w:r>
      <w:r w:rsidR="00C97CC6">
        <w:rPr>
          <w:rFonts w:ascii="Times New Roman" w:hAnsi="Times New Roman" w:cs="Times New Roman"/>
          <w:i/>
          <w:sz w:val="28"/>
          <w:szCs w:val="28"/>
        </w:rPr>
        <w:t>organelor</w:t>
      </w:r>
      <w:r w:rsidR="00B40843" w:rsidRPr="00B40843">
        <w:rPr>
          <w:rFonts w:ascii="Times New Roman" w:hAnsi="Times New Roman" w:cs="Times New Roman"/>
          <w:i/>
          <w:sz w:val="28"/>
          <w:szCs w:val="28"/>
        </w:rPr>
        <w:t xml:space="preserve"> fiscale și vamale </w:t>
      </w:r>
      <w:r w:rsidR="00982BF8" w:rsidRPr="00B40843">
        <w:rPr>
          <w:rFonts w:ascii="Times New Roman" w:hAnsi="Times New Roman" w:cs="Times New Roman"/>
          <w:i/>
          <w:sz w:val="28"/>
          <w:szCs w:val="28"/>
        </w:rPr>
        <w:t xml:space="preserve">și a rezultatelor administrării impozitelor și taxelor </w:t>
      </w:r>
      <w:r w:rsidR="00F56F97" w:rsidRPr="00B40843">
        <w:rPr>
          <w:rFonts w:ascii="Times New Roman" w:hAnsi="Times New Roman" w:cs="Times New Roman"/>
          <w:i/>
          <w:sz w:val="28"/>
          <w:szCs w:val="28"/>
        </w:rPr>
        <w:t>de către</w:t>
      </w:r>
      <w:r w:rsidR="00B40843" w:rsidRPr="00B40843">
        <w:rPr>
          <w:rFonts w:ascii="Times New Roman" w:hAnsi="Times New Roman" w:cs="Times New Roman"/>
          <w:i/>
          <w:sz w:val="28"/>
          <w:szCs w:val="28"/>
        </w:rPr>
        <w:t xml:space="preserve"> aceste organe</w:t>
      </w:r>
      <w:r w:rsidR="00982BF8" w:rsidRPr="00B40843">
        <w:rPr>
          <w:rFonts w:ascii="Times New Roman" w:hAnsi="Times New Roman" w:cs="Times New Roman"/>
          <w:i/>
          <w:sz w:val="28"/>
          <w:szCs w:val="28"/>
        </w:rPr>
        <w:t>;</w:t>
      </w:r>
    </w:p>
    <w:p w:rsidR="00982BF8" w:rsidRPr="006522E0" w:rsidRDefault="006522E0" w:rsidP="006522E0">
      <w:pPr>
        <w:tabs>
          <w:tab w:val="left" w:pos="630"/>
          <w:tab w:val="left" w:pos="993"/>
        </w:tabs>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ab/>
        <w:t xml:space="preserve">2) </w:t>
      </w:r>
      <w:r w:rsidR="00982BF8" w:rsidRPr="006522E0">
        <w:rPr>
          <w:rFonts w:ascii="Times New Roman" w:hAnsi="Times New Roman" w:cs="Times New Roman"/>
          <w:i/>
          <w:sz w:val="28"/>
          <w:szCs w:val="28"/>
        </w:rPr>
        <w:t>Elaborarea recomandărilor pentru îmbunătățirea managementului și a rezultatelor administrării unor impozite și taxe.</w:t>
      </w:r>
    </w:p>
    <w:p w:rsidR="00982BF8" w:rsidRPr="00C97CC6" w:rsidRDefault="00982BF8" w:rsidP="006326D4">
      <w:pPr>
        <w:spacing w:after="0" w:line="276" w:lineRule="auto"/>
        <w:ind w:firstLine="709"/>
        <w:jc w:val="both"/>
        <w:rPr>
          <w:rFonts w:ascii="Times New Roman" w:hAnsi="Times New Roman" w:cs="Times New Roman"/>
          <w:i/>
          <w:sz w:val="28"/>
          <w:szCs w:val="28"/>
        </w:rPr>
      </w:pPr>
      <w:r w:rsidRPr="001D0846">
        <w:rPr>
          <w:rFonts w:ascii="Times New Roman" w:hAnsi="Times New Roman" w:cs="Times New Roman"/>
          <w:sz w:val="28"/>
          <w:szCs w:val="28"/>
        </w:rPr>
        <w:t xml:space="preserve">Pentru determinarea nivelului de management și a rezultatelor administrării impozitelor și taxelor, precum și </w:t>
      </w:r>
      <w:r w:rsidR="00F56F97">
        <w:rPr>
          <w:rFonts w:ascii="Times New Roman" w:hAnsi="Times New Roman" w:cs="Times New Roman"/>
          <w:sz w:val="28"/>
          <w:szCs w:val="28"/>
        </w:rPr>
        <w:t xml:space="preserve">pentru </w:t>
      </w:r>
      <w:r w:rsidRPr="001D0846">
        <w:rPr>
          <w:rFonts w:ascii="Times New Roman" w:hAnsi="Times New Roman" w:cs="Times New Roman"/>
          <w:sz w:val="28"/>
          <w:szCs w:val="28"/>
        </w:rPr>
        <w:t>a răspunde la obiectivele stabilite, echipa de audit a formulat următoarea întrebare principală:</w:t>
      </w:r>
      <w:r w:rsidR="00B40843">
        <w:rPr>
          <w:rFonts w:ascii="Times New Roman" w:hAnsi="Times New Roman" w:cs="Times New Roman"/>
          <w:sz w:val="28"/>
          <w:szCs w:val="28"/>
        </w:rPr>
        <w:t xml:space="preserve"> </w:t>
      </w:r>
      <w:r w:rsidRPr="00C97CC6">
        <w:rPr>
          <w:rFonts w:ascii="Times New Roman" w:hAnsi="Times New Roman" w:cs="Times New Roman"/>
          <w:i/>
          <w:sz w:val="28"/>
          <w:szCs w:val="28"/>
        </w:rPr>
        <w:t>,,În ce măsură SFS și SV au asigurat un management adecvat menit să asigure rezultatele scontate” ?</w:t>
      </w:r>
    </w:p>
    <w:p w:rsidR="00982BF8" w:rsidRPr="001D0846" w:rsidRDefault="001D077D" w:rsidP="000A421F">
      <w:pPr>
        <w:tabs>
          <w:tab w:val="left" w:pos="630"/>
        </w:tabs>
        <w:spacing w:after="0" w:line="276" w:lineRule="auto"/>
        <w:ind w:right="-2" w:firstLine="709"/>
        <w:jc w:val="both"/>
        <w:rPr>
          <w:rFonts w:ascii="Times New Roman" w:hAnsi="Times New Roman" w:cs="Times New Roman"/>
          <w:sz w:val="28"/>
          <w:szCs w:val="28"/>
        </w:rPr>
      </w:pPr>
      <w:r w:rsidRPr="001D0846">
        <w:rPr>
          <w:rFonts w:ascii="Times New Roman" w:hAnsi="Times New Roman" w:cs="Times New Roman"/>
          <w:sz w:val="28"/>
          <w:szCs w:val="28"/>
        </w:rPr>
        <w:tab/>
      </w:r>
      <w:r w:rsidR="0037313F">
        <w:rPr>
          <w:rFonts w:ascii="Times New Roman" w:hAnsi="Times New Roman" w:cs="Times New Roman"/>
          <w:sz w:val="28"/>
          <w:szCs w:val="28"/>
        </w:rPr>
        <w:t>În scopul</w:t>
      </w:r>
      <w:r w:rsidRPr="001D0846">
        <w:rPr>
          <w:rFonts w:ascii="Times New Roman" w:hAnsi="Times New Roman" w:cs="Times New Roman"/>
          <w:sz w:val="28"/>
          <w:szCs w:val="28"/>
        </w:rPr>
        <w:t xml:space="preserve"> realiz</w:t>
      </w:r>
      <w:r w:rsidR="0037313F">
        <w:rPr>
          <w:rFonts w:ascii="Times New Roman" w:hAnsi="Times New Roman" w:cs="Times New Roman"/>
          <w:sz w:val="28"/>
          <w:szCs w:val="28"/>
        </w:rPr>
        <w:t>ării</w:t>
      </w:r>
      <w:r w:rsidRPr="001D0846">
        <w:rPr>
          <w:rFonts w:ascii="Times New Roman" w:hAnsi="Times New Roman" w:cs="Times New Roman"/>
          <w:sz w:val="28"/>
          <w:szCs w:val="28"/>
        </w:rPr>
        <w:t xml:space="preserve"> obiectivelor</w:t>
      </w:r>
      <w:r w:rsidR="00982BF8" w:rsidRPr="001D0846">
        <w:rPr>
          <w:rFonts w:ascii="Times New Roman" w:hAnsi="Times New Roman" w:cs="Times New Roman"/>
          <w:sz w:val="28"/>
          <w:szCs w:val="28"/>
        </w:rPr>
        <w:t xml:space="preserve"> propus</w:t>
      </w:r>
      <w:r w:rsidRPr="001D0846">
        <w:rPr>
          <w:rFonts w:ascii="Times New Roman" w:hAnsi="Times New Roman" w:cs="Times New Roman"/>
          <w:sz w:val="28"/>
          <w:szCs w:val="28"/>
        </w:rPr>
        <w:t>e</w:t>
      </w:r>
      <w:r w:rsidR="00982BF8" w:rsidRPr="001D0846">
        <w:rPr>
          <w:rFonts w:ascii="Times New Roman" w:hAnsi="Times New Roman" w:cs="Times New Roman"/>
          <w:sz w:val="28"/>
          <w:szCs w:val="28"/>
        </w:rPr>
        <w:t xml:space="preserve">, misiunea de audit </w:t>
      </w:r>
      <w:r w:rsidR="00B1515B" w:rsidRPr="001D0846">
        <w:rPr>
          <w:rFonts w:ascii="Times New Roman" w:hAnsi="Times New Roman" w:cs="Times New Roman"/>
          <w:sz w:val="28"/>
          <w:szCs w:val="28"/>
        </w:rPr>
        <w:t>a desfășurat</w:t>
      </w:r>
      <w:r w:rsidR="00982BF8" w:rsidRPr="001D0846">
        <w:rPr>
          <w:rFonts w:ascii="Times New Roman" w:hAnsi="Times New Roman" w:cs="Times New Roman"/>
          <w:sz w:val="28"/>
          <w:szCs w:val="28"/>
        </w:rPr>
        <w:t xml:space="preserve"> activități de colectare a probelor de audit în vederea evaluării managementului și rezultatelor administrării impozitelor și taxelor, pentru a formula o concluzie asupra:</w:t>
      </w:r>
    </w:p>
    <w:p w:rsidR="00B40843" w:rsidRDefault="00B40843" w:rsidP="00206E15">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 </w:t>
      </w:r>
      <w:r w:rsidR="00017C3F">
        <w:rPr>
          <w:rFonts w:ascii="Times New Roman" w:hAnsi="Times New Roman" w:cs="Times New Roman"/>
          <w:sz w:val="28"/>
          <w:szCs w:val="28"/>
        </w:rPr>
        <w:t xml:space="preserve">elaborării și </w:t>
      </w:r>
      <w:r w:rsidR="00982BF8" w:rsidRPr="00206E15">
        <w:rPr>
          <w:rFonts w:ascii="Times New Roman" w:hAnsi="Times New Roman" w:cs="Times New Roman"/>
          <w:sz w:val="28"/>
          <w:szCs w:val="28"/>
        </w:rPr>
        <w:t xml:space="preserve">realizării </w:t>
      </w:r>
      <w:r w:rsidR="00982BF8" w:rsidRPr="00206E15">
        <w:rPr>
          <w:rFonts w:ascii="Times New Roman" w:hAnsi="Times New Roman" w:cs="Times New Roman"/>
          <w:sz w:val="28"/>
          <w:szCs w:val="28"/>
          <w:lang w:eastAsia="ru-RU"/>
        </w:rPr>
        <w:t xml:space="preserve">obiectivelor și indicatorilor de performanță din strategii și alte </w:t>
      </w:r>
      <w:r w:rsidR="001D077D" w:rsidRPr="00206E15">
        <w:rPr>
          <w:rFonts w:ascii="Times New Roman" w:hAnsi="Times New Roman" w:cs="Times New Roman"/>
          <w:sz w:val="28"/>
          <w:szCs w:val="28"/>
          <w:lang w:eastAsia="ru-RU"/>
        </w:rPr>
        <w:t>documente</w:t>
      </w:r>
      <w:r w:rsidR="00982BF8" w:rsidRPr="00206E15">
        <w:rPr>
          <w:rFonts w:ascii="Times New Roman" w:hAnsi="Times New Roman" w:cs="Times New Roman"/>
          <w:sz w:val="28"/>
          <w:szCs w:val="28"/>
          <w:lang w:eastAsia="ru-RU"/>
        </w:rPr>
        <w:t xml:space="preserve"> de planificare strategică privind</w:t>
      </w:r>
      <w:r w:rsidR="00982BF8" w:rsidRPr="00206E15">
        <w:rPr>
          <w:rFonts w:ascii="Times New Roman" w:hAnsi="Times New Roman" w:cs="Times New Roman"/>
          <w:sz w:val="28"/>
          <w:szCs w:val="28"/>
        </w:rPr>
        <w:t xml:space="preserve"> administrarea impozitelor și taxelor;</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 </w:t>
      </w:r>
      <w:r w:rsidR="00A23BF2" w:rsidRPr="00206E15">
        <w:rPr>
          <w:rFonts w:ascii="Times New Roman" w:hAnsi="Times New Roman" w:cs="Times New Roman"/>
          <w:sz w:val="28"/>
          <w:szCs w:val="28"/>
        </w:rPr>
        <w:t xml:space="preserve">existenței și funcționalității mecanismelor de estimare/prognozare în vederea fundamentării exacte a </w:t>
      </w:r>
      <w:r w:rsidR="00017C3F">
        <w:rPr>
          <w:rFonts w:ascii="Times New Roman" w:hAnsi="Times New Roman" w:cs="Times New Roman"/>
          <w:sz w:val="28"/>
          <w:szCs w:val="28"/>
        </w:rPr>
        <w:t>veniturilor fiscale și vamale</w:t>
      </w:r>
      <w:r>
        <w:rPr>
          <w:rFonts w:ascii="Times New Roman" w:hAnsi="Times New Roman" w:cs="Times New Roman"/>
          <w:sz w:val="28"/>
          <w:szCs w:val="28"/>
        </w:rPr>
        <w:t>;</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(iii) </w:t>
      </w:r>
      <w:r w:rsidR="00982BF8" w:rsidRPr="00206E15">
        <w:rPr>
          <w:rFonts w:ascii="Times New Roman" w:hAnsi="Times New Roman" w:cs="Times New Roman"/>
          <w:sz w:val="28"/>
          <w:szCs w:val="28"/>
          <w:lang w:eastAsia="ru-RU"/>
        </w:rPr>
        <w:t>realizării planurilor de activitate</w:t>
      </w:r>
      <w:r w:rsidR="00017C3F">
        <w:rPr>
          <w:rFonts w:ascii="Times New Roman" w:hAnsi="Times New Roman" w:cs="Times New Roman"/>
          <w:sz w:val="28"/>
          <w:szCs w:val="28"/>
          <w:lang w:eastAsia="ru-RU"/>
        </w:rPr>
        <w:t xml:space="preserve"> </w:t>
      </w:r>
      <w:r w:rsidR="00982BF8" w:rsidRPr="00206E15">
        <w:rPr>
          <w:rFonts w:ascii="Times New Roman" w:hAnsi="Times New Roman" w:cs="Times New Roman"/>
          <w:sz w:val="28"/>
          <w:szCs w:val="28"/>
          <w:lang w:eastAsia="ru-RU"/>
        </w:rPr>
        <w:t>în administrarea impozitelor și taxelor;</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(iv) </w:t>
      </w:r>
      <w:r w:rsidR="00A23BF2" w:rsidRPr="00B40843">
        <w:rPr>
          <w:rFonts w:ascii="Times New Roman" w:hAnsi="Times New Roman" w:cs="Times New Roman"/>
          <w:sz w:val="28"/>
          <w:szCs w:val="28"/>
          <w:lang w:eastAsia="ru-RU"/>
        </w:rPr>
        <w:t>procesului de executare silită a obligației fiscale și vamale;</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(v) </w:t>
      </w:r>
      <w:r w:rsidR="00982BF8" w:rsidRPr="00B40843">
        <w:rPr>
          <w:rFonts w:ascii="Times New Roman" w:hAnsi="Times New Roman" w:cs="Times New Roman"/>
          <w:sz w:val="28"/>
          <w:szCs w:val="28"/>
        </w:rPr>
        <w:t>conform</w:t>
      </w:r>
      <w:r w:rsidR="00017C3F" w:rsidRPr="00B40843">
        <w:rPr>
          <w:rFonts w:ascii="Times New Roman" w:hAnsi="Times New Roman" w:cs="Times New Roman"/>
          <w:sz w:val="28"/>
          <w:szCs w:val="28"/>
        </w:rPr>
        <w:t>ării voluntare</w:t>
      </w:r>
      <w:r w:rsidR="00982BF8" w:rsidRPr="00B40843">
        <w:rPr>
          <w:rFonts w:ascii="Times New Roman" w:hAnsi="Times New Roman" w:cs="Times New Roman"/>
          <w:sz w:val="28"/>
          <w:szCs w:val="28"/>
        </w:rPr>
        <w:t xml:space="preserve"> la </w:t>
      </w:r>
      <w:r w:rsidR="00017C3F" w:rsidRPr="00B40843">
        <w:rPr>
          <w:rFonts w:ascii="Times New Roman" w:hAnsi="Times New Roman" w:cs="Times New Roman"/>
          <w:sz w:val="28"/>
          <w:szCs w:val="28"/>
        </w:rPr>
        <w:t>declararea și achitarea</w:t>
      </w:r>
      <w:r w:rsidR="00982BF8" w:rsidRPr="00B40843">
        <w:rPr>
          <w:rFonts w:ascii="Times New Roman" w:hAnsi="Times New Roman" w:cs="Times New Roman"/>
          <w:sz w:val="28"/>
          <w:szCs w:val="28"/>
        </w:rPr>
        <w:t xml:space="preserve"> impozitelor și taxelor de către </w:t>
      </w:r>
      <w:r w:rsidR="00017C3F" w:rsidRPr="00B40843">
        <w:rPr>
          <w:rFonts w:ascii="Times New Roman" w:hAnsi="Times New Roman" w:cs="Times New Roman"/>
          <w:sz w:val="28"/>
          <w:szCs w:val="28"/>
        </w:rPr>
        <w:t>contribuabili și plătitorii vamali</w:t>
      </w:r>
      <w:r w:rsidR="00982BF8" w:rsidRPr="00B40843">
        <w:rPr>
          <w:rFonts w:ascii="Times New Roman" w:hAnsi="Times New Roman" w:cs="Times New Roman"/>
          <w:sz w:val="28"/>
          <w:szCs w:val="28"/>
        </w:rPr>
        <w:t>;</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(vi) </w:t>
      </w:r>
      <w:r w:rsidR="00982BF8" w:rsidRPr="001D0846">
        <w:rPr>
          <w:rFonts w:ascii="Times New Roman" w:hAnsi="Times New Roman" w:cs="Times New Roman"/>
          <w:sz w:val="28"/>
          <w:szCs w:val="28"/>
          <w:lang w:eastAsia="ru-RU"/>
        </w:rPr>
        <w:t>proceduri</w:t>
      </w:r>
      <w:r w:rsidR="0037313F">
        <w:rPr>
          <w:rFonts w:ascii="Times New Roman" w:hAnsi="Times New Roman" w:cs="Times New Roman"/>
          <w:sz w:val="28"/>
          <w:szCs w:val="28"/>
          <w:lang w:eastAsia="ru-RU"/>
        </w:rPr>
        <w:t>lor</w:t>
      </w:r>
      <w:r w:rsidR="00982BF8" w:rsidRPr="001D0846">
        <w:rPr>
          <w:rFonts w:ascii="Times New Roman" w:hAnsi="Times New Roman" w:cs="Times New Roman"/>
          <w:sz w:val="28"/>
          <w:szCs w:val="28"/>
          <w:lang w:eastAsia="ru-RU"/>
        </w:rPr>
        <w:t xml:space="preserve"> de organizare, efectuare și exercitare a controalelor fiscale și auditurilor post-vămuire, </w:t>
      </w:r>
      <w:r w:rsidR="00982BF8" w:rsidRPr="00B40843">
        <w:rPr>
          <w:rFonts w:ascii="Times New Roman" w:hAnsi="Times New Roman" w:cs="Times New Roman"/>
          <w:sz w:val="28"/>
          <w:szCs w:val="28"/>
          <w:lang w:eastAsia="ru-RU"/>
        </w:rPr>
        <w:t>inclusiv rezultatel</w:t>
      </w:r>
      <w:r w:rsidRPr="00B40843">
        <w:rPr>
          <w:rFonts w:ascii="Times New Roman" w:hAnsi="Times New Roman" w:cs="Times New Roman"/>
          <w:sz w:val="28"/>
          <w:szCs w:val="28"/>
          <w:lang w:eastAsia="ru-RU"/>
        </w:rPr>
        <w:t>e</w:t>
      </w:r>
      <w:r w:rsidR="00982BF8" w:rsidRPr="00B40843">
        <w:rPr>
          <w:rFonts w:ascii="Times New Roman" w:hAnsi="Times New Roman" w:cs="Times New Roman"/>
          <w:sz w:val="28"/>
          <w:szCs w:val="28"/>
          <w:lang w:eastAsia="ru-RU"/>
        </w:rPr>
        <w:t xml:space="preserve"> acestora</w:t>
      </w:r>
      <w:r w:rsidR="00017C3F" w:rsidRPr="00B40843">
        <w:rPr>
          <w:rFonts w:ascii="Times New Roman" w:hAnsi="Times New Roman" w:cs="Times New Roman"/>
          <w:sz w:val="28"/>
          <w:szCs w:val="28"/>
          <w:lang w:eastAsia="ru-RU"/>
        </w:rPr>
        <w:t>;</w:t>
      </w:r>
    </w:p>
    <w:p w:rsid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(vii) </w:t>
      </w:r>
      <w:r w:rsidR="00017C3F" w:rsidRPr="00B40843">
        <w:rPr>
          <w:rFonts w:ascii="Times New Roman" w:hAnsi="Times New Roman" w:cs="Times New Roman"/>
          <w:sz w:val="28"/>
          <w:szCs w:val="28"/>
        </w:rPr>
        <w:t>implementării de către organele fiscal</w:t>
      </w:r>
      <w:r w:rsidR="0037313F" w:rsidRPr="00B40843">
        <w:rPr>
          <w:rFonts w:ascii="Times New Roman" w:hAnsi="Times New Roman" w:cs="Times New Roman"/>
          <w:sz w:val="28"/>
          <w:szCs w:val="28"/>
        </w:rPr>
        <w:t>e</w:t>
      </w:r>
      <w:r w:rsidR="00017C3F" w:rsidRPr="00B40843">
        <w:rPr>
          <w:rFonts w:ascii="Times New Roman" w:hAnsi="Times New Roman" w:cs="Times New Roman"/>
          <w:sz w:val="28"/>
          <w:szCs w:val="28"/>
        </w:rPr>
        <w:t xml:space="preserve"> și vamale a recomandărilor auditurilor precedente ale CCRM;</w:t>
      </w:r>
    </w:p>
    <w:p w:rsidR="00017C3F" w:rsidRPr="00B40843" w:rsidRDefault="00B40843" w:rsidP="00B40843">
      <w:pPr>
        <w:tabs>
          <w:tab w:val="left" w:pos="360"/>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(viii) </w:t>
      </w:r>
      <w:r w:rsidR="00017C3F" w:rsidRPr="00B40843">
        <w:rPr>
          <w:rFonts w:ascii="Times New Roman" w:hAnsi="Times New Roman" w:cs="Times New Roman"/>
          <w:sz w:val="28"/>
          <w:szCs w:val="28"/>
        </w:rPr>
        <w:t xml:space="preserve">organizării și implementării </w:t>
      </w:r>
      <w:r w:rsidRPr="00B40843">
        <w:rPr>
          <w:rFonts w:ascii="Times New Roman" w:hAnsi="Times New Roman" w:cs="Times New Roman"/>
          <w:sz w:val="28"/>
          <w:szCs w:val="28"/>
        </w:rPr>
        <w:t xml:space="preserve">SCI </w:t>
      </w:r>
      <w:r w:rsidR="00017C3F" w:rsidRPr="00B40843">
        <w:rPr>
          <w:rFonts w:ascii="Times New Roman" w:hAnsi="Times New Roman" w:cs="Times New Roman"/>
          <w:sz w:val="28"/>
          <w:szCs w:val="28"/>
        </w:rPr>
        <w:t>de către organele fiscale și vamale în administrarea impozitelor și taxelor.</w:t>
      </w:r>
    </w:p>
    <w:p w:rsidR="00982BF8" w:rsidRPr="001D0846" w:rsidRDefault="00982BF8" w:rsidP="006358AD">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Activitățile de audit </w:t>
      </w:r>
      <w:r w:rsidR="00B1515B" w:rsidRPr="001D0846">
        <w:rPr>
          <w:rFonts w:ascii="Times New Roman" w:hAnsi="Times New Roman" w:cs="Times New Roman"/>
          <w:sz w:val="28"/>
          <w:szCs w:val="28"/>
        </w:rPr>
        <w:t>au fost</w:t>
      </w:r>
      <w:r w:rsidRPr="001D0846">
        <w:rPr>
          <w:rFonts w:ascii="Times New Roman" w:hAnsi="Times New Roman" w:cs="Times New Roman"/>
          <w:sz w:val="28"/>
          <w:szCs w:val="28"/>
        </w:rPr>
        <w:t xml:space="preserve"> orientate spre evaluarea managementului</w:t>
      </w:r>
      <w:r w:rsidR="00D82E5B" w:rsidRPr="001D0846">
        <w:rPr>
          <w:rFonts w:ascii="Times New Roman" w:hAnsi="Times New Roman" w:cs="Times New Roman"/>
          <w:sz w:val="28"/>
          <w:szCs w:val="28"/>
        </w:rPr>
        <w:t>,</w:t>
      </w:r>
      <w:r w:rsidRPr="001D0846">
        <w:rPr>
          <w:rFonts w:ascii="Times New Roman" w:hAnsi="Times New Roman" w:cs="Times New Roman"/>
          <w:sz w:val="28"/>
          <w:szCs w:val="28"/>
        </w:rPr>
        <w:t xml:space="preserve"> precum și a rezultatelor activității de administrare a impozitelor și taxelor în raport cu sarcinile stabilite, pentru evalua</w:t>
      </w:r>
      <w:r w:rsidR="0037313F">
        <w:rPr>
          <w:rFonts w:ascii="Times New Roman" w:hAnsi="Times New Roman" w:cs="Times New Roman"/>
          <w:sz w:val="28"/>
          <w:szCs w:val="28"/>
        </w:rPr>
        <w:t>rea</w:t>
      </w:r>
      <w:r w:rsidRPr="001D0846">
        <w:rPr>
          <w:rFonts w:ascii="Times New Roman" w:hAnsi="Times New Roman" w:cs="Times New Roman"/>
          <w:sz w:val="28"/>
          <w:szCs w:val="28"/>
        </w:rPr>
        <w:t xml:space="preserve"> măsur</w:t>
      </w:r>
      <w:r w:rsidR="0037313F">
        <w:rPr>
          <w:rFonts w:ascii="Times New Roman" w:hAnsi="Times New Roman" w:cs="Times New Roman"/>
          <w:sz w:val="28"/>
          <w:szCs w:val="28"/>
        </w:rPr>
        <w:t>ii</w:t>
      </w:r>
      <w:r w:rsidRPr="001D0846">
        <w:rPr>
          <w:rFonts w:ascii="Times New Roman" w:hAnsi="Times New Roman" w:cs="Times New Roman"/>
          <w:sz w:val="28"/>
          <w:szCs w:val="28"/>
        </w:rPr>
        <w:t xml:space="preserve"> în care entitățile auditate au respectat în administrarea impozitelor și taxelor principiile performanței, inclusiv:</w:t>
      </w:r>
    </w:p>
    <w:p w:rsidR="00B40843" w:rsidRDefault="00B40843" w:rsidP="00B40843">
      <w:pPr>
        <w:tabs>
          <w:tab w:val="left" w:pos="540"/>
        </w:tabs>
        <w:spacing w:after="0" w:line="276" w:lineRule="auto"/>
        <w:jc w:val="both"/>
        <w:rPr>
          <w:rFonts w:ascii="Times New Roman" w:hAnsi="Times New Roman" w:cs="Times New Roman"/>
          <w:sz w:val="28"/>
          <w:szCs w:val="28"/>
        </w:rPr>
      </w:pPr>
      <w:r>
        <w:rPr>
          <w:rFonts w:ascii="Times New Roman" w:hAnsi="Times New Roman" w:cs="Times New Roman"/>
          <w:i/>
          <w:sz w:val="28"/>
          <w:szCs w:val="28"/>
        </w:rPr>
        <w:tab/>
        <w:t xml:space="preserve">1) </w:t>
      </w:r>
      <w:r w:rsidR="00982BF8" w:rsidRPr="00B40843">
        <w:rPr>
          <w:rFonts w:ascii="Times New Roman" w:hAnsi="Times New Roman" w:cs="Times New Roman"/>
          <w:i/>
          <w:sz w:val="28"/>
          <w:szCs w:val="28"/>
        </w:rPr>
        <w:t xml:space="preserve">eficiența – </w:t>
      </w:r>
      <w:r w:rsidR="00982BF8" w:rsidRPr="00B40843">
        <w:rPr>
          <w:rFonts w:ascii="Times New Roman" w:hAnsi="Times New Roman" w:cs="Times New Roman"/>
          <w:sz w:val="28"/>
          <w:szCs w:val="28"/>
        </w:rPr>
        <w:t xml:space="preserve">funcționalitatea mecanismelor și procedurilor interne ale SFS și SV în administrarea impozitelor și taxelor, precum și măsura în care se asigură minimizarea costului resurselor financiare utilizate în activitatea de administrare a </w:t>
      </w:r>
      <w:r w:rsidR="00982BF8" w:rsidRPr="00B40843">
        <w:rPr>
          <w:rFonts w:ascii="Times New Roman" w:hAnsi="Times New Roman" w:cs="Times New Roman"/>
          <w:sz w:val="28"/>
          <w:szCs w:val="28"/>
        </w:rPr>
        <w:lastRenderedPageBreak/>
        <w:t>impozitelor și taxelor</w:t>
      </w:r>
      <w:r w:rsidR="0037313F" w:rsidRPr="00B40843">
        <w:rPr>
          <w:rFonts w:ascii="Times New Roman" w:hAnsi="Times New Roman" w:cs="Times New Roman"/>
          <w:sz w:val="28"/>
          <w:szCs w:val="28"/>
        </w:rPr>
        <w:t>,</w:t>
      </w:r>
      <w:r w:rsidR="00982BF8" w:rsidRPr="00B40843">
        <w:rPr>
          <w:rFonts w:ascii="Times New Roman" w:hAnsi="Times New Roman" w:cs="Times New Roman"/>
          <w:sz w:val="28"/>
          <w:szCs w:val="28"/>
        </w:rPr>
        <w:t xml:space="preserve"> fără a compromite realizarea în bune condiții a obiectivelor asumate</w:t>
      </w:r>
      <w:r w:rsidR="0037313F" w:rsidRPr="00B40843">
        <w:rPr>
          <w:rFonts w:ascii="Times New Roman" w:hAnsi="Times New Roman" w:cs="Times New Roman"/>
          <w:sz w:val="28"/>
          <w:szCs w:val="28"/>
        </w:rPr>
        <w:t>;</w:t>
      </w:r>
    </w:p>
    <w:p w:rsidR="00B40843" w:rsidRDefault="00B40843" w:rsidP="00B40843">
      <w:pPr>
        <w:tabs>
          <w:tab w:val="left" w:pos="540"/>
        </w:tabs>
        <w:spacing w:after="0" w:line="276" w:lineRule="auto"/>
        <w:jc w:val="both"/>
        <w:rPr>
          <w:rFonts w:ascii="Times New Roman" w:hAnsi="Times New Roman" w:cs="Times New Roman"/>
          <w:sz w:val="28"/>
          <w:szCs w:val="28"/>
        </w:rPr>
      </w:pPr>
      <w:r>
        <w:rPr>
          <w:rFonts w:ascii="Times New Roman" w:hAnsi="Times New Roman" w:cs="Times New Roman"/>
          <w:i/>
          <w:sz w:val="28"/>
          <w:szCs w:val="28"/>
        </w:rPr>
        <w:tab/>
        <w:t xml:space="preserve">2) </w:t>
      </w:r>
      <w:r w:rsidR="00982BF8" w:rsidRPr="00B40843">
        <w:rPr>
          <w:rFonts w:ascii="Times New Roman" w:hAnsi="Times New Roman" w:cs="Times New Roman"/>
          <w:i/>
          <w:sz w:val="28"/>
          <w:szCs w:val="28"/>
        </w:rPr>
        <w:t xml:space="preserve">eficacitatea – </w:t>
      </w:r>
      <w:r w:rsidR="00982BF8" w:rsidRPr="00B40843">
        <w:rPr>
          <w:rFonts w:ascii="Times New Roman" w:hAnsi="Times New Roman" w:cs="Times New Roman"/>
          <w:sz w:val="28"/>
          <w:szCs w:val="28"/>
        </w:rPr>
        <w:t xml:space="preserve">gradul de </w:t>
      </w:r>
      <w:r w:rsidR="0037313F" w:rsidRPr="00B40843">
        <w:rPr>
          <w:rFonts w:ascii="Times New Roman" w:hAnsi="Times New Roman" w:cs="Times New Roman"/>
          <w:sz w:val="28"/>
          <w:szCs w:val="28"/>
        </w:rPr>
        <w:t>realizare</w:t>
      </w:r>
      <w:r w:rsidR="00982BF8" w:rsidRPr="00B40843">
        <w:rPr>
          <w:rFonts w:ascii="Times New Roman" w:hAnsi="Times New Roman" w:cs="Times New Roman"/>
          <w:sz w:val="28"/>
          <w:szCs w:val="28"/>
        </w:rPr>
        <w:t xml:space="preserve"> de către SFS și SV a obiectivelor și performanțelor stabilite în activitatea de administrare a impozitelor și taxelor, precum și raportul dintre sarcina stabilită și rezultatul efectiv realizat;</w:t>
      </w:r>
    </w:p>
    <w:p w:rsidR="00982BF8" w:rsidRPr="00B40843" w:rsidRDefault="00B40843" w:rsidP="00B40843">
      <w:pPr>
        <w:tabs>
          <w:tab w:val="left" w:pos="540"/>
        </w:tabs>
        <w:spacing w:after="0" w:line="276" w:lineRule="auto"/>
        <w:jc w:val="both"/>
        <w:rPr>
          <w:rFonts w:ascii="Times New Roman" w:hAnsi="Times New Roman" w:cs="Times New Roman"/>
          <w:sz w:val="28"/>
          <w:szCs w:val="28"/>
        </w:rPr>
      </w:pPr>
      <w:r>
        <w:rPr>
          <w:rFonts w:ascii="Times New Roman" w:hAnsi="Times New Roman" w:cs="Times New Roman"/>
          <w:i/>
          <w:sz w:val="28"/>
          <w:szCs w:val="28"/>
        </w:rPr>
        <w:tab/>
      </w:r>
      <w:r w:rsidRPr="00B40843">
        <w:rPr>
          <w:rFonts w:ascii="Times New Roman" w:hAnsi="Times New Roman" w:cs="Times New Roman"/>
          <w:i/>
          <w:sz w:val="28"/>
          <w:szCs w:val="28"/>
        </w:rPr>
        <w:t>3)</w:t>
      </w:r>
      <w:r>
        <w:rPr>
          <w:rFonts w:ascii="Times New Roman" w:hAnsi="Times New Roman" w:cs="Times New Roman"/>
          <w:sz w:val="28"/>
          <w:szCs w:val="28"/>
        </w:rPr>
        <w:t xml:space="preserve"> </w:t>
      </w:r>
      <w:r w:rsidR="00982BF8" w:rsidRPr="00B40843">
        <w:rPr>
          <w:rFonts w:ascii="Times New Roman" w:hAnsi="Times New Roman" w:cs="Times New Roman"/>
          <w:i/>
          <w:sz w:val="28"/>
          <w:szCs w:val="28"/>
        </w:rPr>
        <w:t xml:space="preserve">economicitatea – </w:t>
      </w:r>
      <w:r w:rsidR="00982BF8" w:rsidRPr="00B40843">
        <w:rPr>
          <w:rFonts w:ascii="Times New Roman" w:hAnsi="Times New Roman" w:cs="Times New Roman"/>
          <w:sz w:val="28"/>
          <w:szCs w:val="28"/>
        </w:rPr>
        <w:t>raportul</w:t>
      </w:r>
      <w:r w:rsidR="00982BF8" w:rsidRPr="00B40843">
        <w:rPr>
          <w:rFonts w:ascii="Times New Roman" w:hAnsi="Times New Roman" w:cs="Times New Roman"/>
          <w:i/>
          <w:sz w:val="28"/>
          <w:szCs w:val="28"/>
        </w:rPr>
        <w:t xml:space="preserve"> </w:t>
      </w:r>
      <w:r w:rsidR="00982BF8" w:rsidRPr="00B40843">
        <w:rPr>
          <w:rFonts w:ascii="Times New Roman" w:hAnsi="Times New Roman" w:cs="Times New Roman"/>
          <w:sz w:val="28"/>
          <w:szCs w:val="28"/>
        </w:rPr>
        <w:t>dintre rezultatele obținute de către SFS și SV în activitatea de administrare a impozitelor și taxelor și resursele financiare utilizate pentru obținerea acestora.</w:t>
      </w:r>
    </w:p>
    <w:p w:rsidR="005F28F4" w:rsidRPr="001D0846" w:rsidRDefault="005F28F4" w:rsidP="005F28F4">
      <w:pPr>
        <w:spacing w:after="0" w:line="240" w:lineRule="auto"/>
        <w:ind w:firstLine="567"/>
        <w:jc w:val="both"/>
        <w:rPr>
          <w:rFonts w:ascii="Times New Roman" w:eastAsia="Times New Roman" w:hAnsi="Times New Roman" w:cs="Times New Roman"/>
          <w:i/>
          <w:iCs/>
          <w:sz w:val="28"/>
          <w:szCs w:val="28"/>
        </w:rPr>
      </w:pPr>
      <w:r w:rsidRPr="001D0846">
        <w:rPr>
          <w:rFonts w:ascii="Times New Roman" w:eastAsia="Times New Roman" w:hAnsi="Times New Roman" w:cs="Times New Roman"/>
          <w:i/>
          <w:iCs/>
          <w:sz w:val="28"/>
          <w:szCs w:val="28"/>
        </w:rPr>
        <w:t xml:space="preserve">Domeniul de aplicare </w:t>
      </w:r>
      <w:proofErr w:type="spellStart"/>
      <w:r w:rsidRPr="001D0846">
        <w:rPr>
          <w:rFonts w:ascii="Times New Roman" w:eastAsia="Times New Roman" w:hAnsi="Times New Roman" w:cs="Times New Roman"/>
          <w:i/>
          <w:iCs/>
          <w:sz w:val="28"/>
          <w:szCs w:val="28"/>
        </w:rPr>
        <w:t>şi</w:t>
      </w:r>
      <w:proofErr w:type="spellEnd"/>
      <w:r w:rsidRPr="001D0846">
        <w:rPr>
          <w:rFonts w:ascii="Times New Roman" w:eastAsia="Times New Roman" w:hAnsi="Times New Roman" w:cs="Times New Roman"/>
          <w:i/>
          <w:iCs/>
          <w:sz w:val="28"/>
          <w:szCs w:val="28"/>
        </w:rPr>
        <w:t xml:space="preserve"> metodologia auditul</w:t>
      </w:r>
      <w:r w:rsidR="003E6C61" w:rsidRPr="001D0846">
        <w:rPr>
          <w:rFonts w:ascii="Times New Roman" w:eastAsia="Times New Roman" w:hAnsi="Times New Roman" w:cs="Times New Roman"/>
          <w:i/>
          <w:iCs/>
          <w:sz w:val="28"/>
          <w:szCs w:val="28"/>
        </w:rPr>
        <w:t>ui sunt prezentate în Anexa nr.2</w:t>
      </w:r>
      <w:r w:rsidRPr="001D0846">
        <w:rPr>
          <w:rFonts w:ascii="Times New Roman" w:eastAsia="Times New Roman" w:hAnsi="Times New Roman" w:cs="Times New Roman"/>
          <w:i/>
          <w:iCs/>
          <w:sz w:val="28"/>
          <w:szCs w:val="28"/>
        </w:rPr>
        <w:t xml:space="preserve"> la Raport</w:t>
      </w:r>
      <w:r w:rsidR="002835B6">
        <w:rPr>
          <w:rFonts w:ascii="Times New Roman" w:eastAsia="Times New Roman" w:hAnsi="Times New Roman" w:cs="Times New Roman"/>
          <w:i/>
          <w:iCs/>
          <w:sz w:val="28"/>
          <w:szCs w:val="28"/>
        </w:rPr>
        <w:t xml:space="preserve">ul de audit </w:t>
      </w:r>
      <w:r w:rsidRPr="001D0846">
        <w:rPr>
          <w:rFonts w:ascii="Times New Roman" w:eastAsia="Times New Roman" w:hAnsi="Times New Roman" w:cs="Times New Roman"/>
          <w:i/>
          <w:iCs/>
          <w:sz w:val="28"/>
          <w:szCs w:val="28"/>
        </w:rPr>
        <w:t>.</w:t>
      </w:r>
    </w:p>
    <w:p w:rsidR="005F28F4" w:rsidRPr="001D0846" w:rsidRDefault="005F28F4" w:rsidP="005F28F4">
      <w:pPr>
        <w:spacing w:after="0" w:line="240" w:lineRule="auto"/>
        <w:ind w:firstLine="567"/>
        <w:jc w:val="both"/>
        <w:rPr>
          <w:rFonts w:ascii="Times New Roman" w:eastAsia="Times New Roman" w:hAnsi="Times New Roman" w:cs="Times New Roman"/>
          <w:i/>
          <w:iCs/>
          <w:sz w:val="24"/>
          <w:szCs w:val="24"/>
        </w:rPr>
      </w:pPr>
    </w:p>
    <w:p w:rsidR="00A0239F" w:rsidRPr="001D0846" w:rsidRDefault="003A54B4" w:rsidP="003A54B4">
      <w:pPr>
        <w:pStyle w:val="1"/>
        <w:spacing w:before="0" w:line="276" w:lineRule="auto"/>
        <w:jc w:val="center"/>
        <w:rPr>
          <w:rFonts w:ascii="Times New Roman" w:hAnsi="Times New Roman" w:cs="Times New Roman"/>
          <w:b/>
          <w:color w:val="auto"/>
        </w:rPr>
      </w:pPr>
      <w:bookmarkStart w:id="7" w:name="_Toc505603940"/>
      <w:bookmarkStart w:id="8" w:name="_Toc515894886"/>
      <w:r w:rsidRPr="001D0846">
        <w:rPr>
          <w:rFonts w:ascii="Times New Roman" w:hAnsi="Times New Roman" w:cs="Times New Roman"/>
          <w:b/>
          <w:color w:val="auto"/>
        </w:rPr>
        <w:t>III</w:t>
      </w:r>
      <w:r w:rsidR="00A0239F" w:rsidRPr="001D0846">
        <w:rPr>
          <w:rFonts w:ascii="Times New Roman" w:hAnsi="Times New Roman" w:cs="Times New Roman"/>
          <w:b/>
          <w:color w:val="auto"/>
        </w:rPr>
        <w:t xml:space="preserve">. </w:t>
      </w:r>
      <w:r w:rsidR="009F2555" w:rsidRPr="001D0846">
        <w:rPr>
          <w:rFonts w:ascii="Times New Roman" w:hAnsi="Times New Roman" w:cs="Times New Roman"/>
          <w:b/>
          <w:color w:val="auto"/>
        </w:rPr>
        <w:t xml:space="preserve">CONSTATĂRILE </w:t>
      </w:r>
      <w:r w:rsidR="00A0239F" w:rsidRPr="001D0846">
        <w:rPr>
          <w:rFonts w:ascii="Times New Roman" w:hAnsi="Times New Roman" w:cs="Times New Roman"/>
          <w:b/>
          <w:color w:val="auto"/>
        </w:rPr>
        <w:t>AUDIT</w:t>
      </w:r>
      <w:bookmarkEnd w:id="7"/>
      <w:r w:rsidR="009F2555" w:rsidRPr="001D0846">
        <w:rPr>
          <w:rFonts w:ascii="Times New Roman" w:hAnsi="Times New Roman" w:cs="Times New Roman"/>
          <w:b/>
          <w:color w:val="auto"/>
        </w:rPr>
        <w:t>ULUI</w:t>
      </w:r>
      <w:bookmarkEnd w:id="8"/>
    </w:p>
    <w:p w:rsidR="003A54B4" w:rsidRPr="001D0846" w:rsidRDefault="003A54B4" w:rsidP="00C77119">
      <w:pPr>
        <w:pStyle w:val="a7"/>
        <w:tabs>
          <w:tab w:val="left" w:pos="630"/>
        </w:tabs>
        <w:spacing w:after="0" w:line="276" w:lineRule="auto"/>
        <w:ind w:left="0" w:firstLine="709"/>
        <w:jc w:val="both"/>
        <w:rPr>
          <w:rFonts w:ascii="Times New Roman" w:hAnsi="Times New Roman" w:cs="Times New Roman"/>
          <w:i/>
          <w:sz w:val="28"/>
          <w:szCs w:val="28"/>
        </w:rPr>
      </w:pPr>
      <w:r w:rsidRPr="001D0846">
        <w:rPr>
          <w:rFonts w:ascii="Times New Roman" w:hAnsi="Times New Roman" w:cs="Times New Roman"/>
          <w:b/>
          <w:i/>
          <w:sz w:val="28"/>
          <w:szCs w:val="28"/>
        </w:rPr>
        <w:t xml:space="preserve"> </w:t>
      </w:r>
      <w:r w:rsidRPr="005A5243">
        <w:rPr>
          <w:rFonts w:ascii="Times New Roman" w:hAnsi="Times New Roman" w:cs="Times New Roman"/>
          <w:b/>
          <w:i/>
          <w:sz w:val="28"/>
          <w:szCs w:val="28"/>
        </w:rPr>
        <w:t>Obiectivul 1:</w:t>
      </w:r>
      <w:r w:rsidRPr="001D0846">
        <w:rPr>
          <w:rFonts w:ascii="Times New Roman" w:hAnsi="Times New Roman" w:cs="Times New Roman"/>
          <w:i/>
          <w:sz w:val="28"/>
          <w:szCs w:val="28"/>
        </w:rPr>
        <w:t xml:space="preserve"> </w:t>
      </w:r>
      <w:r w:rsidRPr="00D4753A">
        <w:rPr>
          <w:rFonts w:ascii="Times New Roman" w:hAnsi="Times New Roman" w:cs="Times New Roman"/>
          <w:i/>
          <w:sz w:val="28"/>
          <w:szCs w:val="28"/>
        </w:rPr>
        <w:t xml:space="preserve">Evaluarea managementului </w:t>
      </w:r>
      <w:r w:rsidR="00C97CC6">
        <w:rPr>
          <w:rFonts w:ascii="Times New Roman" w:hAnsi="Times New Roman" w:cs="Times New Roman"/>
          <w:i/>
          <w:sz w:val="28"/>
          <w:szCs w:val="28"/>
        </w:rPr>
        <w:t>organelor</w:t>
      </w:r>
      <w:r w:rsidR="00D4753A" w:rsidRPr="00D4753A">
        <w:rPr>
          <w:rFonts w:ascii="Times New Roman" w:hAnsi="Times New Roman" w:cs="Times New Roman"/>
          <w:i/>
          <w:sz w:val="28"/>
          <w:szCs w:val="28"/>
        </w:rPr>
        <w:t xml:space="preserve"> fiscale și vamale </w:t>
      </w:r>
      <w:r w:rsidRPr="00D4753A">
        <w:rPr>
          <w:rFonts w:ascii="Times New Roman" w:hAnsi="Times New Roman" w:cs="Times New Roman"/>
          <w:i/>
          <w:sz w:val="28"/>
          <w:szCs w:val="28"/>
        </w:rPr>
        <w:t xml:space="preserve">și a rezultatelor </w:t>
      </w:r>
      <w:r w:rsidR="00317602" w:rsidRPr="00D4753A">
        <w:rPr>
          <w:rFonts w:ascii="Times New Roman" w:hAnsi="Times New Roman" w:cs="Times New Roman"/>
          <w:i/>
          <w:sz w:val="28"/>
          <w:szCs w:val="28"/>
        </w:rPr>
        <w:t>administrării</w:t>
      </w:r>
      <w:r w:rsidRPr="00D4753A">
        <w:rPr>
          <w:rFonts w:ascii="Times New Roman" w:hAnsi="Times New Roman" w:cs="Times New Roman"/>
          <w:i/>
          <w:sz w:val="28"/>
          <w:szCs w:val="28"/>
        </w:rPr>
        <w:t xml:space="preserve"> impozitelor și taxelor </w:t>
      </w:r>
      <w:r w:rsidR="00C9749A" w:rsidRPr="00D4753A">
        <w:rPr>
          <w:rFonts w:ascii="Times New Roman" w:hAnsi="Times New Roman" w:cs="Times New Roman"/>
          <w:i/>
          <w:sz w:val="28"/>
          <w:szCs w:val="28"/>
        </w:rPr>
        <w:t>de către</w:t>
      </w:r>
      <w:r w:rsidR="00D4753A" w:rsidRPr="00D4753A">
        <w:rPr>
          <w:rFonts w:ascii="Times New Roman" w:hAnsi="Times New Roman" w:cs="Times New Roman"/>
          <w:i/>
          <w:sz w:val="28"/>
          <w:szCs w:val="28"/>
        </w:rPr>
        <w:t xml:space="preserve"> aceste organe.</w:t>
      </w:r>
    </w:p>
    <w:p w:rsidR="00C77119" w:rsidRDefault="00C77119" w:rsidP="00C77119">
      <w:pPr>
        <w:pStyle w:val="1"/>
        <w:spacing w:before="0" w:line="276" w:lineRule="auto"/>
        <w:jc w:val="both"/>
        <w:rPr>
          <w:rFonts w:ascii="Times New Roman" w:hAnsi="Times New Roman" w:cs="Times New Roman"/>
          <w:b/>
          <w:color w:val="auto"/>
          <w:sz w:val="28"/>
          <w:szCs w:val="28"/>
        </w:rPr>
      </w:pPr>
    </w:p>
    <w:p w:rsidR="00DD4561" w:rsidRPr="00C77119" w:rsidRDefault="00B81D45" w:rsidP="003C4B9E">
      <w:pPr>
        <w:pStyle w:val="1"/>
        <w:spacing w:before="0" w:line="276" w:lineRule="auto"/>
        <w:jc w:val="both"/>
        <w:rPr>
          <w:rFonts w:ascii="Times New Roman" w:hAnsi="Times New Roman" w:cs="Times New Roman"/>
          <w:b/>
          <w:color w:val="auto"/>
          <w:sz w:val="28"/>
          <w:szCs w:val="28"/>
        </w:rPr>
      </w:pPr>
      <w:bookmarkStart w:id="9" w:name="_Toc515894887"/>
      <w:r w:rsidRPr="00C77119">
        <w:rPr>
          <w:rFonts w:ascii="Times New Roman" w:hAnsi="Times New Roman" w:cs="Times New Roman"/>
          <w:b/>
          <w:color w:val="auto"/>
          <w:sz w:val="28"/>
          <w:szCs w:val="28"/>
        </w:rPr>
        <w:t>3</w:t>
      </w:r>
      <w:r w:rsidR="00C947DA" w:rsidRPr="00C77119">
        <w:rPr>
          <w:rFonts w:ascii="Times New Roman" w:hAnsi="Times New Roman" w:cs="Times New Roman"/>
          <w:b/>
          <w:color w:val="auto"/>
          <w:sz w:val="28"/>
          <w:szCs w:val="28"/>
        </w:rPr>
        <w:t>.1</w:t>
      </w:r>
      <w:r w:rsidR="00444DCB" w:rsidRPr="00C77119">
        <w:rPr>
          <w:rFonts w:ascii="Times New Roman" w:hAnsi="Times New Roman" w:cs="Times New Roman"/>
          <w:b/>
          <w:color w:val="auto"/>
          <w:sz w:val="28"/>
          <w:szCs w:val="28"/>
        </w:rPr>
        <w:t xml:space="preserve">. </w:t>
      </w:r>
      <w:r w:rsidR="00F7227C" w:rsidRPr="00C77119">
        <w:rPr>
          <w:rFonts w:ascii="Times New Roman" w:hAnsi="Times New Roman" w:cs="Times New Roman"/>
          <w:b/>
          <w:color w:val="auto"/>
          <w:sz w:val="28"/>
          <w:szCs w:val="28"/>
        </w:rPr>
        <w:t>Elaborarea</w:t>
      </w:r>
      <w:r w:rsidR="005B018C" w:rsidRPr="00C77119">
        <w:rPr>
          <w:rFonts w:ascii="Times New Roman" w:hAnsi="Times New Roman" w:cs="Times New Roman"/>
          <w:b/>
          <w:color w:val="auto"/>
          <w:sz w:val="28"/>
          <w:szCs w:val="28"/>
        </w:rPr>
        <w:t xml:space="preserve"> și realizarea </w:t>
      </w:r>
      <w:r w:rsidR="00DD4561" w:rsidRPr="00C77119">
        <w:rPr>
          <w:rFonts w:ascii="Times New Roman" w:hAnsi="Times New Roman" w:cs="Times New Roman"/>
          <w:b/>
          <w:color w:val="auto"/>
          <w:sz w:val="28"/>
          <w:szCs w:val="28"/>
        </w:rPr>
        <w:t>de către organele fiscale și vamale a</w:t>
      </w:r>
      <w:r w:rsidR="005B018C" w:rsidRPr="00C77119">
        <w:rPr>
          <w:rFonts w:ascii="Times New Roman" w:hAnsi="Times New Roman" w:cs="Times New Roman"/>
          <w:b/>
          <w:color w:val="auto"/>
          <w:sz w:val="28"/>
          <w:szCs w:val="28"/>
        </w:rPr>
        <w:t xml:space="preserve"> indicatori</w:t>
      </w:r>
      <w:r w:rsidR="00F7227C" w:rsidRPr="00C77119">
        <w:rPr>
          <w:rFonts w:ascii="Times New Roman" w:hAnsi="Times New Roman" w:cs="Times New Roman"/>
          <w:b/>
          <w:color w:val="auto"/>
          <w:sz w:val="28"/>
          <w:szCs w:val="28"/>
        </w:rPr>
        <w:t>lor</w:t>
      </w:r>
      <w:r w:rsidR="005B018C" w:rsidRPr="00C77119">
        <w:rPr>
          <w:rFonts w:ascii="Times New Roman" w:hAnsi="Times New Roman" w:cs="Times New Roman"/>
          <w:b/>
          <w:color w:val="auto"/>
          <w:sz w:val="28"/>
          <w:szCs w:val="28"/>
        </w:rPr>
        <w:t xml:space="preserve"> de performanță în administrarea impozitelor și taxelor</w:t>
      </w:r>
      <w:r w:rsidR="006621BE" w:rsidRPr="00C77119">
        <w:rPr>
          <w:rFonts w:ascii="Times New Roman" w:hAnsi="Times New Roman" w:cs="Times New Roman"/>
          <w:b/>
          <w:color w:val="auto"/>
          <w:sz w:val="28"/>
          <w:szCs w:val="28"/>
        </w:rPr>
        <w:t>.</w:t>
      </w:r>
      <w:bookmarkEnd w:id="9"/>
    </w:p>
    <w:p w:rsidR="006C5161" w:rsidRPr="001D0846" w:rsidRDefault="006C5161" w:rsidP="00771592">
      <w:pPr>
        <w:spacing w:after="0" w:line="276" w:lineRule="auto"/>
        <w:ind w:firstLine="709"/>
        <w:jc w:val="both"/>
        <w:rPr>
          <w:rFonts w:ascii="Times New Roman" w:hAnsi="Times New Roman" w:cs="Times New Roman"/>
          <w:i/>
          <w:sz w:val="28"/>
          <w:szCs w:val="28"/>
        </w:rPr>
      </w:pPr>
      <w:r w:rsidRPr="001D0846">
        <w:rPr>
          <w:rFonts w:ascii="Times New Roman" w:hAnsi="Times New Roman" w:cs="Times New Roman"/>
          <w:i/>
          <w:sz w:val="28"/>
          <w:szCs w:val="28"/>
        </w:rPr>
        <w:t>Conform documentelor de politici naționale și cadrului intern de reglementare, SFS și SV urmau să asigure realizarea obiectivelor strategice în domeniile de activitate, prin atingerea performanțelor stabilite în administrarea impozitelor și taxelor. Deși au fost întreprinse măsuri pentru atingerea rezultatelor planificate, fiind realizate unele performanțe în domeniu, auditul a identificat unel</w:t>
      </w:r>
      <w:r w:rsidR="007A379D" w:rsidRPr="001D0846">
        <w:rPr>
          <w:rFonts w:ascii="Times New Roman" w:hAnsi="Times New Roman" w:cs="Times New Roman"/>
          <w:i/>
          <w:sz w:val="28"/>
          <w:szCs w:val="28"/>
        </w:rPr>
        <w:t>e nerealizări/</w:t>
      </w:r>
      <w:r w:rsidRPr="001D0846">
        <w:rPr>
          <w:rFonts w:ascii="Times New Roman" w:hAnsi="Times New Roman" w:cs="Times New Roman"/>
          <w:i/>
          <w:sz w:val="28"/>
          <w:szCs w:val="28"/>
        </w:rPr>
        <w:t>realizări parțiale ale indicatorilor de performanță</w:t>
      </w:r>
      <w:r w:rsidR="007A379D" w:rsidRPr="001D0846">
        <w:rPr>
          <w:rFonts w:ascii="Times New Roman" w:hAnsi="Times New Roman" w:cs="Times New Roman"/>
          <w:i/>
          <w:sz w:val="28"/>
          <w:szCs w:val="28"/>
        </w:rPr>
        <w:t>,</w:t>
      </w:r>
      <w:r w:rsidRPr="001D0846">
        <w:rPr>
          <w:rFonts w:ascii="Times New Roman" w:hAnsi="Times New Roman" w:cs="Times New Roman"/>
          <w:i/>
          <w:sz w:val="28"/>
          <w:szCs w:val="28"/>
        </w:rPr>
        <w:t xml:space="preserve"> precum și alte problematici în acest domeniu</w:t>
      </w:r>
      <w:r w:rsidR="00BC0E32">
        <w:rPr>
          <w:rFonts w:ascii="Times New Roman" w:hAnsi="Times New Roman" w:cs="Times New Roman"/>
          <w:i/>
          <w:sz w:val="28"/>
          <w:szCs w:val="28"/>
        </w:rPr>
        <w:t>,</w:t>
      </w:r>
      <w:r w:rsidRPr="001D0846">
        <w:rPr>
          <w:rFonts w:ascii="Times New Roman" w:hAnsi="Times New Roman" w:cs="Times New Roman"/>
          <w:i/>
          <w:sz w:val="28"/>
          <w:szCs w:val="28"/>
        </w:rPr>
        <w:t xml:space="preserve"> care </w:t>
      </w:r>
      <w:r w:rsidR="00771592" w:rsidRPr="00771592">
        <w:rPr>
          <w:rFonts w:ascii="Times New Roman" w:hAnsi="Times New Roman" w:cs="Times New Roman"/>
          <w:i/>
          <w:sz w:val="28"/>
          <w:szCs w:val="28"/>
          <w:lang w:val="ro-MD"/>
        </w:rPr>
        <w:t>au influențat</w:t>
      </w:r>
      <w:r w:rsidR="00771592" w:rsidRPr="00771592">
        <w:rPr>
          <w:rFonts w:ascii="Times New Roman" w:hAnsi="Times New Roman" w:cs="Times New Roman"/>
          <w:i/>
          <w:sz w:val="28"/>
          <w:szCs w:val="28"/>
        </w:rPr>
        <w:t xml:space="preserve"> </w:t>
      </w:r>
      <w:r w:rsidR="00BC0E32">
        <w:rPr>
          <w:rFonts w:ascii="Times New Roman" w:hAnsi="Times New Roman" w:cs="Times New Roman"/>
          <w:i/>
          <w:sz w:val="28"/>
          <w:szCs w:val="28"/>
        </w:rPr>
        <w:t>obținerea</w:t>
      </w:r>
      <w:r w:rsidR="00771592">
        <w:rPr>
          <w:rFonts w:ascii="Times New Roman" w:hAnsi="Times New Roman" w:cs="Times New Roman"/>
          <w:i/>
          <w:sz w:val="28"/>
          <w:szCs w:val="28"/>
        </w:rPr>
        <w:t xml:space="preserve"> rezultatelor </w:t>
      </w:r>
      <w:r w:rsidR="00BC0E32">
        <w:rPr>
          <w:rFonts w:ascii="Times New Roman" w:hAnsi="Times New Roman" w:cs="Times New Roman"/>
          <w:i/>
          <w:sz w:val="28"/>
          <w:szCs w:val="28"/>
        </w:rPr>
        <w:t>scontate</w:t>
      </w:r>
      <w:r w:rsidR="00771592">
        <w:rPr>
          <w:rFonts w:ascii="Times New Roman" w:hAnsi="Times New Roman" w:cs="Times New Roman"/>
          <w:i/>
          <w:sz w:val="28"/>
          <w:szCs w:val="28"/>
        </w:rPr>
        <w:t xml:space="preserve">. </w:t>
      </w:r>
      <w:r w:rsidRPr="001D0846">
        <w:rPr>
          <w:rFonts w:ascii="Times New Roman" w:hAnsi="Times New Roman" w:cs="Times New Roman"/>
          <w:i/>
          <w:sz w:val="28"/>
          <w:szCs w:val="28"/>
          <w:lang w:val="ro-MD"/>
        </w:rPr>
        <w:t xml:space="preserve">Cele menționate au fost cauzate de </w:t>
      </w:r>
      <w:r w:rsidR="00816744" w:rsidRPr="001D0846">
        <w:rPr>
          <w:rFonts w:ascii="Times New Roman" w:hAnsi="Times New Roman" w:cs="Times New Roman"/>
          <w:i/>
          <w:sz w:val="28"/>
          <w:szCs w:val="28"/>
          <w:lang w:val="ro-MD"/>
        </w:rPr>
        <w:t>unele rezerve</w:t>
      </w:r>
      <w:r w:rsidRPr="001D0846">
        <w:rPr>
          <w:rFonts w:ascii="Times New Roman" w:hAnsi="Times New Roman" w:cs="Times New Roman"/>
          <w:i/>
          <w:sz w:val="28"/>
          <w:szCs w:val="28"/>
          <w:lang w:val="ro-MD"/>
        </w:rPr>
        <w:t xml:space="preserve"> </w:t>
      </w:r>
      <w:r w:rsidR="00816744" w:rsidRPr="001D0846">
        <w:rPr>
          <w:rFonts w:ascii="Times New Roman" w:hAnsi="Times New Roman" w:cs="Times New Roman"/>
          <w:i/>
          <w:sz w:val="28"/>
          <w:szCs w:val="28"/>
          <w:lang w:val="ro-MD"/>
        </w:rPr>
        <w:t>în</w:t>
      </w:r>
      <w:r w:rsidR="008A14B0" w:rsidRPr="001D0846">
        <w:rPr>
          <w:rFonts w:ascii="Times New Roman" w:hAnsi="Times New Roman" w:cs="Times New Roman"/>
          <w:i/>
          <w:sz w:val="28"/>
          <w:szCs w:val="28"/>
          <w:lang w:val="ro-MD"/>
        </w:rPr>
        <w:t xml:space="preserve"> monitorizarea realizării</w:t>
      </w:r>
      <w:r w:rsidRPr="001D0846">
        <w:rPr>
          <w:rFonts w:ascii="Times New Roman" w:hAnsi="Times New Roman" w:cs="Times New Roman"/>
          <w:i/>
          <w:sz w:val="28"/>
          <w:szCs w:val="28"/>
          <w:lang w:val="ro-MD"/>
        </w:rPr>
        <w:t xml:space="preserve"> unor performanțe în administrarea impozitelor și taxelor, </w:t>
      </w:r>
      <w:r w:rsidR="00BC0E32">
        <w:rPr>
          <w:rFonts w:ascii="Times New Roman" w:hAnsi="Times New Roman" w:cs="Times New Roman"/>
          <w:i/>
          <w:sz w:val="28"/>
          <w:szCs w:val="28"/>
          <w:lang w:val="ro-MD"/>
        </w:rPr>
        <w:t xml:space="preserve">de </w:t>
      </w:r>
      <w:r w:rsidRPr="001D0846">
        <w:rPr>
          <w:rFonts w:ascii="Times New Roman" w:hAnsi="Times New Roman" w:cs="Times New Roman"/>
          <w:i/>
          <w:sz w:val="28"/>
          <w:szCs w:val="28"/>
          <w:lang w:val="ro-MD"/>
        </w:rPr>
        <w:t xml:space="preserve">lipsa unor caracteristici definitorii ale obiectivelor stabilite, </w:t>
      </w:r>
      <w:r w:rsidR="00BC0E32">
        <w:rPr>
          <w:rFonts w:ascii="Times New Roman" w:hAnsi="Times New Roman" w:cs="Times New Roman"/>
          <w:i/>
          <w:sz w:val="28"/>
          <w:szCs w:val="28"/>
          <w:lang w:val="ro-MD"/>
        </w:rPr>
        <w:t xml:space="preserve">de </w:t>
      </w:r>
      <w:r w:rsidRPr="001D0846">
        <w:rPr>
          <w:rFonts w:ascii="Times New Roman" w:hAnsi="Times New Roman" w:cs="Times New Roman"/>
          <w:i/>
          <w:sz w:val="28"/>
          <w:szCs w:val="28"/>
          <w:lang w:val="ro-MD"/>
        </w:rPr>
        <w:t xml:space="preserve">elaborarea unor indicatori fără o fundamentare a modalității de calcul și a sursei de colectare a informației, </w:t>
      </w:r>
      <w:r w:rsidR="00BC0E32">
        <w:rPr>
          <w:rFonts w:ascii="Times New Roman" w:hAnsi="Times New Roman" w:cs="Times New Roman"/>
          <w:i/>
          <w:sz w:val="28"/>
          <w:szCs w:val="28"/>
          <w:lang w:val="ro-MD"/>
        </w:rPr>
        <w:t xml:space="preserve">de </w:t>
      </w:r>
      <w:r w:rsidRPr="001D0846">
        <w:rPr>
          <w:rFonts w:ascii="Times New Roman" w:hAnsi="Times New Roman" w:cs="Times New Roman"/>
          <w:i/>
          <w:sz w:val="28"/>
          <w:szCs w:val="28"/>
          <w:lang w:val="ro-MD"/>
        </w:rPr>
        <w:t xml:space="preserve">necorelarea în documentele de politici a </w:t>
      </w:r>
      <w:r w:rsidR="00BD7959" w:rsidRPr="001D0846">
        <w:rPr>
          <w:rFonts w:ascii="Times New Roman" w:hAnsi="Times New Roman" w:cs="Times New Roman"/>
          <w:i/>
          <w:sz w:val="28"/>
          <w:szCs w:val="28"/>
          <w:lang w:val="ro-MD"/>
        </w:rPr>
        <w:t>unor indicatori de performanță</w:t>
      </w:r>
      <w:r w:rsidRPr="001D0846">
        <w:rPr>
          <w:rFonts w:ascii="Times New Roman" w:hAnsi="Times New Roman" w:cs="Times New Roman"/>
          <w:i/>
          <w:sz w:val="28"/>
          <w:szCs w:val="28"/>
          <w:lang w:val="ro-MD"/>
        </w:rPr>
        <w:t>,</w:t>
      </w:r>
      <w:r w:rsidR="005F31E0" w:rsidRPr="001D0846">
        <w:rPr>
          <w:rFonts w:ascii="Times New Roman" w:hAnsi="Times New Roman" w:cs="Times New Roman"/>
          <w:i/>
          <w:sz w:val="28"/>
          <w:szCs w:val="28"/>
          <w:lang w:val="ro-MD"/>
        </w:rPr>
        <w:t xml:space="preserve"> </w:t>
      </w:r>
      <w:r w:rsidR="00BC0E32">
        <w:rPr>
          <w:rFonts w:ascii="Times New Roman" w:hAnsi="Times New Roman" w:cs="Times New Roman"/>
          <w:i/>
          <w:sz w:val="28"/>
          <w:szCs w:val="28"/>
          <w:lang w:val="ro-MD"/>
        </w:rPr>
        <w:t>precum</w:t>
      </w:r>
      <w:r w:rsidR="005F31E0" w:rsidRPr="001D0846">
        <w:rPr>
          <w:rFonts w:ascii="Times New Roman" w:hAnsi="Times New Roman" w:cs="Times New Roman"/>
          <w:i/>
          <w:sz w:val="28"/>
          <w:szCs w:val="28"/>
          <w:lang w:val="ro-MD"/>
        </w:rPr>
        <w:t xml:space="preserve"> și </w:t>
      </w:r>
      <w:r w:rsidR="00BC0E32">
        <w:rPr>
          <w:rFonts w:ascii="Times New Roman" w:hAnsi="Times New Roman" w:cs="Times New Roman"/>
          <w:i/>
          <w:sz w:val="28"/>
          <w:szCs w:val="28"/>
          <w:lang w:val="ro-MD"/>
        </w:rPr>
        <w:t xml:space="preserve">de </w:t>
      </w:r>
      <w:r w:rsidR="005F31E0" w:rsidRPr="001D0846">
        <w:rPr>
          <w:rFonts w:ascii="Times New Roman" w:hAnsi="Times New Roman" w:cs="Times New Roman"/>
          <w:i/>
          <w:sz w:val="28"/>
          <w:szCs w:val="28"/>
          <w:lang w:val="ro-MD"/>
        </w:rPr>
        <w:t>neestimarea resurselor/</w:t>
      </w:r>
      <w:r w:rsidRPr="001D0846">
        <w:rPr>
          <w:rFonts w:ascii="Times New Roman" w:hAnsi="Times New Roman" w:cs="Times New Roman"/>
          <w:i/>
          <w:sz w:val="28"/>
          <w:szCs w:val="28"/>
          <w:lang w:val="ro-MD"/>
        </w:rPr>
        <w:t xml:space="preserve">costurilor necesare în vederea realizării obiectivelor strategice. </w:t>
      </w:r>
    </w:p>
    <w:p w:rsidR="006C5161" w:rsidRPr="001D0846" w:rsidRDefault="00A724F1" w:rsidP="006358AD">
      <w:pPr>
        <w:spacing w:after="0" w:line="276" w:lineRule="auto"/>
        <w:ind w:firstLine="709"/>
        <w:jc w:val="both"/>
        <w:rPr>
          <w:rFonts w:ascii="Times New Roman" w:hAnsi="Times New Roman" w:cs="Times New Roman"/>
          <w:sz w:val="28"/>
          <w:szCs w:val="28"/>
          <w:lang w:val="ro-MD"/>
        </w:rPr>
      </w:pPr>
      <w:r w:rsidRPr="001D0846">
        <w:rPr>
          <w:rFonts w:ascii="Times New Roman" w:hAnsi="Times New Roman" w:cs="Times New Roman"/>
          <w:i/>
          <w:sz w:val="28"/>
          <w:szCs w:val="28"/>
          <w:lang w:val="ro-MD"/>
        </w:rPr>
        <w:t>O</w:t>
      </w:r>
      <w:r w:rsidR="006C5161" w:rsidRPr="001D0846">
        <w:rPr>
          <w:rFonts w:ascii="Times New Roman" w:hAnsi="Times New Roman" w:cs="Times New Roman"/>
          <w:i/>
          <w:sz w:val="28"/>
          <w:szCs w:val="28"/>
          <w:lang w:val="ro-MD"/>
        </w:rPr>
        <w:t>biectivele politicii de administrare fiscală din perioada 2015-2017</w:t>
      </w:r>
      <w:r w:rsidR="006C5161" w:rsidRPr="001D0846">
        <w:rPr>
          <w:rFonts w:ascii="Times New Roman" w:hAnsi="Times New Roman" w:cs="Times New Roman"/>
          <w:sz w:val="28"/>
          <w:szCs w:val="28"/>
          <w:lang w:val="ro-MD"/>
        </w:rPr>
        <w:t xml:space="preserve"> derivă din programele/obiectivele naționale și alte strategii în domeniu</w:t>
      </w:r>
      <w:r w:rsidR="00BC0E32">
        <w:rPr>
          <w:rFonts w:ascii="Times New Roman" w:hAnsi="Times New Roman" w:cs="Times New Roman"/>
          <w:sz w:val="28"/>
          <w:szCs w:val="28"/>
          <w:lang w:val="ro-MD"/>
        </w:rPr>
        <w:t>,</w:t>
      </w:r>
      <w:r w:rsidR="006C5161" w:rsidRPr="001D0846">
        <w:rPr>
          <w:rFonts w:ascii="Times New Roman" w:hAnsi="Times New Roman" w:cs="Times New Roman"/>
          <w:sz w:val="28"/>
          <w:szCs w:val="28"/>
          <w:lang w:val="ro-MD"/>
        </w:rPr>
        <w:t xml:space="preserve"> având ca scop: </w:t>
      </w:r>
      <w:r w:rsidR="006C5161" w:rsidRPr="001D0846">
        <w:rPr>
          <w:rFonts w:ascii="Times New Roman" w:hAnsi="Times New Roman" w:cs="Times New Roman"/>
          <w:i/>
          <w:sz w:val="28"/>
          <w:szCs w:val="28"/>
          <w:lang w:val="ro-MD"/>
        </w:rPr>
        <w:t>(i)</w:t>
      </w:r>
      <w:r w:rsidR="006C5161" w:rsidRPr="001D0846">
        <w:rPr>
          <w:rFonts w:ascii="Times New Roman" w:hAnsi="Times New Roman" w:cs="Times New Roman"/>
          <w:sz w:val="28"/>
          <w:szCs w:val="28"/>
          <w:lang w:val="ro-MD"/>
        </w:rPr>
        <w:t xml:space="preserve"> promovarea continuă a spiritului de conformare voluntară a contribuabililor la declararea </w:t>
      </w:r>
      <w:proofErr w:type="spellStart"/>
      <w:r w:rsidR="006C5161" w:rsidRPr="001D0846">
        <w:rPr>
          <w:rFonts w:ascii="Times New Roman" w:hAnsi="Times New Roman" w:cs="Times New Roman"/>
          <w:sz w:val="28"/>
          <w:szCs w:val="28"/>
          <w:lang w:val="ro-MD"/>
        </w:rPr>
        <w:t>şi</w:t>
      </w:r>
      <w:proofErr w:type="spellEnd"/>
      <w:r w:rsidR="006C5161" w:rsidRPr="001D0846">
        <w:rPr>
          <w:rFonts w:ascii="Times New Roman" w:hAnsi="Times New Roman" w:cs="Times New Roman"/>
          <w:sz w:val="28"/>
          <w:szCs w:val="28"/>
          <w:lang w:val="ro-MD"/>
        </w:rPr>
        <w:t xml:space="preserve"> la plata obligațiilor fiscale; </w:t>
      </w:r>
      <w:r w:rsidR="006C5161" w:rsidRPr="001D0846">
        <w:rPr>
          <w:rFonts w:ascii="Times New Roman" w:hAnsi="Times New Roman" w:cs="Times New Roman"/>
          <w:i/>
          <w:sz w:val="28"/>
          <w:szCs w:val="28"/>
          <w:lang w:val="ro-MD"/>
        </w:rPr>
        <w:t>(ii)</w:t>
      </w:r>
      <w:r w:rsidR="006C5161" w:rsidRPr="001D0846">
        <w:rPr>
          <w:rFonts w:ascii="Times New Roman" w:hAnsi="Times New Roman" w:cs="Times New Roman"/>
          <w:sz w:val="28"/>
          <w:szCs w:val="28"/>
          <w:lang w:val="ro-MD"/>
        </w:rPr>
        <w:t xml:space="preserve"> </w:t>
      </w:r>
      <w:proofErr w:type="spellStart"/>
      <w:r w:rsidR="006C5161" w:rsidRPr="001D0846">
        <w:rPr>
          <w:rFonts w:ascii="Times New Roman" w:hAnsi="Times New Roman" w:cs="Times New Roman"/>
          <w:sz w:val="28"/>
          <w:szCs w:val="28"/>
          <w:lang w:val="ro-MD"/>
        </w:rPr>
        <w:t>îmbunătăţirea</w:t>
      </w:r>
      <w:proofErr w:type="spellEnd"/>
      <w:r w:rsidR="006C5161" w:rsidRPr="001D0846">
        <w:rPr>
          <w:rFonts w:ascii="Times New Roman" w:hAnsi="Times New Roman" w:cs="Times New Roman"/>
          <w:sz w:val="28"/>
          <w:szCs w:val="28"/>
          <w:lang w:val="ro-MD"/>
        </w:rPr>
        <w:t xml:space="preserve"> și modernizarea administrării fiscale în vederea oferirii </w:t>
      </w:r>
      <w:r w:rsidR="00FA3E16">
        <w:rPr>
          <w:rFonts w:ascii="Times New Roman" w:hAnsi="Times New Roman" w:cs="Times New Roman"/>
          <w:sz w:val="28"/>
          <w:szCs w:val="28"/>
          <w:lang w:val="ro-MD"/>
        </w:rPr>
        <w:t xml:space="preserve">către </w:t>
      </w:r>
      <w:r w:rsidR="006C5161" w:rsidRPr="001D0846">
        <w:rPr>
          <w:rFonts w:ascii="Times New Roman" w:hAnsi="Times New Roman" w:cs="Times New Roman"/>
          <w:sz w:val="28"/>
          <w:szCs w:val="28"/>
          <w:lang w:val="ro-MD"/>
        </w:rPr>
        <w:t xml:space="preserve">contribuabili a unor servicii de calitate, în conformitate cu standardele recunoscute la nivel </w:t>
      </w:r>
      <w:proofErr w:type="spellStart"/>
      <w:r w:rsidR="006C5161" w:rsidRPr="001D0846">
        <w:rPr>
          <w:rFonts w:ascii="Times New Roman" w:hAnsi="Times New Roman" w:cs="Times New Roman"/>
          <w:sz w:val="28"/>
          <w:szCs w:val="28"/>
          <w:lang w:val="ro-MD"/>
        </w:rPr>
        <w:t>internaţional</w:t>
      </w:r>
      <w:proofErr w:type="spellEnd"/>
      <w:r w:rsidR="006C5161" w:rsidRPr="001D0846">
        <w:rPr>
          <w:rFonts w:ascii="Times New Roman" w:hAnsi="Times New Roman" w:cs="Times New Roman"/>
          <w:sz w:val="28"/>
          <w:szCs w:val="28"/>
          <w:lang w:val="ro-MD"/>
        </w:rPr>
        <w:t xml:space="preserve"> și </w:t>
      </w:r>
      <w:r w:rsidR="00FA3E16">
        <w:rPr>
          <w:rFonts w:ascii="Times New Roman" w:hAnsi="Times New Roman" w:cs="Times New Roman"/>
          <w:sz w:val="28"/>
          <w:szCs w:val="28"/>
          <w:lang w:val="ro-MD"/>
        </w:rPr>
        <w:t xml:space="preserve">cu </w:t>
      </w:r>
      <w:r w:rsidR="006C5161" w:rsidRPr="001D0846">
        <w:rPr>
          <w:rFonts w:ascii="Times New Roman" w:hAnsi="Times New Roman" w:cs="Times New Roman"/>
          <w:sz w:val="28"/>
          <w:szCs w:val="28"/>
          <w:lang w:val="ro-MD"/>
        </w:rPr>
        <w:t>bunele practici europene aferente serviciilor fiscale.</w:t>
      </w:r>
    </w:p>
    <w:p w:rsidR="006C5161" w:rsidRPr="001D0846" w:rsidRDefault="006C5161" w:rsidP="006358AD">
      <w:pPr>
        <w:spacing w:after="0" w:line="276" w:lineRule="auto"/>
        <w:ind w:firstLine="708"/>
        <w:jc w:val="both"/>
        <w:rPr>
          <w:rFonts w:ascii="Times New Roman" w:hAnsi="Times New Roman" w:cs="Times New Roman"/>
          <w:sz w:val="28"/>
          <w:szCs w:val="28"/>
          <w:lang w:val="ro-MD"/>
        </w:rPr>
      </w:pPr>
      <w:r w:rsidRPr="001D0846">
        <w:rPr>
          <w:rFonts w:ascii="Times New Roman" w:hAnsi="Times New Roman" w:cs="Times New Roman"/>
          <w:i/>
          <w:sz w:val="28"/>
          <w:szCs w:val="28"/>
          <w:lang w:val="ro-MD"/>
        </w:rPr>
        <w:lastRenderedPageBreak/>
        <w:t>Obiectivele politicii de administrare vamală din perioada 2015-2017</w:t>
      </w:r>
      <w:r w:rsidRPr="001D0846">
        <w:rPr>
          <w:rFonts w:ascii="Times New Roman" w:hAnsi="Times New Roman" w:cs="Times New Roman"/>
          <w:sz w:val="28"/>
          <w:szCs w:val="28"/>
          <w:lang w:val="ro-MD"/>
        </w:rPr>
        <w:t xml:space="preserve"> derivă din programele/obiectivele naționale și alte strategii în domeniu, fiind orientate spre simplificarea </w:t>
      </w:r>
      <w:proofErr w:type="spellStart"/>
      <w:r w:rsidRPr="001D0846">
        <w:rPr>
          <w:rFonts w:ascii="Times New Roman" w:hAnsi="Times New Roman" w:cs="Times New Roman"/>
          <w:sz w:val="28"/>
          <w:szCs w:val="28"/>
          <w:lang w:val="ro-MD"/>
        </w:rPr>
        <w:t>şi</w:t>
      </w:r>
      <w:proofErr w:type="spellEnd"/>
      <w:r w:rsidRPr="001D0846">
        <w:rPr>
          <w:rFonts w:ascii="Times New Roman" w:hAnsi="Times New Roman" w:cs="Times New Roman"/>
          <w:sz w:val="28"/>
          <w:szCs w:val="28"/>
          <w:lang w:val="ro-MD"/>
        </w:rPr>
        <w:t xml:space="preserve"> eficientizarea administrării vamale</w:t>
      </w:r>
      <w:r w:rsidR="00371C8A" w:rsidRPr="001D0846">
        <w:rPr>
          <w:rFonts w:ascii="Times New Roman" w:hAnsi="Times New Roman" w:cs="Times New Roman"/>
          <w:sz w:val="28"/>
          <w:szCs w:val="28"/>
          <w:lang w:val="ro-MD"/>
        </w:rPr>
        <w:t xml:space="preserve">, având drept scop: </w:t>
      </w:r>
      <w:r w:rsidRPr="001D0846">
        <w:rPr>
          <w:rFonts w:ascii="Times New Roman" w:hAnsi="Times New Roman" w:cs="Times New Roman"/>
          <w:i/>
          <w:sz w:val="28"/>
          <w:szCs w:val="28"/>
          <w:lang w:val="ro-MD"/>
        </w:rPr>
        <w:t>(i)</w:t>
      </w:r>
      <w:r w:rsidRPr="001D0846">
        <w:rPr>
          <w:rFonts w:ascii="Times New Roman" w:hAnsi="Times New Roman" w:cs="Times New Roman"/>
          <w:sz w:val="28"/>
          <w:szCs w:val="28"/>
          <w:lang w:val="ro-MD"/>
        </w:rPr>
        <w:t xml:space="preserve"> promovarea conformării voluntare la plata drepturilor de import/export prin implementarea procedurilor vamale moderne, care facilitează comerțul extern </w:t>
      </w:r>
      <w:proofErr w:type="spellStart"/>
      <w:r w:rsidRPr="001D0846">
        <w:rPr>
          <w:rFonts w:ascii="Times New Roman" w:hAnsi="Times New Roman" w:cs="Times New Roman"/>
          <w:sz w:val="28"/>
          <w:szCs w:val="28"/>
          <w:lang w:val="ro-MD"/>
        </w:rPr>
        <w:t>şi</w:t>
      </w:r>
      <w:proofErr w:type="spellEnd"/>
      <w:r w:rsidRPr="001D0846">
        <w:rPr>
          <w:rFonts w:ascii="Times New Roman" w:hAnsi="Times New Roman" w:cs="Times New Roman"/>
          <w:sz w:val="28"/>
          <w:szCs w:val="28"/>
          <w:lang w:val="ro-MD"/>
        </w:rPr>
        <w:t xml:space="preserve"> asigură securitatea lanțului de aprovizionare internațională; </w:t>
      </w:r>
      <w:r w:rsidRPr="001D0846">
        <w:rPr>
          <w:rFonts w:ascii="Times New Roman" w:hAnsi="Times New Roman" w:cs="Times New Roman"/>
          <w:i/>
          <w:sz w:val="28"/>
          <w:szCs w:val="28"/>
          <w:lang w:val="ro-MD"/>
        </w:rPr>
        <w:t>(ii)</w:t>
      </w:r>
      <w:r w:rsidRPr="001D0846">
        <w:rPr>
          <w:rFonts w:ascii="Times New Roman" w:hAnsi="Times New Roman" w:cs="Times New Roman"/>
          <w:sz w:val="28"/>
          <w:szCs w:val="28"/>
          <w:lang w:val="ro-MD"/>
        </w:rPr>
        <w:t xml:space="preserve"> sporirea nivelului de securitate economică a statului </w:t>
      </w:r>
      <w:proofErr w:type="spellStart"/>
      <w:r w:rsidRPr="001D0846">
        <w:rPr>
          <w:rFonts w:ascii="Times New Roman" w:hAnsi="Times New Roman" w:cs="Times New Roman"/>
          <w:sz w:val="28"/>
          <w:szCs w:val="28"/>
          <w:lang w:val="ro-MD"/>
        </w:rPr>
        <w:t>şi</w:t>
      </w:r>
      <w:proofErr w:type="spellEnd"/>
      <w:r w:rsidRPr="001D0846">
        <w:rPr>
          <w:rFonts w:ascii="Times New Roman" w:hAnsi="Times New Roman" w:cs="Times New Roman"/>
          <w:sz w:val="28"/>
          <w:szCs w:val="28"/>
          <w:lang w:val="ro-MD"/>
        </w:rPr>
        <w:t xml:space="preserve"> de securizare a frontierei de s</w:t>
      </w:r>
      <w:r w:rsidR="00371C8A" w:rsidRPr="001D0846">
        <w:rPr>
          <w:rFonts w:ascii="Times New Roman" w:hAnsi="Times New Roman" w:cs="Times New Roman"/>
          <w:sz w:val="28"/>
          <w:szCs w:val="28"/>
          <w:lang w:val="ro-MD"/>
        </w:rPr>
        <w:t xml:space="preserve">tat; </w:t>
      </w:r>
      <w:r w:rsidRPr="001D0846">
        <w:rPr>
          <w:rFonts w:ascii="Times New Roman" w:hAnsi="Times New Roman" w:cs="Times New Roman"/>
          <w:i/>
          <w:sz w:val="28"/>
          <w:szCs w:val="28"/>
          <w:lang w:val="ro-MD"/>
        </w:rPr>
        <w:t>(iii)</w:t>
      </w:r>
      <w:r w:rsidRPr="001D0846">
        <w:rPr>
          <w:rFonts w:ascii="Times New Roman" w:hAnsi="Times New Roman" w:cs="Times New Roman"/>
          <w:sz w:val="28"/>
          <w:szCs w:val="28"/>
          <w:lang w:val="ro-MD"/>
        </w:rPr>
        <w:t xml:space="preserve"> asigurarea dezvoltării profesionale continue a colaboratorilor vamali prin utilizarea eficientă </w:t>
      </w:r>
      <w:proofErr w:type="spellStart"/>
      <w:r w:rsidRPr="001D0846">
        <w:rPr>
          <w:rFonts w:ascii="Times New Roman" w:hAnsi="Times New Roman" w:cs="Times New Roman"/>
          <w:sz w:val="28"/>
          <w:szCs w:val="28"/>
          <w:lang w:val="ro-MD"/>
        </w:rPr>
        <w:t>şi</w:t>
      </w:r>
      <w:proofErr w:type="spellEnd"/>
      <w:r w:rsidRPr="001D0846">
        <w:rPr>
          <w:rFonts w:ascii="Times New Roman" w:hAnsi="Times New Roman" w:cs="Times New Roman"/>
          <w:sz w:val="28"/>
          <w:szCs w:val="28"/>
          <w:lang w:val="ro-MD"/>
        </w:rPr>
        <w:t xml:space="preserve"> eficace a capacităților centrului de instruire </w:t>
      </w:r>
      <w:proofErr w:type="spellStart"/>
      <w:r w:rsidRPr="001D0846">
        <w:rPr>
          <w:rFonts w:ascii="Times New Roman" w:hAnsi="Times New Roman" w:cs="Times New Roman"/>
          <w:sz w:val="28"/>
          <w:szCs w:val="28"/>
          <w:lang w:val="ro-MD"/>
        </w:rPr>
        <w:t>şi</w:t>
      </w:r>
      <w:proofErr w:type="spellEnd"/>
      <w:r w:rsidRPr="001D0846">
        <w:rPr>
          <w:rFonts w:ascii="Times New Roman" w:hAnsi="Times New Roman" w:cs="Times New Roman"/>
          <w:sz w:val="28"/>
          <w:szCs w:val="28"/>
          <w:lang w:val="ro-MD"/>
        </w:rPr>
        <w:t xml:space="preserve"> a</w:t>
      </w:r>
      <w:r w:rsidR="00FA3E16">
        <w:rPr>
          <w:rFonts w:ascii="Times New Roman" w:hAnsi="Times New Roman" w:cs="Times New Roman"/>
          <w:sz w:val="28"/>
          <w:szCs w:val="28"/>
          <w:lang w:val="ro-MD"/>
        </w:rPr>
        <w:t>le</w:t>
      </w:r>
      <w:r w:rsidRPr="001D0846">
        <w:rPr>
          <w:rFonts w:ascii="Times New Roman" w:hAnsi="Times New Roman" w:cs="Times New Roman"/>
          <w:sz w:val="28"/>
          <w:szCs w:val="28"/>
          <w:lang w:val="ro-MD"/>
        </w:rPr>
        <w:t xml:space="preserve"> partenerilor externi. </w:t>
      </w:r>
    </w:p>
    <w:p w:rsidR="006C5161" w:rsidRPr="001D0846" w:rsidRDefault="00554FB1" w:rsidP="006358AD">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Evaluările efectuate</w:t>
      </w:r>
      <w:r w:rsidR="006C5161" w:rsidRPr="001D0846">
        <w:rPr>
          <w:rFonts w:ascii="Times New Roman" w:hAnsi="Times New Roman" w:cs="Times New Roman"/>
          <w:sz w:val="28"/>
          <w:szCs w:val="28"/>
        </w:rPr>
        <w:t xml:space="preserve"> de audit relevă că SFS și SV au elaborat strategii de dezvoltare pe termen lung și mediu, prin care au fost stabilite direcțiile de acțiune și definite obiectivele strategice în domeniul administrării impozitelor și taxelor</w:t>
      </w:r>
      <w:r w:rsidR="00FA3E16">
        <w:rPr>
          <w:rFonts w:ascii="Times New Roman" w:hAnsi="Times New Roman" w:cs="Times New Roman"/>
          <w:sz w:val="28"/>
          <w:szCs w:val="28"/>
        </w:rPr>
        <w:t>,</w:t>
      </w:r>
      <w:r w:rsidR="006C5161" w:rsidRPr="001D0846">
        <w:rPr>
          <w:rFonts w:ascii="Times New Roman" w:hAnsi="Times New Roman" w:cs="Times New Roman"/>
          <w:sz w:val="28"/>
          <w:szCs w:val="28"/>
        </w:rPr>
        <w:t xml:space="preserve"> care să asigure dezvoltarea și performanțele instituționale.</w:t>
      </w:r>
    </w:p>
    <w:p w:rsidR="006C5161" w:rsidRPr="001D0846" w:rsidRDefault="00BF7779" w:rsidP="006358AD">
      <w:pPr>
        <w:spacing w:after="0" w:line="276" w:lineRule="auto"/>
        <w:ind w:firstLine="709"/>
        <w:jc w:val="both"/>
        <w:rPr>
          <w:rFonts w:ascii="Times New Roman" w:eastAsia="Calibri" w:hAnsi="Times New Roman" w:cs="Times New Roman"/>
          <w:sz w:val="28"/>
          <w:szCs w:val="28"/>
        </w:rPr>
      </w:pPr>
      <w:r w:rsidRPr="001D0846">
        <w:rPr>
          <w:rFonts w:ascii="Times New Roman" w:eastAsia="Calibri" w:hAnsi="Times New Roman" w:cs="Times New Roman"/>
          <w:sz w:val="28"/>
          <w:szCs w:val="28"/>
        </w:rPr>
        <w:t>Astfel, o</w:t>
      </w:r>
      <w:r w:rsidR="006C5161" w:rsidRPr="001D0846">
        <w:rPr>
          <w:rFonts w:ascii="Times New Roman" w:eastAsia="Calibri" w:hAnsi="Times New Roman" w:cs="Times New Roman"/>
          <w:sz w:val="28"/>
          <w:szCs w:val="28"/>
        </w:rPr>
        <w:t xml:space="preserve">biectivele strategice ale SFS </w:t>
      </w:r>
      <w:r w:rsidR="00FA3E16">
        <w:rPr>
          <w:rFonts w:ascii="Times New Roman" w:eastAsia="Calibri" w:hAnsi="Times New Roman" w:cs="Times New Roman"/>
          <w:sz w:val="28"/>
          <w:szCs w:val="28"/>
        </w:rPr>
        <w:t>s-</w:t>
      </w:r>
      <w:r w:rsidR="006C5161" w:rsidRPr="001D0846">
        <w:rPr>
          <w:rFonts w:ascii="Times New Roman" w:eastAsia="Calibri" w:hAnsi="Times New Roman" w:cs="Times New Roman"/>
          <w:sz w:val="28"/>
          <w:szCs w:val="28"/>
        </w:rPr>
        <w:t xml:space="preserve">au stabilit prin Planul de dezvoltare a </w:t>
      </w:r>
      <w:r w:rsidR="00554FB1" w:rsidRPr="001D0846">
        <w:rPr>
          <w:rFonts w:ascii="Times New Roman" w:eastAsia="Calibri" w:hAnsi="Times New Roman" w:cs="Times New Roman"/>
          <w:sz w:val="28"/>
          <w:szCs w:val="28"/>
        </w:rPr>
        <w:t>SFS</w:t>
      </w:r>
      <w:r w:rsidR="006C5161" w:rsidRPr="001D0846">
        <w:rPr>
          <w:rFonts w:ascii="Times New Roman" w:eastAsia="Calibri" w:hAnsi="Times New Roman" w:cs="Times New Roman"/>
          <w:sz w:val="28"/>
          <w:szCs w:val="28"/>
        </w:rPr>
        <w:t xml:space="preserve"> pentru anii 2011-2015, aprobat prin Hotărârea Guvernului nr.1141 din 16.12.2010</w:t>
      </w:r>
      <w:r w:rsidR="00FA3E16">
        <w:rPr>
          <w:rFonts w:ascii="Times New Roman" w:eastAsia="Calibri" w:hAnsi="Times New Roman" w:cs="Times New Roman"/>
          <w:sz w:val="28"/>
          <w:szCs w:val="28"/>
        </w:rPr>
        <w:t>,</w:t>
      </w:r>
      <w:r w:rsidR="006C5161" w:rsidRPr="001D0846">
        <w:rPr>
          <w:rFonts w:ascii="Times New Roman" w:eastAsia="Calibri" w:hAnsi="Times New Roman" w:cs="Times New Roman"/>
          <w:sz w:val="28"/>
          <w:szCs w:val="28"/>
        </w:rPr>
        <w:t xml:space="preserve"> și Strategia de dezvoltare a </w:t>
      </w:r>
      <w:r w:rsidR="00554FB1" w:rsidRPr="001D0846">
        <w:rPr>
          <w:rFonts w:ascii="Times New Roman" w:eastAsia="Calibri" w:hAnsi="Times New Roman" w:cs="Times New Roman"/>
          <w:sz w:val="28"/>
          <w:szCs w:val="28"/>
        </w:rPr>
        <w:t>SFS</w:t>
      </w:r>
      <w:r w:rsidR="006C5161" w:rsidRPr="001D0846">
        <w:rPr>
          <w:rFonts w:ascii="Times New Roman" w:eastAsia="Calibri" w:hAnsi="Times New Roman" w:cs="Times New Roman"/>
          <w:sz w:val="28"/>
          <w:szCs w:val="28"/>
        </w:rPr>
        <w:t xml:space="preserve"> pentru anii </w:t>
      </w:r>
      <w:r w:rsidR="006C5161" w:rsidRPr="00771592">
        <w:rPr>
          <w:rFonts w:ascii="Times New Roman" w:eastAsia="Calibri" w:hAnsi="Times New Roman" w:cs="Times New Roman"/>
          <w:sz w:val="28"/>
          <w:szCs w:val="28"/>
        </w:rPr>
        <w:t>2016-2020</w:t>
      </w:r>
      <w:r w:rsidR="00D31413">
        <w:rPr>
          <w:rStyle w:val="a6"/>
          <w:rFonts w:ascii="Times New Roman" w:eastAsia="Calibri" w:hAnsi="Times New Roman" w:cs="Times New Roman"/>
          <w:sz w:val="28"/>
          <w:szCs w:val="28"/>
        </w:rPr>
        <w:footnoteReference w:id="6"/>
      </w:r>
      <w:r w:rsidR="006C5161" w:rsidRPr="00771592">
        <w:rPr>
          <w:rFonts w:ascii="Times New Roman" w:eastAsia="Calibri" w:hAnsi="Times New Roman" w:cs="Times New Roman"/>
          <w:sz w:val="28"/>
          <w:szCs w:val="28"/>
        </w:rPr>
        <w:t xml:space="preserve">, </w:t>
      </w:r>
      <w:r w:rsidR="006C5161" w:rsidRPr="001D0846">
        <w:rPr>
          <w:rFonts w:ascii="Times New Roman" w:eastAsia="Calibri" w:hAnsi="Times New Roman" w:cs="Times New Roman"/>
          <w:sz w:val="28"/>
          <w:szCs w:val="28"/>
        </w:rPr>
        <w:t xml:space="preserve">care au fost transpuse în planuri </w:t>
      </w:r>
      <w:r w:rsidR="00554FB1" w:rsidRPr="001D0846">
        <w:rPr>
          <w:rFonts w:ascii="Times New Roman" w:eastAsia="Calibri" w:hAnsi="Times New Roman" w:cs="Times New Roman"/>
          <w:sz w:val="28"/>
          <w:szCs w:val="28"/>
        </w:rPr>
        <w:t xml:space="preserve">anuale </w:t>
      </w:r>
      <w:r w:rsidR="006C5161" w:rsidRPr="001D0846">
        <w:rPr>
          <w:rFonts w:ascii="Times New Roman" w:eastAsia="Calibri" w:hAnsi="Times New Roman" w:cs="Times New Roman"/>
          <w:sz w:val="28"/>
          <w:szCs w:val="28"/>
        </w:rPr>
        <w:t>de activitate. Totodată, SFS</w:t>
      </w:r>
      <w:r w:rsidR="000A131D">
        <w:rPr>
          <w:rFonts w:ascii="Times New Roman" w:eastAsia="Calibri" w:hAnsi="Times New Roman" w:cs="Times New Roman"/>
          <w:sz w:val="28"/>
          <w:szCs w:val="28"/>
        </w:rPr>
        <w:t>,</w:t>
      </w:r>
      <w:r w:rsidR="006C5161" w:rsidRPr="001D0846">
        <w:rPr>
          <w:rFonts w:ascii="Times New Roman" w:eastAsia="Calibri" w:hAnsi="Times New Roman" w:cs="Times New Roman"/>
          <w:sz w:val="28"/>
          <w:szCs w:val="28"/>
        </w:rPr>
        <w:t xml:space="preserve"> în </w:t>
      </w:r>
      <w:r w:rsidR="000A131D">
        <w:rPr>
          <w:rFonts w:ascii="Times New Roman" w:eastAsia="Calibri" w:hAnsi="Times New Roman" w:cs="Times New Roman"/>
          <w:sz w:val="28"/>
          <w:szCs w:val="28"/>
        </w:rPr>
        <w:t>anii</w:t>
      </w:r>
      <w:r w:rsidR="006C5161" w:rsidRPr="001D0846">
        <w:rPr>
          <w:rFonts w:ascii="Times New Roman" w:eastAsia="Calibri" w:hAnsi="Times New Roman" w:cs="Times New Roman"/>
          <w:sz w:val="28"/>
          <w:szCs w:val="28"/>
        </w:rPr>
        <w:t xml:space="preserve"> 2015-2017</w:t>
      </w:r>
      <w:r w:rsidR="000A131D">
        <w:rPr>
          <w:rFonts w:ascii="Times New Roman" w:eastAsia="Calibri" w:hAnsi="Times New Roman" w:cs="Times New Roman"/>
          <w:sz w:val="28"/>
          <w:szCs w:val="28"/>
        </w:rPr>
        <w:t xml:space="preserve">, </w:t>
      </w:r>
      <w:r w:rsidR="006C5161" w:rsidRPr="001D0846">
        <w:rPr>
          <w:rFonts w:ascii="Times New Roman" w:eastAsia="Calibri" w:hAnsi="Times New Roman" w:cs="Times New Roman"/>
          <w:sz w:val="28"/>
          <w:szCs w:val="28"/>
        </w:rPr>
        <w:t xml:space="preserve"> urma să asigure </w:t>
      </w:r>
      <w:r w:rsidR="006C5161" w:rsidRPr="001D0846">
        <w:rPr>
          <w:rFonts w:ascii="Times New Roman" w:hAnsi="Times New Roman" w:cs="Times New Roman"/>
          <w:color w:val="000000"/>
          <w:sz w:val="28"/>
          <w:szCs w:val="28"/>
        </w:rPr>
        <w:t>realizarea</w:t>
      </w:r>
      <w:r w:rsidR="000A131D">
        <w:rPr>
          <w:rFonts w:ascii="Times New Roman" w:hAnsi="Times New Roman" w:cs="Times New Roman"/>
          <w:color w:val="000000"/>
          <w:sz w:val="28"/>
          <w:szCs w:val="28"/>
        </w:rPr>
        <w:t xml:space="preserve"> </w:t>
      </w:r>
      <w:r w:rsidR="00D4753A">
        <w:rPr>
          <w:rFonts w:ascii="Times New Roman" w:hAnsi="Times New Roman" w:cs="Times New Roman"/>
          <w:color w:val="000000"/>
          <w:sz w:val="28"/>
          <w:szCs w:val="28"/>
        </w:rPr>
        <w:t xml:space="preserve">obiectivelor </w:t>
      </w:r>
      <w:r w:rsidR="006C5161" w:rsidRPr="001D0846">
        <w:rPr>
          <w:rFonts w:ascii="Times New Roman" w:hAnsi="Times New Roman" w:cs="Times New Roman"/>
          <w:color w:val="000000"/>
          <w:sz w:val="28"/>
          <w:szCs w:val="28"/>
        </w:rPr>
        <w:t xml:space="preserve">din </w:t>
      </w:r>
      <w:r w:rsidR="006C5161" w:rsidRPr="001D0846">
        <w:rPr>
          <w:rFonts w:ascii="Times New Roman" w:hAnsi="Times New Roman" w:cs="Times New Roman"/>
          <w:bCs/>
          <w:sz w:val="28"/>
          <w:szCs w:val="28"/>
        </w:rPr>
        <w:t xml:space="preserve">Strategia de dezvoltare a managementului </w:t>
      </w:r>
      <w:r w:rsidR="006C5161" w:rsidRPr="000A131D">
        <w:rPr>
          <w:rFonts w:ascii="Times New Roman" w:hAnsi="Times New Roman" w:cs="Times New Roman"/>
          <w:bCs/>
          <w:sz w:val="28"/>
          <w:szCs w:val="28"/>
        </w:rPr>
        <w:t>finanțelor publice 2013-</w:t>
      </w:r>
      <w:r w:rsidR="006C5161" w:rsidRPr="001D0846">
        <w:rPr>
          <w:rFonts w:ascii="Times New Roman" w:hAnsi="Times New Roman" w:cs="Times New Roman"/>
          <w:bCs/>
          <w:sz w:val="28"/>
          <w:szCs w:val="28"/>
        </w:rPr>
        <w:t xml:space="preserve">2020, aprobată prin </w:t>
      </w:r>
      <w:r w:rsidR="006C5161" w:rsidRPr="001D0846">
        <w:rPr>
          <w:rFonts w:ascii="Times New Roman" w:hAnsi="Times New Roman" w:cs="Times New Roman"/>
          <w:sz w:val="28"/>
          <w:szCs w:val="28"/>
        </w:rPr>
        <w:t>Hotărârea Guvernului nr.573 din 06.08.2013</w:t>
      </w:r>
      <w:r w:rsidR="000A131D">
        <w:rPr>
          <w:rFonts w:ascii="Times New Roman" w:hAnsi="Times New Roman" w:cs="Times New Roman"/>
          <w:sz w:val="28"/>
          <w:szCs w:val="28"/>
        </w:rPr>
        <w:t>,</w:t>
      </w:r>
      <w:r w:rsidR="006C5161" w:rsidRPr="001D0846">
        <w:rPr>
          <w:rFonts w:ascii="Times New Roman" w:hAnsi="Times New Roman" w:cs="Times New Roman"/>
          <w:sz w:val="28"/>
          <w:szCs w:val="28"/>
        </w:rPr>
        <w:t xml:space="preserve"> și </w:t>
      </w:r>
      <w:r w:rsidR="000A131D">
        <w:rPr>
          <w:rFonts w:ascii="Times New Roman" w:hAnsi="Times New Roman" w:cs="Times New Roman"/>
          <w:sz w:val="28"/>
          <w:szCs w:val="28"/>
        </w:rPr>
        <w:t xml:space="preserve">din </w:t>
      </w:r>
      <w:r w:rsidR="006C5161" w:rsidRPr="001D0846">
        <w:rPr>
          <w:rFonts w:ascii="Times New Roman" w:hAnsi="Times New Roman" w:cs="Times New Roman"/>
          <w:color w:val="000000"/>
          <w:sz w:val="28"/>
          <w:szCs w:val="28"/>
        </w:rPr>
        <w:t>Programul de dezvoltare a controlului financiar public intern pentru anii 2014-2017, aprobat prin Hotărârea Guvernului nr.1041 din 20.12.2013.</w:t>
      </w:r>
    </w:p>
    <w:p w:rsidR="006C5161" w:rsidRPr="00D4753A" w:rsidRDefault="00D4753A" w:rsidP="00D4753A">
      <w:pPr>
        <w:spacing w:after="0"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În acelaș</w:t>
      </w:r>
      <w:r w:rsidR="00933D8E" w:rsidRPr="001D0846">
        <w:rPr>
          <w:rFonts w:ascii="Times New Roman" w:eastAsia="Calibri" w:hAnsi="Times New Roman" w:cs="Times New Roman"/>
          <w:sz w:val="28"/>
          <w:szCs w:val="28"/>
        </w:rPr>
        <w:t>i timp, o</w:t>
      </w:r>
      <w:r w:rsidR="006C5161" w:rsidRPr="001D0846">
        <w:rPr>
          <w:rFonts w:ascii="Times New Roman" w:eastAsia="Calibri" w:hAnsi="Times New Roman" w:cs="Times New Roman"/>
          <w:sz w:val="28"/>
          <w:szCs w:val="28"/>
        </w:rPr>
        <w:t xml:space="preserve">biectivele strategice ale SV au fost </w:t>
      </w:r>
      <w:r w:rsidR="006C5161" w:rsidRPr="00D4753A">
        <w:rPr>
          <w:rFonts w:ascii="Times New Roman" w:eastAsia="Calibri" w:hAnsi="Times New Roman" w:cs="Times New Roman"/>
          <w:sz w:val="28"/>
          <w:szCs w:val="28"/>
        </w:rPr>
        <w:t>stabilite</w:t>
      </w:r>
      <w:r w:rsidR="006C5161" w:rsidRPr="00D4753A">
        <w:rPr>
          <w:rFonts w:ascii="Times New Roman" w:hAnsi="Times New Roman" w:cs="Times New Roman"/>
          <w:sz w:val="28"/>
          <w:szCs w:val="28"/>
        </w:rPr>
        <w:t xml:space="preserve"> în </w:t>
      </w:r>
      <w:r>
        <w:rPr>
          <w:rFonts w:ascii="Times New Roman" w:hAnsi="Times New Roman" w:cs="Times New Roman"/>
          <w:sz w:val="28"/>
          <w:szCs w:val="28"/>
        </w:rPr>
        <w:t xml:space="preserve">Programul Strategic </w:t>
      </w:r>
      <w:r w:rsidR="001245DF" w:rsidRPr="00D4753A">
        <w:rPr>
          <w:rFonts w:ascii="Times New Roman" w:hAnsi="Times New Roman" w:cs="Times New Roman"/>
          <w:sz w:val="28"/>
          <w:szCs w:val="28"/>
        </w:rPr>
        <w:t>VAMA 2020</w:t>
      </w:r>
      <w:r>
        <w:rPr>
          <w:rStyle w:val="a6"/>
          <w:rFonts w:ascii="Times New Roman" w:hAnsi="Times New Roman" w:cs="Times New Roman"/>
          <w:sz w:val="28"/>
          <w:szCs w:val="28"/>
        </w:rPr>
        <w:footnoteReference w:id="7"/>
      </w:r>
      <w:r w:rsidR="001245DF" w:rsidRPr="00D4753A">
        <w:rPr>
          <w:rFonts w:ascii="Times New Roman" w:hAnsi="Times New Roman" w:cs="Times New Roman"/>
          <w:sz w:val="28"/>
          <w:szCs w:val="28"/>
        </w:rPr>
        <w:t>,</w:t>
      </w:r>
      <w:r>
        <w:rPr>
          <w:rFonts w:ascii="Times New Roman" w:hAnsi="Times New Roman" w:cs="Times New Roman"/>
          <w:sz w:val="28"/>
          <w:szCs w:val="28"/>
        </w:rPr>
        <w:t xml:space="preserve"> </w:t>
      </w:r>
      <w:r w:rsidR="006C5161" w:rsidRPr="00D4753A">
        <w:rPr>
          <w:rFonts w:ascii="Times New Roman" w:hAnsi="Times New Roman" w:cs="Times New Roman"/>
          <w:sz w:val="28"/>
          <w:szCs w:val="28"/>
        </w:rPr>
        <w:t>care reprezintă documentul princip</w:t>
      </w:r>
      <w:r w:rsidR="006C5161" w:rsidRPr="00771592">
        <w:rPr>
          <w:rFonts w:ascii="Times New Roman" w:hAnsi="Times New Roman" w:cs="Times New Roman"/>
          <w:sz w:val="28"/>
          <w:szCs w:val="28"/>
        </w:rPr>
        <w:t xml:space="preserve">al de planificare strategică </w:t>
      </w:r>
      <w:proofErr w:type="spellStart"/>
      <w:r w:rsidR="006C5161" w:rsidRPr="00771592">
        <w:rPr>
          <w:rFonts w:ascii="Times New Roman" w:hAnsi="Times New Roman" w:cs="Times New Roman"/>
          <w:sz w:val="28"/>
          <w:szCs w:val="28"/>
        </w:rPr>
        <w:t>şi</w:t>
      </w:r>
      <w:proofErr w:type="spellEnd"/>
      <w:r w:rsidR="006C5161" w:rsidRPr="00771592">
        <w:rPr>
          <w:rFonts w:ascii="Times New Roman" w:hAnsi="Times New Roman" w:cs="Times New Roman"/>
          <w:sz w:val="28"/>
          <w:szCs w:val="28"/>
        </w:rPr>
        <w:t xml:space="preserve"> un instrument de comunicare </w:t>
      </w:r>
      <w:r w:rsidR="006C5161" w:rsidRPr="001D0846">
        <w:rPr>
          <w:rFonts w:ascii="Times New Roman" w:hAnsi="Times New Roman" w:cs="Times New Roman"/>
          <w:sz w:val="28"/>
          <w:szCs w:val="28"/>
        </w:rPr>
        <w:t xml:space="preserve">atât pe intern, cât și pe extern cu toate </w:t>
      </w:r>
      <w:proofErr w:type="spellStart"/>
      <w:r w:rsidR="006C5161" w:rsidRPr="001D0846">
        <w:rPr>
          <w:rFonts w:ascii="Times New Roman" w:hAnsi="Times New Roman" w:cs="Times New Roman"/>
          <w:sz w:val="28"/>
          <w:szCs w:val="28"/>
        </w:rPr>
        <w:t>părţile</w:t>
      </w:r>
      <w:proofErr w:type="spellEnd"/>
      <w:r w:rsidR="006C5161" w:rsidRPr="001D0846">
        <w:rPr>
          <w:rFonts w:ascii="Times New Roman" w:hAnsi="Times New Roman" w:cs="Times New Roman"/>
          <w:sz w:val="28"/>
          <w:szCs w:val="28"/>
        </w:rPr>
        <w:t xml:space="preserve"> interesate. </w:t>
      </w:r>
      <w:r w:rsidR="007E19F9">
        <w:rPr>
          <w:rFonts w:ascii="Times New Roman" w:hAnsi="Times New Roman" w:cs="Times New Roman"/>
          <w:sz w:val="28"/>
          <w:szCs w:val="28"/>
        </w:rPr>
        <w:t xml:space="preserve">Programul </w:t>
      </w:r>
      <w:r w:rsidR="006C5161" w:rsidRPr="001D0846">
        <w:rPr>
          <w:rFonts w:ascii="Times New Roman" w:hAnsi="Times New Roman" w:cs="Times New Roman"/>
          <w:sz w:val="28"/>
          <w:szCs w:val="28"/>
        </w:rPr>
        <w:t xml:space="preserve">definește obiectivele SV pentru anii 2017-2020, identifică </w:t>
      </w:r>
      <w:proofErr w:type="spellStart"/>
      <w:r w:rsidR="006C5161" w:rsidRPr="001D0846">
        <w:rPr>
          <w:rFonts w:ascii="Times New Roman" w:hAnsi="Times New Roman" w:cs="Times New Roman"/>
          <w:sz w:val="28"/>
          <w:szCs w:val="28"/>
        </w:rPr>
        <w:t>acţi</w:t>
      </w:r>
      <w:r w:rsidR="007E19F9">
        <w:rPr>
          <w:rFonts w:ascii="Times New Roman" w:hAnsi="Times New Roman" w:cs="Times New Roman"/>
          <w:sz w:val="28"/>
          <w:szCs w:val="28"/>
        </w:rPr>
        <w:t>unile</w:t>
      </w:r>
      <w:proofErr w:type="spellEnd"/>
      <w:r w:rsidR="007E19F9">
        <w:rPr>
          <w:rFonts w:ascii="Times New Roman" w:hAnsi="Times New Roman" w:cs="Times New Roman"/>
          <w:sz w:val="28"/>
          <w:szCs w:val="28"/>
        </w:rPr>
        <w:t xml:space="preserve"> pentru realizarea </w:t>
      </w:r>
      <w:r w:rsidR="006C5161" w:rsidRPr="001D0846">
        <w:rPr>
          <w:rFonts w:ascii="Times New Roman" w:hAnsi="Times New Roman" w:cs="Times New Roman"/>
          <w:sz w:val="28"/>
          <w:szCs w:val="28"/>
        </w:rPr>
        <w:t>obiective</w:t>
      </w:r>
      <w:r w:rsidR="007E19F9">
        <w:rPr>
          <w:rFonts w:ascii="Times New Roman" w:hAnsi="Times New Roman" w:cs="Times New Roman"/>
          <w:sz w:val="28"/>
          <w:szCs w:val="28"/>
        </w:rPr>
        <w:t>lor preconizate</w:t>
      </w:r>
      <w:r w:rsidR="006C5161" w:rsidRPr="001D0846">
        <w:rPr>
          <w:rFonts w:ascii="Times New Roman" w:hAnsi="Times New Roman" w:cs="Times New Roman"/>
          <w:sz w:val="28"/>
          <w:szCs w:val="28"/>
        </w:rPr>
        <w:t xml:space="preserve">, precum </w:t>
      </w:r>
      <w:proofErr w:type="spellStart"/>
      <w:r w:rsidR="006C5161" w:rsidRPr="001D0846">
        <w:rPr>
          <w:rFonts w:ascii="Times New Roman" w:hAnsi="Times New Roman" w:cs="Times New Roman"/>
          <w:sz w:val="28"/>
          <w:szCs w:val="28"/>
        </w:rPr>
        <w:t>şi</w:t>
      </w:r>
      <w:proofErr w:type="spellEnd"/>
      <w:r w:rsidR="006C5161" w:rsidRPr="001D0846">
        <w:rPr>
          <w:rFonts w:ascii="Times New Roman" w:hAnsi="Times New Roman" w:cs="Times New Roman"/>
          <w:sz w:val="28"/>
          <w:szCs w:val="28"/>
        </w:rPr>
        <w:t xml:space="preserve"> indicatorii de </w:t>
      </w:r>
      <w:proofErr w:type="spellStart"/>
      <w:r w:rsidR="006C5161" w:rsidRPr="001D0846">
        <w:rPr>
          <w:rFonts w:ascii="Times New Roman" w:hAnsi="Times New Roman" w:cs="Times New Roman"/>
          <w:sz w:val="28"/>
          <w:szCs w:val="28"/>
        </w:rPr>
        <w:t>performanţă</w:t>
      </w:r>
      <w:proofErr w:type="spellEnd"/>
      <w:r w:rsidR="006C5161" w:rsidRPr="001D0846">
        <w:rPr>
          <w:rFonts w:ascii="Times New Roman" w:hAnsi="Times New Roman" w:cs="Times New Roman"/>
          <w:sz w:val="28"/>
          <w:szCs w:val="28"/>
        </w:rPr>
        <w:t xml:space="preserve">, pentru evaluarea impactului </w:t>
      </w:r>
      <w:proofErr w:type="spellStart"/>
      <w:r w:rsidR="006C5161" w:rsidRPr="001D0846">
        <w:rPr>
          <w:rFonts w:ascii="Times New Roman" w:hAnsi="Times New Roman" w:cs="Times New Roman"/>
          <w:sz w:val="28"/>
          <w:szCs w:val="28"/>
        </w:rPr>
        <w:t>şi</w:t>
      </w:r>
      <w:proofErr w:type="spellEnd"/>
      <w:r w:rsidR="006C5161" w:rsidRPr="001D0846">
        <w:rPr>
          <w:rFonts w:ascii="Times New Roman" w:hAnsi="Times New Roman" w:cs="Times New Roman"/>
          <w:sz w:val="28"/>
          <w:szCs w:val="28"/>
        </w:rPr>
        <w:t xml:space="preserve"> </w:t>
      </w:r>
      <w:proofErr w:type="spellStart"/>
      <w:r w:rsidR="006C5161" w:rsidRPr="001D0846">
        <w:rPr>
          <w:rFonts w:ascii="Times New Roman" w:hAnsi="Times New Roman" w:cs="Times New Roman"/>
          <w:sz w:val="28"/>
          <w:szCs w:val="28"/>
        </w:rPr>
        <w:t>eficienţei</w:t>
      </w:r>
      <w:proofErr w:type="spellEnd"/>
      <w:r w:rsidR="006C5161" w:rsidRPr="001D0846">
        <w:rPr>
          <w:rFonts w:ascii="Times New Roman" w:hAnsi="Times New Roman" w:cs="Times New Roman"/>
          <w:sz w:val="28"/>
          <w:szCs w:val="28"/>
        </w:rPr>
        <w:t xml:space="preserve"> măsurilor planificate. </w:t>
      </w:r>
      <w:r w:rsidR="006C5161" w:rsidRPr="001D0846">
        <w:rPr>
          <w:rFonts w:ascii="Times New Roman" w:eastAsia="Calibri" w:hAnsi="Times New Roman" w:cs="Times New Roman"/>
          <w:sz w:val="28"/>
          <w:szCs w:val="28"/>
        </w:rPr>
        <w:t>Totodată, SV</w:t>
      </w:r>
      <w:r w:rsidR="007C066E">
        <w:rPr>
          <w:rFonts w:ascii="Times New Roman" w:eastAsia="Calibri" w:hAnsi="Times New Roman" w:cs="Times New Roman"/>
          <w:sz w:val="28"/>
          <w:szCs w:val="28"/>
        </w:rPr>
        <w:t>,</w:t>
      </w:r>
      <w:r w:rsidR="006C5161" w:rsidRPr="001D0846">
        <w:rPr>
          <w:rFonts w:ascii="Times New Roman" w:eastAsia="Calibri" w:hAnsi="Times New Roman" w:cs="Times New Roman"/>
          <w:sz w:val="28"/>
          <w:szCs w:val="28"/>
        </w:rPr>
        <w:t xml:space="preserve"> în perioada 2015-2017</w:t>
      </w:r>
      <w:r w:rsidR="007C066E">
        <w:rPr>
          <w:rFonts w:ascii="Times New Roman" w:eastAsia="Calibri" w:hAnsi="Times New Roman" w:cs="Times New Roman"/>
          <w:sz w:val="28"/>
          <w:szCs w:val="28"/>
        </w:rPr>
        <w:t>,</w:t>
      </w:r>
      <w:r w:rsidR="006C5161" w:rsidRPr="001D0846">
        <w:rPr>
          <w:rFonts w:ascii="Times New Roman" w:eastAsia="Calibri" w:hAnsi="Times New Roman" w:cs="Times New Roman"/>
          <w:sz w:val="28"/>
          <w:szCs w:val="28"/>
        </w:rPr>
        <w:t xml:space="preserve"> urma să asigure </w:t>
      </w:r>
      <w:r w:rsidR="006C5161" w:rsidRPr="001D0846">
        <w:rPr>
          <w:rFonts w:ascii="Times New Roman" w:hAnsi="Times New Roman" w:cs="Times New Roman"/>
          <w:color w:val="000000"/>
          <w:sz w:val="28"/>
          <w:szCs w:val="28"/>
        </w:rPr>
        <w:t xml:space="preserve">realizarea </w:t>
      </w:r>
      <w:r w:rsidR="007C066E">
        <w:rPr>
          <w:rFonts w:ascii="Times New Roman" w:hAnsi="Times New Roman" w:cs="Times New Roman"/>
          <w:color w:val="000000"/>
          <w:sz w:val="28"/>
          <w:szCs w:val="28"/>
        </w:rPr>
        <w:t>atâ</w:t>
      </w:r>
      <w:r w:rsidR="007C066E" w:rsidRPr="001D0846">
        <w:rPr>
          <w:rFonts w:ascii="Times New Roman" w:hAnsi="Times New Roman" w:cs="Times New Roman"/>
          <w:color w:val="000000"/>
          <w:sz w:val="28"/>
          <w:szCs w:val="28"/>
        </w:rPr>
        <w:t xml:space="preserve">t </w:t>
      </w:r>
      <w:r w:rsidR="007C066E">
        <w:rPr>
          <w:rFonts w:ascii="Times New Roman" w:hAnsi="Times New Roman" w:cs="Times New Roman"/>
          <w:color w:val="000000"/>
          <w:sz w:val="28"/>
          <w:szCs w:val="28"/>
        </w:rPr>
        <w:t xml:space="preserve">a </w:t>
      </w:r>
      <w:r w:rsidR="006C5161" w:rsidRPr="001D0846">
        <w:rPr>
          <w:rFonts w:ascii="Times New Roman" w:hAnsi="Times New Roman" w:cs="Times New Roman"/>
          <w:color w:val="000000"/>
          <w:sz w:val="28"/>
          <w:szCs w:val="28"/>
        </w:rPr>
        <w:t xml:space="preserve">obiectivelor pe termen lung, </w:t>
      </w:r>
      <w:proofErr w:type="spellStart"/>
      <w:r w:rsidR="006C5161" w:rsidRPr="001D0846">
        <w:rPr>
          <w:rFonts w:ascii="Times New Roman" w:hAnsi="Times New Roman" w:cs="Times New Roman"/>
          <w:color w:val="000000"/>
          <w:sz w:val="28"/>
          <w:szCs w:val="28"/>
        </w:rPr>
        <w:t>cît</w:t>
      </w:r>
      <w:proofErr w:type="spellEnd"/>
      <w:r w:rsidR="006C5161" w:rsidRPr="001D0846">
        <w:rPr>
          <w:rFonts w:ascii="Times New Roman" w:hAnsi="Times New Roman" w:cs="Times New Roman"/>
          <w:color w:val="000000"/>
          <w:sz w:val="28"/>
          <w:szCs w:val="28"/>
        </w:rPr>
        <w:t xml:space="preserve"> </w:t>
      </w:r>
      <w:proofErr w:type="spellStart"/>
      <w:r w:rsidR="006C5161" w:rsidRPr="001D0846">
        <w:rPr>
          <w:rFonts w:ascii="Times New Roman" w:hAnsi="Times New Roman" w:cs="Times New Roman"/>
          <w:color w:val="000000"/>
          <w:sz w:val="28"/>
          <w:szCs w:val="28"/>
        </w:rPr>
        <w:t>şi</w:t>
      </w:r>
      <w:proofErr w:type="spellEnd"/>
      <w:r w:rsidR="006C5161" w:rsidRPr="001D0846">
        <w:rPr>
          <w:rFonts w:ascii="Times New Roman" w:hAnsi="Times New Roman" w:cs="Times New Roman"/>
          <w:color w:val="000000"/>
          <w:sz w:val="28"/>
          <w:szCs w:val="28"/>
        </w:rPr>
        <w:t xml:space="preserve"> a celor pe termen scurt din</w:t>
      </w:r>
      <w:r w:rsidR="006C5161" w:rsidRPr="001D0846">
        <w:rPr>
          <w:rFonts w:ascii="Times New Roman" w:hAnsi="Times New Roman" w:cs="Times New Roman"/>
          <w:sz w:val="28"/>
          <w:szCs w:val="28"/>
        </w:rPr>
        <w:t xml:space="preserve"> </w:t>
      </w:r>
      <w:r w:rsidR="006C5161" w:rsidRPr="001D0846">
        <w:rPr>
          <w:rFonts w:ascii="Times New Roman" w:hAnsi="Times New Roman" w:cs="Times New Roman"/>
          <w:bCs/>
          <w:sz w:val="28"/>
          <w:szCs w:val="28"/>
        </w:rPr>
        <w:t xml:space="preserve">Strategia de dezvoltare a managementului finanțelor publice 2013-2020, aprobată prin </w:t>
      </w:r>
      <w:r w:rsidR="006C5161" w:rsidRPr="001D0846">
        <w:rPr>
          <w:rFonts w:ascii="Times New Roman" w:hAnsi="Times New Roman" w:cs="Times New Roman"/>
          <w:sz w:val="28"/>
          <w:szCs w:val="28"/>
        </w:rPr>
        <w:t>Hotărârea Guvernului nr.573 din 06.08.2013</w:t>
      </w:r>
      <w:r w:rsidR="007C066E">
        <w:rPr>
          <w:rFonts w:ascii="Times New Roman" w:hAnsi="Times New Roman" w:cs="Times New Roman"/>
          <w:sz w:val="28"/>
          <w:szCs w:val="28"/>
        </w:rPr>
        <w:t>,</w:t>
      </w:r>
      <w:r w:rsidR="006C5161" w:rsidRPr="001D0846">
        <w:rPr>
          <w:rFonts w:ascii="Times New Roman" w:hAnsi="Times New Roman" w:cs="Times New Roman"/>
          <w:sz w:val="28"/>
          <w:szCs w:val="28"/>
        </w:rPr>
        <w:t xml:space="preserve"> și </w:t>
      </w:r>
      <w:r w:rsidR="007C066E">
        <w:rPr>
          <w:rFonts w:ascii="Times New Roman" w:hAnsi="Times New Roman" w:cs="Times New Roman"/>
          <w:sz w:val="28"/>
          <w:szCs w:val="28"/>
        </w:rPr>
        <w:t xml:space="preserve">din </w:t>
      </w:r>
      <w:r w:rsidR="006C5161" w:rsidRPr="001D0846">
        <w:rPr>
          <w:rFonts w:ascii="Times New Roman" w:hAnsi="Times New Roman" w:cs="Times New Roman"/>
          <w:color w:val="000000"/>
          <w:sz w:val="28"/>
          <w:szCs w:val="28"/>
        </w:rPr>
        <w:t>Programul de dezvoltare a controlului financiar public intern pentru anii 2014-2017, aprobat prin Hotărârea Guvernului nr.1041 din 20.12.2013.</w:t>
      </w:r>
    </w:p>
    <w:p w:rsidR="006C5161" w:rsidRPr="001D0846" w:rsidRDefault="006C5161" w:rsidP="00771592">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lastRenderedPageBreak/>
        <w:t xml:space="preserve">În vederea realizării obiectivelor strategice și evaluării </w:t>
      </w:r>
      <w:r w:rsidR="00771592">
        <w:rPr>
          <w:rFonts w:ascii="Times New Roman" w:hAnsi="Times New Roman" w:cs="Times New Roman"/>
          <w:sz w:val="28"/>
          <w:szCs w:val="28"/>
        </w:rPr>
        <w:t>gradului/</w:t>
      </w:r>
      <w:r w:rsidRPr="001D0846">
        <w:rPr>
          <w:rFonts w:ascii="Times New Roman" w:hAnsi="Times New Roman" w:cs="Times New Roman"/>
          <w:sz w:val="28"/>
          <w:szCs w:val="28"/>
        </w:rPr>
        <w:t>nivelului de implementare, SFS și SV au elaborat și aprobat planuri și rapoarte anuale</w:t>
      </w:r>
      <w:r w:rsidR="007C066E">
        <w:rPr>
          <w:rFonts w:ascii="Times New Roman" w:hAnsi="Times New Roman" w:cs="Times New Roman"/>
          <w:sz w:val="28"/>
          <w:szCs w:val="28"/>
        </w:rPr>
        <w:t>,</w:t>
      </w:r>
      <w:r w:rsidRPr="001D0846">
        <w:rPr>
          <w:rFonts w:ascii="Times New Roman" w:hAnsi="Times New Roman" w:cs="Times New Roman"/>
          <w:sz w:val="28"/>
          <w:szCs w:val="28"/>
        </w:rPr>
        <w:t xml:space="preserve"> în care</w:t>
      </w:r>
      <w:r w:rsidR="00771592">
        <w:rPr>
          <w:rFonts w:ascii="Times New Roman" w:hAnsi="Times New Roman" w:cs="Times New Roman"/>
          <w:sz w:val="28"/>
          <w:szCs w:val="28"/>
        </w:rPr>
        <w:t xml:space="preserve"> au fost stabilite obiectivele generale și specifice, </w:t>
      </w:r>
      <w:r w:rsidR="00771592" w:rsidRPr="00771592">
        <w:rPr>
          <w:rFonts w:ascii="Times New Roman" w:hAnsi="Times New Roman" w:cs="Times New Roman"/>
          <w:sz w:val="28"/>
          <w:szCs w:val="28"/>
        </w:rPr>
        <w:t xml:space="preserve">activitățile, </w:t>
      </w:r>
      <w:r w:rsidR="00771592">
        <w:rPr>
          <w:rFonts w:ascii="Times New Roman" w:hAnsi="Times New Roman" w:cs="Times New Roman"/>
          <w:sz w:val="28"/>
          <w:szCs w:val="28"/>
        </w:rPr>
        <w:t>termen</w:t>
      </w:r>
      <w:r w:rsidR="007C066E">
        <w:rPr>
          <w:rFonts w:ascii="Times New Roman" w:hAnsi="Times New Roman" w:cs="Times New Roman"/>
          <w:sz w:val="28"/>
          <w:szCs w:val="28"/>
        </w:rPr>
        <w:t>ele</w:t>
      </w:r>
      <w:r w:rsidR="00771592">
        <w:rPr>
          <w:rFonts w:ascii="Times New Roman" w:hAnsi="Times New Roman" w:cs="Times New Roman"/>
          <w:sz w:val="28"/>
          <w:szCs w:val="28"/>
        </w:rPr>
        <w:t xml:space="preserve">, </w:t>
      </w:r>
      <w:r w:rsidR="00771592" w:rsidRPr="00771592">
        <w:rPr>
          <w:rFonts w:ascii="Times New Roman" w:hAnsi="Times New Roman" w:cs="Times New Roman"/>
          <w:sz w:val="28"/>
          <w:szCs w:val="28"/>
        </w:rPr>
        <w:t xml:space="preserve">indicatorii de </w:t>
      </w:r>
      <w:r w:rsidR="00771592">
        <w:rPr>
          <w:rFonts w:ascii="Times New Roman" w:hAnsi="Times New Roman" w:cs="Times New Roman"/>
          <w:sz w:val="28"/>
          <w:szCs w:val="28"/>
        </w:rPr>
        <w:t>performanță</w:t>
      </w:r>
      <w:r w:rsidR="00771592" w:rsidRPr="00771592">
        <w:rPr>
          <w:rFonts w:ascii="Times New Roman" w:hAnsi="Times New Roman" w:cs="Times New Roman"/>
          <w:sz w:val="28"/>
          <w:szCs w:val="28"/>
        </w:rPr>
        <w:t xml:space="preserve"> și nivelul de realizare</w:t>
      </w:r>
      <w:r w:rsidR="00771592">
        <w:rPr>
          <w:rFonts w:ascii="Times New Roman" w:hAnsi="Times New Roman" w:cs="Times New Roman"/>
          <w:sz w:val="28"/>
          <w:szCs w:val="28"/>
        </w:rPr>
        <w:t xml:space="preserve"> a acestora. </w:t>
      </w:r>
      <w:r w:rsidRPr="00054276">
        <w:rPr>
          <w:rFonts w:ascii="Times New Roman" w:hAnsi="Times New Roman" w:cs="Times New Roman"/>
          <w:sz w:val="28"/>
          <w:szCs w:val="28"/>
        </w:rPr>
        <w:t xml:space="preserve">Totodată, s-a constatat că planurile și rapoartele elaborate au fost structurate pe obiective strategice, iar în cadrul fiecărui obiectiv au fost stabilite activități, acțiuni și </w:t>
      </w:r>
      <w:proofErr w:type="spellStart"/>
      <w:r w:rsidRPr="00054276">
        <w:rPr>
          <w:rFonts w:ascii="Times New Roman" w:hAnsi="Times New Roman" w:cs="Times New Roman"/>
          <w:sz w:val="28"/>
          <w:szCs w:val="28"/>
        </w:rPr>
        <w:t>subacțiuni</w:t>
      </w:r>
      <w:proofErr w:type="spellEnd"/>
      <w:r w:rsidRPr="00054276">
        <w:rPr>
          <w:rFonts w:ascii="Times New Roman" w:hAnsi="Times New Roman" w:cs="Times New Roman"/>
          <w:sz w:val="28"/>
          <w:szCs w:val="28"/>
        </w:rPr>
        <w:t xml:space="preserve"> pentru implementare.</w:t>
      </w:r>
      <w:r w:rsidRPr="001D0846">
        <w:rPr>
          <w:rFonts w:ascii="Times New Roman" w:hAnsi="Times New Roman" w:cs="Times New Roman"/>
          <w:sz w:val="28"/>
          <w:szCs w:val="28"/>
        </w:rPr>
        <w:t xml:space="preserve"> </w:t>
      </w:r>
    </w:p>
    <w:p w:rsidR="00BB1301" w:rsidRPr="001D0846" w:rsidRDefault="006C5161" w:rsidP="006358AD">
      <w:pPr>
        <w:spacing w:after="0" w:line="276" w:lineRule="auto"/>
        <w:jc w:val="both"/>
        <w:rPr>
          <w:rFonts w:ascii="Times New Roman" w:hAnsi="Times New Roman" w:cs="Times New Roman"/>
          <w:sz w:val="28"/>
          <w:szCs w:val="28"/>
        </w:rPr>
      </w:pPr>
      <w:r w:rsidRPr="001D0846">
        <w:rPr>
          <w:rFonts w:ascii="Times New Roman" w:hAnsi="Times New Roman" w:cs="Times New Roman"/>
          <w:sz w:val="28"/>
          <w:szCs w:val="28"/>
        </w:rPr>
        <w:tab/>
        <w:t xml:space="preserve">Analiza nivelului de realizare de către </w:t>
      </w:r>
      <w:r w:rsidRPr="001D0846">
        <w:rPr>
          <w:rFonts w:ascii="Times New Roman" w:hAnsi="Times New Roman" w:cs="Times New Roman"/>
          <w:sz w:val="28"/>
          <w:szCs w:val="28"/>
          <w:lang w:val="ro-MD"/>
        </w:rPr>
        <w:t xml:space="preserve">SFS </w:t>
      </w:r>
      <w:r w:rsidRPr="005A5243">
        <w:rPr>
          <w:rFonts w:ascii="Times New Roman" w:hAnsi="Times New Roman" w:cs="Times New Roman"/>
          <w:sz w:val="28"/>
          <w:szCs w:val="28"/>
        </w:rPr>
        <w:t>a obiectivelor și indicatorilor de performanță transpu</w:t>
      </w:r>
      <w:r w:rsidR="007C066E" w:rsidRPr="005A5243">
        <w:rPr>
          <w:rFonts w:ascii="Times New Roman" w:hAnsi="Times New Roman" w:cs="Times New Roman"/>
          <w:sz w:val="28"/>
          <w:szCs w:val="28"/>
        </w:rPr>
        <w:t>și</w:t>
      </w:r>
      <w:r w:rsidRPr="005A5243">
        <w:rPr>
          <w:rFonts w:ascii="Times New Roman" w:hAnsi="Times New Roman" w:cs="Times New Roman"/>
          <w:sz w:val="28"/>
          <w:szCs w:val="28"/>
        </w:rPr>
        <w:t xml:space="preserve"> în</w:t>
      </w:r>
      <w:r w:rsidRPr="005A5243">
        <w:rPr>
          <w:rFonts w:ascii="Times New Roman" w:hAnsi="Times New Roman" w:cs="Times New Roman"/>
          <w:sz w:val="28"/>
          <w:szCs w:val="28"/>
          <w:lang w:val="ro-MD"/>
        </w:rPr>
        <w:t xml:space="preserve"> Planurile de activitate pentr</w:t>
      </w:r>
      <w:r w:rsidRPr="001D0846">
        <w:rPr>
          <w:rFonts w:ascii="Times New Roman" w:hAnsi="Times New Roman" w:cs="Times New Roman"/>
          <w:sz w:val="28"/>
          <w:szCs w:val="28"/>
          <w:lang w:val="ro-MD"/>
        </w:rPr>
        <w:t>u anii 2015-2017</w:t>
      </w:r>
      <w:r w:rsidR="007C066E">
        <w:rPr>
          <w:rFonts w:ascii="Times New Roman" w:hAnsi="Times New Roman" w:cs="Times New Roman"/>
          <w:sz w:val="28"/>
          <w:szCs w:val="28"/>
          <w:lang w:val="ro-MD"/>
        </w:rPr>
        <w:t xml:space="preserve"> </w:t>
      </w:r>
      <w:r w:rsidRPr="001D0846">
        <w:rPr>
          <w:rFonts w:ascii="Times New Roman" w:hAnsi="Times New Roman" w:cs="Times New Roman"/>
          <w:sz w:val="28"/>
          <w:szCs w:val="28"/>
        </w:rPr>
        <w:t>denotă că</w:t>
      </w:r>
      <w:r w:rsidR="007C066E">
        <w:rPr>
          <w:rFonts w:ascii="Times New Roman" w:hAnsi="Times New Roman" w:cs="Times New Roman"/>
          <w:sz w:val="28"/>
          <w:szCs w:val="28"/>
        </w:rPr>
        <w:t>,</w:t>
      </w:r>
      <w:r w:rsidRPr="001D0846">
        <w:rPr>
          <w:rFonts w:ascii="Times New Roman" w:hAnsi="Times New Roman" w:cs="Times New Roman"/>
          <w:sz w:val="28"/>
          <w:szCs w:val="28"/>
        </w:rPr>
        <w:t xml:space="preserve"> în unele cazuri</w:t>
      </w:r>
      <w:r w:rsidR="007C066E">
        <w:rPr>
          <w:rFonts w:ascii="Times New Roman" w:hAnsi="Times New Roman" w:cs="Times New Roman"/>
          <w:sz w:val="28"/>
          <w:szCs w:val="28"/>
        </w:rPr>
        <w:t>,</w:t>
      </w:r>
      <w:r w:rsidRPr="001D0846">
        <w:rPr>
          <w:rFonts w:ascii="Times New Roman" w:hAnsi="Times New Roman" w:cs="Times New Roman"/>
          <w:sz w:val="28"/>
          <w:szCs w:val="28"/>
        </w:rPr>
        <w:t xml:space="preserve"> </w:t>
      </w:r>
      <w:proofErr w:type="spellStart"/>
      <w:r w:rsidRPr="007C066E">
        <w:rPr>
          <w:rFonts w:ascii="Times New Roman" w:hAnsi="Times New Roman" w:cs="Times New Roman"/>
          <w:sz w:val="28"/>
          <w:szCs w:val="28"/>
        </w:rPr>
        <w:t>subactivitățile</w:t>
      </w:r>
      <w:proofErr w:type="spellEnd"/>
      <w:r w:rsidRPr="007C066E">
        <w:rPr>
          <w:rFonts w:ascii="Times New Roman" w:hAnsi="Times New Roman" w:cs="Times New Roman"/>
          <w:sz w:val="28"/>
          <w:szCs w:val="28"/>
        </w:rPr>
        <w:t xml:space="preserve"> nu au fost realizate/implementate corespunzător la nivelul planurilor aprobate, auditul </w:t>
      </w:r>
      <w:r w:rsidR="007C066E" w:rsidRPr="007C066E">
        <w:rPr>
          <w:rFonts w:ascii="Times New Roman" w:hAnsi="Times New Roman" w:cs="Times New Roman"/>
          <w:sz w:val="28"/>
          <w:szCs w:val="28"/>
        </w:rPr>
        <w:t>constatând</w:t>
      </w:r>
      <w:r w:rsidRPr="007C066E">
        <w:rPr>
          <w:rFonts w:ascii="Times New Roman" w:hAnsi="Times New Roman" w:cs="Times New Roman"/>
          <w:sz w:val="28"/>
          <w:szCs w:val="28"/>
        </w:rPr>
        <w:t xml:space="preserve"> nerealizări sau realizări parțiale ale indicatorilor. </w:t>
      </w:r>
      <w:r w:rsidRPr="007C066E">
        <w:rPr>
          <w:rFonts w:ascii="Times New Roman" w:hAnsi="Times New Roman" w:cs="Times New Roman"/>
          <w:i/>
          <w:sz w:val="28"/>
          <w:szCs w:val="28"/>
        </w:rPr>
        <w:t xml:space="preserve">Situația privind nivelul de realizare a </w:t>
      </w:r>
      <w:proofErr w:type="spellStart"/>
      <w:r w:rsidRPr="007C066E">
        <w:rPr>
          <w:rFonts w:ascii="Times New Roman" w:hAnsi="Times New Roman" w:cs="Times New Roman"/>
          <w:i/>
          <w:sz w:val="28"/>
          <w:szCs w:val="28"/>
        </w:rPr>
        <w:t>subactivităților</w:t>
      </w:r>
      <w:proofErr w:type="spellEnd"/>
      <w:r w:rsidRPr="007C066E">
        <w:rPr>
          <w:rFonts w:ascii="Times New Roman" w:hAnsi="Times New Roman" w:cs="Times New Roman"/>
          <w:i/>
          <w:sz w:val="28"/>
          <w:szCs w:val="28"/>
        </w:rPr>
        <w:t xml:space="preserve"> </w:t>
      </w:r>
      <w:r w:rsidR="007B393C" w:rsidRPr="007C066E">
        <w:rPr>
          <w:rFonts w:ascii="Times New Roman" w:hAnsi="Times New Roman" w:cs="Times New Roman"/>
          <w:i/>
          <w:sz w:val="28"/>
          <w:szCs w:val="28"/>
        </w:rPr>
        <w:t xml:space="preserve">de către SFS </w:t>
      </w:r>
      <w:r w:rsidR="007C066E" w:rsidRPr="007C066E">
        <w:rPr>
          <w:rFonts w:ascii="Times New Roman" w:hAnsi="Times New Roman" w:cs="Times New Roman"/>
          <w:i/>
          <w:sz w:val="28"/>
          <w:szCs w:val="28"/>
        </w:rPr>
        <w:t xml:space="preserve">este </w:t>
      </w:r>
      <w:r w:rsidRPr="007C066E">
        <w:rPr>
          <w:rFonts w:ascii="Times New Roman" w:hAnsi="Times New Roman" w:cs="Times New Roman"/>
          <w:i/>
          <w:sz w:val="28"/>
          <w:szCs w:val="28"/>
        </w:rPr>
        <w:t xml:space="preserve"> prez</w:t>
      </w:r>
      <w:r w:rsidR="007C066E" w:rsidRPr="007C066E">
        <w:rPr>
          <w:rFonts w:ascii="Times New Roman" w:hAnsi="Times New Roman" w:cs="Times New Roman"/>
          <w:i/>
          <w:sz w:val="28"/>
          <w:szCs w:val="28"/>
        </w:rPr>
        <w:t>enta</w:t>
      </w:r>
      <w:r w:rsidRPr="007C066E">
        <w:rPr>
          <w:rFonts w:ascii="Times New Roman" w:hAnsi="Times New Roman" w:cs="Times New Roman"/>
          <w:i/>
          <w:sz w:val="28"/>
          <w:szCs w:val="28"/>
        </w:rPr>
        <w:t xml:space="preserve">tă în Diagrama </w:t>
      </w:r>
      <w:r w:rsidR="00BB1301" w:rsidRPr="007C066E">
        <w:rPr>
          <w:rFonts w:ascii="Times New Roman" w:hAnsi="Times New Roman" w:cs="Times New Roman"/>
          <w:i/>
          <w:sz w:val="28"/>
          <w:szCs w:val="28"/>
        </w:rPr>
        <w:t>nr.1.</w:t>
      </w:r>
      <w:r w:rsidRPr="001D0846">
        <w:rPr>
          <w:rFonts w:ascii="Times New Roman" w:hAnsi="Times New Roman" w:cs="Times New Roman"/>
          <w:sz w:val="28"/>
          <w:szCs w:val="28"/>
        </w:rPr>
        <w:t xml:space="preserve"> </w:t>
      </w:r>
    </w:p>
    <w:p w:rsidR="00AB38EF" w:rsidRPr="001D0846" w:rsidRDefault="00AB38EF" w:rsidP="002506A5">
      <w:pPr>
        <w:pStyle w:val="a7"/>
        <w:tabs>
          <w:tab w:val="left" w:pos="0"/>
        </w:tabs>
        <w:spacing w:after="0" w:line="276" w:lineRule="auto"/>
        <w:ind w:left="0" w:right="-6" w:firstLine="709"/>
        <w:jc w:val="right"/>
        <w:rPr>
          <w:rFonts w:ascii="Times New Roman" w:hAnsi="Times New Roman" w:cs="Times New Roman"/>
          <w:b/>
          <w:i/>
          <w:sz w:val="28"/>
          <w:szCs w:val="28"/>
          <w:lang w:val="ro-MD"/>
        </w:rPr>
      </w:pPr>
      <w:r w:rsidRPr="001D0846">
        <w:rPr>
          <w:rFonts w:ascii="Times New Roman" w:hAnsi="Times New Roman" w:cs="Times New Roman"/>
          <w:b/>
          <w:i/>
          <w:sz w:val="28"/>
          <w:szCs w:val="28"/>
          <w:lang w:val="ro-MD"/>
        </w:rPr>
        <w:t>Diagrama nr.1</w:t>
      </w:r>
    </w:p>
    <w:p w:rsidR="00AB38EF" w:rsidRPr="001D0846" w:rsidRDefault="00AB38EF" w:rsidP="00AB38EF">
      <w:pPr>
        <w:pStyle w:val="a7"/>
        <w:tabs>
          <w:tab w:val="left" w:pos="0"/>
        </w:tabs>
        <w:spacing w:after="0" w:line="276" w:lineRule="auto"/>
        <w:ind w:left="0"/>
        <w:jc w:val="center"/>
        <w:rPr>
          <w:rFonts w:ascii="Times New Roman" w:hAnsi="Times New Roman" w:cs="Times New Roman"/>
          <w:i/>
          <w:sz w:val="28"/>
          <w:szCs w:val="28"/>
          <w:lang w:val="ro-MD"/>
        </w:rPr>
      </w:pPr>
      <w:r w:rsidRPr="001D0846">
        <w:rPr>
          <w:rFonts w:ascii="Times New Roman" w:hAnsi="Times New Roman" w:cs="Times New Roman"/>
          <w:i/>
          <w:noProof/>
          <w:sz w:val="28"/>
          <w:szCs w:val="28"/>
          <w:lang w:val="ru-RU" w:eastAsia="ru-RU"/>
        </w:rPr>
        <w:drawing>
          <wp:inline distT="0" distB="0" distL="0" distR="0" wp14:anchorId="61E1A0E7" wp14:editId="27E6A10D">
            <wp:extent cx="5897880" cy="2636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393C" w:rsidRPr="001D0846" w:rsidRDefault="00AB38EF" w:rsidP="006522E0">
      <w:pPr>
        <w:pStyle w:val="a7"/>
        <w:tabs>
          <w:tab w:val="left" w:pos="0"/>
        </w:tabs>
        <w:spacing w:after="0" w:line="276" w:lineRule="auto"/>
        <w:ind w:left="0"/>
        <w:rPr>
          <w:rFonts w:ascii="Times New Roman" w:hAnsi="Times New Roman" w:cs="Times New Roman"/>
          <w:i/>
          <w:sz w:val="20"/>
          <w:szCs w:val="20"/>
          <w:lang w:val="ro-MD"/>
        </w:rPr>
      </w:pPr>
      <w:r w:rsidRPr="001D0846">
        <w:rPr>
          <w:rFonts w:ascii="Times New Roman" w:hAnsi="Times New Roman" w:cs="Times New Roman"/>
          <w:b/>
          <w:i/>
          <w:sz w:val="20"/>
          <w:szCs w:val="20"/>
          <w:lang w:val="ro-MD"/>
        </w:rPr>
        <w:t>Sursă:</w:t>
      </w:r>
      <w:r w:rsidRPr="001D0846">
        <w:rPr>
          <w:rFonts w:ascii="Times New Roman" w:hAnsi="Times New Roman" w:cs="Times New Roman"/>
          <w:i/>
          <w:sz w:val="20"/>
          <w:szCs w:val="20"/>
          <w:lang w:val="ro-MD"/>
        </w:rPr>
        <w:t xml:space="preserve"> Rapoartele privind implementarea Planului de activitate al SFS pentru anii 2015-2017.</w:t>
      </w:r>
    </w:p>
    <w:p w:rsidR="008B6C26" w:rsidRPr="001D0846" w:rsidRDefault="006C5161" w:rsidP="006358AD">
      <w:pPr>
        <w:spacing w:after="0" w:line="276" w:lineRule="auto"/>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ab/>
      </w:r>
    </w:p>
    <w:p w:rsidR="00A56B71" w:rsidRPr="001D0846" w:rsidRDefault="00BB1301" w:rsidP="00A56B71">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lang w:val="ro-MD"/>
        </w:rPr>
        <w:t xml:space="preserve">Analiza datelor </w:t>
      </w:r>
      <w:r w:rsidR="006C5161" w:rsidRPr="001D0846">
        <w:rPr>
          <w:rFonts w:ascii="Times New Roman" w:hAnsi="Times New Roman" w:cs="Times New Roman"/>
          <w:sz w:val="28"/>
          <w:szCs w:val="28"/>
          <w:lang w:val="ro-MD"/>
        </w:rPr>
        <w:t xml:space="preserve">prezentate în Diagramă relevă că în </w:t>
      </w:r>
      <w:r w:rsidR="007C066E">
        <w:rPr>
          <w:rFonts w:ascii="Times New Roman" w:hAnsi="Times New Roman" w:cs="Times New Roman"/>
          <w:sz w:val="28"/>
          <w:szCs w:val="28"/>
          <w:lang w:val="ro-MD"/>
        </w:rPr>
        <w:t>anul</w:t>
      </w:r>
      <w:r w:rsidR="006C5161" w:rsidRPr="001D0846">
        <w:rPr>
          <w:rFonts w:ascii="Times New Roman" w:hAnsi="Times New Roman" w:cs="Times New Roman"/>
          <w:sz w:val="28"/>
          <w:szCs w:val="28"/>
          <w:lang w:val="ro-MD"/>
        </w:rPr>
        <w:t xml:space="preserve"> 2015, din numărul total de 130 de </w:t>
      </w:r>
      <w:proofErr w:type="spellStart"/>
      <w:r w:rsidR="006C5161" w:rsidRPr="001D0846">
        <w:rPr>
          <w:rFonts w:ascii="Times New Roman" w:hAnsi="Times New Roman" w:cs="Times New Roman"/>
          <w:sz w:val="28"/>
          <w:szCs w:val="28"/>
          <w:lang w:val="ro-MD"/>
        </w:rPr>
        <w:t>subactivități</w:t>
      </w:r>
      <w:proofErr w:type="spellEnd"/>
      <w:r w:rsidR="006C5161" w:rsidRPr="001D0846">
        <w:rPr>
          <w:rFonts w:ascii="Times New Roman" w:hAnsi="Times New Roman" w:cs="Times New Roman"/>
          <w:sz w:val="28"/>
          <w:szCs w:val="28"/>
          <w:lang w:val="ro-MD"/>
        </w:rPr>
        <w:t xml:space="preserve"> prevăzute în </w:t>
      </w:r>
      <w:r w:rsidR="007C066E">
        <w:rPr>
          <w:rFonts w:ascii="Times New Roman" w:hAnsi="Times New Roman" w:cs="Times New Roman"/>
          <w:sz w:val="28"/>
          <w:szCs w:val="28"/>
          <w:lang w:val="ro-MD"/>
        </w:rPr>
        <w:t>P</w:t>
      </w:r>
      <w:r w:rsidR="006C5161" w:rsidRPr="001D0846">
        <w:rPr>
          <w:rFonts w:ascii="Times New Roman" w:hAnsi="Times New Roman" w:cs="Times New Roman"/>
          <w:sz w:val="28"/>
          <w:szCs w:val="28"/>
          <w:lang w:val="ro-MD"/>
        </w:rPr>
        <w:t>lanul anual de activit</w:t>
      </w:r>
      <w:r w:rsidR="002B1C64" w:rsidRPr="001D0846">
        <w:rPr>
          <w:rFonts w:ascii="Times New Roman" w:hAnsi="Times New Roman" w:cs="Times New Roman"/>
          <w:sz w:val="28"/>
          <w:szCs w:val="28"/>
          <w:lang w:val="ro-MD"/>
        </w:rPr>
        <w:t xml:space="preserve">ate al SFS, au fost realizate 98 de </w:t>
      </w:r>
      <w:proofErr w:type="spellStart"/>
      <w:r w:rsidR="002B1C64" w:rsidRPr="001D0846">
        <w:rPr>
          <w:rFonts w:ascii="Times New Roman" w:hAnsi="Times New Roman" w:cs="Times New Roman"/>
          <w:sz w:val="28"/>
          <w:szCs w:val="28"/>
          <w:lang w:val="ro-MD"/>
        </w:rPr>
        <w:t>subactivități</w:t>
      </w:r>
      <w:proofErr w:type="spellEnd"/>
      <w:r w:rsidR="002B1C64" w:rsidRPr="001D0846">
        <w:rPr>
          <w:rFonts w:ascii="Times New Roman" w:hAnsi="Times New Roman" w:cs="Times New Roman"/>
          <w:sz w:val="28"/>
          <w:szCs w:val="28"/>
          <w:lang w:val="ro-MD"/>
        </w:rPr>
        <w:t>, 29 – parțial realizate</w:t>
      </w:r>
      <w:r w:rsidR="007C066E">
        <w:rPr>
          <w:rFonts w:ascii="Times New Roman" w:hAnsi="Times New Roman" w:cs="Times New Roman"/>
          <w:sz w:val="28"/>
          <w:szCs w:val="28"/>
          <w:lang w:val="ro-MD"/>
        </w:rPr>
        <w:t>,</w:t>
      </w:r>
      <w:r w:rsidR="002B1C64" w:rsidRPr="001D0846">
        <w:rPr>
          <w:rFonts w:ascii="Times New Roman" w:hAnsi="Times New Roman" w:cs="Times New Roman"/>
          <w:sz w:val="28"/>
          <w:szCs w:val="28"/>
          <w:lang w:val="ro-MD"/>
        </w:rPr>
        <w:t xml:space="preserve"> și 3</w:t>
      </w:r>
      <w:r w:rsidR="006C5161" w:rsidRPr="001D0846">
        <w:rPr>
          <w:rFonts w:ascii="Times New Roman" w:hAnsi="Times New Roman" w:cs="Times New Roman"/>
          <w:sz w:val="28"/>
          <w:szCs w:val="28"/>
          <w:lang w:val="ro-MD"/>
        </w:rPr>
        <w:t xml:space="preserve"> – nerealizate, ceea ce </w:t>
      </w:r>
      <w:r w:rsidR="007C066E">
        <w:rPr>
          <w:rFonts w:ascii="Times New Roman" w:hAnsi="Times New Roman" w:cs="Times New Roman"/>
          <w:sz w:val="28"/>
          <w:szCs w:val="28"/>
          <w:lang w:val="ro-MD"/>
        </w:rPr>
        <w:t xml:space="preserve">atestă </w:t>
      </w:r>
      <w:r w:rsidR="006C5161" w:rsidRPr="001D0846">
        <w:rPr>
          <w:rFonts w:ascii="Times New Roman" w:hAnsi="Times New Roman" w:cs="Times New Roman"/>
          <w:sz w:val="28"/>
          <w:szCs w:val="28"/>
          <w:lang w:val="ro-MD"/>
        </w:rPr>
        <w:t xml:space="preserve"> un nivel de realizare a planului d</w:t>
      </w:r>
      <w:r w:rsidR="002B1C64" w:rsidRPr="001D0846">
        <w:rPr>
          <w:rFonts w:ascii="Times New Roman" w:hAnsi="Times New Roman" w:cs="Times New Roman"/>
          <w:sz w:val="28"/>
          <w:szCs w:val="28"/>
          <w:lang w:val="ro-MD"/>
        </w:rPr>
        <w:t>e activitate de circa 75,4</w:t>
      </w:r>
      <w:r w:rsidR="006C5161" w:rsidRPr="001D0846">
        <w:rPr>
          <w:rFonts w:ascii="Times New Roman" w:hAnsi="Times New Roman" w:cs="Times New Roman"/>
          <w:sz w:val="28"/>
          <w:szCs w:val="28"/>
          <w:lang w:val="ro-MD"/>
        </w:rPr>
        <w:t xml:space="preserve"> %. Totodată, se remarcă că</w:t>
      </w:r>
      <w:r w:rsidR="003F7601">
        <w:rPr>
          <w:rFonts w:ascii="Times New Roman" w:hAnsi="Times New Roman" w:cs="Times New Roman"/>
          <w:sz w:val="28"/>
          <w:szCs w:val="28"/>
          <w:lang w:val="ro-MD"/>
        </w:rPr>
        <w:t>,</w:t>
      </w:r>
      <w:r w:rsidR="006C5161" w:rsidRPr="001D0846">
        <w:rPr>
          <w:rFonts w:ascii="Times New Roman" w:hAnsi="Times New Roman" w:cs="Times New Roman"/>
          <w:sz w:val="28"/>
          <w:szCs w:val="28"/>
          <w:lang w:val="ro-MD"/>
        </w:rPr>
        <w:t xml:space="preserve"> la Prioritatea I ,,Exercitarea controlului asupra respectării legislației fiscale, asupra calculării corecte, vărsării depline și la timp la buget a sumelor obligațiilor fiscale”</w:t>
      </w:r>
      <w:r w:rsidR="006C5161" w:rsidRPr="001D0846">
        <w:rPr>
          <w:rFonts w:ascii="Times New Roman" w:hAnsi="Times New Roman" w:cs="Times New Roman"/>
          <w:b/>
          <w:i/>
          <w:sz w:val="28"/>
          <w:szCs w:val="28"/>
          <w:lang w:val="ro-MD"/>
        </w:rPr>
        <w:t xml:space="preserve"> </w:t>
      </w:r>
      <w:r w:rsidR="006C5161" w:rsidRPr="001D0846">
        <w:rPr>
          <w:rFonts w:ascii="Times New Roman" w:hAnsi="Times New Roman" w:cs="Times New Roman"/>
          <w:sz w:val="28"/>
          <w:szCs w:val="28"/>
          <w:lang w:val="ro-MD"/>
        </w:rPr>
        <w:t xml:space="preserve">din </w:t>
      </w:r>
      <w:r w:rsidR="003F7601">
        <w:rPr>
          <w:rFonts w:ascii="Times New Roman" w:hAnsi="Times New Roman" w:cs="Times New Roman"/>
          <w:sz w:val="28"/>
          <w:szCs w:val="28"/>
          <w:lang w:val="ro-MD"/>
        </w:rPr>
        <w:t>p</w:t>
      </w:r>
      <w:r w:rsidR="006C5161" w:rsidRPr="001D0846">
        <w:rPr>
          <w:rFonts w:ascii="Times New Roman" w:hAnsi="Times New Roman" w:cs="Times New Roman"/>
          <w:sz w:val="28"/>
          <w:szCs w:val="28"/>
          <w:lang w:val="ro-MD"/>
        </w:rPr>
        <w:t>lanul de activitate</w:t>
      </w:r>
      <w:r w:rsidR="003F7601">
        <w:rPr>
          <w:rFonts w:ascii="Times New Roman" w:hAnsi="Times New Roman" w:cs="Times New Roman"/>
          <w:sz w:val="28"/>
          <w:szCs w:val="28"/>
          <w:lang w:val="ro-MD"/>
        </w:rPr>
        <w:t>,</w:t>
      </w:r>
      <w:r w:rsidR="006C5161" w:rsidRPr="001D0846">
        <w:rPr>
          <w:rFonts w:ascii="Times New Roman" w:hAnsi="Times New Roman" w:cs="Times New Roman"/>
          <w:b/>
          <w:i/>
          <w:sz w:val="28"/>
          <w:szCs w:val="28"/>
          <w:lang w:val="ro-MD"/>
        </w:rPr>
        <w:t xml:space="preserve"> </w:t>
      </w:r>
      <w:r w:rsidR="006C5161" w:rsidRPr="001D0846">
        <w:rPr>
          <w:rFonts w:ascii="Times New Roman" w:hAnsi="Times New Roman" w:cs="Times New Roman"/>
          <w:sz w:val="28"/>
          <w:szCs w:val="28"/>
          <w:lang w:val="ro-MD"/>
        </w:rPr>
        <w:t>SFS</w:t>
      </w:r>
      <w:r w:rsidR="006C5161" w:rsidRPr="001D0846">
        <w:rPr>
          <w:rFonts w:ascii="Times New Roman" w:hAnsi="Times New Roman" w:cs="Times New Roman"/>
          <w:b/>
          <w:i/>
          <w:sz w:val="28"/>
          <w:szCs w:val="28"/>
          <w:lang w:val="ro-MD"/>
        </w:rPr>
        <w:t xml:space="preserve"> </w:t>
      </w:r>
      <w:r w:rsidR="006C5161" w:rsidRPr="001D0846">
        <w:rPr>
          <w:rFonts w:ascii="Times New Roman" w:hAnsi="Times New Roman" w:cs="Times New Roman"/>
          <w:sz w:val="28"/>
          <w:szCs w:val="28"/>
          <w:lang w:val="ro-MD"/>
        </w:rPr>
        <w:t xml:space="preserve">a realizat pe deplin </w:t>
      </w:r>
      <w:r w:rsidR="00882744" w:rsidRPr="001D0846">
        <w:rPr>
          <w:rFonts w:ascii="Times New Roman" w:hAnsi="Times New Roman" w:cs="Times New Roman"/>
          <w:sz w:val="28"/>
          <w:szCs w:val="28"/>
          <w:lang w:val="ro-MD"/>
        </w:rPr>
        <w:t>doar 5</w:t>
      </w:r>
      <w:r w:rsidR="006C5161" w:rsidRPr="001D0846">
        <w:rPr>
          <w:rFonts w:ascii="Times New Roman" w:hAnsi="Times New Roman" w:cs="Times New Roman"/>
          <w:sz w:val="28"/>
          <w:szCs w:val="28"/>
          <w:lang w:val="ro-MD"/>
        </w:rPr>
        <w:t xml:space="preserve"> indicator</w:t>
      </w:r>
      <w:r w:rsidR="00882744" w:rsidRPr="001D0846">
        <w:rPr>
          <w:rFonts w:ascii="Times New Roman" w:hAnsi="Times New Roman" w:cs="Times New Roman"/>
          <w:sz w:val="28"/>
          <w:szCs w:val="28"/>
          <w:lang w:val="ro-MD"/>
        </w:rPr>
        <w:t>i</w:t>
      </w:r>
      <w:r w:rsidR="006C5161" w:rsidRPr="001D0846">
        <w:rPr>
          <w:rFonts w:ascii="Times New Roman" w:hAnsi="Times New Roman" w:cs="Times New Roman"/>
          <w:sz w:val="28"/>
          <w:szCs w:val="28"/>
          <w:lang w:val="ro-MD"/>
        </w:rPr>
        <w:t xml:space="preserve"> de rezultat</w:t>
      </w:r>
      <w:r w:rsidR="003F7601">
        <w:rPr>
          <w:rFonts w:ascii="Times New Roman" w:hAnsi="Times New Roman" w:cs="Times New Roman"/>
          <w:sz w:val="28"/>
          <w:szCs w:val="28"/>
          <w:lang w:val="ro-MD"/>
        </w:rPr>
        <w:t>,</w:t>
      </w:r>
      <w:r w:rsidR="00882744" w:rsidRPr="001D0846">
        <w:rPr>
          <w:rFonts w:ascii="Times New Roman" w:hAnsi="Times New Roman" w:cs="Times New Roman"/>
          <w:sz w:val="28"/>
          <w:szCs w:val="28"/>
          <w:lang w:val="ro-MD"/>
        </w:rPr>
        <w:t xml:space="preserve"> din 16 stabiliți</w:t>
      </w:r>
      <w:r w:rsidR="006C5161" w:rsidRPr="001D0846">
        <w:rPr>
          <w:rFonts w:ascii="Times New Roman" w:hAnsi="Times New Roman" w:cs="Times New Roman"/>
          <w:sz w:val="28"/>
          <w:szCs w:val="28"/>
          <w:lang w:val="ro-MD"/>
        </w:rPr>
        <w:t xml:space="preserve">. În acest context, pentru a raporta realizarea integrală a indicatorilor din </w:t>
      </w:r>
      <w:r w:rsidR="003F7601">
        <w:rPr>
          <w:rFonts w:ascii="Times New Roman" w:hAnsi="Times New Roman" w:cs="Times New Roman"/>
          <w:sz w:val="28"/>
          <w:szCs w:val="28"/>
          <w:lang w:val="ro-MD"/>
        </w:rPr>
        <w:t>P</w:t>
      </w:r>
      <w:r w:rsidR="006C5161" w:rsidRPr="001D0846">
        <w:rPr>
          <w:rFonts w:ascii="Times New Roman" w:hAnsi="Times New Roman" w:cs="Times New Roman"/>
          <w:sz w:val="28"/>
          <w:szCs w:val="28"/>
          <w:lang w:val="ro-MD"/>
        </w:rPr>
        <w:t>lanul de activitate</w:t>
      </w:r>
      <w:r w:rsidR="00BB69D1" w:rsidRPr="001D0846">
        <w:rPr>
          <w:rFonts w:ascii="Times New Roman" w:hAnsi="Times New Roman" w:cs="Times New Roman"/>
          <w:sz w:val="28"/>
          <w:szCs w:val="28"/>
          <w:lang w:val="ro-MD"/>
        </w:rPr>
        <w:t xml:space="preserve"> pentru anul 2015</w:t>
      </w:r>
      <w:r w:rsidR="006C5161" w:rsidRPr="001D0846">
        <w:rPr>
          <w:rFonts w:ascii="Times New Roman" w:hAnsi="Times New Roman" w:cs="Times New Roman"/>
          <w:sz w:val="28"/>
          <w:szCs w:val="28"/>
          <w:lang w:val="ro-MD"/>
        </w:rPr>
        <w:t xml:space="preserve">, SFS a modificat indicatorii inițial stabiliți, fiind ajustați la nivelul rezultatului efectiv realizat, </w:t>
      </w:r>
      <w:r w:rsidR="003F7601" w:rsidRPr="001D0846">
        <w:rPr>
          <w:rFonts w:ascii="Times New Roman" w:hAnsi="Times New Roman" w:cs="Times New Roman"/>
          <w:sz w:val="28"/>
          <w:szCs w:val="28"/>
          <w:lang w:val="ro-MD"/>
        </w:rPr>
        <w:t xml:space="preserve">astfel </w:t>
      </w:r>
      <w:r w:rsidR="006C5161" w:rsidRPr="001D0846">
        <w:rPr>
          <w:rFonts w:ascii="Times New Roman" w:hAnsi="Times New Roman" w:cs="Times New Roman"/>
          <w:sz w:val="28"/>
          <w:szCs w:val="28"/>
          <w:lang w:val="ro-MD"/>
        </w:rPr>
        <w:t xml:space="preserve">raportându-se un nivel maxim de realizare a indicatorilor. </w:t>
      </w:r>
      <w:r w:rsidR="00A56B71" w:rsidRPr="001D0846">
        <w:rPr>
          <w:rFonts w:ascii="Times New Roman" w:hAnsi="Times New Roman" w:cs="Times New Roman"/>
          <w:sz w:val="28"/>
          <w:szCs w:val="28"/>
        </w:rPr>
        <w:t xml:space="preserve">Potrivit motivației persoanelor responsabile din </w:t>
      </w:r>
      <w:r w:rsidR="00A56B71" w:rsidRPr="001D0846">
        <w:rPr>
          <w:rFonts w:ascii="Times New Roman" w:hAnsi="Times New Roman" w:cs="Times New Roman"/>
          <w:sz w:val="28"/>
          <w:szCs w:val="28"/>
        </w:rPr>
        <w:lastRenderedPageBreak/>
        <w:t xml:space="preserve">cadrul SFS, </w:t>
      </w:r>
      <w:r w:rsidR="003F7601">
        <w:rPr>
          <w:rFonts w:ascii="Times New Roman" w:hAnsi="Times New Roman" w:cs="Times New Roman"/>
          <w:sz w:val="28"/>
          <w:szCs w:val="28"/>
        </w:rPr>
        <w:t>P</w:t>
      </w:r>
      <w:r w:rsidR="00A56B71" w:rsidRPr="001D0846">
        <w:rPr>
          <w:rFonts w:ascii="Times New Roman" w:hAnsi="Times New Roman" w:cs="Times New Roman"/>
          <w:sz w:val="28"/>
          <w:szCs w:val="28"/>
        </w:rPr>
        <w:t xml:space="preserve">lanul de activitate </w:t>
      </w:r>
      <w:r w:rsidR="00363558" w:rsidRPr="001D0846">
        <w:rPr>
          <w:rFonts w:ascii="Times New Roman" w:hAnsi="Times New Roman" w:cs="Times New Roman"/>
          <w:sz w:val="28"/>
          <w:szCs w:val="28"/>
          <w:lang w:val="ro-MD"/>
        </w:rPr>
        <w:t>pentru anul 2015</w:t>
      </w:r>
      <w:r w:rsidR="00363558">
        <w:rPr>
          <w:rFonts w:ascii="Times New Roman" w:hAnsi="Times New Roman" w:cs="Times New Roman"/>
          <w:sz w:val="28"/>
          <w:szCs w:val="28"/>
          <w:lang w:val="ro-MD"/>
        </w:rPr>
        <w:t xml:space="preserve"> </w:t>
      </w:r>
      <w:r w:rsidR="00A56B71" w:rsidRPr="001D0846">
        <w:rPr>
          <w:rFonts w:ascii="Times New Roman" w:hAnsi="Times New Roman" w:cs="Times New Roman"/>
          <w:sz w:val="28"/>
          <w:szCs w:val="28"/>
        </w:rPr>
        <w:t>al SFS a suferit modificări și ajustări a</w:t>
      </w:r>
      <w:r w:rsidR="003F7601">
        <w:rPr>
          <w:rFonts w:ascii="Times New Roman" w:hAnsi="Times New Roman" w:cs="Times New Roman"/>
          <w:sz w:val="28"/>
          <w:szCs w:val="28"/>
        </w:rPr>
        <w:t>le</w:t>
      </w:r>
      <w:r w:rsidR="00A56B71" w:rsidRPr="001D0846">
        <w:rPr>
          <w:rFonts w:ascii="Times New Roman" w:hAnsi="Times New Roman" w:cs="Times New Roman"/>
          <w:sz w:val="28"/>
          <w:szCs w:val="28"/>
        </w:rPr>
        <w:t xml:space="preserve"> indicatorilor</w:t>
      </w:r>
      <w:r w:rsidR="003F7601">
        <w:rPr>
          <w:rFonts w:ascii="Times New Roman" w:hAnsi="Times New Roman" w:cs="Times New Roman"/>
          <w:sz w:val="28"/>
          <w:szCs w:val="28"/>
        </w:rPr>
        <w:t>,</w:t>
      </w:r>
      <w:r w:rsidR="00A56B71" w:rsidRPr="001D0846">
        <w:rPr>
          <w:rFonts w:ascii="Times New Roman" w:hAnsi="Times New Roman" w:cs="Times New Roman"/>
          <w:sz w:val="28"/>
          <w:szCs w:val="28"/>
        </w:rPr>
        <w:t xml:space="preserve"> în scopul atingerii unor performanțe reale.</w:t>
      </w:r>
    </w:p>
    <w:p w:rsidR="00A56B71" w:rsidRPr="001D0846" w:rsidRDefault="006C5161" w:rsidP="006358AD">
      <w:pPr>
        <w:pStyle w:val="a7"/>
        <w:tabs>
          <w:tab w:val="left" w:pos="0"/>
        </w:tabs>
        <w:spacing w:after="0" w:line="276" w:lineRule="auto"/>
        <w:ind w:left="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ab/>
        <w:t xml:space="preserve">În </w:t>
      </w:r>
      <w:r w:rsidR="003F7601">
        <w:rPr>
          <w:rFonts w:ascii="Times New Roman" w:hAnsi="Times New Roman" w:cs="Times New Roman"/>
          <w:sz w:val="28"/>
          <w:szCs w:val="28"/>
          <w:lang w:val="ro-MD"/>
        </w:rPr>
        <w:t>anul</w:t>
      </w:r>
      <w:r w:rsidRPr="001D0846">
        <w:rPr>
          <w:rFonts w:ascii="Times New Roman" w:hAnsi="Times New Roman" w:cs="Times New Roman"/>
          <w:sz w:val="28"/>
          <w:szCs w:val="28"/>
          <w:lang w:val="ro-MD"/>
        </w:rPr>
        <w:t xml:space="preserve"> 2016, din numărul total de 46 de </w:t>
      </w:r>
      <w:proofErr w:type="spellStart"/>
      <w:r w:rsidRPr="001D0846">
        <w:rPr>
          <w:rFonts w:ascii="Times New Roman" w:hAnsi="Times New Roman" w:cs="Times New Roman"/>
          <w:sz w:val="28"/>
          <w:szCs w:val="28"/>
          <w:lang w:val="ro-MD"/>
        </w:rPr>
        <w:t>subactivități</w:t>
      </w:r>
      <w:proofErr w:type="spellEnd"/>
      <w:r w:rsidR="003F7601">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au fost realizate </w:t>
      </w:r>
      <w:r w:rsidR="00E0099B" w:rsidRPr="001D0846">
        <w:rPr>
          <w:rFonts w:ascii="Times New Roman" w:hAnsi="Times New Roman" w:cs="Times New Roman"/>
          <w:sz w:val="28"/>
          <w:szCs w:val="28"/>
          <w:lang w:val="ro-MD"/>
        </w:rPr>
        <w:t xml:space="preserve">39 de </w:t>
      </w:r>
      <w:proofErr w:type="spellStart"/>
      <w:r w:rsidR="00E0099B" w:rsidRPr="001D0846">
        <w:rPr>
          <w:rFonts w:ascii="Times New Roman" w:hAnsi="Times New Roman" w:cs="Times New Roman"/>
          <w:sz w:val="28"/>
          <w:szCs w:val="28"/>
          <w:lang w:val="ro-MD"/>
        </w:rPr>
        <w:t>subactivități</w:t>
      </w:r>
      <w:proofErr w:type="spellEnd"/>
      <w:r w:rsidR="00E0099B" w:rsidRPr="001D0846">
        <w:rPr>
          <w:rFonts w:ascii="Times New Roman" w:hAnsi="Times New Roman" w:cs="Times New Roman"/>
          <w:sz w:val="28"/>
          <w:szCs w:val="28"/>
          <w:lang w:val="ro-MD"/>
        </w:rPr>
        <w:t>, 4</w:t>
      </w:r>
      <w:r w:rsidRPr="001D0846">
        <w:rPr>
          <w:rFonts w:ascii="Times New Roman" w:hAnsi="Times New Roman" w:cs="Times New Roman"/>
          <w:sz w:val="28"/>
          <w:szCs w:val="28"/>
          <w:lang w:val="ro-MD"/>
        </w:rPr>
        <w:t xml:space="preserve"> – realizate parțial</w:t>
      </w:r>
      <w:r w:rsidR="003F7601">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și 3 – nerealizate, ceea ce reprezintă un nivel de realizare a planului de activitate de circa </w:t>
      </w:r>
      <w:r w:rsidR="0065429B" w:rsidRPr="001D0846">
        <w:rPr>
          <w:rFonts w:ascii="Times New Roman" w:hAnsi="Times New Roman" w:cs="Times New Roman"/>
          <w:sz w:val="28"/>
          <w:szCs w:val="28"/>
          <w:lang w:val="ro-MD"/>
        </w:rPr>
        <w:t>85</w:t>
      </w:r>
      <w:r w:rsidRPr="001D0846">
        <w:rPr>
          <w:rFonts w:ascii="Times New Roman" w:hAnsi="Times New Roman" w:cs="Times New Roman"/>
          <w:sz w:val="28"/>
          <w:szCs w:val="28"/>
          <w:lang w:val="ro-MD"/>
        </w:rPr>
        <w:t xml:space="preserve"> %.</w:t>
      </w:r>
    </w:p>
    <w:p w:rsidR="006C5161" w:rsidRPr="001D0846" w:rsidRDefault="006C5161" w:rsidP="006358AD">
      <w:pPr>
        <w:pStyle w:val="a7"/>
        <w:tabs>
          <w:tab w:val="left" w:pos="0"/>
        </w:tabs>
        <w:spacing w:after="0" w:line="276" w:lineRule="auto"/>
        <w:ind w:left="0"/>
        <w:jc w:val="both"/>
        <w:rPr>
          <w:rFonts w:ascii="Times New Roman" w:hAnsi="Times New Roman" w:cs="Times New Roman"/>
          <w:sz w:val="28"/>
          <w:szCs w:val="28"/>
        </w:rPr>
      </w:pPr>
      <w:r w:rsidRPr="001D0846">
        <w:rPr>
          <w:rFonts w:ascii="Times New Roman" w:hAnsi="Times New Roman" w:cs="Times New Roman"/>
          <w:sz w:val="28"/>
          <w:szCs w:val="28"/>
          <w:lang w:val="ro-MD"/>
        </w:rPr>
        <w:tab/>
        <w:t xml:space="preserve">În </w:t>
      </w:r>
      <w:r w:rsidR="003F7601">
        <w:rPr>
          <w:rFonts w:ascii="Times New Roman" w:hAnsi="Times New Roman" w:cs="Times New Roman"/>
          <w:sz w:val="28"/>
          <w:szCs w:val="28"/>
          <w:lang w:val="ro-MD"/>
        </w:rPr>
        <w:t>anul</w:t>
      </w:r>
      <w:r w:rsidRPr="001D0846">
        <w:rPr>
          <w:rFonts w:ascii="Times New Roman" w:hAnsi="Times New Roman" w:cs="Times New Roman"/>
          <w:sz w:val="28"/>
          <w:szCs w:val="28"/>
          <w:lang w:val="ro-MD"/>
        </w:rPr>
        <w:t xml:space="preserve"> 2017</w:t>
      </w:r>
      <w:r w:rsidR="003F7601">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din numărul total de 73 de </w:t>
      </w:r>
      <w:proofErr w:type="spellStart"/>
      <w:r w:rsidRPr="001D0846">
        <w:rPr>
          <w:rFonts w:ascii="Times New Roman" w:hAnsi="Times New Roman" w:cs="Times New Roman"/>
          <w:sz w:val="28"/>
          <w:szCs w:val="28"/>
          <w:lang w:val="ro-MD"/>
        </w:rPr>
        <w:t>subactivități</w:t>
      </w:r>
      <w:proofErr w:type="spellEnd"/>
      <w:r w:rsidR="003F7601">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au fost realizate 64 de </w:t>
      </w:r>
      <w:proofErr w:type="spellStart"/>
      <w:r w:rsidRPr="001D0846">
        <w:rPr>
          <w:rFonts w:ascii="Times New Roman" w:hAnsi="Times New Roman" w:cs="Times New Roman"/>
          <w:sz w:val="28"/>
          <w:szCs w:val="28"/>
          <w:lang w:val="ro-MD"/>
        </w:rPr>
        <w:t>subactivități</w:t>
      </w:r>
      <w:proofErr w:type="spellEnd"/>
      <w:r w:rsidRPr="001D0846">
        <w:rPr>
          <w:rFonts w:ascii="Times New Roman" w:hAnsi="Times New Roman" w:cs="Times New Roman"/>
          <w:sz w:val="28"/>
          <w:szCs w:val="28"/>
          <w:lang w:val="ro-MD"/>
        </w:rPr>
        <w:t>, 8 – parțial realizate</w:t>
      </w:r>
      <w:r w:rsidR="003F7601">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și 1 – nerealizată, ceea ce reprezintă un nivel de realizare a planului de activitate de circa 87 %. </w:t>
      </w:r>
      <w:r w:rsidRPr="00363558">
        <w:rPr>
          <w:rFonts w:ascii="Times New Roman" w:hAnsi="Times New Roman" w:cs="Times New Roman"/>
          <w:sz w:val="28"/>
          <w:szCs w:val="28"/>
        </w:rPr>
        <w:t xml:space="preserve">Examinările </w:t>
      </w:r>
      <w:r w:rsidR="00962360">
        <w:rPr>
          <w:rFonts w:ascii="Times New Roman" w:hAnsi="Times New Roman" w:cs="Times New Roman"/>
          <w:sz w:val="28"/>
          <w:szCs w:val="28"/>
        </w:rPr>
        <w:t>ef</w:t>
      </w:r>
      <w:r w:rsidR="003F7601">
        <w:rPr>
          <w:rFonts w:ascii="Times New Roman" w:hAnsi="Times New Roman" w:cs="Times New Roman"/>
          <w:sz w:val="28"/>
          <w:szCs w:val="28"/>
        </w:rPr>
        <w:t xml:space="preserve">ectuate de </w:t>
      </w:r>
      <w:r w:rsidRPr="00363558">
        <w:rPr>
          <w:rFonts w:ascii="Times New Roman" w:hAnsi="Times New Roman" w:cs="Times New Roman"/>
          <w:sz w:val="28"/>
          <w:szCs w:val="28"/>
        </w:rPr>
        <w:t xml:space="preserve">audit </w:t>
      </w:r>
      <w:r w:rsidR="003F7601">
        <w:rPr>
          <w:rFonts w:ascii="Times New Roman" w:hAnsi="Times New Roman" w:cs="Times New Roman"/>
          <w:sz w:val="28"/>
          <w:szCs w:val="28"/>
        </w:rPr>
        <w:t>denotă</w:t>
      </w:r>
      <w:r w:rsidRPr="00363558">
        <w:rPr>
          <w:rFonts w:ascii="Times New Roman" w:hAnsi="Times New Roman" w:cs="Times New Roman"/>
          <w:sz w:val="28"/>
          <w:szCs w:val="28"/>
        </w:rPr>
        <w:t xml:space="preserve"> că printre activitățile parțial realizate în anul 2017</w:t>
      </w:r>
      <w:r w:rsidR="00962360">
        <w:rPr>
          <w:rFonts w:ascii="Times New Roman" w:hAnsi="Times New Roman" w:cs="Times New Roman"/>
          <w:sz w:val="28"/>
          <w:szCs w:val="28"/>
        </w:rPr>
        <w:t>,</w:t>
      </w:r>
      <w:r w:rsidRPr="00363558">
        <w:rPr>
          <w:rFonts w:ascii="Times New Roman" w:hAnsi="Times New Roman" w:cs="Times New Roman"/>
          <w:sz w:val="28"/>
          <w:szCs w:val="28"/>
        </w:rPr>
        <w:t xml:space="preserve"> specifice administrării impozitelor și taxelor</w:t>
      </w:r>
      <w:r w:rsidR="00962360">
        <w:rPr>
          <w:rFonts w:ascii="Times New Roman" w:hAnsi="Times New Roman" w:cs="Times New Roman"/>
          <w:sz w:val="28"/>
          <w:szCs w:val="28"/>
        </w:rPr>
        <w:t>,</w:t>
      </w:r>
      <w:r w:rsidRPr="00363558">
        <w:rPr>
          <w:rFonts w:ascii="Times New Roman" w:hAnsi="Times New Roman" w:cs="Times New Roman"/>
          <w:sz w:val="28"/>
          <w:szCs w:val="28"/>
        </w:rPr>
        <w:t xml:space="preserve"> se enumeră reducerea restanței la BPN, care nu a fost realizată conform </w:t>
      </w:r>
      <w:proofErr w:type="spellStart"/>
      <w:r w:rsidRPr="00363558">
        <w:rPr>
          <w:rFonts w:ascii="Times New Roman" w:hAnsi="Times New Roman" w:cs="Times New Roman"/>
          <w:sz w:val="28"/>
          <w:szCs w:val="28"/>
        </w:rPr>
        <w:t>indicatoului</w:t>
      </w:r>
      <w:proofErr w:type="spellEnd"/>
      <w:r w:rsidRPr="00363558">
        <w:rPr>
          <w:rFonts w:ascii="Times New Roman" w:hAnsi="Times New Roman" w:cs="Times New Roman"/>
          <w:sz w:val="28"/>
          <w:szCs w:val="28"/>
        </w:rPr>
        <w:t xml:space="preserve"> stabilit, </w:t>
      </w:r>
      <w:r w:rsidR="00CB1450" w:rsidRPr="00363558">
        <w:rPr>
          <w:rFonts w:ascii="Times New Roman" w:hAnsi="Times New Roman" w:cs="Times New Roman"/>
          <w:sz w:val="28"/>
          <w:szCs w:val="28"/>
        </w:rPr>
        <w:t xml:space="preserve">precum și </w:t>
      </w:r>
      <w:r w:rsidRPr="00363558">
        <w:rPr>
          <w:rFonts w:ascii="Times New Roman" w:hAnsi="Times New Roman" w:cs="Times New Roman"/>
          <w:sz w:val="28"/>
          <w:szCs w:val="28"/>
        </w:rPr>
        <w:t xml:space="preserve">executarea planului de controale </w:t>
      </w:r>
      <w:r w:rsidR="00CB1450" w:rsidRPr="00363558">
        <w:rPr>
          <w:rFonts w:ascii="Times New Roman" w:hAnsi="Times New Roman" w:cs="Times New Roman"/>
          <w:sz w:val="28"/>
          <w:szCs w:val="28"/>
        </w:rPr>
        <w:t>la nivelul planificat</w:t>
      </w:r>
      <w:r w:rsidRPr="00363558">
        <w:rPr>
          <w:rFonts w:ascii="Times New Roman" w:hAnsi="Times New Roman" w:cs="Times New Roman"/>
          <w:sz w:val="28"/>
          <w:szCs w:val="28"/>
        </w:rPr>
        <w:t xml:space="preserve"> pentru anul 2017 etc.</w:t>
      </w:r>
      <w:r w:rsidRPr="001D0846">
        <w:rPr>
          <w:rFonts w:ascii="Times New Roman" w:hAnsi="Times New Roman" w:cs="Times New Roman"/>
          <w:sz w:val="28"/>
          <w:szCs w:val="28"/>
        </w:rPr>
        <w:t xml:space="preserve"> </w:t>
      </w:r>
    </w:p>
    <w:p w:rsidR="006C5161" w:rsidRPr="001D0846" w:rsidRDefault="006C5161" w:rsidP="006358AD">
      <w:pPr>
        <w:pStyle w:val="a7"/>
        <w:tabs>
          <w:tab w:val="left" w:pos="0"/>
        </w:tabs>
        <w:spacing w:after="0" w:line="276" w:lineRule="auto"/>
        <w:ind w:left="0" w:firstLine="709"/>
        <w:jc w:val="both"/>
        <w:rPr>
          <w:rFonts w:ascii="Times New Roman" w:hAnsi="Times New Roman" w:cs="Times New Roman"/>
          <w:sz w:val="28"/>
          <w:szCs w:val="28"/>
        </w:rPr>
      </w:pPr>
      <w:r w:rsidRPr="001D0846">
        <w:rPr>
          <w:rFonts w:ascii="Times New Roman" w:hAnsi="Times New Roman" w:cs="Times New Roman"/>
          <w:sz w:val="28"/>
          <w:szCs w:val="28"/>
        </w:rPr>
        <w:t>Pe lângă obiectivele și indicatorii prevăzu</w:t>
      </w:r>
      <w:r w:rsidR="00962360">
        <w:rPr>
          <w:rFonts w:ascii="Times New Roman" w:hAnsi="Times New Roman" w:cs="Times New Roman"/>
          <w:sz w:val="28"/>
          <w:szCs w:val="28"/>
        </w:rPr>
        <w:t>ți</w:t>
      </w:r>
      <w:r w:rsidRPr="001D0846">
        <w:rPr>
          <w:rFonts w:ascii="Times New Roman" w:hAnsi="Times New Roman" w:cs="Times New Roman"/>
          <w:sz w:val="28"/>
          <w:szCs w:val="28"/>
        </w:rPr>
        <w:t xml:space="preserve"> în strategiile și planurile de activitate, SFS și SV anual urmau să întocmească programe fundamentate pe performanță și rapoarte de evaluare a executării acestora.</w:t>
      </w:r>
    </w:p>
    <w:p w:rsidR="006C5161" w:rsidRPr="001D0846" w:rsidRDefault="006C5161" w:rsidP="006358AD">
      <w:pPr>
        <w:pStyle w:val="a7"/>
        <w:tabs>
          <w:tab w:val="left" w:pos="0"/>
        </w:tabs>
        <w:spacing w:after="0" w:line="276" w:lineRule="auto"/>
        <w:ind w:left="0"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Analiza efectuată de audit relevă că, în </w:t>
      </w:r>
      <w:r w:rsidR="00962360">
        <w:rPr>
          <w:rFonts w:ascii="Times New Roman" w:hAnsi="Times New Roman" w:cs="Times New Roman"/>
          <w:sz w:val="28"/>
          <w:szCs w:val="28"/>
        </w:rPr>
        <w:t>anul</w:t>
      </w:r>
      <w:r w:rsidRPr="001D0846">
        <w:rPr>
          <w:rFonts w:ascii="Times New Roman" w:hAnsi="Times New Roman" w:cs="Times New Roman"/>
          <w:sz w:val="28"/>
          <w:szCs w:val="28"/>
        </w:rPr>
        <w:t xml:space="preserve"> 2017</w:t>
      </w:r>
      <w:r w:rsidR="00962360">
        <w:rPr>
          <w:rFonts w:ascii="Times New Roman" w:hAnsi="Times New Roman" w:cs="Times New Roman"/>
          <w:sz w:val="28"/>
          <w:szCs w:val="28"/>
        </w:rPr>
        <w:t>,</w:t>
      </w:r>
      <w:r w:rsidRPr="001D0846">
        <w:rPr>
          <w:rFonts w:ascii="Times New Roman" w:hAnsi="Times New Roman" w:cs="Times New Roman"/>
          <w:sz w:val="28"/>
          <w:szCs w:val="28"/>
        </w:rPr>
        <w:t xml:space="preserve"> în cadrul </w:t>
      </w:r>
      <w:r w:rsidR="00962360">
        <w:rPr>
          <w:rFonts w:ascii="Times New Roman" w:hAnsi="Times New Roman" w:cs="Times New Roman"/>
          <w:sz w:val="28"/>
          <w:szCs w:val="28"/>
        </w:rPr>
        <w:t>P</w:t>
      </w:r>
      <w:r w:rsidRPr="001D0846">
        <w:rPr>
          <w:rFonts w:ascii="Times New Roman" w:hAnsi="Times New Roman" w:cs="Times New Roman"/>
          <w:sz w:val="28"/>
          <w:szCs w:val="28"/>
        </w:rPr>
        <w:t>rogramului ,,Managementul finanțelor publice”</w:t>
      </w:r>
      <w:r w:rsidR="00962360">
        <w:rPr>
          <w:rFonts w:ascii="Times New Roman" w:hAnsi="Times New Roman" w:cs="Times New Roman"/>
          <w:sz w:val="28"/>
          <w:szCs w:val="28"/>
        </w:rPr>
        <w:t>,</w:t>
      </w:r>
      <w:r w:rsidRPr="001D0846">
        <w:rPr>
          <w:rFonts w:ascii="Times New Roman" w:hAnsi="Times New Roman" w:cs="Times New Roman"/>
          <w:sz w:val="28"/>
          <w:szCs w:val="28"/>
        </w:rPr>
        <w:t xml:space="preserve"> a fost aprobat subprogramul ,,Administrarea veniturilor publice”</w:t>
      </w:r>
      <w:r w:rsidR="00962360">
        <w:rPr>
          <w:rFonts w:ascii="Times New Roman" w:hAnsi="Times New Roman" w:cs="Times New Roman"/>
          <w:sz w:val="28"/>
          <w:szCs w:val="28"/>
        </w:rPr>
        <w:t>,</w:t>
      </w:r>
      <w:r w:rsidRPr="001D0846">
        <w:rPr>
          <w:rFonts w:ascii="Times New Roman" w:hAnsi="Times New Roman" w:cs="Times New Roman"/>
          <w:sz w:val="28"/>
          <w:szCs w:val="28"/>
        </w:rPr>
        <w:t xml:space="preserve"> care are ca scop asigurarea colectării transparente, integrale și în timp util a veniturilor bugetare, prin sporirea conformării voluntare a contribuabililor și combaterea fraudei și a traficului ilicit de mărfuri. În cadrul programului, MF a stabilit și </w:t>
      </w:r>
      <w:r w:rsidR="00270BFD">
        <w:rPr>
          <w:rFonts w:ascii="Times New Roman" w:hAnsi="Times New Roman" w:cs="Times New Roman"/>
          <w:sz w:val="28"/>
          <w:szCs w:val="28"/>
        </w:rPr>
        <w:t xml:space="preserve">a </w:t>
      </w:r>
      <w:r w:rsidRPr="001D0846">
        <w:rPr>
          <w:rFonts w:ascii="Times New Roman" w:hAnsi="Times New Roman" w:cs="Times New Roman"/>
          <w:sz w:val="28"/>
          <w:szCs w:val="28"/>
        </w:rPr>
        <w:t>aprobat atât pentru SFS</w:t>
      </w:r>
      <w:r w:rsidR="00270BFD">
        <w:rPr>
          <w:rFonts w:ascii="Times New Roman" w:hAnsi="Times New Roman" w:cs="Times New Roman"/>
          <w:sz w:val="28"/>
          <w:szCs w:val="28"/>
        </w:rPr>
        <w:t>,</w:t>
      </w:r>
      <w:r w:rsidRPr="001D0846">
        <w:rPr>
          <w:rFonts w:ascii="Times New Roman" w:hAnsi="Times New Roman" w:cs="Times New Roman"/>
          <w:sz w:val="28"/>
          <w:szCs w:val="28"/>
        </w:rPr>
        <w:t xml:space="preserve"> c</w:t>
      </w:r>
      <w:r w:rsidR="00270BFD">
        <w:rPr>
          <w:rFonts w:ascii="Times New Roman" w:hAnsi="Times New Roman" w:cs="Times New Roman"/>
          <w:sz w:val="28"/>
          <w:szCs w:val="28"/>
        </w:rPr>
        <w:t>â</w:t>
      </w:r>
      <w:r w:rsidRPr="001D0846">
        <w:rPr>
          <w:rFonts w:ascii="Times New Roman" w:hAnsi="Times New Roman" w:cs="Times New Roman"/>
          <w:sz w:val="28"/>
          <w:szCs w:val="28"/>
        </w:rPr>
        <w:t xml:space="preserve">t și </w:t>
      </w:r>
      <w:r w:rsidR="00270BFD">
        <w:rPr>
          <w:rFonts w:ascii="Times New Roman" w:hAnsi="Times New Roman" w:cs="Times New Roman"/>
          <w:sz w:val="28"/>
          <w:szCs w:val="28"/>
        </w:rPr>
        <w:t xml:space="preserve">pentru </w:t>
      </w:r>
      <w:r w:rsidRPr="001D0846">
        <w:rPr>
          <w:rFonts w:ascii="Times New Roman" w:hAnsi="Times New Roman" w:cs="Times New Roman"/>
          <w:sz w:val="28"/>
          <w:szCs w:val="28"/>
        </w:rPr>
        <w:t xml:space="preserve">SV obiective în administrarea impozitelor și taxelor.  </w:t>
      </w:r>
    </w:p>
    <w:p w:rsidR="006C5161" w:rsidRPr="001D0846" w:rsidRDefault="006C5161" w:rsidP="004E6757">
      <w:pPr>
        <w:pStyle w:val="a7"/>
        <w:tabs>
          <w:tab w:val="left" w:pos="0"/>
        </w:tabs>
        <w:spacing w:after="0" w:line="276" w:lineRule="auto"/>
        <w:ind w:left="0" w:firstLine="709"/>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Astfel, pentru administrarea fiscală</w:t>
      </w:r>
      <w:r w:rsidR="00270BFD">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MF a stabilit următoarele obiective:</w:t>
      </w:r>
      <w:r w:rsidR="004E6757" w:rsidRPr="001D0846">
        <w:rPr>
          <w:rFonts w:ascii="Times New Roman" w:hAnsi="Times New Roman" w:cs="Times New Roman"/>
          <w:sz w:val="28"/>
          <w:szCs w:val="28"/>
          <w:lang w:val="ro-MD"/>
        </w:rPr>
        <w:t xml:space="preserve"> </w:t>
      </w:r>
      <w:r w:rsidR="00363558">
        <w:rPr>
          <w:rFonts w:ascii="Times New Roman" w:hAnsi="Times New Roman" w:cs="Times New Roman"/>
          <w:sz w:val="28"/>
          <w:szCs w:val="28"/>
          <w:lang w:val="ro-MD"/>
        </w:rPr>
        <w:t xml:space="preserve">                 </w:t>
      </w:r>
      <w:r w:rsidRPr="001D0846">
        <w:rPr>
          <w:rFonts w:ascii="Times New Roman" w:hAnsi="Times New Roman" w:cs="Times New Roman"/>
          <w:i/>
          <w:sz w:val="28"/>
          <w:szCs w:val="28"/>
          <w:lang w:val="ro-MD"/>
        </w:rPr>
        <w:t>(1)</w:t>
      </w:r>
      <w:r w:rsidRPr="001D0846">
        <w:rPr>
          <w:rFonts w:ascii="Times New Roman" w:hAnsi="Times New Roman" w:cs="Times New Roman"/>
          <w:sz w:val="28"/>
          <w:szCs w:val="28"/>
          <w:lang w:val="ro-MD"/>
        </w:rPr>
        <w:t xml:space="preserve"> Executarea planului de venituri pentru toate bugetele componente ale BPN la nivel de 100%; </w:t>
      </w:r>
      <w:r w:rsidRPr="001D0846">
        <w:rPr>
          <w:rFonts w:ascii="Times New Roman" w:hAnsi="Times New Roman" w:cs="Times New Roman"/>
          <w:i/>
          <w:sz w:val="28"/>
          <w:szCs w:val="28"/>
          <w:lang w:val="ro-MD"/>
        </w:rPr>
        <w:t>(2)</w:t>
      </w:r>
      <w:r w:rsidR="00130BE3">
        <w:rPr>
          <w:rFonts w:ascii="Times New Roman" w:hAnsi="Times New Roman" w:cs="Times New Roman"/>
          <w:i/>
          <w:sz w:val="28"/>
          <w:szCs w:val="28"/>
          <w:lang w:val="ro-MD"/>
        </w:rPr>
        <w:t xml:space="preserve"> </w:t>
      </w:r>
      <w:r w:rsidRPr="001D0846">
        <w:rPr>
          <w:rFonts w:ascii="Times New Roman" w:hAnsi="Times New Roman" w:cs="Times New Roman"/>
          <w:sz w:val="28"/>
          <w:szCs w:val="28"/>
          <w:lang w:val="ro-MD"/>
        </w:rPr>
        <w:t xml:space="preserve">Creșterea calității serviciilor fiscale pentru asigurarea eficientizării administrării fiscale; </w:t>
      </w:r>
      <w:r w:rsidRPr="001D0846">
        <w:rPr>
          <w:rFonts w:ascii="Times New Roman" w:hAnsi="Times New Roman" w:cs="Times New Roman"/>
          <w:i/>
          <w:sz w:val="28"/>
          <w:szCs w:val="28"/>
          <w:lang w:val="ro-MD"/>
        </w:rPr>
        <w:t>(3)</w:t>
      </w:r>
      <w:r w:rsidRPr="001D0846">
        <w:rPr>
          <w:rFonts w:ascii="Times New Roman" w:hAnsi="Times New Roman" w:cs="Times New Roman"/>
          <w:sz w:val="28"/>
          <w:szCs w:val="28"/>
          <w:lang w:val="ro-MD"/>
        </w:rPr>
        <w:t xml:space="preserve"> Consolidarea managementului de conformare fiscală, prin elaborarea și implementarea documentației specifice (metodologii, strategii, programe, studii); </w:t>
      </w:r>
      <w:r w:rsidRPr="001D0846">
        <w:rPr>
          <w:rFonts w:ascii="Times New Roman" w:hAnsi="Times New Roman" w:cs="Times New Roman"/>
          <w:i/>
          <w:sz w:val="28"/>
          <w:szCs w:val="28"/>
          <w:lang w:val="ro-MD"/>
        </w:rPr>
        <w:t>(4)</w:t>
      </w:r>
      <w:r w:rsidRPr="001D0846">
        <w:rPr>
          <w:rFonts w:ascii="Times New Roman" w:hAnsi="Times New Roman" w:cs="Times New Roman"/>
          <w:sz w:val="28"/>
          <w:szCs w:val="28"/>
          <w:lang w:val="ro-MD"/>
        </w:rPr>
        <w:t xml:space="preserve"> Modernizarea co</w:t>
      </w:r>
      <w:r w:rsidR="00056CF6" w:rsidRPr="001D0846">
        <w:rPr>
          <w:rFonts w:ascii="Times New Roman" w:hAnsi="Times New Roman" w:cs="Times New Roman"/>
          <w:sz w:val="28"/>
          <w:szCs w:val="28"/>
          <w:lang w:val="ro-MD"/>
        </w:rPr>
        <w:t xml:space="preserve">ntrolului fiscal; </w:t>
      </w:r>
      <w:r w:rsidRPr="001D0846">
        <w:rPr>
          <w:rFonts w:ascii="Times New Roman" w:hAnsi="Times New Roman" w:cs="Times New Roman"/>
          <w:i/>
          <w:sz w:val="28"/>
          <w:szCs w:val="28"/>
          <w:lang w:val="ro-MD"/>
        </w:rPr>
        <w:t>(5)</w:t>
      </w:r>
      <w:r w:rsidRPr="001D0846">
        <w:rPr>
          <w:rFonts w:ascii="Times New Roman" w:hAnsi="Times New Roman" w:cs="Times New Roman"/>
          <w:sz w:val="28"/>
          <w:szCs w:val="28"/>
          <w:lang w:val="ro-MD"/>
        </w:rPr>
        <w:t xml:space="preserve"> Dezvoltarea unui sistem eficient de gestionare a restanțelor; </w:t>
      </w:r>
      <w:r w:rsidRPr="001D0846">
        <w:rPr>
          <w:rFonts w:ascii="Times New Roman" w:hAnsi="Times New Roman" w:cs="Times New Roman"/>
          <w:i/>
          <w:sz w:val="28"/>
          <w:szCs w:val="28"/>
          <w:lang w:val="ro-MD"/>
        </w:rPr>
        <w:t>(6)</w:t>
      </w:r>
      <w:r w:rsidRPr="001D0846">
        <w:rPr>
          <w:rFonts w:ascii="Times New Roman" w:hAnsi="Times New Roman" w:cs="Times New Roman"/>
          <w:sz w:val="28"/>
          <w:szCs w:val="28"/>
          <w:lang w:val="ro-MD"/>
        </w:rPr>
        <w:t xml:space="preserve"> Modernizarea infrastructurii tehnice și adaptarea acesteia la noua structu</w:t>
      </w:r>
      <w:r w:rsidR="00056CF6" w:rsidRPr="001D0846">
        <w:rPr>
          <w:rFonts w:ascii="Times New Roman" w:hAnsi="Times New Roman" w:cs="Times New Roman"/>
          <w:sz w:val="28"/>
          <w:szCs w:val="28"/>
          <w:lang w:val="ro-MD"/>
        </w:rPr>
        <w:t xml:space="preserve">ră organizatorică; </w:t>
      </w:r>
      <w:r w:rsidRPr="001D0846">
        <w:rPr>
          <w:rFonts w:ascii="Times New Roman" w:hAnsi="Times New Roman" w:cs="Times New Roman"/>
          <w:i/>
          <w:sz w:val="28"/>
          <w:szCs w:val="28"/>
          <w:lang w:val="ro-MD"/>
        </w:rPr>
        <w:t>(7)</w:t>
      </w:r>
      <w:r w:rsidR="00130BE3">
        <w:rPr>
          <w:rFonts w:ascii="Times New Roman" w:hAnsi="Times New Roman" w:cs="Times New Roman"/>
          <w:i/>
          <w:sz w:val="28"/>
          <w:szCs w:val="28"/>
          <w:lang w:val="ro-MD"/>
        </w:rPr>
        <w:t xml:space="preserve"> </w:t>
      </w:r>
      <w:r w:rsidRPr="001D0846">
        <w:rPr>
          <w:rFonts w:ascii="Times New Roman" w:hAnsi="Times New Roman" w:cs="Times New Roman"/>
          <w:sz w:val="28"/>
          <w:szCs w:val="28"/>
          <w:lang w:val="ro-MD"/>
        </w:rPr>
        <w:t xml:space="preserve">Implementarea sistemului informațional integrat; </w:t>
      </w:r>
      <w:r w:rsidRPr="001D0846">
        <w:rPr>
          <w:rFonts w:ascii="Times New Roman" w:hAnsi="Times New Roman" w:cs="Times New Roman"/>
          <w:i/>
          <w:sz w:val="28"/>
          <w:szCs w:val="28"/>
          <w:lang w:val="ro-MD"/>
        </w:rPr>
        <w:t>(8)</w:t>
      </w:r>
      <w:r w:rsidRPr="001D0846">
        <w:rPr>
          <w:rFonts w:ascii="Times New Roman" w:hAnsi="Times New Roman" w:cs="Times New Roman"/>
          <w:sz w:val="28"/>
          <w:szCs w:val="28"/>
          <w:lang w:val="ro-MD"/>
        </w:rPr>
        <w:t xml:space="preserve"> Optimizarea procedurilor de administrare fiscală a contribuabililor mari.</w:t>
      </w:r>
    </w:p>
    <w:p w:rsidR="006C5161" w:rsidRPr="001D0846" w:rsidRDefault="006C5161" w:rsidP="006358AD">
      <w:pPr>
        <w:tabs>
          <w:tab w:val="left" w:pos="0"/>
        </w:tabs>
        <w:spacing w:after="0" w:line="276" w:lineRule="auto"/>
        <w:jc w:val="both"/>
        <w:rPr>
          <w:rFonts w:ascii="Times New Roman" w:hAnsi="Times New Roman" w:cs="Times New Roman"/>
          <w:sz w:val="20"/>
          <w:szCs w:val="20"/>
        </w:rPr>
      </w:pPr>
      <w:r w:rsidRPr="001D0846">
        <w:rPr>
          <w:rFonts w:ascii="Times New Roman" w:hAnsi="Times New Roman" w:cs="Times New Roman"/>
          <w:sz w:val="28"/>
          <w:szCs w:val="28"/>
        </w:rPr>
        <w:tab/>
      </w:r>
      <w:r w:rsidRPr="00363558">
        <w:rPr>
          <w:rFonts w:ascii="Times New Roman" w:hAnsi="Times New Roman" w:cs="Times New Roman"/>
          <w:sz w:val="28"/>
          <w:szCs w:val="28"/>
        </w:rPr>
        <w:t xml:space="preserve">Evaluările </w:t>
      </w:r>
      <w:r w:rsidR="00445C98">
        <w:rPr>
          <w:rFonts w:ascii="Times New Roman" w:hAnsi="Times New Roman" w:cs="Times New Roman"/>
          <w:sz w:val="28"/>
          <w:szCs w:val="28"/>
        </w:rPr>
        <w:t xml:space="preserve">efectuate de </w:t>
      </w:r>
      <w:r w:rsidRPr="00363558">
        <w:rPr>
          <w:rFonts w:ascii="Times New Roman" w:hAnsi="Times New Roman" w:cs="Times New Roman"/>
          <w:sz w:val="28"/>
          <w:szCs w:val="28"/>
        </w:rPr>
        <w:t xml:space="preserve">audit asupra realizării obiectivelor aprobate și raportării rezultatelor atinse relevă că SFS a </w:t>
      </w:r>
      <w:r w:rsidR="00363558" w:rsidRPr="00363558">
        <w:rPr>
          <w:rFonts w:ascii="Times New Roman" w:hAnsi="Times New Roman" w:cs="Times New Roman"/>
          <w:sz w:val="28"/>
          <w:szCs w:val="28"/>
        </w:rPr>
        <w:t xml:space="preserve">raportat </w:t>
      </w:r>
      <w:r w:rsidRPr="00363558">
        <w:rPr>
          <w:rFonts w:ascii="Times New Roman" w:hAnsi="Times New Roman" w:cs="Times New Roman"/>
          <w:sz w:val="28"/>
          <w:szCs w:val="28"/>
        </w:rPr>
        <w:t xml:space="preserve">realizarea doar a 5 obiective din totalul </w:t>
      </w:r>
      <w:r w:rsidR="00445C98">
        <w:rPr>
          <w:rFonts w:ascii="Times New Roman" w:hAnsi="Times New Roman" w:cs="Times New Roman"/>
          <w:sz w:val="28"/>
          <w:szCs w:val="28"/>
        </w:rPr>
        <w:t>de</w:t>
      </w:r>
      <w:r w:rsidRPr="00363558">
        <w:rPr>
          <w:rFonts w:ascii="Times New Roman" w:hAnsi="Times New Roman" w:cs="Times New Roman"/>
          <w:sz w:val="28"/>
          <w:szCs w:val="28"/>
        </w:rPr>
        <w:t xml:space="preserve"> 8</w:t>
      </w:r>
      <w:r w:rsidR="00445C98">
        <w:rPr>
          <w:rFonts w:ascii="Times New Roman" w:hAnsi="Times New Roman" w:cs="Times New Roman"/>
          <w:sz w:val="28"/>
          <w:szCs w:val="28"/>
        </w:rPr>
        <w:t xml:space="preserve"> obiective</w:t>
      </w:r>
      <w:r w:rsidRPr="00363558">
        <w:rPr>
          <w:rFonts w:ascii="Times New Roman" w:hAnsi="Times New Roman" w:cs="Times New Roman"/>
          <w:sz w:val="28"/>
          <w:szCs w:val="28"/>
        </w:rPr>
        <w:t xml:space="preserve"> aprobate</w:t>
      </w:r>
      <w:r w:rsidR="00363558" w:rsidRPr="00363558">
        <w:rPr>
          <w:rFonts w:ascii="Times New Roman" w:hAnsi="Times New Roman" w:cs="Times New Roman"/>
          <w:sz w:val="28"/>
          <w:szCs w:val="28"/>
        </w:rPr>
        <w:t xml:space="preserve"> de către MF</w:t>
      </w:r>
      <w:r w:rsidRPr="00363558">
        <w:rPr>
          <w:rFonts w:ascii="Times New Roman" w:hAnsi="Times New Roman" w:cs="Times New Roman"/>
          <w:sz w:val="28"/>
          <w:szCs w:val="28"/>
        </w:rPr>
        <w:t xml:space="preserve">, </w:t>
      </w:r>
      <w:r w:rsidRPr="00363558">
        <w:rPr>
          <w:rFonts w:ascii="Times New Roman" w:hAnsi="Times New Roman" w:cs="Times New Roman"/>
          <w:i/>
          <w:sz w:val="28"/>
          <w:szCs w:val="28"/>
        </w:rPr>
        <w:t xml:space="preserve">situație care </w:t>
      </w:r>
      <w:r w:rsidR="00445C98">
        <w:rPr>
          <w:rFonts w:ascii="Times New Roman" w:hAnsi="Times New Roman" w:cs="Times New Roman"/>
          <w:i/>
          <w:sz w:val="28"/>
          <w:szCs w:val="28"/>
        </w:rPr>
        <w:t>este</w:t>
      </w:r>
      <w:r w:rsidRPr="00363558">
        <w:rPr>
          <w:rFonts w:ascii="Times New Roman" w:hAnsi="Times New Roman" w:cs="Times New Roman"/>
          <w:i/>
          <w:sz w:val="28"/>
          <w:szCs w:val="28"/>
        </w:rPr>
        <w:t xml:space="preserve"> prez</w:t>
      </w:r>
      <w:r w:rsidR="00445C98">
        <w:rPr>
          <w:rFonts w:ascii="Times New Roman" w:hAnsi="Times New Roman" w:cs="Times New Roman"/>
          <w:i/>
          <w:sz w:val="28"/>
          <w:szCs w:val="28"/>
        </w:rPr>
        <w:t>enta</w:t>
      </w:r>
      <w:r w:rsidRPr="00363558">
        <w:rPr>
          <w:rFonts w:ascii="Times New Roman" w:hAnsi="Times New Roman" w:cs="Times New Roman"/>
          <w:i/>
          <w:sz w:val="28"/>
          <w:szCs w:val="28"/>
        </w:rPr>
        <w:t xml:space="preserve">tă în Tabelul </w:t>
      </w:r>
      <w:r w:rsidR="00D1260C" w:rsidRPr="00363558">
        <w:rPr>
          <w:rFonts w:ascii="Times New Roman" w:hAnsi="Times New Roman" w:cs="Times New Roman"/>
          <w:i/>
          <w:sz w:val="28"/>
          <w:szCs w:val="28"/>
        </w:rPr>
        <w:t>nr.1</w:t>
      </w:r>
      <w:r w:rsidR="007D6FA0" w:rsidRPr="00363558">
        <w:rPr>
          <w:rFonts w:ascii="Times New Roman" w:hAnsi="Times New Roman" w:cs="Times New Roman"/>
          <w:i/>
          <w:sz w:val="28"/>
          <w:szCs w:val="28"/>
        </w:rPr>
        <w:t xml:space="preserve"> din Anexa nr.3</w:t>
      </w:r>
      <w:r w:rsidR="00BB1301" w:rsidRPr="00363558">
        <w:rPr>
          <w:rFonts w:ascii="Times New Roman" w:hAnsi="Times New Roman" w:cs="Times New Roman"/>
          <w:i/>
          <w:sz w:val="28"/>
          <w:szCs w:val="28"/>
        </w:rPr>
        <w:t xml:space="preserve"> la Raport</w:t>
      </w:r>
      <w:r w:rsidR="00445C98">
        <w:rPr>
          <w:rFonts w:ascii="Times New Roman" w:hAnsi="Times New Roman" w:cs="Times New Roman"/>
          <w:i/>
          <w:sz w:val="28"/>
          <w:szCs w:val="28"/>
        </w:rPr>
        <w:t>ul</w:t>
      </w:r>
      <w:r w:rsidR="00BB1301" w:rsidRPr="00363558">
        <w:rPr>
          <w:rFonts w:ascii="Times New Roman" w:hAnsi="Times New Roman" w:cs="Times New Roman"/>
          <w:i/>
          <w:sz w:val="28"/>
          <w:szCs w:val="28"/>
        </w:rPr>
        <w:t xml:space="preserve"> de audit.</w:t>
      </w:r>
    </w:p>
    <w:p w:rsidR="006C5161" w:rsidRPr="001D0846" w:rsidRDefault="006C5161" w:rsidP="000A421F">
      <w:pPr>
        <w:tabs>
          <w:tab w:val="left" w:pos="0"/>
        </w:tabs>
        <w:spacing w:after="0" w:line="276" w:lineRule="auto"/>
        <w:ind w:right="-2"/>
        <w:jc w:val="both"/>
        <w:rPr>
          <w:rFonts w:ascii="Times New Roman" w:hAnsi="Times New Roman" w:cs="Times New Roman"/>
          <w:sz w:val="28"/>
          <w:szCs w:val="28"/>
        </w:rPr>
      </w:pPr>
      <w:r w:rsidRPr="001D0846">
        <w:rPr>
          <w:rFonts w:ascii="Times New Roman" w:hAnsi="Times New Roman" w:cs="Times New Roman"/>
          <w:sz w:val="28"/>
          <w:szCs w:val="28"/>
        </w:rPr>
        <w:tab/>
      </w:r>
      <w:r w:rsidR="00BB1301" w:rsidRPr="001D0846">
        <w:rPr>
          <w:rFonts w:ascii="Times New Roman" w:hAnsi="Times New Roman" w:cs="Times New Roman"/>
          <w:sz w:val="28"/>
          <w:szCs w:val="28"/>
        </w:rPr>
        <w:t xml:space="preserve">Analiza </w:t>
      </w:r>
      <w:r w:rsidR="00445C98">
        <w:rPr>
          <w:rFonts w:ascii="Times New Roman" w:hAnsi="Times New Roman" w:cs="Times New Roman"/>
          <w:sz w:val="28"/>
          <w:szCs w:val="28"/>
        </w:rPr>
        <w:t xml:space="preserve">efectuată de </w:t>
      </w:r>
      <w:r w:rsidR="00056CF6" w:rsidRPr="001D0846">
        <w:rPr>
          <w:rFonts w:ascii="Times New Roman" w:hAnsi="Times New Roman" w:cs="Times New Roman"/>
          <w:sz w:val="28"/>
          <w:szCs w:val="28"/>
        </w:rPr>
        <w:t xml:space="preserve">audit denotă că, </w:t>
      </w:r>
      <w:r w:rsidRPr="001D0846">
        <w:rPr>
          <w:rFonts w:ascii="Times New Roman" w:hAnsi="Times New Roman" w:cs="Times New Roman"/>
          <w:sz w:val="28"/>
          <w:szCs w:val="28"/>
        </w:rPr>
        <w:t>din cele 5 obiective raportate</w:t>
      </w:r>
      <w:r w:rsidR="00445C98">
        <w:rPr>
          <w:rFonts w:ascii="Times New Roman" w:hAnsi="Times New Roman" w:cs="Times New Roman"/>
          <w:sz w:val="28"/>
          <w:szCs w:val="28"/>
        </w:rPr>
        <w:t>,</w:t>
      </w:r>
      <w:r w:rsidRPr="001D0846">
        <w:rPr>
          <w:rFonts w:ascii="Times New Roman" w:hAnsi="Times New Roman" w:cs="Times New Roman"/>
          <w:sz w:val="28"/>
          <w:szCs w:val="28"/>
        </w:rPr>
        <w:t xml:space="preserve"> doar 2  coincid integral cu cele aprobate de MF, celelalte 3 </w:t>
      </w:r>
      <w:r w:rsidRPr="00363558">
        <w:rPr>
          <w:rFonts w:ascii="Times New Roman" w:hAnsi="Times New Roman" w:cs="Times New Roman"/>
          <w:sz w:val="28"/>
          <w:szCs w:val="28"/>
        </w:rPr>
        <w:t xml:space="preserve">obiective au fost modificate, </w:t>
      </w:r>
      <w:r w:rsidRPr="00363558">
        <w:rPr>
          <w:rFonts w:ascii="Times New Roman" w:hAnsi="Times New Roman" w:cs="Times New Roman"/>
          <w:sz w:val="28"/>
          <w:szCs w:val="28"/>
        </w:rPr>
        <w:lastRenderedPageBreak/>
        <w:t xml:space="preserve">fiind stabilită o arie mai îngustă a activității în vederea raportării pozitive a rezultatelor efectiv realizate. Astfel, </w:t>
      </w:r>
      <w:r w:rsidR="00C20F11" w:rsidRPr="00363558">
        <w:rPr>
          <w:rFonts w:ascii="Times New Roman" w:hAnsi="Times New Roman" w:cs="Times New Roman"/>
          <w:sz w:val="28"/>
          <w:szCs w:val="28"/>
        </w:rPr>
        <w:t>exemplificăm că</w:t>
      </w:r>
      <w:r w:rsidRPr="00363558">
        <w:rPr>
          <w:rFonts w:ascii="Times New Roman" w:hAnsi="Times New Roman" w:cs="Times New Roman"/>
          <w:sz w:val="28"/>
          <w:szCs w:val="28"/>
        </w:rPr>
        <w:t xml:space="preserve"> </w:t>
      </w:r>
      <w:r w:rsidR="00C87B63" w:rsidRPr="00363558">
        <w:rPr>
          <w:rFonts w:ascii="Times New Roman" w:hAnsi="Times New Roman" w:cs="Times New Roman"/>
          <w:sz w:val="28"/>
          <w:szCs w:val="28"/>
        </w:rPr>
        <w:t xml:space="preserve">obiectivul </w:t>
      </w:r>
      <w:r w:rsidR="00363558">
        <w:rPr>
          <w:rFonts w:ascii="Times New Roman" w:hAnsi="Times New Roman" w:cs="Times New Roman"/>
          <w:sz w:val="28"/>
          <w:szCs w:val="28"/>
        </w:rPr>
        <w:t>,,</w:t>
      </w:r>
      <w:r w:rsidRPr="00363558">
        <w:rPr>
          <w:rFonts w:ascii="Times New Roman" w:hAnsi="Times New Roman" w:cs="Times New Roman"/>
          <w:sz w:val="28"/>
          <w:szCs w:val="28"/>
        </w:rPr>
        <w:t xml:space="preserve">Dezvoltarea unui sistem eficient de gestionare a </w:t>
      </w:r>
      <w:r w:rsidR="00C20F11" w:rsidRPr="00363558">
        <w:rPr>
          <w:rFonts w:ascii="Times New Roman" w:hAnsi="Times New Roman" w:cs="Times New Roman"/>
          <w:sz w:val="28"/>
          <w:szCs w:val="28"/>
        </w:rPr>
        <w:t>restanțelor”</w:t>
      </w:r>
      <w:r w:rsidR="00445C98">
        <w:rPr>
          <w:rFonts w:ascii="Times New Roman" w:hAnsi="Times New Roman" w:cs="Times New Roman"/>
          <w:sz w:val="28"/>
          <w:szCs w:val="28"/>
        </w:rPr>
        <w:t>,</w:t>
      </w:r>
      <w:r w:rsidR="00C20F11" w:rsidRPr="00363558">
        <w:rPr>
          <w:rFonts w:ascii="Times New Roman" w:hAnsi="Times New Roman" w:cs="Times New Roman"/>
          <w:sz w:val="28"/>
          <w:szCs w:val="28"/>
        </w:rPr>
        <w:t xml:space="preserve"> aprobat de MF</w:t>
      </w:r>
      <w:r w:rsidR="00445C98">
        <w:rPr>
          <w:rFonts w:ascii="Times New Roman" w:hAnsi="Times New Roman" w:cs="Times New Roman"/>
          <w:sz w:val="28"/>
          <w:szCs w:val="28"/>
        </w:rPr>
        <w:t>,</w:t>
      </w:r>
      <w:r w:rsidRPr="00363558">
        <w:rPr>
          <w:rFonts w:ascii="Times New Roman" w:hAnsi="Times New Roman" w:cs="Times New Roman"/>
          <w:sz w:val="28"/>
          <w:szCs w:val="28"/>
        </w:rPr>
        <w:t xml:space="preserve"> a fost substituit de către SFS cu obiectivul ,,Diminuarea arieratelor la BPN (cu cel puțin 10% faț</w:t>
      </w:r>
      <w:r w:rsidR="00363558">
        <w:rPr>
          <w:rFonts w:ascii="Times New Roman" w:hAnsi="Times New Roman" w:cs="Times New Roman"/>
          <w:sz w:val="28"/>
          <w:szCs w:val="28"/>
        </w:rPr>
        <w:t>ă de perioada precedentă)”</w:t>
      </w:r>
      <w:r w:rsidR="00445C98">
        <w:rPr>
          <w:rFonts w:ascii="Times New Roman" w:hAnsi="Times New Roman" w:cs="Times New Roman"/>
          <w:sz w:val="28"/>
          <w:szCs w:val="28"/>
        </w:rPr>
        <w:t>,</w:t>
      </w:r>
      <w:r w:rsidR="00363558">
        <w:rPr>
          <w:rFonts w:ascii="Times New Roman" w:hAnsi="Times New Roman" w:cs="Times New Roman"/>
          <w:sz w:val="28"/>
          <w:szCs w:val="28"/>
        </w:rPr>
        <w:t xml:space="preserve"> </w:t>
      </w:r>
      <w:r w:rsidRPr="00363558">
        <w:rPr>
          <w:rFonts w:ascii="Times New Roman" w:hAnsi="Times New Roman" w:cs="Times New Roman"/>
          <w:sz w:val="28"/>
          <w:szCs w:val="28"/>
        </w:rPr>
        <w:t>care a fost raport</w:t>
      </w:r>
      <w:r w:rsidR="00363558">
        <w:rPr>
          <w:rFonts w:ascii="Times New Roman" w:hAnsi="Times New Roman" w:cs="Times New Roman"/>
          <w:sz w:val="28"/>
          <w:szCs w:val="28"/>
        </w:rPr>
        <w:t xml:space="preserve">at ca fiind realizat. Analogic, </w:t>
      </w:r>
      <w:r w:rsidRPr="00363558">
        <w:rPr>
          <w:rFonts w:ascii="Times New Roman" w:hAnsi="Times New Roman" w:cs="Times New Roman"/>
          <w:sz w:val="28"/>
          <w:szCs w:val="28"/>
        </w:rPr>
        <w:t>obiectivul</w:t>
      </w:r>
      <w:r w:rsidR="00C87B63" w:rsidRPr="00363558">
        <w:rPr>
          <w:rFonts w:ascii="Times New Roman" w:hAnsi="Times New Roman" w:cs="Times New Roman"/>
          <w:sz w:val="28"/>
          <w:szCs w:val="28"/>
        </w:rPr>
        <w:t xml:space="preserve"> </w:t>
      </w:r>
      <w:r w:rsidR="00363558">
        <w:rPr>
          <w:rFonts w:ascii="Times New Roman" w:hAnsi="Times New Roman" w:cs="Times New Roman"/>
          <w:sz w:val="28"/>
          <w:szCs w:val="28"/>
        </w:rPr>
        <w:t>,,</w:t>
      </w:r>
      <w:r w:rsidRPr="00363558">
        <w:rPr>
          <w:rFonts w:ascii="Times New Roman" w:hAnsi="Times New Roman" w:cs="Times New Roman"/>
          <w:sz w:val="28"/>
          <w:szCs w:val="28"/>
        </w:rPr>
        <w:t>Implementarea sistemului informațional integrat” a fost substituit cu obiectivul ,,Dezvoltarea sistemului de declarare fiscală prin utilizarea tehnologiilor informaționale”</w:t>
      </w:r>
      <w:r w:rsidR="00445C98">
        <w:rPr>
          <w:rFonts w:ascii="Times New Roman" w:hAnsi="Times New Roman" w:cs="Times New Roman"/>
          <w:sz w:val="28"/>
          <w:szCs w:val="28"/>
        </w:rPr>
        <w:t>,</w:t>
      </w:r>
      <w:r w:rsidRPr="00363558">
        <w:rPr>
          <w:rFonts w:ascii="Times New Roman" w:hAnsi="Times New Roman" w:cs="Times New Roman"/>
          <w:sz w:val="28"/>
          <w:szCs w:val="28"/>
        </w:rPr>
        <w:t xml:space="preserve"> care</w:t>
      </w:r>
      <w:r w:rsidR="00445C98">
        <w:rPr>
          <w:rFonts w:ascii="Times New Roman" w:hAnsi="Times New Roman" w:cs="Times New Roman"/>
          <w:sz w:val="28"/>
          <w:szCs w:val="28"/>
        </w:rPr>
        <w:t>,</w:t>
      </w:r>
      <w:r w:rsidRPr="00363558">
        <w:rPr>
          <w:rFonts w:ascii="Times New Roman" w:hAnsi="Times New Roman" w:cs="Times New Roman"/>
          <w:sz w:val="28"/>
          <w:szCs w:val="28"/>
        </w:rPr>
        <w:t xml:space="preserve"> de asemenea</w:t>
      </w:r>
      <w:r w:rsidR="00445C98">
        <w:rPr>
          <w:rFonts w:ascii="Times New Roman" w:hAnsi="Times New Roman" w:cs="Times New Roman"/>
          <w:sz w:val="28"/>
          <w:szCs w:val="28"/>
        </w:rPr>
        <w:t xml:space="preserve">, </w:t>
      </w:r>
      <w:r w:rsidRPr="00363558">
        <w:rPr>
          <w:rFonts w:ascii="Times New Roman" w:hAnsi="Times New Roman" w:cs="Times New Roman"/>
          <w:sz w:val="28"/>
          <w:szCs w:val="28"/>
        </w:rPr>
        <w:t xml:space="preserve">a fost raportat ca fiind </w:t>
      </w:r>
      <w:r w:rsidR="00C20F11" w:rsidRPr="00363558">
        <w:rPr>
          <w:rFonts w:ascii="Times New Roman" w:hAnsi="Times New Roman" w:cs="Times New Roman"/>
          <w:sz w:val="28"/>
          <w:szCs w:val="28"/>
        </w:rPr>
        <w:t xml:space="preserve">integral </w:t>
      </w:r>
      <w:r w:rsidRPr="00363558">
        <w:rPr>
          <w:rFonts w:ascii="Times New Roman" w:hAnsi="Times New Roman" w:cs="Times New Roman"/>
          <w:sz w:val="28"/>
          <w:szCs w:val="28"/>
        </w:rPr>
        <w:t xml:space="preserve">realizat.  </w:t>
      </w:r>
      <w:r w:rsidR="00815D3E" w:rsidRPr="00363558">
        <w:rPr>
          <w:rFonts w:ascii="Times New Roman" w:hAnsi="Times New Roman" w:cs="Times New Roman"/>
          <w:sz w:val="28"/>
          <w:szCs w:val="28"/>
        </w:rPr>
        <w:t xml:space="preserve"> Potrivit explicațiilor prezentate auditului de către entitate, </w:t>
      </w:r>
      <w:r w:rsidR="00815D3E" w:rsidRPr="00363558">
        <w:rPr>
          <w:rFonts w:ascii="Times New Roman" w:hAnsi="Times New Roman" w:cs="Times New Roman"/>
          <w:sz w:val="28"/>
          <w:szCs w:val="28"/>
          <w:lang w:val="ro-MD" w:eastAsia="zh-CN"/>
        </w:rPr>
        <w:t>SFS a asigurat raportarea executării indicatorilor de performanță pentru anii respectivi în corespundere cu formatul solicitat de către MF. Astfel,</w:t>
      </w:r>
      <w:r w:rsidR="00445C98">
        <w:rPr>
          <w:rFonts w:ascii="Times New Roman" w:hAnsi="Times New Roman" w:cs="Times New Roman"/>
          <w:sz w:val="28"/>
          <w:szCs w:val="28"/>
          <w:lang w:val="ro-MD" w:eastAsia="zh-CN"/>
        </w:rPr>
        <w:t xml:space="preserve"> </w:t>
      </w:r>
      <w:r w:rsidR="00815D3E" w:rsidRPr="00363558">
        <w:rPr>
          <w:rFonts w:ascii="Times New Roman" w:hAnsi="Times New Roman" w:cs="Times New Roman"/>
          <w:sz w:val="28"/>
          <w:szCs w:val="28"/>
          <w:lang w:val="ro-MD" w:eastAsia="zh-CN"/>
        </w:rPr>
        <w:t xml:space="preserve">deși este posibilă existența unor neconcordanțe în denumirea </w:t>
      </w:r>
      <w:r w:rsidR="00815D3E" w:rsidRPr="007E19F9">
        <w:rPr>
          <w:rFonts w:ascii="Times New Roman" w:hAnsi="Times New Roman" w:cs="Times New Roman"/>
          <w:sz w:val="28"/>
          <w:szCs w:val="28"/>
          <w:lang w:val="ro-MD" w:eastAsia="zh-CN"/>
        </w:rPr>
        <w:t>obiectivelor, menționăm că aceasta este o eroare tehnică</w:t>
      </w:r>
      <w:r w:rsidR="00445C98" w:rsidRPr="007E19F9">
        <w:rPr>
          <w:rFonts w:ascii="Times New Roman" w:hAnsi="Times New Roman" w:cs="Times New Roman"/>
          <w:sz w:val="28"/>
          <w:szCs w:val="28"/>
          <w:lang w:val="ro-MD" w:eastAsia="zh-CN"/>
        </w:rPr>
        <w:t>,</w:t>
      </w:r>
      <w:r w:rsidR="00815D3E" w:rsidRPr="007E19F9">
        <w:rPr>
          <w:rFonts w:ascii="Times New Roman" w:hAnsi="Times New Roman" w:cs="Times New Roman"/>
          <w:sz w:val="28"/>
          <w:szCs w:val="28"/>
          <w:lang w:val="ro-MD" w:eastAsia="zh-CN"/>
        </w:rPr>
        <w:t xml:space="preserve"> c</w:t>
      </w:r>
      <w:r w:rsidR="00445C98" w:rsidRPr="007E19F9">
        <w:rPr>
          <w:rFonts w:ascii="Times New Roman" w:hAnsi="Times New Roman" w:cs="Times New Roman"/>
          <w:sz w:val="28"/>
          <w:szCs w:val="28"/>
          <w:lang w:val="ro-MD" w:eastAsia="zh-CN"/>
        </w:rPr>
        <w:t>ar</w:t>
      </w:r>
      <w:r w:rsidR="00815D3E" w:rsidRPr="007E19F9">
        <w:rPr>
          <w:rFonts w:ascii="Times New Roman" w:hAnsi="Times New Roman" w:cs="Times New Roman"/>
          <w:sz w:val="28"/>
          <w:szCs w:val="28"/>
          <w:lang w:val="ro-MD" w:eastAsia="zh-CN"/>
        </w:rPr>
        <w:t>e nu ține de competența SFS</w:t>
      </w:r>
      <w:r w:rsidR="00445C98" w:rsidRPr="007E19F9">
        <w:rPr>
          <w:rFonts w:ascii="Times New Roman" w:hAnsi="Times New Roman" w:cs="Times New Roman"/>
          <w:sz w:val="28"/>
          <w:szCs w:val="28"/>
          <w:lang w:val="ro-MD" w:eastAsia="zh-CN"/>
        </w:rPr>
        <w:t>,</w:t>
      </w:r>
      <w:r w:rsidR="00815D3E" w:rsidRPr="007E19F9">
        <w:rPr>
          <w:rFonts w:ascii="Times New Roman" w:hAnsi="Times New Roman" w:cs="Times New Roman"/>
          <w:sz w:val="28"/>
          <w:szCs w:val="28"/>
          <w:lang w:val="ro-MD" w:eastAsia="zh-CN"/>
        </w:rPr>
        <w:t xml:space="preserve"> și</w:t>
      </w:r>
      <w:r w:rsidR="00445C98" w:rsidRPr="007E19F9">
        <w:rPr>
          <w:rFonts w:ascii="Times New Roman" w:hAnsi="Times New Roman" w:cs="Times New Roman"/>
          <w:sz w:val="28"/>
          <w:szCs w:val="28"/>
          <w:lang w:val="ro-MD" w:eastAsia="zh-CN"/>
        </w:rPr>
        <w:t xml:space="preserve"> că</w:t>
      </w:r>
      <w:r w:rsidR="00815D3E" w:rsidRPr="007E19F9">
        <w:rPr>
          <w:rFonts w:ascii="Times New Roman" w:hAnsi="Times New Roman" w:cs="Times New Roman"/>
          <w:sz w:val="28"/>
          <w:szCs w:val="28"/>
          <w:lang w:val="ro-MD" w:eastAsia="zh-CN"/>
        </w:rPr>
        <w:t xml:space="preserve"> acest fapt nu a influențat asupra corectitudinii și veridicității rezultatelor raportate </w:t>
      </w:r>
      <w:r w:rsidR="00445C98" w:rsidRPr="007E19F9">
        <w:rPr>
          <w:rFonts w:ascii="Times New Roman" w:hAnsi="Times New Roman" w:cs="Times New Roman"/>
          <w:sz w:val="28"/>
          <w:szCs w:val="28"/>
          <w:lang w:val="ro-MD" w:eastAsia="zh-CN"/>
        </w:rPr>
        <w:t xml:space="preserve">privind </w:t>
      </w:r>
      <w:r w:rsidR="007E19F9" w:rsidRPr="007E19F9">
        <w:rPr>
          <w:rFonts w:ascii="Times New Roman" w:hAnsi="Times New Roman" w:cs="Times New Roman"/>
          <w:sz w:val="28"/>
          <w:szCs w:val="28"/>
          <w:lang w:val="ro-MD" w:eastAsia="zh-CN"/>
        </w:rPr>
        <w:t>indicatorii</w:t>
      </w:r>
      <w:r w:rsidR="00815D3E" w:rsidRPr="007E19F9">
        <w:rPr>
          <w:rFonts w:ascii="Times New Roman" w:hAnsi="Times New Roman" w:cs="Times New Roman"/>
          <w:sz w:val="28"/>
          <w:szCs w:val="28"/>
          <w:lang w:val="ro-MD" w:eastAsia="zh-CN"/>
        </w:rPr>
        <w:t xml:space="preserve"> de performanță stabiliți.</w:t>
      </w:r>
    </w:p>
    <w:p w:rsidR="006C5161" w:rsidRPr="001D0846" w:rsidRDefault="006C5161" w:rsidP="006358AD">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Reieșind din obiectivele stabilite de MF, au fost aprobați 13 indicatori de performanță (7 – de rezultat, 4 – de produs</w:t>
      </w:r>
      <w:r w:rsidR="00445C98">
        <w:rPr>
          <w:rFonts w:ascii="Times New Roman" w:hAnsi="Times New Roman" w:cs="Times New Roman"/>
          <w:sz w:val="28"/>
          <w:szCs w:val="28"/>
        </w:rPr>
        <w:t>,</w:t>
      </w:r>
      <w:r w:rsidRPr="001D0846">
        <w:rPr>
          <w:rFonts w:ascii="Times New Roman" w:hAnsi="Times New Roman" w:cs="Times New Roman"/>
          <w:sz w:val="28"/>
          <w:szCs w:val="28"/>
        </w:rPr>
        <w:t xml:space="preserve"> și 2 – de eficiență) pentru măsurarea progresului în realizarea obiectivelor programului/subprogramului. </w:t>
      </w:r>
    </w:p>
    <w:p w:rsidR="006C5161" w:rsidRPr="001D0846" w:rsidRDefault="006C5161" w:rsidP="006358AD">
      <w:pPr>
        <w:spacing w:after="0" w:line="276" w:lineRule="auto"/>
        <w:ind w:firstLine="720"/>
        <w:jc w:val="both"/>
        <w:rPr>
          <w:rFonts w:ascii="Times New Roman" w:hAnsi="Times New Roman" w:cs="Times New Roman"/>
          <w:color w:val="000000"/>
          <w:spacing w:val="3"/>
          <w:sz w:val="28"/>
          <w:szCs w:val="28"/>
        </w:rPr>
      </w:pPr>
      <w:r w:rsidRPr="001D0846">
        <w:rPr>
          <w:rFonts w:ascii="Times New Roman" w:hAnsi="Times New Roman" w:cs="Times New Roman"/>
          <w:sz w:val="28"/>
          <w:szCs w:val="28"/>
        </w:rPr>
        <w:t>Analiza efectuată de audit asupra modului de elaborare a indicatorilor de performanță</w:t>
      </w:r>
      <w:r w:rsidR="00011621" w:rsidRPr="001D0846">
        <w:rPr>
          <w:rStyle w:val="a6"/>
          <w:rFonts w:ascii="Times New Roman" w:hAnsi="Times New Roman" w:cs="Times New Roman"/>
          <w:color w:val="000000"/>
          <w:spacing w:val="3"/>
          <w:sz w:val="28"/>
          <w:szCs w:val="28"/>
          <w:lang w:val="ro-MD"/>
        </w:rPr>
        <w:footnoteReference w:id="8"/>
      </w:r>
      <w:r w:rsidRPr="001D0846">
        <w:rPr>
          <w:rFonts w:ascii="Times New Roman" w:hAnsi="Times New Roman" w:cs="Times New Roman"/>
          <w:sz w:val="28"/>
          <w:szCs w:val="28"/>
        </w:rPr>
        <w:t xml:space="preserve"> relevă că unii indicatori pot limita performanța instituțională și </w:t>
      </w:r>
      <w:proofErr w:type="spellStart"/>
      <w:r w:rsidRPr="001D0846">
        <w:rPr>
          <w:rFonts w:ascii="Times New Roman" w:hAnsi="Times New Roman" w:cs="Times New Roman"/>
          <w:sz w:val="28"/>
          <w:szCs w:val="28"/>
        </w:rPr>
        <w:t>rezultativitatea</w:t>
      </w:r>
      <w:proofErr w:type="spellEnd"/>
      <w:r w:rsidRPr="001D0846">
        <w:rPr>
          <w:rFonts w:ascii="Times New Roman" w:hAnsi="Times New Roman" w:cs="Times New Roman"/>
          <w:sz w:val="28"/>
          <w:szCs w:val="28"/>
        </w:rPr>
        <w:t xml:space="preserve"> admini</w:t>
      </w:r>
      <w:r w:rsidR="007E19F9">
        <w:rPr>
          <w:rFonts w:ascii="Times New Roman" w:hAnsi="Times New Roman" w:cs="Times New Roman"/>
          <w:sz w:val="28"/>
          <w:szCs w:val="28"/>
        </w:rPr>
        <w:t xml:space="preserve">strării impozitelor și </w:t>
      </w:r>
      <w:proofErr w:type="spellStart"/>
      <w:r w:rsidR="007E19F9">
        <w:rPr>
          <w:rFonts w:ascii="Times New Roman" w:hAnsi="Times New Roman" w:cs="Times New Roman"/>
          <w:sz w:val="28"/>
          <w:szCs w:val="28"/>
        </w:rPr>
        <w:t>taxelor,</w:t>
      </w:r>
      <w:r w:rsidRPr="001D0846">
        <w:rPr>
          <w:rFonts w:ascii="Times New Roman" w:hAnsi="Times New Roman" w:cs="Times New Roman"/>
          <w:sz w:val="28"/>
          <w:szCs w:val="28"/>
        </w:rPr>
        <w:t>fiind</w:t>
      </w:r>
      <w:proofErr w:type="spellEnd"/>
      <w:r w:rsidRPr="001D0846">
        <w:rPr>
          <w:rFonts w:ascii="Times New Roman" w:hAnsi="Times New Roman" w:cs="Times New Roman"/>
          <w:sz w:val="28"/>
          <w:szCs w:val="28"/>
        </w:rPr>
        <w:t xml:space="preserve"> stabiliți fără o fundamentare a</w:t>
      </w:r>
      <w:r w:rsidRPr="001D0846">
        <w:rPr>
          <w:rFonts w:ascii="Times New Roman" w:hAnsi="Times New Roman" w:cs="Times New Roman"/>
          <w:color w:val="000000"/>
          <w:spacing w:val="3"/>
          <w:sz w:val="28"/>
          <w:szCs w:val="28"/>
        </w:rPr>
        <w:t xml:space="preserve"> modalității de calcul </w:t>
      </w:r>
      <w:proofErr w:type="spellStart"/>
      <w:r w:rsidRPr="001D0846">
        <w:rPr>
          <w:rFonts w:ascii="Times New Roman" w:hAnsi="Times New Roman" w:cs="Times New Roman"/>
          <w:color w:val="000000"/>
          <w:spacing w:val="3"/>
          <w:sz w:val="28"/>
          <w:szCs w:val="28"/>
        </w:rPr>
        <w:t>şi</w:t>
      </w:r>
      <w:proofErr w:type="spellEnd"/>
      <w:r w:rsidRPr="001D0846">
        <w:rPr>
          <w:rFonts w:ascii="Times New Roman" w:hAnsi="Times New Roman" w:cs="Times New Roman"/>
          <w:color w:val="000000"/>
          <w:spacing w:val="3"/>
          <w:sz w:val="28"/>
          <w:szCs w:val="28"/>
        </w:rPr>
        <w:t xml:space="preserve"> a sursei de colectare a </w:t>
      </w:r>
      <w:proofErr w:type="spellStart"/>
      <w:r w:rsidRPr="001D0846">
        <w:rPr>
          <w:rFonts w:ascii="Times New Roman" w:hAnsi="Times New Roman" w:cs="Times New Roman"/>
          <w:color w:val="000000"/>
          <w:spacing w:val="3"/>
          <w:sz w:val="28"/>
          <w:szCs w:val="28"/>
        </w:rPr>
        <w:t>informaţiei</w:t>
      </w:r>
      <w:proofErr w:type="spellEnd"/>
      <w:r w:rsidRPr="001D0846">
        <w:rPr>
          <w:rFonts w:ascii="Times New Roman" w:hAnsi="Times New Roman" w:cs="Times New Roman"/>
          <w:color w:val="000000"/>
          <w:spacing w:val="3"/>
          <w:sz w:val="28"/>
          <w:szCs w:val="28"/>
        </w:rPr>
        <w:t xml:space="preserve">. Astfel, </w:t>
      </w:r>
      <w:r w:rsidR="00007E56" w:rsidRPr="001D0846">
        <w:rPr>
          <w:rFonts w:ascii="Times New Roman" w:hAnsi="Times New Roman" w:cs="Times New Roman"/>
          <w:color w:val="000000"/>
          <w:spacing w:val="3"/>
          <w:sz w:val="28"/>
          <w:szCs w:val="28"/>
        </w:rPr>
        <w:t>exemplificăm</w:t>
      </w:r>
      <w:r w:rsidRPr="001D0846">
        <w:rPr>
          <w:rFonts w:ascii="Times New Roman" w:hAnsi="Times New Roman" w:cs="Times New Roman"/>
          <w:color w:val="000000"/>
          <w:spacing w:val="3"/>
          <w:sz w:val="28"/>
          <w:szCs w:val="28"/>
        </w:rPr>
        <w:t xml:space="preserve"> indicatorul ,,Gradul de reducere a restanței </w:t>
      </w:r>
      <w:r w:rsidR="00CF27FB" w:rsidRPr="007E19F9">
        <w:rPr>
          <w:rFonts w:ascii="Times New Roman" w:hAnsi="Times New Roman" w:cs="Times New Roman"/>
          <w:color w:val="000000"/>
          <w:spacing w:val="3"/>
          <w:sz w:val="28"/>
          <w:szCs w:val="28"/>
        </w:rPr>
        <w:t>la</w:t>
      </w:r>
      <w:r w:rsidRPr="007E19F9">
        <w:rPr>
          <w:rFonts w:ascii="Times New Roman" w:hAnsi="Times New Roman" w:cs="Times New Roman"/>
          <w:color w:val="000000"/>
          <w:spacing w:val="3"/>
          <w:sz w:val="28"/>
          <w:szCs w:val="28"/>
        </w:rPr>
        <w:t xml:space="preserve"> B</w:t>
      </w:r>
      <w:r w:rsidRPr="001D0846">
        <w:rPr>
          <w:rFonts w:ascii="Times New Roman" w:hAnsi="Times New Roman" w:cs="Times New Roman"/>
          <w:color w:val="000000"/>
          <w:spacing w:val="3"/>
          <w:sz w:val="28"/>
          <w:szCs w:val="28"/>
        </w:rPr>
        <w:t>PN în baza măsurilor de executare silită a obligațiilor fiscale”</w:t>
      </w:r>
      <w:r w:rsidR="00CF27FB">
        <w:rPr>
          <w:rFonts w:ascii="Times New Roman" w:hAnsi="Times New Roman" w:cs="Times New Roman"/>
          <w:color w:val="000000"/>
          <w:spacing w:val="3"/>
          <w:sz w:val="28"/>
          <w:szCs w:val="28"/>
        </w:rPr>
        <w:t>,</w:t>
      </w:r>
      <w:r w:rsidRPr="001D0846">
        <w:rPr>
          <w:rFonts w:ascii="Times New Roman" w:hAnsi="Times New Roman" w:cs="Times New Roman"/>
          <w:color w:val="000000"/>
          <w:spacing w:val="3"/>
          <w:sz w:val="28"/>
          <w:szCs w:val="28"/>
        </w:rPr>
        <w:t xml:space="preserve"> care a fost aprobat în cuantum de 32 % pentru anul 2017, în condițiile în care sarcina SFS este de a asigura colectarea deplină (maximă) și la termen a impozitelor și taxelor. Concomitent, se remarcă că stabilirea unui astfel de indicator </w:t>
      </w:r>
      <w:r w:rsidR="00001C7B" w:rsidRPr="001D0846">
        <w:rPr>
          <w:rFonts w:ascii="Times New Roman" w:hAnsi="Times New Roman" w:cs="Times New Roman"/>
          <w:color w:val="000000"/>
          <w:spacing w:val="3"/>
          <w:sz w:val="28"/>
          <w:szCs w:val="28"/>
        </w:rPr>
        <w:t>limitează gradul</w:t>
      </w:r>
      <w:r w:rsidRPr="001D0846">
        <w:rPr>
          <w:rFonts w:ascii="Times New Roman" w:hAnsi="Times New Roman" w:cs="Times New Roman"/>
          <w:color w:val="000000"/>
          <w:spacing w:val="3"/>
          <w:sz w:val="28"/>
          <w:szCs w:val="28"/>
        </w:rPr>
        <w:t xml:space="preserve"> de încasare a restanțelor la BPN, fapt care duce la formarea/majorarea continuă a restanțelor.</w:t>
      </w:r>
    </w:p>
    <w:p w:rsidR="006C5161" w:rsidRPr="001D0846" w:rsidRDefault="006C5161" w:rsidP="006358AD">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color w:val="000000"/>
          <w:spacing w:val="3"/>
          <w:sz w:val="28"/>
          <w:szCs w:val="28"/>
        </w:rPr>
        <w:t xml:space="preserve">Situații similare se atestă și în cazul indicatorilor de </w:t>
      </w:r>
      <w:r w:rsidRPr="001D0846">
        <w:rPr>
          <w:rFonts w:ascii="Times New Roman" w:hAnsi="Times New Roman" w:cs="Times New Roman"/>
          <w:color w:val="000000"/>
          <w:spacing w:val="3"/>
          <w:sz w:val="28"/>
          <w:szCs w:val="28"/>
          <w:lang w:val="ro-MD"/>
        </w:rPr>
        <w:t>rezultat ,,</w:t>
      </w:r>
      <w:r w:rsidRPr="001D0846">
        <w:rPr>
          <w:rFonts w:ascii="Times New Roman" w:hAnsi="Times New Roman" w:cs="Times New Roman"/>
          <w:sz w:val="28"/>
          <w:szCs w:val="28"/>
          <w:lang w:val="ro-MD"/>
        </w:rPr>
        <w:t>Nivelul de</w:t>
      </w:r>
      <w:r w:rsidRPr="001D0846">
        <w:rPr>
          <w:rFonts w:ascii="Times New Roman" w:hAnsi="Times New Roman" w:cs="Times New Roman"/>
          <w:sz w:val="28"/>
          <w:szCs w:val="28"/>
        </w:rPr>
        <w:t xml:space="preserve"> conformare voluntară a contribuabililor (ponderea impozitelor și taxelor la un leu de vânzări)”</w:t>
      </w:r>
      <w:r w:rsidR="00CF27FB">
        <w:rPr>
          <w:rFonts w:ascii="Times New Roman" w:hAnsi="Times New Roman" w:cs="Times New Roman"/>
          <w:sz w:val="28"/>
          <w:szCs w:val="28"/>
        </w:rPr>
        <w:t>,</w:t>
      </w:r>
      <w:r w:rsidRPr="001D0846">
        <w:rPr>
          <w:rFonts w:ascii="Times New Roman" w:hAnsi="Times New Roman" w:cs="Times New Roman"/>
          <w:sz w:val="28"/>
          <w:szCs w:val="28"/>
        </w:rPr>
        <w:t xml:space="preserve"> stabilit în cuantum d</w:t>
      </w:r>
      <w:r w:rsidR="0036545C" w:rsidRPr="001D0846">
        <w:rPr>
          <w:rFonts w:ascii="Times New Roman" w:hAnsi="Times New Roman" w:cs="Times New Roman"/>
          <w:sz w:val="28"/>
          <w:szCs w:val="28"/>
        </w:rPr>
        <w:t>e 15</w:t>
      </w:r>
      <w:r w:rsidRPr="001D0846">
        <w:rPr>
          <w:rFonts w:ascii="Times New Roman" w:hAnsi="Times New Roman" w:cs="Times New Roman"/>
          <w:sz w:val="28"/>
          <w:szCs w:val="28"/>
        </w:rPr>
        <w:t>%</w:t>
      </w:r>
      <w:r w:rsidR="00CF27FB">
        <w:rPr>
          <w:rFonts w:ascii="Times New Roman" w:hAnsi="Times New Roman" w:cs="Times New Roman"/>
          <w:sz w:val="28"/>
          <w:szCs w:val="28"/>
        </w:rPr>
        <w:t>,</w:t>
      </w:r>
      <w:r w:rsidRPr="001D0846">
        <w:rPr>
          <w:rFonts w:ascii="Times New Roman" w:hAnsi="Times New Roman" w:cs="Times New Roman"/>
          <w:sz w:val="28"/>
          <w:szCs w:val="28"/>
        </w:rPr>
        <w:t xml:space="preserve"> și ,,Reducerea decalajului fiscal (prin diminuarea economiei tenebre și majorarea nivelului de conformare voluntară) față de perioada similară a anului precedent”</w:t>
      </w:r>
      <w:r w:rsidR="00CF27FB">
        <w:rPr>
          <w:rFonts w:ascii="Times New Roman" w:hAnsi="Times New Roman" w:cs="Times New Roman"/>
          <w:sz w:val="28"/>
          <w:szCs w:val="28"/>
        </w:rPr>
        <w:t>,</w:t>
      </w:r>
      <w:r w:rsidRPr="001D0846">
        <w:rPr>
          <w:rFonts w:ascii="Times New Roman" w:hAnsi="Times New Roman" w:cs="Times New Roman"/>
          <w:sz w:val="28"/>
          <w:szCs w:val="28"/>
        </w:rPr>
        <w:t xml:space="preserve"> stabilit în cuantum de 1,5 %.</w:t>
      </w:r>
    </w:p>
    <w:p w:rsidR="006C5161" w:rsidRPr="001D0846" w:rsidRDefault="006C5161" w:rsidP="006358AD">
      <w:pPr>
        <w:spacing w:after="0" w:line="276" w:lineRule="auto"/>
        <w:ind w:firstLine="72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Analiza efectuată de audit asupra executării indicatorilor de performanță de către SFS</w:t>
      </w:r>
      <w:r w:rsidR="00001C7B" w:rsidRPr="001D0846">
        <w:rPr>
          <w:rFonts w:ascii="Times New Roman" w:hAnsi="Times New Roman" w:cs="Times New Roman"/>
          <w:sz w:val="28"/>
          <w:szCs w:val="28"/>
          <w:lang w:val="ro-MD"/>
        </w:rPr>
        <w:t xml:space="preserve"> relevă că n-au fost realizați 3</w:t>
      </w:r>
      <w:r w:rsidRPr="001D0846">
        <w:rPr>
          <w:rFonts w:ascii="Times New Roman" w:hAnsi="Times New Roman" w:cs="Times New Roman"/>
          <w:sz w:val="28"/>
          <w:szCs w:val="28"/>
          <w:lang w:val="ro-MD"/>
        </w:rPr>
        <w:t xml:space="preserve"> indicatori, inclusiv 1– de rezultat ,,Ponderea sumelor încasate din totalul sumelor calculate în rezultatul controalelor fiscale” (-</w:t>
      </w:r>
      <w:r w:rsidRPr="001D0846">
        <w:rPr>
          <w:rFonts w:ascii="Times New Roman" w:hAnsi="Times New Roman" w:cs="Times New Roman"/>
          <w:sz w:val="28"/>
          <w:szCs w:val="28"/>
          <w:lang w:val="ro-MD"/>
        </w:rPr>
        <w:lastRenderedPageBreak/>
        <w:t>4,38 %), 1– de produs ,,Sistem informațional integr</w:t>
      </w:r>
      <w:r w:rsidR="00001C7B" w:rsidRPr="001D0846">
        <w:rPr>
          <w:rFonts w:ascii="Times New Roman" w:hAnsi="Times New Roman" w:cs="Times New Roman"/>
          <w:sz w:val="28"/>
          <w:szCs w:val="28"/>
          <w:lang w:val="ro-MD"/>
        </w:rPr>
        <w:t>at procurat și implementat” și 1</w:t>
      </w:r>
      <w:r w:rsidRPr="001D0846">
        <w:rPr>
          <w:rFonts w:ascii="Times New Roman" w:hAnsi="Times New Roman" w:cs="Times New Roman"/>
          <w:sz w:val="28"/>
          <w:szCs w:val="28"/>
          <w:lang w:val="ro-MD"/>
        </w:rPr>
        <w:t xml:space="preserve"> – de eficiență ,,Gradul de reducere a restanței recuperabile, comparativ cu începutul anului”. </w:t>
      </w:r>
      <w:r w:rsidRPr="001D0846">
        <w:rPr>
          <w:rFonts w:ascii="Times New Roman" w:hAnsi="Times New Roman" w:cs="Times New Roman"/>
          <w:i/>
          <w:sz w:val="28"/>
          <w:szCs w:val="28"/>
          <w:lang w:val="ro-MD"/>
        </w:rPr>
        <w:t xml:space="preserve">Informația privind nivelul de realizare </w:t>
      </w:r>
      <w:r w:rsidR="00BE46F1" w:rsidRPr="001D0846">
        <w:rPr>
          <w:rFonts w:ascii="Times New Roman" w:hAnsi="Times New Roman" w:cs="Times New Roman"/>
          <w:i/>
          <w:sz w:val="28"/>
          <w:szCs w:val="28"/>
          <w:lang w:val="ro-MD"/>
        </w:rPr>
        <w:t xml:space="preserve">de către SFS </w:t>
      </w:r>
      <w:r w:rsidRPr="001D0846">
        <w:rPr>
          <w:rFonts w:ascii="Times New Roman" w:hAnsi="Times New Roman" w:cs="Times New Roman"/>
          <w:i/>
          <w:sz w:val="28"/>
          <w:szCs w:val="28"/>
          <w:lang w:val="ro-MD"/>
        </w:rPr>
        <w:t xml:space="preserve">a indicatorilor de performanță </w:t>
      </w:r>
      <w:r w:rsidR="00BE46F1" w:rsidRPr="001D0846">
        <w:rPr>
          <w:rFonts w:ascii="Times New Roman" w:hAnsi="Times New Roman" w:cs="Times New Roman"/>
          <w:i/>
          <w:sz w:val="28"/>
          <w:szCs w:val="28"/>
          <w:lang w:val="ro-MD"/>
        </w:rPr>
        <w:t xml:space="preserve">în activitatea de administrare fiscală </w:t>
      </w:r>
      <w:r w:rsidR="00CF27FB">
        <w:rPr>
          <w:rFonts w:ascii="Times New Roman" w:hAnsi="Times New Roman" w:cs="Times New Roman"/>
          <w:i/>
          <w:sz w:val="28"/>
          <w:szCs w:val="28"/>
          <w:lang w:val="ro-MD"/>
        </w:rPr>
        <w:t>este</w:t>
      </w:r>
      <w:r w:rsidRPr="001D0846">
        <w:rPr>
          <w:rFonts w:ascii="Times New Roman" w:hAnsi="Times New Roman" w:cs="Times New Roman"/>
          <w:i/>
          <w:sz w:val="28"/>
          <w:szCs w:val="28"/>
          <w:lang w:val="ro-MD"/>
        </w:rPr>
        <w:t xml:space="preserve"> prez</w:t>
      </w:r>
      <w:r w:rsidR="00CF27FB">
        <w:rPr>
          <w:rFonts w:ascii="Times New Roman" w:hAnsi="Times New Roman" w:cs="Times New Roman"/>
          <w:i/>
          <w:sz w:val="28"/>
          <w:szCs w:val="28"/>
          <w:lang w:val="ro-MD"/>
        </w:rPr>
        <w:t>enta</w:t>
      </w:r>
      <w:r w:rsidRPr="001D0846">
        <w:rPr>
          <w:rFonts w:ascii="Times New Roman" w:hAnsi="Times New Roman" w:cs="Times New Roman"/>
          <w:i/>
          <w:sz w:val="28"/>
          <w:szCs w:val="28"/>
          <w:lang w:val="ro-MD"/>
        </w:rPr>
        <w:t xml:space="preserve">tă în Tabelul </w:t>
      </w:r>
      <w:r w:rsidR="00BC4A84" w:rsidRPr="001D0846">
        <w:rPr>
          <w:rFonts w:ascii="Times New Roman" w:hAnsi="Times New Roman" w:cs="Times New Roman"/>
          <w:i/>
          <w:sz w:val="28"/>
          <w:szCs w:val="28"/>
          <w:lang w:val="ro-MD"/>
        </w:rPr>
        <w:t>nr.2 din Anexa nr.3</w:t>
      </w:r>
      <w:r w:rsidR="00D1260C" w:rsidRPr="001D0846">
        <w:rPr>
          <w:rFonts w:ascii="Times New Roman" w:hAnsi="Times New Roman" w:cs="Times New Roman"/>
          <w:i/>
          <w:sz w:val="28"/>
          <w:szCs w:val="28"/>
          <w:lang w:val="ro-MD"/>
        </w:rPr>
        <w:t xml:space="preserve"> la Raport</w:t>
      </w:r>
      <w:r w:rsidR="00CF27FB">
        <w:rPr>
          <w:rFonts w:ascii="Times New Roman" w:hAnsi="Times New Roman" w:cs="Times New Roman"/>
          <w:i/>
          <w:sz w:val="28"/>
          <w:szCs w:val="28"/>
          <w:lang w:val="ro-MD"/>
        </w:rPr>
        <w:t>ul</w:t>
      </w:r>
      <w:r w:rsidR="00D1260C" w:rsidRPr="001D0846">
        <w:rPr>
          <w:rFonts w:ascii="Times New Roman" w:hAnsi="Times New Roman" w:cs="Times New Roman"/>
          <w:i/>
          <w:sz w:val="28"/>
          <w:szCs w:val="28"/>
          <w:lang w:val="ro-MD"/>
        </w:rPr>
        <w:t xml:space="preserve"> de audit</w:t>
      </w:r>
      <w:r w:rsidRPr="001D0846">
        <w:rPr>
          <w:rFonts w:ascii="Times New Roman" w:hAnsi="Times New Roman" w:cs="Times New Roman"/>
          <w:i/>
          <w:sz w:val="28"/>
          <w:szCs w:val="28"/>
          <w:lang w:val="ro-MD"/>
        </w:rPr>
        <w:t>.</w:t>
      </w:r>
    </w:p>
    <w:p w:rsidR="00056CF6" w:rsidRPr="001D0846" w:rsidRDefault="00056CF6" w:rsidP="006358AD">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Pentru administrarea vamală</w:t>
      </w:r>
      <w:r w:rsidR="00CF27FB">
        <w:rPr>
          <w:rFonts w:ascii="Times New Roman" w:hAnsi="Times New Roman" w:cs="Times New Roman"/>
          <w:sz w:val="28"/>
          <w:szCs w:val="28"/>
        </w:rPr>
        <w:t>,</w:t>
      </w:r>
      <w:r w:rsidRPr="001D0846">
        <w:rPr>
          <w:rFonts w:ascii="Times New Roman" w:hAnsi="Times New Roman" w:cs="Times New Roman"/>
          <w:sz w:val="28"/>
          <w:szCs w:val="28"/>
        </w:rPr>
        <w:t xml:space="preserve"> MF a stabilit următoarele obiective: </w:t>
      </w:r>
      <w:r w:rsidR="00363558">
        <w:rPr>
          <w:rFonts w:ascii="Times New Roman" w:hAnsi="Times New Roman" w:cs="Times New Roman"/>
          <w:sz w:val="28"/>
          <w:szCs w:val="28"/>
        </w:rPr>
        <w:t xml:space="preserve">                                </w:t>
      </w:r>
      <w:r w:rsidRPr="001D0846">
        <w:rPr>
          <w:rFonts w:ascii="Times New Roman" w:hAnsi="Times New Roman" w:cs="Times New Roman"/>
          <w:i/>
          <w:sz w:val="28"/>
          <w:szCs w:val="28"/>
        </w:rPr>
        <w:t>(1)</w:t>
      </w:r>
      <w:r w:rsidRPr="001D0846">
        <w:rPr>
          <w:rFonts w:ascii="Times New Roman" w:hAnsi="Times New Roman" w:cs="Times New Roman"/>
          <w:sz w:val="28"/>
          <w:szCs w:val="28"/>
        </w:rPr>
        <w:t xml:space="preserve"> Asigurarea colectării eficiente a veniturilor la buget; </w:t>
      </w:r>
      <w:r w:rsidRPr="001D0846">
        <w:rPr>
          <w:rFonts w:ascii="Times New Roman" w:hAnsi="Times New Roman" w:cs="Times New Roman"/>
          <w:i/>
          <w:sz w:val="28"/>
          <w:szCs w:val="28"/>
        </w:rPr>
        <w:t>(2)</w:t>
      </w:r>
      <w:r w:rsidRPr="001D0846">
        <w:rPr>
          <w:rFonts w:ascii="Times New Roman" w:hAnsi="Times New Roman" w:cs="Times New Roman"/>
          <w:sz w:val="28"/>
          <w:szCs w:val="28"/>
        </w:rPr>
        <w:t xml:space="preserve"> Facilitarea traficului de mărfuri și simplificarea procedurilor vamale; </w:t>
      </w:r>
      <w:r w:rsidRPr="001D0846">
        <w:rPr>
          <w:rFonts w:ascii="Times New Roman" w:hAnsi="Times New Roman" w:cs="Times New Roman"/>
          <w:i/>
          <w:sz w:val="28"/>
          <w:szCs w:val="28"/>
        </w:rPr>
        <w:t>(3)</w:t>
      </w:r>
      <w:r w:rsidRPr="001D0846">
        <w:rPr>
          <w:rFonts w:ascii="Times New Roman" w:hAnsi="Times New Roman" w:cs="Times New Roman"/>
          <w:sz w:val="28"/>
          <w:szCs w:val="28"/>
        </w:rPr>
        <w:t xml:space="preserve"> Prevenirea și combaterea tentativelor de introducere în țară a mărfurilor suspecte a fi contrafăcute și a operelor pirat; </w:t>
      </w:r>
      <w:r w:rsidRPr="001D0846">
        <w:rPr>
          <w:rFonts w:ascii="Times New Roman" w:hAnsi="Times New Roman" w:cs="Times New Roman"/>
          <w:i/>
          <w:sz w:val="28"/>
          <w:szCs w:val="28"/>
        </w:rPr>
        <w:t>(4)</w:t>
      </w:r>
      <w:r w:rsidRPr="001D0846">
        <w:rPr>
          <w:rFonts w:ascii="Times New Roman" w:hAnsi="Times New Roman" w:cs="Times New Roman"/>
          <w:sz w:val="28"/>
          <w:szCs w:val="28"/>
        </w:rPr>
        <w:t xml:space="preserve"> Perfecționarea sistemului de management al personalului și asigurarea unui comportament integru a</w:t>
      </w:r>
      <w:r w:rsidR="00CF27FB">
        <w:rPr>
          <w:rFonts w:ascii="Times New Roman" w:hAnsi="Times New Roman" w:cs="Times New Roman"/>
          <w:sz w:val="28"/>
          <w:szCs w:val="28"/>
        </w:rPr>
        <w:t>l</w:t>
      </w:r>
      <w:r w:rsidRPr="001D0846">
        <w:rPr>
          <w:rFonts w:ascii="Times New Roman" w:hAnsi="Times New Roman" w:cs="Times New Roman"/>
          <w:sz w:val="28"/>
          <w:szCs w:val="28"/>
        </w:rPr>
        <w:t xml:space="preserve"> colaboratorilor vamali.</w:t>
      </w:r>
    </w:p>
    <w:p w:rsidR="00BE46F1" w:rsidRPr="001D0846" w:rsidRDefault="00D1260C" w:rsidP="006358AD">
      <w:pPr>
        <w:spacing w:after="0" w:line="276" w:lineRule="auto"/>
        <w:ind w:firstLine="72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Examinările </w:t>
      </w:r>
      <w:r w:rsidR="00CF27FB">
        <w:rPr>
          <w:rFonts w:ascii="Times New Roman" w:hAnsi="Times New Roman" w:cs="Times New Roman"/>
          <w:sz w:val="28"/>
          <w:szCs w:val="28"/>
          <w:lang w:val="ro-MD"/>
        </w:rPr>
        <w:t xml:space="preserve">efectuate de </w:t>
      </w:r>
      <w:r w:rsidRPr="001D0846">
        <w:rPr>
          <w:rFonts w:ascii="Times New Roman" w:hAnsi="Times New Roman" w:cs="Times New Roman"/>
          <w:sz w:val="28"/>
          <w:szCs w:val="28"/>
          <w:lang w:val="ro-MD"/>
        </w:rPr>
        <w:t>audit</w:t>
      </w:r>
      <w:r w:rsidR="006C5161" w:rsidRPr="001D0846">
        <w:rPr>
          <w:rFonts w:ascii="Times New Roman" w:hAnsi="Times New Roman" w:cs="Times New Roman"/>
          <w:sz w:val="28"/>
          <w:szCs w:val="28"/>
          <w:lang w:val="ro-MD"/>
        </w:rPr>
        <w:t xml:space="preserve"> asupra executării indicatorilor de performanță de către SV relevă că</w:t>
      </w:r>
      <w:r w:rsidR="00CF27FB">
        <w:rPr>
          <w:rFonts w:ascii="Times New Roman" w:hAnsi="Times New Roman" w:cs="Times New Roman"/>
          <w:sz w:val="28"/>
          <w:szCs w:val="28"/>
          <w:lang w:val="ro-MD"/>
        </w:rPr>
        <w:t>,</w:t>
      </w:r>
      <w:r w:rsidR="006C5161" w:rsidRPr="001D0846">
        <w:rPr>
          <w:rFonts w:ascii="Times New Roman" w:hAnsi="Times New Roman" w:cs="Times New Roman"/>
          <w:sz w:val="28"/>
          <w:szCs w:val="28"/>
          <w:lang w:val="ro-MD"/>
        </w:rPr>
        <w:t xml:space="preserve"> din numărul total de 9 indicatori de performanță</w:t>
      </w:r>
      <w:r w:rsidR="00CF27FB">
        <w:rPr>
          <w:rFonts w:ascii="Times New Roman" w:hAnsi="Times New Roman" w:cs="Times New Roman"/>
          <w:sz w:val="28"/>
          <w:szCs w:val="28"/>
          <w:lang w:val="ro-MD"/>
        </w:rPr>
        <w:t>,</w:t>
      </w:r>
      <w:r w:rsidR="006C5161" w:rsidRPr="001D0846">
        <w:rPr>
          <w:rFonts w:ascii="Times New Roman" w:hAnsi="Times New Roman" w:cs="Times New Roman"/>
          <w:sz w:val="28"/>
          <w:szCs w:val="28"/>
          <w:lang w:val="ro-MD"/>
        </w:rPr>
        <w:t xml:space="preserve"> stabil</w:t>
      </w:r>
      <w:r w:rsidR="00E854F2" w:rsidRPr="001D0846">
        <w:rPr>
          <w:rFonts w:ascii="Times New Roman" w:hAnsi="Times New Roman" w:cs="Times New Roman"/>
          <w:sz w:val="28"/>
          <w:szCs w:val="28"/>
          <w:lang w:val="ro-MD"/>
        </w:rPr>
        <w:t>iți de MF, n-au fost realizați 3 indicatori, inclusiv</w:t>
      </w:r>
      <w:r w:rsidR="006C5161" w:rsidRPr="001D0846">
        <w:rPr>
          <w:rFonts w:ascii="Times New Roman" w:hAnsi="Times New Roman" w:cs="Times New Roman"/>
          <w:sz w:val="28"/>
          <w:szCs w:val="28"/>
          <w:lang w:val="ro-MD"/>
        </w:rPr>
        <w:t xml:space="preserve"> 1– de produs ,,Numărul de cazuri de reținere a mărfurilor suspecte a fi contrafăcute” (-9 %) și 2– de eficiență ,,Durata medie a procedurii de vămuire la import” (-20%) și ,,Durata medie a procedurii de vămuire la export” (-15%).</w:t>
      </w:r>
      <w:r w:rsidR="00BE46F1" w:rsidRPr="001D0846">
        <w:rPr>
          <w:rFonts w:ascii="Times New Roman" w:hAnsi="Times New Roman" w:cs="Times New Roman"/>
          <w:sz w:val="28"/>
          <w:szCs w:val="28"/>
          <w:lang w:val="ro-MD"/>
        </w:rPr>
        <w:t xml:space="preserve"> </w:t>
      </w:r>
      <w:r w:rsidR="00C15F45" w:rsidRPr="001D0846">
        <w:rPr>
          <w:rFonts w:ascii="Times New Roman" w:hAnsi="Times New Roman" w:cs="Times New Roman"/>
          <w:sz w:val="28"/>
          <w:szCs w:val="28"/>
          <w:lang w:val="ro-MD"/>
        </w:rPr>
        <w:t>Potrivit motivației persoanelor responsabile din cadrul SV, nerealizarea indicatorului de produs ,,Numărul de cazuri de reținere a mărfurilor suspecte</w:t>
      </w:r>
      <w:r w:rsidR="00CF27FB">
        <w:rPr>
          <w:rFonts w:ascii="Times New Roman" w:hAnsi="Times New Roman" w:cs="Times New Roman"/>
          <w:sz w:val="28"/>
          <w:szCs w:val="28"/>
          <w:lang w:val="ro-MD"/>
        </w:rPr>
        <w:t xml:space="preserve"> </w:t>
      </w:r>
      <w:r w:rsidR="00C15F45" w:rsidRPr="001D0846">
        <w:rPr>
          <w:rFonts w:ascii="Times New Roman" w:hAnsi="Times New Roman" w:cs="Times New Roman"/>
          <w:sz w:val="28"/>
          <w:szCs w:val="28"/>
          <w:lang w:val="ro-MD"/>
        </w:rPr>
        <w:t>a fi contrafăcute” se datorează activității de informare a agenților economici și</w:t>
      </w:r>
      <w:r w:rsidR="006D6642">
        <w:rPr>
          <w:rFonts w:ascii="Times New Roman" w:hAnsi="Times New Roman" w:cs="Times New Roman"/>
          <w:sz w:val="28"/>
          <w:szCs w:val="28"/>
          <w:lang w:val="ro-MD"/>
        </w:rPr>
        <w:t>,</w:t>
      </w:r>
      <w:r w:rsidR="00C15F45" w:rsidRPr="001D0846">
        <w:rPr>
          <w:rFonts w:ascii="Times New Roman" w:hAnsi="Times New Roman" w:cs="Times New Roman"/>
          <w:sz w:val="28"/>
          <w:szCs w:val="28"/>
          <w:lang w:val="ro-MD"/>
        </w:rPr>
        <w:t xml:space="preserve"> respectiv</w:t>
      </w:r>
      <w:r w:rsidR="006D6642">
        <w:rPr>
          <w:rFonts w:ascii="Times New Roman" w:hAnsi="Times New Roman" w:cs="Times New Roman"/>
          <w:sz w:val="28"/>
          <w:szCs w:val="28"/>
          <w:lang w:val="ro-MD"/>
        </w:rPr>
        <w:t>,</w:t>
      </w:r>
      <w:r w:rsidR="00C15F45" w:rsidRPr="001D0846">
        <w:rPr>
          <w:rFonts w:ascii="Times New Roman" w:hAnsi="Times New Roman" w:cs="Times New Roman"/>
          <w:sz w:val="28"/>
          <w:szCs w:val="28"/>
          <w:lang w:val="ro-MD"/>
        </w:rPr>
        <w:t xml:space="preserve"> conform</w:t>
      </w:r>
      <w:r w:rsidR="006D6642">
        <w:rPr>
          <w:rFonts w:ascii="Times New Roman" w:hAnsi="Times New Roman" w:cs="Times New Roman"/>
          <w:sz w:val="28"/>
          <w:szCs w:val="28"/>
          <w:lang w:val="ro-MD"/>
        </w:rPr>
        <w:t>ării</w:t>
      </w:r>
      <w:r w:rsidR="00C15F45" w:rsidRPr="001D0846">
        <w:rPr>
          <w:rFonts w:ascii="Times New Roman" w:hAnsi="Times New Roman" w:cs="Times New Roman"/>
          <w:sz w:val="28"/>
          <w:szCs w:val="28"/>
          <w:lang w:val="ro-MD"/>
        </w:rPr>
        <w:t xml:space="preserve"> acestora la prevederile legale</w:t>
      </w:r>
      <w:r w:rsidR="00363558">
        <w:rPr>
          <w:rFonts w:ascii="Times New Roman" w:hAnsi="Times New Roman" w:cs="Times New Roman"/>
          <w:sz w:val="28"/>
          <w:szCs w:val="28"/>
          <w:lang w:val="ro-MD"/>
        </w:rPr>
        <w:t>,</w:t>
      </w:r>
      <w:r w:rsidR="00C15F45" w:rsidRPr="001D0846">
        <w:rPr>
          <w:rFonts w:ascii="Times New Roman" w:hAnsi="Times New Roman" w:cs="Times New Roman"/>
          <w:sz w:val="28"/>
          <w:szCs w:val="28"/>
          <w:lang w:val="ro-MD"/>
        </w:rPr>
        <w:t xml:space="preserve"> ceea ce a redus numărul de rețineri a</w:t>
      </w:r>
      <w:r w:rsidR="006D6642">
        <w:rPr>
          <w:rFonts w:ascii="Times New Roman" w:hAnsi="Times New Roman" w:cs="Times New Roman"/>
          <w:sz w:val="28"/>
          <w:szCs w:val="28"/>
          <w:lang w:val="ro-MD"/>
        </w:rPr>
        <w:t>le</w:t>
      </w:r>
      <w:r w:rsidR="00C15F45" w:rsidRPr="001D0846">
        <w:rPr>
          <w:rFonts w:ascii="Times New Roman" w:hAnsi="Times New Roman" w:cs="Times New Roman"/>
          <w:sz w:val="28"/>
          <w:szCs w:val="28"/>
          <w:lang w:val="ro-MD"/>
        </w:rPr>
        <w:t xml:space="preserve"> mărfurilor contrafăcute.</w:t>
      </w:r>
    </w:p>
    <w:p w:rsidR="006C5161" w:rsidRPr="001D0846" w:rsidRDefault="006C5161" w:rsidP="006358AD">
      <w:pPr>
        <w:spacing w:after="0" w:line="276" w:lineRule="auto"/>
        <w:ind w:firstLine="720"/>
        <w:jc w:val="both"/>
        <w:rPr>
          <w:rFonts w:ascii="Times New Roman" w:hAnsi="Times New Roman" w:cs="Times New Roman"/>
          <w:i/>
          <w:sz w:val="28"/>
          <w:szCs w:val="28"/>
        </w:rPr>
      </w:pPr>
      <w:r w:rsidRPr="001D0846">
        <w:rPr>
          <w:rFonts w:ascii="Times New Roman" w:hAnsi="Times New Roman" w:cs="Times New Roman"/>
          <w:sz w:val="28"/>
          <w:szCs w:val="28"/>
        </w:rPr>
        <w:t xml:space="preserve">Informația privind nivelul de realizare </w:t>
      </w:r>
      <w:r w:rsidR="00BE46F1" w:rsidRPr="001D0846">
        <w:rPr>
          <w:rFonts w:ascii="Times New Roman" w:hAnsi="Times New Roman" w:cs="Times New Roman"/>
          <w:sz w:val="28"/>
          <w:szCs w:val="28"/>
        </w:rPr>
        <w:t xml:space="preserve">de către SV </w:t>
      </w:r>
      <w:r w:rsidRPr="001D0846">
        <w:rPr>
          <w:rFonts w:ascii="Times New Roman" w:hAnsi="Times New Roman" w:cs="Times New Roman"/>
          <w:sz w:val="28"/>
          <w:szCs w:val="28"/>
        </w:rPr>
        <w:t xml:space="preserve">a indicatorilor de performanță </w:t>
      </w:r>
      <w:r w:rsidR="00BE46F1" w:rsidRPr="001D0846">
        <w:rPr>
          <w:rFonts w:ascii="Times New Roman" w:hAnsi="Times New Roman" w:cs="Times New Roman"/>
          <w:sz w:val="28"/>
          <w:szCs w:val="28"/>
        </w:rPr>
        <w:t xml:space="preserve">în activitatea de administrare vamală </w:t>
      </w:r>
      <w:r w:rsidR="006D6642">
        <w:rPr>
          <w:rFonts w:ascii="Times New Roman" w:hAnsi="Times New Roman" w:cs="Times New Roman"/>
          <w:i/>
          <w:sz w:val="28"/>
          <w:szCs w:val="28"/>
        </w:rPr>
        <w:t>este</w:t>
      </w:r>
      <w:r w:rsidRPr="001D0846">
        <w:rPr>
          <w:rFonts w:ascii="Times New Roman" w:hAnsi="Times New Roman" w:cs="Times New Roman"/>
          <w:i/>
          <w:sz w:val="28"/>
          <w:szCs w:val="28"/>
        </w:rPr>
        <w:t xml:space="preserve"> prez</w:t>
      </w:r>
      <w:r w:rsidR="006D6642">
        <w:rPr>
          <w:rFonts w:ascii="Times New Roman" w:hAnsi="Times New Roman" w:cs="Times New Roman"/>
          <w:i/>
          <w:sz w:val="28"/>
          <w:szCs w:val="28"/>
        </w:rPr>
        <w:t>enta</w:t>
      </w:r>
      <w:r w:rsidRPr="001D0846">
        <w:rPr>
          <w:rFonts w:ascii="Times New Roman" w:hAnsi="Times New Roman" w:cs="Times New Roman"/>
          <w:i/>
          <w:sz w:val="28"/>
          <w:szCs w:val="28"/>
        </w:rPr>
        <w:t xml:space="preserve">tă în Tabelul </w:t>
      </w:r>
      <w:r w:rsidR="00D1260C" w:rsidRPr="001D0846">
        <w:rPr>
          <w:rFonts w:ascii="Times New Roman" w:hAnsi="Times New Roman" w:cs="Times New Roman"/>
          <w:i/>
          <w:sz w:val="28"/>
          <w:szCs w:val="28"/>
        </w:rPr>
        <w:t>nr.</w:t>
      </w:r>
      <w:r w:rsidR="00BC4A84" w:rsidRPr="001D0846">
        <w:rPr>
          <w:rFonts w:ascii="Times New Roman" w:hAnsi="Times New Roman" w:cs="Times New Roman"/>
          <w:i/>
          <w:sz w:val="28"/>
          <w:szCs w:val="28"/>
        </w:rPr>
        <w:t>3 din Anexa nr.3</w:t>
      </w:r>
      <w:r w:rsidR="00D1260C" w:rsidRPr="001D0846">
        <w:rPr>
          <w:rFonts w:ascii="Times New Roman" w:hAnsi="Times New Roman" w:cs="Times New Roman"/>
          <w:i/>
          <w:sz w:val="28"/>
          <w:szCs w:val="28"/>
        </w:rPr>
        <w:t xml:space="preserve"> la Raport</w:t>
      </w:r>
      <w:r w:rsidR="006D6642">
        <w:rPr>
          <w:rFonts w:ascii="Times New Roman" w:hAnsi="Times New Roman" w:cs="Times New Roman"/>
          <w:i/>
          <w:sz w:val="28"/>
          <w:szCs w:val="28"/>
        </w:rPr>
        <w:t>ul</w:t>
      </w:r>
      <w:r w:rsidR="00D1260C" w:rsidRPr="001D0846">
        <w:rPr>
          <w:rFonts w:ascii="Times New Roman" w:hAnsi="Times New Roman" w:cs="Times New Roman"/>
          <w:i/>
          <w:sz w:val="28"/>
          <w:szCs w:val="28"/>
        </w:rPr>
        <w:t xml:space="preserve"> de audit</w:t>
      </w:r>
      <w:r w:rsidRPr="001D0846">
        <w:rPr>
          <w:rFonts w:ascii="Times New Roman" w:hAnsi="Times New Roman" w:cs="Times New Roman"/>
          <w:i/>
          <w:sz w:val="28"/>
          <w:szCs w:val="28"/>
        </w:rPr>
        <w:t>.</w:t>
      </w:r>
    </w:p>
    <w:p w:rsidR="00743411" w:rsidRDefault="00D1260C" w:rsidP="006358AD">
      <w:pPr>
        <w:pStyle w:val="a7"/>
        <w:tabs>
          <w:tab w:val="left" w:pos="0"/>
        </w:tabs>
        <w:spacing w:after="0" w:line="276" w:lineRule="auto"/>
        <w:ind w:left="0"/>
        <w:jc w:val="both"/>
        <w:rPr>
          <w:rFonts w:ascii="Times New Roman" w:hAnsi="Times New Roman" w:cs="Times New Roman"/>
          <w:sz w:val="28"/>
          <w:szCs w:val="28"/>
        </w:rPr>
      </w:pPr>
      <w:r w:rsidRPr="001D0846">
        <w:rPr>
          <w:rFonts w:ascii="Times New Roman" w:hAnsi="Times New Roman" w:cs="Times New Roman"/>
          <w:sz w:val="28"/>
          <w:szCs w:val="28"/>
        </w:rPr>
        <w:tab/>
        <w:t xml:space="preserve">În viziunea auditului, </w:t>
      </w:r>
      <w:r w:rsidR="00916C86" w:rsidRPr="00363558">
        <w:rPr>
          <w:rFonts w:ascii="Times New Roman" w:hAnsi="Times New Roman" w:cs="Times New Roman"/>
          <w:sz w:val="28"/>
          <w:szCs w:val="28"/>
        </w:rPr>
        <w:t>situațiile constatate</w:t>
      </w:r>
      <w:r w:rsidR="00916C86">
        <w:rPr>
          <w:rFonts w:ascii="Times New Roman" w:hAnsi="Times New Roman" w:cs="Times New Roman"/>
          <w:sz w:val="28"/>
          <w:szCs w:val="28"/>
        </w:rPr>
        <w:t xml:space="preserve"> </w:t>
      </w:r>
      <w:r w:rsidRPr="001D0846">
        <w:rPr>
          <w:rFonts w:ascii="Times New Roman" w:hAnsi="Times New Roman" w:cs="Times New Roman"/>
          <w:sz w:val="28"/>
          <w:szCs w:val="28"/>
        </w:rPr>
        <w:t>sunt o consecință a monitorizării insuficie</w:t>
      </w:r>
      <w:r w:rsidR="00B714E2" w:rsidRPr="001D0846">
        <w:rPr>
          <w:rFonts w:ascii="Times New Roman" w:hAnsi="Times New Roman" w:cs="Times New Roman"/>
          <w:sz w:val="28"/>
          <w:szCs w:val="28"/>
        </w:rPr>
        <w:t>nte asupra modului de elaborare</w:t>
      </w:r>
      <w:r w:rsidRPr="001D0846">
        <w:rPr>
          <w:rFonts w:ascii="Times New Roman" w:hAnsi="Times New Roman" w:cs="Times New Roman"/>
          <w:sz w:val="28"/>
          <w:szCs w:val="28"/>
        </w:rPr>
        <w:t xml:space="preserve"> </w:t>
      </w:r>
      <w:r w:rsidR="00B714E2" w:rsidRPr="001D0846">
        <w:rPr>
          <w:rFonts w:ascii="Times New Roman" w:hAnsi="Times New Roman" w:cs="Times New Roman"/>
          <w:sz w:val="28"/>
          <w:szCs w:val="28"/>
        </w:rPr>
        <w:t xml:space="preserve">și </w:t>
      </w:r>
      <w:r w:rsidR="00363558">
        <w:rPr>
          <w:rFonts w:ascii="Times New Roman" w:hAnsi="Times New Roman" w:cs="Times New Roman"/>
          <w:sz w:val="28"/>
          <w:szCs w:val="28"/>
        </w:rPr>
        <w:t>realizare</w:t>
      </w:r>
      <w:r w:rsidR="00B714E2" w:rsidRPr="001D0846">
        <w:rPr>
          <w:rFonts w:ascii="Times New Roman" w:hAnsi="Times New Roman" w:cs="Times New Roman"/>
          <w:sz w:val="28"/>
          <w:szCs w:val="28"/>
        </w:rPr>
        <w:t xml:space="preserve"> a indicatorilor de performanță</w:t>
      </w:r>
      <w:r w:rsidRPr="001D0846">
        <w:rPr>
          <w:rFonts w:ascii="Times New Roman" w:hAnsi="Times New Roman" w:cs="Times New Roman"/>
          <w:sz w:val="28"/>
          <w:szCs w:val="28"/>
        </w:rPr>
        <w:t xml:space="preserve"> atât de către managementul organelor fiscale și vamale</w:t>
      </w:r>
      <w:r w:rsidR="006D6642">
        <w:rPr>
          <w:rFonts w:ascii="Times New Roman" w:hAnsi="Times New Roman" w:cs="Times New Roman"/>
          <w:sz w:val="28"/>
          <w:szCs w:val="28"/>
        </w:rPr>
        <w:t>,</w:t>
      </w:r>
      <w:r w:rsidRPr="001D0846">
        <w:rPr>
          <w:rFonts w:ascii="Times New Roman" w:hAnsi="Times New Roman" w:cs="Times New Roman"/>
          <w:sz w:val="28"/>
          <w:szCs w:val="28"/>
        </w:rPr>
        <w:t xml:space="preserve"> cât și </w:t>
      </w:r>
      <w:r w:rsidR="006D6642">
        <w:rPr>
          <w:rFonts w:ascii="Times New Roman" w:hAnsi="Times New Roman" w:cs="Times New Roman"/>
          <w:sz w:val="28"/>
          <w:szCs w:val="28"/>
        </w:rPr>
        <w:t xml:space="preserve">de către </w:t>
      </w:r>
      <w:r w:rsidR="00456909">
        <w:rPr>
          <w:rFonts w:ascii="Times New Roman" w:hAnsi="Times New Roman" w:cs="Times New Roman"/>
          <w:sz w:val="28"/>
          <w:szCs w:val="28"/>
        </w:rPr>
        <w:t>administratorul bugetului de stat.</w:t>
      </w:r>
      <w:r w:rsidRPr="001D0846">
        <w:rPr>
          <w:rFonts w:ascii="Times New Roman" w:hAnsi="Times New Roman" w:cs="Times New Roman"/>
          <w:sz w:val="28"/>
          <w:szCs w:val="28"/>
        </w:rPr>
        <w:t xml:space="preserve"> </w:t>
      </w:r>
    </w:p>
    <w:p w:rsidR="006C5161" w:rsidRPr="00743411" w:rsidRDefault="00743411" w:rsidP="006358AD">
      <w:pPr>
        <w:pStyle w:val="a7"/>
        <w:tabs>
          <w:tab w:val="left" w:pos="0"/>
        </w:tabs>
        <w:spacing w:after="0" w:line="276" w:lineRule="auto"/>
        <w:ind w:left="0"/>
        <w:jc w:val="both"/>
        <w:rPr>
          <w:rFonts w:ascii="Times New Roman" w:hAnsi="Times New Roman" w:cs="Times New Roman"/>
          <w:sz w:val="28"/>
          <w:szCs w:val="28"/>
          <w:lang w:val="ro-MD"/>
        </w:rPr>
      </w:pPr>
      <w:r>
        <w:rPr>
          <w:rFonts w:ascii="Times New Roman" w:hAnsi="Times New Roman" w:cs="Times New Roman"/>
          <w:sz w:val="28"/>
          <w:szCs w:val="28"/>
        </w:rPr>
        <w:tab/>
      </w:r>
      <w:r w:rsidR="006C5161" w:rsidRPr="001D0846">
        <w:rPr>
          <w:rFonts w:ascii="Times New Roman" w:hAnsi="Times New Roman" w:cs="Times New Roman"/>
          <w:sz w:val="28"/>
          <w:szCs w:val="28"/>
          <w:lang w:val="ro-MD"/>
        </w:rPr>
        <w:t xml:space="preserve">Analiza efectuată de audit asupra </w:t>
      </w:r>
      <w:proofErr w:type="spellStart"/>
      <w:r w:rsidR="006C5161" w:rsidRPr="001D0846">
        <w:rPr>
          <w:rFonts w:ascii="Times New Roman" w:hAnsi="Times New Roman" w:cs="Times New Roman"/>
          <w:sz w:val="28"/>
          <w:szCs w:val="28"/>
          <w:lang w:val="ro-MD"/>
        </w:rPr>
        <w:t>activităţilor</w:t>
      </w:r>
      <w:proofErr w:type="spellEnd"/>
      <w:r w:rsidR="006C5161" w:rsidRPr="001D0846">
        <w:rPr>
          <w:rFonts w:ascii="Times New Roman" w:hAnsi="Times New Roman" w:cs="Times New Roman"/>
          <w:sz w:val="28"/>
          <w:szCs w:val="28"/>
          <w:lang w:val="ro-MD"/>
        </w:rPr>
        <w:t xml:space="preserve"> stabilite în planurile anuale</w:t>
      </w:r>
      <w:r w:rsidR="006D6642">
        <w:rPr>
          <w:rFonts w:ascii="Times New Roman" w:hAnsi="Times New Roman" w:cs="Times New Roman"/>
          <w:sz w:val="28"/>
          <w:szCs w:val="28"/>
          <w:lang w:val="ro-MD"/>
        </w:rPr>
        <w:t xml:space="preserve">, </w:t>
      </w:r>
      <w:r w:rsidR="006C5161" w:rsidRPr="001D0846">
        <w:rPr>
          <w:rFonts w:ascii="Times New Roman" w:hAnsi="Times New Roman" w:cs="Times New Roman"/>
          <w:sz w:val="28"/>
          <w:szCs w:val="28"/>
          <w:lang w:val="ro-MD"/>
        </w:rPr>
        <w:t xml:space="preserve"> comparativ cu cele stabilite în rapoartele privind </w:t>
      </w:r>
      <w:r w:rsidR="006C5161" w:rsidRPr="00141114">
        <w:rPr>
          <w:rFonts w:ascii="Times New Roman" w:hAnsi="Times New Roman" w:cs="Times New Roman"/>
          <w:sz w:val="28"/>
          <w:szCs w:val="28"/>
          <w:lang w:val="ro-MD"/>
        </w:rPr>
        <w:t>performanța pe programe/</w:t>
      </w:r>
      <w:r>
        <w:rPr>
          <w:rFonts w:ascii="Times New Roman" w:hAnsi="Times New Roman" w:cs="Times New Roman"/>
          <w:sz w:val="28"/>
          <w:szCs w:val="28"/>
          <w:lang w:val="ro-MD"/>
        </w:rPr>
        <w:t xml:space="preserve"> </w:t>
      </w:r>
      <w:r w:rsidR="006C5161" w:rsidRPr="00141114">
        <w:rPr>
          <w:rFonts w:ascii="Times New Roman" w:hAnsi="Times New Roman" w:cs="Times New Roman"/>
          <w:sz w:val="28"/>
          <w:szCs w:val="28"/>
          <w:lang w:val="ro-MD"/>
        </w:rPr>
        <w:t>subprograme</w:t>
      </w:r>
      <w:r>
        <w:rPr>
          <w:rFonts w:ascii="Times New Roman" w:hAnsi="Times New Roman" w:cs="Times New Roman"/>
          <w:sz w:val="28"/>
          <w:szCs w:val="28"/>
          <w:lang w:val="ro-MD"/>
        </w:rPr>
        <w:t xml:space="preserve"> și</w:t>
      </w:r>
      <w:r w:rsidR="006C5161" w:rsidRPr="00141114">
        <w:rPr>
          <w:rFonts w:ascii="Times New Roman" w:hAnsi="Times New Roman" w:cs="Times New Roman"/>
          <w:sz w:val="28"/>
          <w:szCs w:val="28"/>
          <w:lang w:val="ro-MD"/>
        </w:rPr>
        <w:t xml:space="preserve"> </w:t>
      </w:r>
      <w:r w:rsidR="006D6642">
        <w:rPr>
          <w:rFonts w:ascii="Times New Roman" w:hAnsi="Times New Roman" w:cs="Times New Roman"/>
          <w:sz w:val="28"/>
          <w:szCs w:val="28"/>
          <w:lang w:val="ro-MD"/>
        </w:rPr>
        <w:t xml:space="preserve">în </w:t>
      </w:r>
      <w:r w:rsidR="006C5161" w:rsidRPr="00141114">
        <w:rPr>
          <w:rFonts w:ascii="Times New Roman" w:hAnsi="Times New Roman" w:cs="Times New Roman"/>
          <w:sz w:val="28"/>
          <w:szCs w:val="28"/>
          <w:lang w:val="ro-MD"/>
        </w:rPr>
        <w:t>rapoarte</w:t>
      </w:r>
      <w:r>
        <w:rPr>
          <w:rFonts w:ascii="Times New Roman" w:hAnsi="Times New Roman" w:cs="Times New Roman"/>
          <w:sz w:val="28"/>
          <w:szCs w:val="28"/>
          <w:lang w:val="ro-MD"/>
        </w:rPr>
        <w:t xml:space="preserve">le subdiviziunilor teritoriale, </w:t>
      </w:r>
      <w:r w:rsidR="006C5161" w:rsidRPr="00141114">
        <w:rPr>
          <w:rFonts w:ascii="Times New Roman" w:hAnsi="Times New Roman" w:cs="Times New Roman"/>
          <w:sz w:val="28"/>
          <w:szCs w:val="28"/>
          <w:lang w:val="ro-MD"/>
        </w:rPr>
        <w:t xml:space="preserve">denotă că </w:t>
      </w:r>
      <w:r w:rsidRPr="001D0846">
        <w:rPr>
          <w:rFonts w:ascii="Times New Roman" w:hAnsi="Times New Roman" w:cs="Times New Roman"/>
          <w:sz w:val="28"/>
          <w:szCs w:val="28"/>
          <w:lang w:val="ro-MD"/>
        </w:rPr>
        <w:t>unii indicatori din planul de activitate diferă de cei incluși în raportul privind performanța pe programe/ subprograme</w:t>
      </w:r>
      <w:r w:rsidR="006D6642">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prezentat anual MF</w:t>
      </w:r>
      <w:r>
        <w:rPr>
          <w:rFonts w:ascii="Times New Roman" w:hAnsi="Times New Roman" w:cs="Times New Roman"/>
          <w:sz w:val="28"/>
          <w:szCs w:val="28"/>
          <w:lang w:val="ro-MD"/>
        </w:rPr>
        <w:t xml:space="preserve">, iar </w:t>
      </w:r>
      <w:r w:rsidR="006C5161" w:rsidRPr="00141114">
        <w:rPr>
          <w:rFonts w:ascii="Times New Roman" w:hAnsi="Times New Roman" w:cs="Times New Roman"/>
          <w:sz w:val="28"/>
          <w:szCs w:val="28"/>
          <w:lang w:val="ro-MD"/>
        </w:rPr>
        <w:t xml:space="preserve">unele </w:t>
      </w:r>
      <w:proofErr w:type="spellStart"/>
      <w:r w:rsidR="006C5161" w:rsidRPr="00141114">
        <w:rPr>
          <w:rFonts w:ascii="Times New Roman" w:hAnsi="Times New Roman" w:cs="Times New Roman"/>
          <w:sz w:val="28"/>
          <w:szCs w:val="28"/>
          <w:lang w:val="ro-MD"/>
        </w:rPr>
        <w:t>activităţi</w:t>
      </w:r>
      <w:proofErr w:type="spellEnd"/>
      <w:r>
        <w:rPr>
          <w:rFonts w:ascii="Times New Roman" w:hAnsi="Times New Roman" w:cs="Times New Roman"/>
          <w:sz w:val="28"/>
          <w:szCs w:val="28"/>
          <w:lang w:val="ro-MD"/>
        </w:rPr>
        <w:t xml:space="preserve"> </w:t>
      </w:r>
      <w:r w:rsidR="006C5161" w:rsidRPr="00141114">
        <w:rPr>
          <w:rFonts w:ascii="Times New Roman" w:hAnsi="Times New Roman" w:cs="Times New Roman"/>
          <w:sz w:val="28"/>
          <w:szCs w:val="28"/>
          <w:lang w:val="ro-MD"/>
        </w:rPr>
        <w:t>definite în planurile anuale nu se regăsesc la nivelul subdiviziunilor teritoriale</w:t>
      </w:r>
      <w:r>
        <w:rPr>
          <w:rFonts w:ascii="Times New Roman" w:hAnsi="Times New Roman" w:cs="Times New Roman"/>
          <w:sz w:val="28"/>
          <w:szCs w:val="28"/>
          <w:lang w:val="ro-MD"/>
        </w:rPr>
        <w:t>.</w:t>
      </w:r>
      <w:r w:rsidR="00902AB1" w:rsidRPr="001D0846">
        <w:rPr>
          <w:rFonts w:ascii="Times New Roman" w:hAnsi="Times New Roman" w:cs="Times New Roman"/>
          <w:sz w:val="28"/>
          <w:szCs w:val="28"/>
          <w:lang w:val="ro-MD"/>
        </w:rPr>
        <w:t xml:space="preserve"> Situațiile menționate</w:t>
      </w:r>
      <w:r w:rsidR="006C5161" w:rsidRPr="001D0846">
        <w:rPr>
          <w:rFonts w:ascii="Times New Roman" w:hAnsi="Times New Roman" w:cs="Times New Roman"/>
          <w:sz w:val="28"/>
          <w:szCs w:val="28"/>
          <w:lang w:val="ro-MD"/>
        </w:rPr>
        <w:t xml:space="preserve"> generează raportări diferite ale performanțelor în baza acelorași indicatori stabiliți </w:t>
      </w:r>
      <w:r w:rsidR="00902AB1" w:rsidRPr="001D0846">
        <w:rPr>
          <w:rFonts w:ascii="Times New Roman" w:hAnsi="Times New Roman" w:cs="Times New Roman"/>
          <w:sz w:val="28"/>
          <w:szCs w:val="28"/>
          <w:lang w:val="ro-MD"/>
        </w:rPr>
        <w:t>pentru</w:t>
      </w:r>
      <w:r w:rsidR="006C5161" w:rsidRPr="001D0846">
        <w:rPr>
          <w:rFonts w:ascii="Times New Roman" w:hAnsi="Times New Roman" w:cs="Times New Roman"/>
          <w:sz w:val="28"/>
          <w:szCs w:val="28"/>
          <w:lang w:val="ro-MD"/>
        </w:rPr>
        <w:t xml:space="preserve"> administrarea impozitelor și taxelor. Astfel, se exemplifică indicatorul ,,Cota declarațiilor vamale perfectate electronic”</w:t>
      </w:r>
      <w:r w:rsidR="006D6642">
        <w:rPr>
          <w:rFonts w:ascii="Times New Roman" w:hAnsi="Times New Roman" w:cs="Times New Roman"/>
          <w:sz w:val="28"/>
          <w:szCs w:val="28"/>
          <w:lang w:val="ro-MD"/>
        </w:rPr>
        <w:t>,</w:t>
      </w:r>
      <w:r w:rsidR="006C5161" w:rsidRPr="001D0846">
        <w:rPr>
          <w:rFonts w:ascii="Times New Roman" w:hAnsi="Times New Roman" w:cs="Times New Roman"/>
          <w:sz w:val="28"/>
          <w:szCs w:val="28"/>
          <w:lang w:val="ro-MD"/>
        </w:rPr>
        <w:t xml:space="preserve"> care în Raportul de activitate al SV pentru anul 2016 constituia 20%</w:t>
      </w:r>
      <w:r w:rsidR="006C5161" w:rsidRPr="001D0846">
        <w:rPr>
          <w:rFonts w:ascii="Times New Roman" w:hAnsi="Times New Roman" w:cs="Times New Roman"/>
          <w:sz w:val="28"/>
          <w:szCs w:val="28"/>
        </w:rPr>
        <w:t xml:space="preserve"> (planificat), iar în Raportul privind performanț</w:t>
      </w:r>
      <w:r w:rsidR="00902AB1" w:rsidRPr="001D0846">
        <w:rPr>
          <w:rFonts w:ascii="Times New Roman" w:hAnsi="Times New Roman" w:cs="Times New Roman"/>
          <w:sz w:val="28"/>
          <w:szCs w:val="28"/>
        </w:rPr>
        <w:t xml:space="preserve">a pe </w:t>
      </w:r>
      <w:r w:rsidR="00902AB1" w:rsidRPr="001D0846">
        <w:rPr>
          <w:rFonts w:ascii="Times New Roman" w:hAnsi="Times New Roman" w:cs="Times New Roman"/>
          <w:sz w:val="28"/>
          <w:szCs w:val="28"/>
        </w:rPr>
        <w:lastRenderedPageBreak/>
        <w:t>programe/subprograme – 25</w:t>
      </w:r>
      <w:r w:rsidR="006C5161" w:rsidRPr="001D0846">
        <w:rPr>
          <w:rFonts w:ascii="Times New Roman" w:hAnsi="Times New Roman" w:cs="Times New Roman"/>
          <w:sz w:val="28"/>
          <w:szCs w:val="28"/>
        </w:rPr>
        <w:t>%. Analogic, indicatorul ,,</w:t>
      </w:r>
      <w:proofErr w:type="spellStart"/>
      <w:r w:rsidR="006C5161" w:rsidRPr="001D0846">
        <w:rPr>
          <w:rFonts w:ascii="Times New Roman" w:hAnsi="Times New Roman" w:cs="Times New Roman"/>
          <w:sz w:val="28"/>
          <w:szCs w:val="28"/>
        </w:rPr>
        <w:t>Rezultativitatea</w:t>
      </w:r>
      <w:proofErr w:type="spellEnd"/>
      <w:r w:rsidR="006C5161" w:rsidRPr="001D0846">
        <w:rPr>
          <w:rFonts w:ascii="Times New Roman" w:hAnsi="Times New Roman" w:cs="Times New Roman"/>
          <w:sz w:val="28"/>
          <w:szCs w:val="28"/>
        </w:rPr>
        <w:t xml:space="preserve"> efectuării controlului ulterior” în Raportul de activitate al SV pentru anul 2017 constituia 55%, pe c</w:t>
      </w:r>
      <w:r w:rsidR="006D6642">
        <w:rPr>
          <w:rFonts w:ascii="Times New Roman" w:hAnsi="Times New Roman" w:cs="Times New Roman"/>
          <w:sz w:val="28"/>
          <w:szCs w:val="28"/>
        </w:rPr>
        <w:t>â</w:t>
      </w:r>
      <w:r w:rsidR="006C5161" w:rsidRPr="001D0846">
        <w:rPr>
          <w:rFonts w:ascii="Times New Roman" w:hAnsi="Times New Roman" w:cs="Times New Roman"/>
          <w:sz w:val="28"/>
          <w:szCs w:val="28"/>
        </w:rPr>
        <w:t xml:space="preserve">nd în Raportul privind performanța pe programe/subprograme – 75 %. </w:t>
      </w:r>
    </w:p>
    <w:p w:rsidR="006C5161" w:rsidRPr="001D0846" w:rsidRDefault="006C5161" w:rsidP="006358AD">
      <w:pPr>
        <w:spacing w:after="0" w:line="276" w:lineRule="auto"/>
        <w:ind w:firstLine="709"/>
        <w:jc w:val="both"/>
        <w:rPr>
          <w:rFonts w:ascii="Times New Roman" w:hAnsi="Times New Roman" w:cs="Times New Roman"/>
          <w:sz w:val="28"/>
          <w:szCs w:val="28"/>
        </w:rPr>
      </w:pPr>
      <w:r w:rsidRPr="00743411">
        <w:rPr>
          <w:rFonts w:ascii="Times New Roman" w:hAnsi="Times New Roman" w:cs="Times New Roman"/>
          <w:sz w:val="28"/>
          <w:szCs w:val="28"/>
        </w:rPr>
        <w:t>De asemenea, în Raportul de activitate al SV pentru anul 2017 a fost inclus indicatorul ,,Sporirea randamentului acțiunilor de executare silită”, care nu se regăsește în Raportul privind performanța pe programe/subprograme, deși</w:t>
      </w:r>
      <w:r w:rsidR="006D6642">
        <w:rPr>
          <w:rFonts w:ascii="Times New Roman" w:hAnsi="Times New Roman" w:cs="Times New Roman"/>
          <w:sz w:val="28"/>
          <w:szCs w:val="28"/>
        </w:rPr>
        <w:t>,</w:t>
      </w:r>
      <w:r w:rsidRPr="00743411">
        <w:rPr>
          <w:rFonts w:ascii="Times New Roman" w:hAnsi="Times New Roman" w:cs="Times New Roman"/>
          <w:sz w:val="28"/>
          <w:szCs w:val="28"/>
        </w:rPr>
        <w:t xml:space="preserve"> în viziunea auditului</w:t>
      </w:r>
      <w:r w:rsidR="006D6642">
        <w:rPr>
          <w:rFonts w:ascii="Times New Roman" w:hAnsi="Times New Roman" w:cs="Times New Roman"/>
          <w:sz w:val="28"/>
          <w:szCs w:val="28"/>
        </w:rPr>
        <w:t>,</w:t>
      </w:r>
      <w:r w:rsidRPr="00743411">
        <w:rPr>
          <w:rFonts w:ascii="Times New Roman" w:hAnsi="Times New Roman" w:cs="Times New Roman"/>
          <w:sz w:val="28"/>
          <w:szCs w:val="28"/>
        </w:rPr>
        <w:t xml:space="preserve"> acesta reprezintă unul din</w:t>
      </w:r>
      <w:r w:rsidR="006D6642">
        <w:rPr>
          <w:rFonts w:ascii="Times New Roman" w:hAnsi="Times New Roman" w:cs="Times New Roman"/>
          <w:sz w:val="28"/>
          <w:szCs w:val="28"/>
        </w:rPr>
        <w:t>tre</w:t>
      </w:r>
      <w:r w:rsidRPr="00743411">
        <w:rPr>
          <w:rFonts w:ascii="Times New Roman" w:hAnsi="Times New Roman" w:cs="Times New Roman"/>
          <w:sz w:val="28"/>
          <w:szCs w:val="28"/>
        </w:rPr>
        <w:t xml:space="preserve"> cei mai importanți indicatori în administrarea restanțelor la plățile vamale.</w:t>
      </w:r>
    </w:p>
    <w:p w:rsidR="00596E0B" w:rsidRPr="001D0846" w:rsidRDefault="00E46F63" w:rsidP="00E46F63">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Analiza modului de definire de către SV a obiectivelor strategice relevă că acestea nu în toate cazurile întrunesc în totalitate caracteristicile definitorii, astfel încât prin</w:t>
      </w:r>
      <w:r w:rsidRPr="001D0846">
        <w:rPr>
          <w:rFonts w:ascii="Times New Roman" w:hAnsi="Times New Roman" w:cs="Times New Roman"/>
          <w:color w:val="000000"/>
          <w:sz w:val="28"/>
          <w:szCs w:val="28"/>
        </w:rPr>
        <w:t xml:space="preserve"> </w:t>
      </w:r>
      <w:r w:rsidRPr="001D0846">
        <w:rPr>
          <w:rFonts w:ascii="Times New Roman" w:hAnsi="Times New Roman" w:cs="Times New Roman"/>
          <w:sz w:val="28"/>
          <w:szCs w:val="28"/>
        </w:rPr>
        <w:t xml:space="preserve">implementarea lor să se asigure realizarea </w:t>
      </w:r>
      <w:proofErr w:type="spellStart"/>
      <w:r w:rsidRPr="001D0846">
        <w:rPr>
          <w:rFonts w:ascii="Times New Roman" w:hAnsi="Times New Roman" w:cs="Times New Roman"/>
          <w:sz w:val="28"/>
          <w:szCs w:val="28"/>
        </w:rPr>
        <w:t>direcţiilor</w:t>
      </w:r>
      <w:proofErr w:type="spellEnd"/>
      <w:r w:rsidRPr="001D0846">
        <w:rPr>
          <w:rFonts w:ascii="Times New Roman" w:hAnsi="Times New Roman" w:cs="Times New Roman"/>
          <w:sz w:val="28"/>
          <w:szCs w:val="28"/>
        </w:rPr>
        <w:t xml:space="preserve"> de </w:t>
      </w:r>
      <w:proofErr w:type="spellStart"/>
      <w:r w:rsidRPr="001D0846">
        <w:rPr>
          <w:rFonts w:ascii="Times New Roman" w:hAnsi="Times New Roman" w:cs="Times New Roman"/>
          <w:sz w:val="28"/>
          <w:szCs w:val="28"/>
        </w:rPr>
        <w:t>acţiune</w:t>
      </w:r>
      <w:proofErr w:type="spellEnd"/>
      <w:r w:rsidRPr="001D0846">
        <w:rPr>
          <w:rFonts w:ascii="Times New Roman" w:hAnsi="Times New Roman" w:cs="Times New Roman"/>
          <w:sz w:val="28"/>
          <w:szCs w:val="28"/>
        </w:rPr>
        <w:t xml:space="preserve"> ale </w:t>
      </w:r>
      <w:proofErr w:type="spellStart"/>
      <w:r w:rsidRPr="001D0846">
        <w:rPr>
          <w:rFonts w:ascii="Times New Roman" w:hAnsi="Times New Roman" w:cs="Times New Roman"/>
          <w:sz w:val="28"/>
          <w:szCs w:val="28"/>
        </w:rPr>
        <w:t>entităţii</w:t>
      </w:r>
      <w:proofErr w:type="spellEnd"/>
      <w:r w:rsidRPr="001D0846">
        <w:rPr>
          <w:rFonts w:ascii="Times New Roman" w:hAnsi="Times New Roman" w:cs="Times New Roman"/>
          <w:sz w:val="28"/>
          <w:szCs w:val="28"/>
        </w:rPr>
        <w:t>. În unele cazuri</w:t>
      </w:r>
      <w:r w:rsidR="006D6642">
        <w:rPr>
          <w:rFonts w:ascii="Times New Roman" w:hAnsi="Times New Roman" w:cs="Times New Roman"/>
          <w:sz w:val="28"/>
          <w:szCs w:val="28"/>
        </w:rPr>
        <w:t>,</w:t>
      </w:r>
      <w:r w:rsidRPr="001D0846">
        <w:rPr>
          <w:rFonts w:ascii="Times New Roman" w:hAnsi="Times New Roman" w:cs="Times New Roman"/>
          <w:sz w:val="28"/>
          <w:szCs w:val="28"/>
        </w:rPr>
        <w:t xml:space="preserve"> </w:t>
      </w:r>
      <w:r w:rsidRPr="007E19F9">
        <w:rPr>
          <w:rFonts w:ascii="Times New Roman" w:hAnsi="Times New Roman" w:cs="Times New Roman"/>
          <w:sz w:val="28"/>
          <w:szCs w:val="28"/>
        </w:rPr>
        <w:t xml:space="preserve">indicatorii stabiliți nu sunt </w:t>
      </w:r>
      <w:proofErr w:type="spellStart"/>
      <w:r w:rsidRPr="007E19F9">
        <w:rPr>
          <w:rFonts w:ascii="Times New Roman" w:hAnsi="Times New Roman" w:cs="Times New Roman"/>
          <w:sz w:val="28"/>
          <w:szCs w:val="28"/>
        </w:rPr>
        <w:t>comesurabili</w:t>
      </w:r>
      <w:proofErr w:type="spellEnd"/>
      <w:r w:rsidRPr="007E19F9">
        <w:rPr>
          <w:rFonts w:ascii="Times New Roman" w:hAnsi="Times New Roman" w:cs="Times New Roman"/>
          <w:sz w:val="28"/>
          <w:szCs w:val="28"/>
        </w:rPr>
        <w:t>/cuantificabili, activitățile prevăzute fiind mai mult de ordin general</w:t>
      </w:r>
      <w:r w:rsidR="006D6642" w:rsidRPr="007E19F9">
        <w:rPr>
          <w:rFonts w:ascii="Times New Roman" w:hAnsi="Times New Roman" w:cs="Times New Roman"/>
          <w:sz w:val="28"/>
          <w:szCs w:val="28"/>
        </w:rPr>
        <w:t>. A</w:t>
      </w:r>
      <w:r w:rsidRPr="007E19F9">
        <w:rPr>
          <w:rFonts w:ascii="Times New Roman" w:hAnsi="Times New Roman" w:cs="Times New Roman"/>
          <w:sz w:val="28"/>
          <w:szCs w:val="28"/>
        </w:rPr>
        <w:t>stfel, prin modul în care au fost definite unele activități, indicatori</w:t>
      </w:r>
      <w:r w:rsidR="006D6642" w:rsidRPr="007E19F9">
        <w:rPr>
          <w:rFonts w:ascii="Times New Roman" w:hAnsi="Times New Roman" w:cs="Times New Roman"/>
          <w:sz w:val="28"/>
          <w:szCs w:val="28"/>
        </w:rPr>
        <w:t>i</w:t>
      </w:r>
      <w:r w:rsidRPr="007E19F9">
        <w:rPr>
          <w:rFonts w:ascii="Times New Roman" w:hAnsi="Times New Roman" w:cs="Times New Roman"/>
          <w:sz w:val="28"/>
          <w:szCs w:val="28"/>
        </w:rPr>
        <w:t xml:space="preserve"> </w:t>
      </w:r>
      <w:r w:rsidR="007E19F9" w:rsidRPr="007E19F9">
        <w:rPr>
          <w:rFonts w:ascii="Times New Roman" w:hAnsi="Times New Roman" w:cs="Times New Roman"/>
          <w:sz w:val="28"/>
          <w:szCs w:val="28"/>
        </w:rPr>
        <w:t>realizați</w:t>
      </w:r>
      <w:r w:rsidR="006D6642" w:rsidRPr="007E19F9">
        <w:rPr>
          <w:rFonts w:ascii="Times New Roman" w:hAnsi="Times New Roman" w:cs="Times New Roman"/>
          <w:sz w:val="28"/>
          <w:szCs w:val="28"/>
        </w:rPr>
        <w:t xml:space="preserve"> </w:t>
      </w:r>
      <w:r w:rsidRPr="007E19F9">
        <w:rPr>
          <w:rFonts w:ascii="Times New Roman" w:hAnsi="Times New Roman" w:cs="Times New Roman"/>
          <w:sz w:val="28"/>
          <w:szCs w:val="28"/>
        </w:rPr>
        <w:t xml:space="preserve">nu permit evaluarea nivelului de </w:t>
      </w:r>
      <w:r w:rsidR="007E19F9" w:rsidRPr="007E19F9">
        <w:rPr>
          <w:rFonts w:ascii="Times New Roman" w:hAnsi="Times New Roman" w:cs="Times New Roman"/>
          <w:sz w:val="28"/>
          <w:szCs w:val="28"/>
        </w:rPr>
        <w:t>implementare</w:t>
      </w:r>
      <w:r w:rsidRPr="007E19F9">
        <w:rPr>
          <w:rFonts w:ascii="Times New Roman" w:hAnsi="Times New Roman" w:cs="Times New Roman"/>
          <w:sz w:val="28"/>
          <w:szCs w:val="28"/>
        </w:rPr>
        <w:t xml:space="preserve"> a obiectivului final. Totodată, în procesul de</w:t>
      </w:r>
      <w:r w:rsidRPr="001D0846">
        <w:rPr>
          <w:rFonts w:ascii="Times New Roman" w:hAnsi="Times New Roman" w:cs="Times New Roman"/>
          <w:sz w:val="28"/>
          <w:szCs w:val="28"/>
        </w:rPr>
        <w:t xml:space="preserve"> elaborare și realizare a obiectivelor strategice nu s-au luat în calcul resursele (costurile) și posibilitățile efective de realizare, fapt care a generat nerealizarea unor activități planificate, </w:t>
      </w:r>
      <w:r w:rsidR="008268DA" w:rsidRPr="001D0846">
        <w:rPr>
          <w:rFonts w:ascii="Times New Roman" w:hAnsi="Times New Roman" w:cs="Times New Roman"/>
          <w:sz w:val="28"/>
          <w:szCs w:val="28"/>
        </w:rPr>
        <w:t xml:space="preserve">astfel </w:t>
      </w:r>
      <w:r w:rsidRPr="001D0846">
        <w:rPr>
          <w:rFonts w:ascii="Times New Roman" w:hAnsi="Times New Roman" w:cs="Times New Roman"/>
          <w:sz w:val="28"/>
          <w:szCs w:val="28"/>
        </w:rPr>
        <w:t>nefiind atinse unele performanțe instituționale.</w:t>
      </w:r>
      <w:r w:rsidR="003548EA" w:rsidRPr="001D0846">
        <w:rPr>
          <w:rFonts w:ascii="Times New Roman" w:hAnsi="Times New Roman" w:cs="Times New Roman"/>
          <w:sz w:val="28"/>
          <w:szCs w:val="28"/>
        </w:rPr>
        <w:t xml:space="preserve"> </w:t>
      </w:r>
    </w:p>
    <w:p w:rsidR="006A0D87" w:rsidRPr="001D0846" w:rsidRDefault="00E46F63" w:rsidP="00743411">
      <w:pPr>
        <w:spacing w:after="0" w:line="276" w:lineRule="auto"/>
        <w:ind w:firstLine="709"/>
        <w:jc w:val="both"/>
        <w:rPr>
          <w:rFonts w:ascii="Times New Roman" w:hAnsi="Times New Roman"/>
          <w:sz w:val="28"/>
          <w:szCs w:val="28"/>
        </w:rPr>
      </w:pPr>
      <w:r w:rsidRPr="001D0846">
        <w:rPr>
          <w:rFonts w:ascii="Times New Roman" w:hAnsi="Times New Roman" w:cs="Times New Roman"/>
          <w:sz w:val="28"/>
          <w:szCs w:val="28"/>
        </w:rPr>
        <w:t>Potrivit explicațiilor persoanelor responsabile din cadrul SV,</w:t>
      </w:r>
      <w:r w:rsidR="00446ECA" w:rsidRPr="001D0846">
        <w:rPr>
          <w:rFonts w:ascii="Times New Roman" w:hAnsi="Times New Roman"/>
          <w:sz w:val="28"/>
          <w:szCs w:val="28"/>
        </w:rPr>
        <w:t xml:space="preserve"> obiectivele strategice au fost elaborate conform practicilor comunitare, acestea fiind dezvoltate prin obiectivele generale care au fost propuse spre realizare prin acțiuni în Planurile</w:t>
      </w:r>
      <w:r w:rsidR="006522E0">
        <w:rPr>
          <w:rFonts w:ascii="Times New Roman" w:hAnsi="Times New Roman"/>
          <w:sz w:val="28"/>
          <w:szCs w:val="28"/>
        </w:rPr>
        <w:t xml:space="preserve"> anuale de activitate ale SV. </w:t>
      </w:r>
      <w:r w:rsidR="00446ECA" w:rsidRPr="007E19F9">
        <w:rPr>
          <w:rFonts w:ascii="Times New Roman" w:hAnsi="Times New Roman"/>
          <w:sz w:val="28"/>
          <w:szCs w:val="28"/>
        </w:rPr>
        <w:t>C</w:t>
      </w:r>
      <w:r w:rsidR="00596E0B" w:rsidRPr="007E19F9">
        <w:rPr>
          <w:rFonts w:ascii="Times New Roman" w:hAnsi="Times New Roman"/>
          <w:sz w:val="28"/>
          <w:szCs w:val="28"/>
        </w:rPr>
        <w:t xml:space="preserve">auza </w:t>
      </w:r>
      <w:r w:rsidR="008268DA" w:rsidRPr="007E19F9">
        <w:rPr>
          <w:rFonts w:ascii="Times New Roman" w:hAnsi="Times New Roman"/>
          <w:sz w:val="28"/>
          <w:szCs w:val="28"/>
        </w:rPr>
        <w:t xml:space="preserve">stabilirii </w:t>
      </w:r>
      <w:r w:rsidR="00596E0B" w:rsidRPr="007E19F9">
        <w:rPr>
          <w:rFonts w:ascii="Times New Roman" w:hAnsi="Times New Roman"/>
          <w:sz w:val="28"/>
          <w:szCs w:val="28"/>
        </w:rPr>
        <w:t>indicatorilor car</w:t>
      </w:r>
      <w:r w:rsidR="00596E0B" w:rsidRPr="001D0846">
        <w:rPr>
          <w:rFonts w:ascii="Times New Roman" w:hAnsi="Times New Roman"/>
          <w:sz w:val="28"/>
          <w:szCs w:val="28"/>
        </w:rPr>
        <w:t>e nu sunt come</w:t>
      </w:r>
      <w:r w:rsidR="00C9412C">
        <w:rPr>
          <w:rFonts w:ascii="Times New Roman" w:hAnsi="Times New Roman"/>
          <w:sz w:val="28"/>
          <w:szCs w:val="28"/>
        </w:rPr>
        <w:t>n</w:t>
      </w:r>
      <w:r w:rsidR="00596E0B" w:rsidRPr="001D0846">
        <w:rPr>
          <w:rFonts w:ascii="Times New Roman" w:hAnsi="Times New Roman"/>
          <w:sz w:val="28"/>
          <w:szCs w:val="28"/>
        </w:rPr>
        <w:t>surabili/</w:t>
      </w:r>
      <w:r w:rsidR="007E19F9">
        <w:rPr>
          <w:rFonts w:ascii="Times New Roman" w:hAnsi="Times New Roman"/>
          <w:sz w:val="28"/>
          <w:szCs w:val="28"/>
        </w:rPr>
        <w:t xml:space="preserve"> </w:t>
      </w:r>
      <w:r w:rsidR="00596E0B" w:rsidRPr="001D0846">
        <w:rPr>
          <w:rFonts w:ascii="Times New Roman" w:hAnsi="Times New Roman"/>
          <w:sz w:val="28"/>
          <w:szCs w:val="28"/>
        </w:rPr>
        <w:t>cuantificabili parvine prin prisma diverselor documente de politici la care SV este parte. Documente</w:t>
      </w:r>
      <w:r w:rsidR="008268DA">
        <w:rPr>
          <w:rFonts w:ascii="Times New Roman" w:hAnsi="Times New Roman"/>
          <w:sz w:val="28"/>
          <w:szCs w:val="28"/>
        </w:rPr>
        <w:t>le</w:t>
      </w:r>
      <w:r w:rsidR="00596E0B" w:rsidRPr="001D0846">
        <w:rPr>
          <w:rFonts w:ascii="Times New Roman" w:hAnsi="Times New Roman"/>
          <w:sz w:val="28"/>
          <w:szCs w:val="28"/>
        </w:rPr>
        <w:t xml:space="preserve"> de politici au fost a</w:t>
      </w:r>
      <w:r w:rsidR="00446ECA" w:rsidRPr="001D0846">
        <w:rPr>
          <w:rFonts w:ascii="Times New Roman" w:hAnsi="Times New Roman"/>
          <w:sz w:val="28"/>
          <w:szCs w:val="28"/>
        </w:rPr>
        <w:t>probate în perioade diferite</w:t>
      </w:r>
      <w:r w:rsidR="008268DA">
        <w:rPr>
          <w:rFonts w:ascii="Times New Roman" w:hAnsi="Times New Roman"/>
          <w:sz w:val="28"/>
          <w:szCs w:val="28"/>
        </w:rPr>
        <w:t xml:space="preserve">, </w:t>
      </w:r>
      <w:r w:rsidR="00446ECA" w:rsidRPr="001D0846">
        <w:rPr>
          <w:rFonts w:ascii="Times New Roman" w:hAnsi="Times New Roman"/>
          <w:sz w:val="28"/>
          <w:szCs w:val="28"/>
        </w:rPr>
        <w:t xml:space="preserve"> av</w:t>
      </w:r>
      <w:r w:rsidR="008268DA">
        <w:rPr>
          <w:rFonts w:ascii="Times New Roman" w:hAnsi="Times New Roman"/>
          <w:sz w:val="28"/>
          <w:szCs w:val="28"/>
        </w:rPr>
        <w:t>â</w:t>
      </w:r>
      <w:r w:rsidR="00446ECA" w:rsidRPr="001D0846">
        <w:rPr>
          <w:rFonts w:ascii="Times New Roman" w:hAnsi="Times New Roman"/>
          <w:sz w:val="28"/>
          <w:szCs w:val="28"/>
        </w:rPr>
        <w:t>nd formulate aceleaș</w:t>
      </w:r>
      <w:r w:rsidR="00596E0B" w:rsidRPr="001D0846">
        <w:rPr>
          <w:rFonts w:ascii="Times New Roman" w:hAnsi="Times New Roman"/>
          <w:sz w:val="28"/>
          <w:szCs w:val="28"/>
        </w:rPr>
        <w:t>i acțiuni, dar cu indicatori</w:t>
      </w:r>
      <w:r w:rsidR="00743411">
        <w:rPr>
          <w:rFonts w:ascii="Times New Roman" w:hAnsi="Times New Roman"/>
          <w:sz w:val="28"/>
          <w:szCs w:val="28"/>
        </w:rPr>
        <w:t xml:space="preserve"> diferiț</w:t>
      </w:r>
      <w:r w:rsidR="00446ECA" w:rsidRPr="001D0846">
        <w:rPr>
          <w:rFonts w:ascii="Times New Roman" w:hAnsi="Times New Roman"/>
          <w:sz w:val="28"/>
          <w:szCs w:val="28"/>
        </w:rPr>
        <w:t>i prestabiliț</w:t>
      </w:r>
      <w:r w:rsidR="00596E0B" w:rsidRPr="001D0846">
        <w:rPr>
          <w:rFonts w:ascii="Times New Roman" w:hAnsi="Times New Roman"/>
          <w:sz w:val="28"/>
          <w:szCs w:val="28"/>
        </w:rPr>
        <w:t>i.</w:t>
      </w:r>
      <w:r w:rsidR="00743411">
        <w:rPr>
          <w:rFonts w:ascii="Times New Roman" w:hAnsi="Times New Roman"/>
          <w:sz w:val="28"/>
          <w:szCs w:val="28"/>
        </w:rPr>
        <w:t xml:space="preserve"> Totodată, în cadrul p</w:t>
      </w:r>
      <w:r w:rsidR="006A0D87" w:rsidRPr="001D0846">
        <w:rPr>
          <w:rFonts w:ascii="Times New Roman" w:hAnsi="Times New Roman"/>
          <w:sz w:val="28"/>
          <w:szCs w:val="28"/>
        </w:rPr>
        <w:t xml:space="preserve">lanurilor de acțiuni anuale ale SV, la rubrica </w:t>
      </w:r>
      <w:r w:rsidR="00743411">
        <w:rPr>
          <w:rFonts w:ascii="Times New Roman" w:hAnsi="Times New Roman"/>
          <w:sz w:val="28"/>
          <w:szCs w:val="28"/>
        </w:rPr>
        <w:t>costuri</w:t>
      </w:r>
      <w:r w:rsidR="005A5243">
        <w:rPr>
          <w:rFonts w:ascii="Times New Roman" w:hAnsi="Times New Roman"/>
          <w:sz w:val="28"/>
          <w:szCs w:val="28"/>
        </w:rPr>
        <w:t>,</w:t>
      </w:r>
      <w:r w:rsidR="00743411">
        <w:rPr>
          <w:rFonts w:ascii="Times New Roman" w:hAnsi="Times New Roman"/>
          <w:sz w:val="28"/>
          <w:szCs w:val="28"/>
        </w:rPr>
        <w:t xml:space="preserve"> au fost trecute </w:t>
      </w:r>
      <w:r w:rsidR="00743411" w:rsidRPr="007E19F9">
        <w:rPr>
          <w:rFonts w:ascii="Times New Roman" w:hAnsi="Times New Roman"/>
          <w:sz w:val="28"/>
          <w:szCs w:val="28"/>
        </w:rPr>
        <w:t>informaț</w:t>
      </w:r>
      <w:r w:rsidR="006A0D87" w:rsidRPr="007E19F9">
        <w:rPr>
          <w:rFonts w:ascii="Times New Roman" w:hAnsi="Times New Roman"/>
          <w:sz w:val="28"/>
          <w:szCs w:val="28"/>
        </w:rPr>
        <w:t>ii,</w:t>
      </w:r>
      <w:r w:rsidR="00312282" w:rsidRPr="007E19F9">
        <w:rPr>
          <w:rFonts w:ascii="Times New Roman" w:hAnsi="Times New Roman"/>
          <w:sz w:val="28"/>
          <w:szCs w:val="28"/>
        </w:rPr>
        <w:t xml:space="preserve"> în</w:t>
      </w:r>
      <w:r w:rsidR="006A0D87" w:rsidRPr="007E19F9">
        <w:rPr>
          <w:rFonts w:ascii="Times New Roman" w:hAnsi="Times New Roman"/>
          <w:sz w:val="28"/>
          <w:szCs w:val="28"/>
        </w:rPr>
        <w:t xml:space="preserve"> cazuri </w:t>
      </w:r>
      <w:r w:rsidR="007E19F9">
        <w:rPr>
          <w:rFonts w:ascii="Times New Roman" w:hAnsi="Times New Roman"/>
          <w:sz w:val="28"/>
          <w:szCs w:val="28"/>
        </w:rPr>
        <w:t>în care</w:t>
      </w:r>
      <w:r w:rsidR="006A0D87" w:rsidRPr="007E19F9">
        <w:rPr>
          <w:rFonts w:ascii="Times New Roman" w:hAnsi="Times New Roman"/>
          <w:sz w:val="28"/>
          <w:szCs w:val="28"/>
        </w:rPr>
        <w:t xml:space="preserve"> se cunoștea bugetul proiectului de asi</w:t>
      </w:r>
      <w:r w:rsidR="00312282" w:rsidRPr="007E19F9">
        <w:rPr>
          <w:rFonts w:ascii="Times New Roman" w:hAnsi="Times New Roman"/>
          <w:sz w:val="28"/>
          <w:szCs w:val="28"/>
        </w:rPr>
        <w:t>s</w:t>
      </w:r>
      <w:r w:rsidR="006A0D87" w:rsidRPr="007E19F9">
        <w:rPr>
          <w:rFonts w:ascii="Times New Roman" w:hAnsi="Times New Roman"/>
          <w:sz w:val="28"/>
          <w:szCs w:val="28"/>
        </w:rPr>
        <w:t xml:space="preserve">tență. </w:t>
      </w:r>
      <w:r w:rsidR="0056768B" w:rsidRPr="007E19F9">
        <w:rPr>
          <w:rFonts w:ascii="Times New Roman" w:hAnsi="Times New Roman"/>
          <w:sz w:val="28"/>
          <w:szCs w:val="28"/>
        </w:rPr>
        <w:t>De</w:t>
      </w:r>
      <w:r w:rsidR="008268DA" w:rsidRPr="007E19F9">
        <w:rPr>
          <w:rFonts w:ascii="Times New Roman" w:hAnsi="Times New Roman"/>
          <w:sz w:val="28"/>
          <w:szCs w:val="28"/>
        </w:rPr>
        <w:t xml:space="preserve"> </w:t>
      </w:r>
      <w:r w:rsidR="0056768B" w:rsidRPr="007E19F9">
        <w:rPr>
          <w:rFonts w:ascii="Times New Roman" w:hAnsi="Times New Roman"/>
          <w:sz w:val="28"/>
          <w:szCs w:val="28"/>
        </w:rPr>
        <w:t>asemenea</w:t>
      </w:r>
      <w:r w:rsidR="008268DA" w:rsidRPr="007E19F9">
        <w:rPr>
          <w:rFonts w:ascii="Times New Roman" w:hAnsi="Times New Roman"/>
          <w:sz w:val="28"/>
          <w:szCs w:val="28"/>
        </w:rPr>
        <w:t>,</w:t>
      </w:r>
      <w:r w:rsidR="0056768B" w:rsidRPr="007E19F9">
        <w:rPr>
          <w:rFonts w:ascii="Times New Roman" w:hAnsi="Times New Roman"/>
          <w:sz w:val="28"/>
          <w:szCs w:val="28"/>
        </w:rPr>
        <w:t xml:space="preserve"> SV menționează</w:t>
      </w:r>
      <w:r w:rsidR="0056768B" w:rsidRPr="001D0846">
        <w:rPr>
          <w:rFonts w:ascii="Times New Roman" w:hAnsi="Times New Roman"/>
          <w:sz w:val="28"/>
          <w:szCs w:val="28"/>
        </w:rPr>
        <w:t xml:space="preserve"> despre</w:t>
      </w:r>
      <w:r w:rsidR="006A0D87" w:rsidRPr="001D0846">
        <w:rPr>
          <w:rFonts w:ascii="Times New Roman" w:hAnsi="Times New Roman"/>
          <w:sz w:val="28"/>
          <w:szCs w:val="28"/>
        </w:rPr>
        <w:t xml:space="preserve"> dificultatea estimării unor costuri c</w:t>
      </w:r>
      <w:r w:rsidR="008268DA">
        <w:rPr>
          <w:rFonts w:ascii="Times New Roman" w:hAnsi="Times New Roman"/>
          <w:sz w:val="28"/>
          <w:szCs w:val="28"/>
        </w:rPr>
        <w:t>â</w:t>
      </w:r>
      <w:r w:rsidR="006A0D87" w:rsidRPr="001D0846">
        <w:rPr>
          <w:rFonts w:ascii="Times New Roman" w:hAnsi="Times New Roman"/>
          <w:sz w:val="28"/>
          <w:szCs w:val="28"/>
        </w:rPr>
        <w:t>nd obiec</w:t>
      </w:r>
      <w:r w:rsidR="0056768B" w:rsidRPr="001D0846">
        <w:rPr>
          <w:rFonts w:ascii="Times New Roman" w:hAnsi="Times New Roman"/>
          <w:sz w:val="28"/>
          <w:szCs w:val="28"/>
        </w:rPr>
        <w:t>tivele generale sunt</w:t>
      </w:r>
      <w:r w:rsidR="008268DA">
        <w:rPr>
          <w:rFonts w:ascii="Times New Roman" w:hAnsi="Times New Roman"/>
          <w:sz w:val="28"/>
          <w:szCs w:val="28"/>
        </w:rPr>
        <w:t>:</w:t>
      </w:r>
      <w:r w:rsidR="0056768B" w:rsidRPr="001D0846">
        <w:rPr>
          <w:rFonts w:ascii="Times New Roman" w:hAnsi="Times New Roman"/>
          <w:sz w:val="28"/>
          <w:szCs w:val="28"/>
        </w:rPr>
        <w:t xml:space="preserve"> facilitare</w:t>
      </w:r>
      <w:r w:rsidR="00A30F86" w:rsidRPr="001D0846">
        <w:rPr>
          <w:rFonts w:ascii="Times New Roman" w:hAnsi="Times New Roman"/>
          <w:sz w:val="28"/>
          <w:szCs w:val="28"/>
        </w:rPr>
        <w:t>a</w:t>
      </w:r>
      <w:r w:rsidR="0056768B" w:rsidRPr="001D0846">
        <w:rPr>
          <w:rFonts w:ascii="Times New Roman" w:hAnsi="Times New Roman"/>
          <w:sz w:val="28"/>
          <w:szCs w:val="28"/>
        </w:rPr>
        <w:t xml:space="preserve"> comerțului internaț</w:t>
      </w:r>
      <w:r w:rsidR="006A0D87" w:rsidRPr="001D0846">
        <w:rPr>
          <w:rFonts w:ascii="Times New Roman" w:hAnsi="Times New Roman"/>
          <w:sz w:val="28"/>
          <w:szCs w:val="28"/>
        </w:rPr>
        <w:t>ional, simplificarea proceduri</w:t>
      </w:r>
      <w:r w:rsidR="0056768B" w:rsidRPr="001D0846">
        <w:rPr>
          <w:rFonts w:ascii="Times New Roman" w:hAnsi="Times New Roman"/>
          <w:sz w:val="28"/>
          <w:szCs w:val="28"/>
        </w:rPr>
        <w:t>lor vamale, conformarea benevolă</w:t>
      </w:r>
      <w:r w:rsidR="006A0D87" w:rsidRPr="001D0846">
        <w:rPr>
          <w:rFonts w:ascii="Times New Roman" w:hAnsi="Times New Roman"/>
          <w:sz w:val="28"/>
          <w:szCs w:val="28"/>
        </w:rPr>
        <w:t xml:space="preserve"> a </w:t>
      </w:r>
      <w:r w:rsidR="00312282" w:rsidRPr="001D0846">
        <w:rPr>
          <w:rFonts w:ascii="Times New Roman" w:hAnsi="Times New Roman"/>
          <w:sz w:val="28"/>
          <w:szCs w:val="28"/>
        </w:rPr>
        <w:t>contribuabililor la norma legală</w:t>
      </w:r>
      <w:r w:rsidR="006A0D87" w:rsidRPr="001D0846">
        <w:rPr>
          <w:rFonts w:ascii="Times New Roman" w:hAnsi="Times New Roman"/>
          <w:sz w:val="28"/>
          <w:szCs w:val="28"/>
        </w:rPr>
        <w:t>.</w:t>
      </w:r>
    </w:p>
    <w:p w:rsidR="00743411" w:rsidRDefault="00743411" w:rsidP="00743411">
      <w:pPr>
        <w:pStyle w:val="1"/>
        <w:spacing w:before="0" w:line="276" w:lineRule="auto"/>
        <w:rPr>
          <w:rFonts w:ascii="Times New Roman" w:hAnsi="Times New Roman" w:cs="Times New Roman"/>
          <w:b/>
          <w:color w:val="auto"/>
          <w:sz w:val="28"/>
          <w:szCs w:val="28"/>
        </w:rPr>
      </w:pPr>
    </w:p>
    <w:p w:rsidR="007E56FE" w:rsidRPr="00C77119" w:rsidRDefault="001434B0" w:rsidP="003C4B9E">
      <w:pPr>
        <w:pStyle w:val="1"/>
        <w:spacing w:before="0" w:line="276" w:lineRule="auto"/>
        <w:rPr>
          <w:rFonts w:ascii="Times New Roman" w:hAnsi="Times New Roman" w:cs="Times New Roman"/>
          <w:b/>
          <w:color w:val="auto"/>
          <w:sz w:val="28"/>
          <w:szCs w:val="28"/>
        </w:rPr>
      </w:pPr>
      <w:bookmarkStart w:id="10" w:name="_Toc515894888"/>
      <w:r w:rsidRPr="00C9412C">
        <w:rPr>
          <w:rFonts w:ascii="Times New Roman" w:hAnsi="Times New Roman" w:cs="Times New Roman"/>
          <w:b/>
          <w:color w:val="auto"/>
          <w:sz w:val="28"/>
          <w:szCs w:val="28"/>
        </w:rPr>
        <w:t>3</w:t>
      </w:r>
      <w:r w:rsidR="00C947DA" w:rsidRPr="00C9412C">
        <w:rPr>
          <w:rFonts w:ascii="Times New Roman" w:hAnsi="Times New Roman" w:cs="Times New Roman"/>
          <w:b/>
          <w:color w:val="auto"/>
          <w:sz w:val="28"/>
          <w:szCs w:val="28"/>
        </w:rPr>
        <w:t>.2</w:t>
      </w:r>
      <w:r w:rsidR="00BE46F1" w:rsidRPr="00C9412C">
        <w:rPr>
          <w:rFonts w:ascii="Times New Roman" w:hAnsi="Times New Roman" w:cs="Times New Roman"/>
          <w:b/>
          <w:color w:val="auto"/>
          <w:sz w:val="28"/>
          <w:szCs w:val="28"/>
        </w:rPr>
        <w:t xml:space="preserve">. </w:t>
      </w:r>
      <w:r w:rsidR="00C77119" w:rsidRPr="00C9412C">
        <w:rPr>
          <w:rFonts w:ascii="Times New Roman" w:hAnsi="Times New Roman" w:cs="Times New Roman"/>
          <w:b/>
          <w:color w:val="auto"/>
          <w:sz w:val="28"/>
          <w:szCs w:val="28"/>
        </w:rPr>
        <w:t>Procesul</w:t>
      </w:r>
      <w:r w:rsidR="00C77119" w:rsidRPr="00C77119">
        <w:rPr>
          <w:rFonts w:ascii="Times New Roman" w:hAnsi="Times New Roman" w:cs="Times New Roman"/>
          <w:b/>
          <w:color w:val="auto"/>
          <w:sz w:val="28"/>
          <w:szCs w:val="28"/>
        </w:rPr>
        <w:t xml:space="preserve"> de e</w:t>
      </w:r>
      <w:r w:rsidR="000128B3" w:rsidRPr="00C77119">
        <w:rPr>
          <w:rFonts w:ascii="Times New Roman" w:hAnsi="Times New Roman" w:cs="Times New Roman"/>
          <w:b/>
          <w:color w:val="auto"/>
          <w:sz w:val="28"/>
          <w:szCs w:val="28"/>
        </w:rPr>
        <w:t>stim</w:t>
      </w:r>
      <w:r w:rsidR="00F7227C" w:rsidRPr="00C77119">
        <w:rPr>
          <w:rFonts w:ascii="Times New Roman" w:hAnsi="Times New Roman" w:cs="Times New Roman"/>
          <w:b/>
          <w:color w:val="auto"/>
          <w:sz w:val="28"/>
          <w:szCs w:val="28"/>
        </w:rPr>
        <w:t>are/prognozare</w:t>
      </w:r>
      <w:r w:rsidR="00C77119" w:rsidRPr="00C77119">
        <w:rPr>
          <w:rFonts w:ascii="Times New Roman" w:hAnsi="Times New Roman" w:cs="Times New Roman"/>
          <w:b/>
          <w:color w:val="auto"/>
          <w:sz w:val="28"/>
          <w:szCs w:val="28"/>
        </w:rPr>
        <w:t xml:space="preserve"> </w:t>
      </w:r>
      <w:r w:rsidR="00F7227C" w:rsidRPr="00C77119">
        <w:rPr>
          <w:rFonts w:ascii="Times New Roman" w:hAnsi="Times New Roman" w:cs="Times New Roman"/>
          <w:b/>
          <w:color w:val="auto"/>
          <w:sz w:val="28"/>
          <w:szCs w:val="28"/>
        </w:rPr>
        <w:t>a</w:t>
      </w:r>
      <w:r w:rsidR="00B319DD" w:rsidRPr="00C77119">
        <w:rPr>
          <w:rFonts w:ascii="Times New Roman" w:hAnsi="Times New Roman" w:cs="Times New Roman"/>
          <w:b/>
          <w:color w:val="auto"/>
          <w:sz w:val="28"/>
          <w:szCs w:val="28"/>
        </w:rPr>
        <w:t xml:space="preserve"> venituri</w:t>
      </w:r>
      <w:r w:rsidR="00F7227C" w:rsidRPr="00C77119">
        <w:rPr>
          <w:rFonts w:ascii="Times New Roman" w:hAnsi="Times New Roman" w:cs="Times New Roman"/>
          <w:b/>
          <w:color w:val="auto"/>
          <w:sz w:val="28"/>
          <w:szCs w:val="28"/>
        </w:rPr>
        <w:t>lor</w:t>
      </w:r>
      <w:r w:rsidR="00B319DD" w:rsidRPr="00C77119">
        <w:rPr>
          <w:rFonts w:ascii="Times New Roman" w:hAnsi="Times New Roman" w:cs="Times New Roman"/>
          <w:b/>
          <w:color w:val="auto"/>
          <w:sz w:val="28"/>
          <w:szCs w:val="28"/>
        </w:rPr>
        <w:t xml:space="preserve"> fiscale și vamale</w:t>
      </w:r>
      <w:r w:rsidR="00F7227C" w:rsidRPr="00C77119">
        <w:rPr>
          <w:rFonts w:ascii="Times New Roman" w:hAnsi="Times New Roman" w:cs="Times New Roman"/>
          <w:b/>
          <w:color w:val="auto"/>
          <w:sz w:val="28"/>
          <w:szCs w:val="28"/>
        </w:rPr>
        <w:t>.</w:t>
      </w:r>
      <w:bookmarkEnd w:id="10"/>
    </w:p>
    <w:p w:rsidR="00BE46F1" w:rsidRPr="006522E0" w:rsidRDefault="00BE46F1" w:rsidP="006522E0">
      <w:pPr>
        <w:spacing w:after="0" w:line="276" w:lineRule="auto"/>
        <w:ind w:firstLine="720"/>
        <w:jc w:val="both"/>
        <w:rPr>
          <w:rFonts w:ascii="Times New Roman" w:hAnsi="Times New Roman" w:cs="Times New Roman"/>
          <w:i/>
          <w:sz w:val="28"/>
          <w:szCs w:val="28"/>
        </w:rPr>
      </w:pPr>
      <w:r w:rsidRPr="001D0846">
        <w:rPr>
          <w:rFonts w:ascii="Times New Roman" w:hAnsi="Times New Roman" w:cs="Times New Roman"/>
          <w:i/>
          <w:sz w:val="28"/>
          <w:szCs w:val="28"/>
        </w:rPr>
        <w:t>Potrivit funcțiilor și atribuțiilor în domeniul administrării impozitelor și taxelor, organele fiscale și vamale</w:t>
      </w:r>
      <w:r w:rsidRPr="001D0846">
        <w:rPr>
          <w:rFonts w:ascii="Times New Roman" w:hAnsi="Times New Roman" w:cs="Times New Roman"/>
          <w:i/>
          <w:spacing w:val="3"/>
          <w:sz w:val="28"/>
          <w:szCs w:val="28"/>
        </w:rPr>
        <w:t xml:space="preserve"> </w:t>
      </w:r>
      <w:r w:rsidRPr="001D0846">
        <w:rPr>
          <w:rFonts w:ascii="Times New Roman" w:hAnsi="Times New Roman" w:cs="Times New Roman"/>
          <w:i/>
          <w:color w:val="000000"/>
          <w:sz w:val="28"/>
          <w:szCs w:val="28"/>
        </w:rPr>
        <w:t xml:space="preserve">participă la elaborarea Cadrului bugetar pe termen mediu </w:t>
      </w:r>
      <w:proofErr w:type="spellStart"/>
      <w:r w:rsidRPr="001D0846">
        <w:rPr>
          <w:rFonts w:ascii="Times New Roman" w:hAnsi="Times New Roman" w:cs="Times New Roman"/>
          <w:i/>
          <w:color w:val="000000"/>
          <w:sz w:val="28"/>
          <w:szCs w:val="28"/>
        </w:rPr>
        <w:t>şi</w:t>
      </w:r>
      <w:proofErr w:type="spellEnd"/>
      <w:r w:rsidRPr="001D0846">
        <w:rPr>
          <w:rFonts w:ascii="Times New Roman" w:hAnsi="Times New Roman" w:cs="Times New Roman"/>
          <w:i/>
          <w:color w:val="000000"/>
          <w:sz w:val="28"/>
          <w:szCs w:val="28"/>
        </w:rPr>
        <w:t xml:space="preserve"> a proiectelor legilor bugetare anuale</w:t>
      </w:r>
      <w:r w:rsidR="004E6717">
        <w:rPr>
          <w:rFonts w:ascii="Times New Roman" w:hAnsi="Times New Roman" w:cs="Times New Roman"/>
          <w:i/>
          <w:color w:val="000000"/>
          <w:sz w:val="28"/>
          <w:szCs w:val="28"/>
        </w:rPr>
        <w:t>,</w:t>
      </w:r>
      <w:r w:rsidRPr="001D0846">
        <w:rPr>
          <w:rFonts w:ascii="Times New Roman" w:hAnsi="Times New Roman" w:cs="Times New Roman"/>
          <w:i/>
          <w:color w:val="000000"/>
          <w:sz w:val="28"/>
          <w:szCs w:val="28"/>
        </w:rPr>
        <w:t xml:space="preserve"> prin prezentarea propunerilor la obiectivele politicii de administrare fiscală </w:t>
      </w:r>
      <w:proofErr w:type="spellStart"/>
      <w:r w:rsidRPr="001D0846">
        <w:rPr>
          <w:rFonts w:ascii="Times New Roman" w:hAnsi="Times New Roman" w:cs="Times New Roman"/>
          <w:i/>
          <w:color w:val="000000"/>
          <w:sz w:val="28"/>
          <w:szCs w:val="28"/>
        </w:rPr>
        <w:t>şi</w:t>
      </w:r>
      <w:proofErr w:type="spellEnd"/>
      <w:r w:rsidRPr="001D0846">
        <w:rPr>
          <w:rFonts w:ascii="Times New Roman" w:hAnsi="Times New Roman" w:cs="Times New Roman"/>
          <w:i/>
          <w:color w:val="000000"/>
          <w:sz w:val="28"/>
          <w:szCs w:val="28"/>
        </w:rPr>
        <w:t xml:space="preserve"> a estimărilor pe termen mediu privind veniturile administrate.</w:t>
      </w:r>
      <w:r w:rsidRPr="001D0846">
        <w:rPr>
          <w:rFonts w:ascii="Times New Roman" w:hAnsi="Times New Roman" w:cs="Times New Roman"/>
          <w:i/>
          <w:spacing w:val="3"/>
          <w:sz w:val="28"/>
          <w:szCs w:val="28"/>
        </w:rPr>
        <w:t xml:space="preserve"> Având în vedere importanța esențială a prognozelor de venituri la elaborarea planului de încasări a</w:t>
      </w:r>
      <w:r w:rsidR="004E6717">
        <w:rPr>
          <w:rFonts w:ascii="Times New Roman" w:hAnsi="Times New Roman" w:cs="Times New Roman"/>
          <w:i/>
          <w:spacing w:val="3"/>
          <w:sz w:val="28"/>
          <w:szCs w:val="28"/>
        </w:rPr>
        <w:t>le</w:t>
      </w:r>
      <w:r w:rsidRPr="001D0846">
        <w:rPr>
          <w:rFonts w:ascii="Times New Roman" w:hAnsi="Times New Roman" w:cs="Times New Roman"/>
          <w:i/>
          <w:spacing w:val="3"/>
          <w:sz w:val="28"/>
          <w:szCs w:val="28"/>
        </w:rPr>
        <w:t xml:space="preserve"> impozitelor și </w:t>
      </w:r>
      <w:r w:rsidRPr="001D0846">
        <w:rPr>
          <w:rFonts w:ascii="Times New Roman" w:hAnsi="Times New Roman" w:cs="Times New Roman"/>
          <w:i/>
          <w:spacing w:val="3"/>
          <w:sz w:val="28"/>
          <w:szCs w:val="28"/>
        </w:rPr>
        <w:lastRenderedPageBreak/>
        <w:t>taxelor care sunt destinate implementării priorităților de politici economice și sociale ale statului,</w:t>
      </w:r>
      <w:r w:rsidR="006522E0">
        <w:rPr>
          <w:rFonts w:ascii="Times New Roman" w:hAnsi="Times New Roman" w:cs="Times New Roman"/>
          <w:i/>
          <w:spacing w:val="3"/>
          <w:sz w:val="28"/>
          <w:szCs w:val="28"/>
        </w:rPr>
        <w:t xml:space="preserve"> administratorii de venituri și administratorul </w:t>
      </w:r>
      <w:r w:rsidR="00456909">
        <w:rPr>
          <w:rFonts w:ascii="Times New Roman" w:hAnsi="Times New Roman" w:cs="Times New Roman"/>
          <w:i/>
          <w:spacing w:val="3"/>
          <w:sz w:val="28"/>
          <w:szCs w:val="28"/>
        </w:rPr>
        <w:t>bugetului de stat</w:t>
      </w:r>
      <w:r w:rsidRPr="001D0846">
        <w:rPr>
          <w:rFonts w:ascii="Times New Roman" w:hAnsi="Times New Roman" w:cs="Times New Roman"/>
          <w:i/>
          <w:spacing w:val="3"/>
          <w:sz w:val="28"/>
          <w:szCs w:val="28"/>
        </w:rPr>
        <w:t xml:space="preserve"> urmau să asigure elaborarea unor estimări exacte și fiabile</w:t>
      </w:r>
      <w:r w:rsidR="004E6717">
        <w:rPr>
          <w:rFonts w:ascii="Times New Roman" w:hAnsi="Times New Roman" w:cs="Times New Roman"/>
          <w:i/>
          <w:spacing w:val="3"/>
          <w:sz w:val="28"/>
          <w:szCs w:val="28"/>
        </w:rPr>
        <w:t>,</w:t>
      </w:r>
      <w:r w:rsidRPr="001D0846">
        <w:rPr>
          <w:rFonts w:ascii="Times New Roman" w:hAnsi="Times New Roman" w:cs="Times New Roman"/>
          <w:i/>
          <w:spacing w:val="3"/>
          <w:sz w:val="28"/>
          <w:szCs w:val="28"/>
        </w:rPr>
        <w:t xml:space="preserve"> care să ofere o bază rezonabilă pentru fundamentarea veniturilor bugetare. Analiza efectuată de audit relevă că </w:t>
      </w:r>
      <w:r w:rsidRPr="001D0846">
        <w:rPr>
          <w:rFonts w:ascii="Times New Roman" w:hAnsi="Times New Roman" w:cs="Times New Roman"/>
          <w:i/>
          <w:sz w:val="28"/>
          <w:szCs w:val="28"/>
        </w:rPr>
        <w:t xml:space="preserve">estimările elaborate de către administratorii de venituri prezintă diferențieri substanțiale în raport cu proiecțiile bugetare </w:t>
      </w:r>
      <w:r w:rsidRPr="006522E0">
        <w:rPr>
          <w:rFonts w:ascii="Times New Roman" w:hAnsi="Times New Roman" w:cs="Times New Roman"/>
          <w:i/>
          <w:sz w:val="28"/>
          <w:szCs w:val="28"/>
        </w:rPr>
        <w:t>elaborate de către administratorul buget</w:t>
      </w:r>
      <w:r w:rsidR="00456909">
        <w:rPr>
          <w:rFonts w:ascii="Times New Roman" w:hAnsi="Times New Roman" w:cs="Times New Roman"/>
          <w:i/>
          <w:sz w:val="28"/>
          <w:szCs w:val="28"/>
        </w:rPr>
        <w:t>ului de stat</w:t>
      </w:r>
      <w:r w:rsidRPr="006522E0">
        <w:rPr>
          <w:rFonts w:ascii="Times New Roman" w:hAnsi="Times New Roman" w:cs="Times New Roman"/>
          <w:i/>
          <w:sz w:val="28"/>
          <w:szCs w:val="28"/>
        </w:rPr>
        <w:t>, situație influențată</w:t>
      </w:r>
      <w:r w:rsidR="004E6717">
        <w:rPr>
          <w:rFonts w:ascii="Times New Roman" w:hAnsi="Times New Roman" w:cs="Times New Roman"/>
          <w:i/>
          <w:sz w:val="28"/>
          <w:szCs w:val="28"/>
        </w:rPr>
        <w:t>,</w:t>
      </w:r>
      <w:r w:rsidRPr="006522E0">
        <w:rPr>
          <w:rFonts w:ascii="Times New Roman" w:hAnsi="Times New Roman" w:cs="Times New Roman"/>
          <w:i/>
          <w:sz w:val="28"/>
          <w:szCs w:val="28"/>
        </w:rPr>
        <w:t xml:space="preserve"> în special</w:t>
      </w:r>
      <w:r w:rsidR="004E6717">
        <w:rPr>
          <w:rFonts w:ascii="Times New Roman" w:hAnsi="Times New Roman" w:cs="Times New Roman"/>
          <w:i/>
          <w:sz w:val="28"/>
          <w:szCs w:val="28"/>
        </w:rPr>
        <w:t>,</w:t>
      </w:r>
      <w:r w:rsidRPr="006522E0">
        <w:rPr>
          <w:rFonts w:ascii="Times New Roman" w:hAnsi="Times New Roman" w:cs="Times New Roman"/>
          <w:i/>
          <w:sz w:val="28"/>
          <w:szCs w:val="28"/>
        </w:rPr>
        <w:t xml:space="preserve"> de impreciziile</w:t>
      </w:r>
      <w:r w:rsidRPr="001D0846">
        <w:rPr>
          <w:rFonts w:ascii="Times New Roman" w:hAnsi="Times New Roman" w:cs="Times New Roman"/>
          <w:i/>
          <w:sz w:val="28"/>
          <w:szCs w:val="28"/>
        </w:rPr>
        <w:t xml:space="preserve"> estimărilor de venituri, </w:t>
      </w:r>
      <w:r w:rsidR="004E6717">
        <w:rPr>
          <w:rFonts w:ascii="Times New Roman" w:hAnsi="Times New Roman" w:cs="Times New Roman"/>
          <w:i/>
          <w:sz w:val="28"/>
          <w:szCs w:val="28"/>
        </w:rPr>
        <w:t xml:space="preserve">de </w:t>
      </w:r>
      <w:r w:rsidRPr="001D0846">
        <w:rPr>
          <w:rFonts w:ascii="Times New Roman" w:hAnsi="Times New Roman" w:cs="Times New Roman"/>
          <w:i/>
          <w:sz w:val="28"/>
          <w:szCs w:val="28"/>
        </w:rPr>
        <w:t xml:space="preserve">aplicarea diferitor reglementări de estimare, </w:t>
      </w:r>
      <w:r w:rsidR="004E6717">
        <w:rPr>
          <w:rFonts w:ascii="Times New Roman" w:hAnsi="Times New Roman" w:cs="Times New Roman"/>
          <w:i/>
          <w:sz w:val="28"/>
          <w:szCs w:val="28"/>
        </w:rPr>
        <w:t xml:space="preserve">de </w:t>
      </w:r>
      <w:r w:rsidR="006522E0" w:rsidRPr="001D0846">
        <w:rPr>
          <w:rFonts w:ascii="Times New Roman" w:hAnsi="Times New Roman" w:cs="Times New Roman"/>
          <w:i/>
          <w:sz w:val="28"/>
          <w:szCs w:val="28"/>
        </w:rPr>
        <w:t xml:space="preserve">lipsa mecanismelor de estimare a gradului de conformare voluntară, </w:t>
      </w:r>
      <w:r w:rsidR="005A5243">
        <w:rPr>
          <w:rFonts w:ascii="Times New Roman" w:hAnsi="Times New Roman" w:cs="Times New Roman"/>
          <w:i/>
          <w:sz w:val="28"/>
          <w:szCs w:val="28"/>
        </w:rPr>
        <w:t xml:space="preserve">de </w:t>
      </w:r>
      <w:r w:rsidR="006522E0" w:rsidRPr="001D0846">
        <w:rPr>
          <w:rFonts w:ascii="Times New Roman" w:hAnsi="Times New Roman" w:cs="Times New Roman"/>
          <w:i/>
          <w:sz w:val="28"/>
          <w:szCs w:val="28"/>
        </w:rPr>
        <w:t xml:space="preserve">imprevizibilitatea modificărilor politicilor fiscale și vamale, precum și </w:t>
      </w:r>
      <w:r w:rsidR="006522E0" w:rsidRPr="005A5243">
        <w:rPr>
          <w:rFonts w:ascii="Times New Roman" w:hAnsi="Times New Roman" w:cs="Times New Roman"/>
          <w:i/>
          <w:sz w:val="28"/>
          <w:szCs w:val="28"/>
        </w:rPr>
        <w:t>a</w:t>
      </w:r>
      <w:r w:rsidR="006522E0" w:rsidRPr="001D0846">
        <w:rPr>
          <w:rFonts w:ascii="Times New Roman" w:hAnsi="Times New Roman" w:cs="Times New Roman"/>
          <w:i/>
          <w:sz w:val="28"/>
          <w:szCs w:val="28"/>
        </w:rPr>
        <w:t xml:space="preserve"> numărului contribuabililor</w:t>
      </w:r>
      <w:r w:rsidR="006522E0">
        <w:rPr>
          <w:rFonts w:ascii="Times New Roman" w:hAnsi="Times New Roman" w:cs="Times New Roman"/>
          <w:i/>
          <w:sz w:val="28"/>
          <w:szCs w:val="28"/>
        </w:rPr>
        <w:t>,</w:t>
      </w:r>
      <w:r w:rsidR="005A5243">
        <w:rPr>
          <w:rFonts w:ascii="Times New Roman" w:hAnsi="Times New Roman" w:cs="Times New Roman"/>
          <w:i/>
          <w:sz w:val="28"/>
          <w:szCs w:val="28"/>
        </w:rPr>
        <w:t xml:space="preserve"> de</w:t>
      </w:r>
      <w:r w:rsidR="006522E0">
        <w:rPr>
          <w:rFonts w:ascii="Times New Roman" w:hAnsi="Times New Roman" w:cs="Times New Roman"/>
          <w:i/>
          <w:sz w:val="28"/>
          <w:szCs w:val="28"/>
        </w:rPr>
        <w:t xml:space="preserve"> </w:t>
      </w:r>
      <w:r w:rsidRPr="001D0846">
        <w:rPr>
          <w:rFonts w:ascii="Times New Roman" w:hAnsi="Times New Roman" w:cs="Times New Roman"/>
          <w:i/>
          <w:sz w:val="28"/>
          <w:szCs w:val="28"/>
        </w:rPr>
        <w:t xml:space="preserve">variația indicatorilor macroeconomici, </w:t>
      </w:r>
      <w:r w:rsidR="004E6717">
        <w:rPr>
          <w:rFonts w:ascii="Times New Roman" w:hAnsi="Times New Roman" w:cs="Times New Roman"/>
          <w:i/>
          <w:sz w:val="28"/>
          <w:szCs w:val="28"/>
        </w:rPr>
        <w:t xml:space="preserve"> toate acestea având</w:t>
      </w:r>
      <w:r w:rsidRPr="001D0846">
        <w:rPr>
          <w:rFonts w:ascii="Times New Roman" w:hAnsi="Times New Roman" w:cs="Times New Roman"/>
          <w:i/>
          <w:sz w:val="28"/>
          <w:szCs w:val="28"/>
        </w:rPr>
        <w:t xml:space="preserve"> un impact major asupra  estimărilor bugetare. </w:t>
      </w:r>
    </w:p>
    <w:p w:rsidR="00BE46F1" w:rsidRPr="001D0846" w:rsidRDefault="00BE46F1" w:rsidP="006358AD">
      <w:pPr>
        <w:spacing w:after="0" w:line="276" w:lineRule="auto"/>
        <w:ind w:firstLine="720"/>
        <w:jc w:val="both"/>
        <w:rPr>
          <w:rFonts w:ascii="Times New Roman" w:hAnsi="Times New Roman" w:cs="Times New Roman"/>
          <w:spacing w:val="3"/>
          <w:sz w:val="28"/>
          <w:szCs w:val="28"/>
        </w:rPr>
      </w:pPr>
      <w:r w:rsidRPr="001D0846">
        <w:rPr>
          <w:rFonts w:ascii="Times New Roman" w:hAnsi="Times New Roman" w:cs="Times New Roman"/>
          <w:spacing w:val="3"/>
          <w:sz w:val="28"/>
          <w:szCs w:val="28"/>
        </w:rPr>
        <w:t>În vederea stabilirii sarcinii de colectare a veniturilor la BPN, organele fiscale și vamale asigură elaborarea prognozelor/estimărilor pe termen mediu a</w:t>
      </w:r>
      <w:r w:rsidR="004E6717">
        <w:rPr>
          <w:rFonts w:ascii="Times New Roman" w:hAnsi="Times New Roman" w:cs="Times New Roman"/>
          <w:spacing w:val="3"/>
          <w:sz w:val="28"/>
          <w:szCs w:val="28"/>
        </w:rPr>
        <w:t xml:space="preserve">le </w:t>
      </w:r>
      <w:r w:rsidRPr="001D0846">
        <w:rPr>
          <w:rFonts w:ascii="Times New Roman" w:hAnsi="Times New Roman" w:cs="Times New Roman"/>
          <w:spacing w:val="3"/>
          <w:sz w:val="28"/>
          <w:szCs w:val="28"/>
        </w:rPr>
        <w:t xml:space="preserve"> veniturilor</w:t>
      </w:r>
      <w:r w:rsidR="004E6717">
        <w:rPr>
          <w:rFonts w:ascii="Times New Roman" w:hAnsi="Times New Roman" w:cs="Times New Roman"/>
          <w:spacing w:val="3"/>
          <w:sz w:val="28"/>
          <w:szCs w:val="28"/>
        </w:rPr>
        <w:t>,</w:t>
      </w:r>
      <w:r w:rsidRPr="001D0846">
        <w:rPr>
          <w:rFonts w:ascii="Times New Roman" w:hAnsi="Times New Roman" w:cs="Times New Roman"/>
          <w:spacing w:val="3"/>
          <w:sz w:val="28"/>
          <w:szCs w:val="28"/>
        </w:rPr>
        <w:t xml:space="preserve"> pe tipuri de impozite și taxe. Competențele și responsabilitățile organelor fiscale și vamale în domeniul elaborării estimărilor privind veniturile administrate</w:t>
      </w:r>
      <w:r w:rsidR="006B51ED">
        <w:rPr>
          <w:rFonts w:ascii="Times New Roman" w:hAnsi="Times New Roman" w:cs="Times New Roman"/>
          <w:spacing w:val="3"/>
          <w:sz w:val="28"/>
          <w:szCs w:val="28"/>
        </w:rPr>
        <w:t>,</w:t>
      </w:r>
      <w:r w:rsidRPr="001D0846">
        <w:rPr>
          <w:rFonts w:ascii="Times New Roman" w:hAnsi="Times New Roman" w:cs="Times New Roman"/>
          <w:spacing w:val="3"/>
          <w:sz w:val="28"/>
          <w:szCs w:val="28"/>
        </w:rPr>
        <w:t xml:space="preserve"> </w:t>
      </w:r>
      <w:r w:rsidR="006B51ED">
        <w:rPr>
          <w:rFonts w:ascii="Times New Roman" w:hAnsi="Times New Roman" w:cs="Times New Roman"/>
          <w:spacing w:val="3"/>
          <w:sz w:val="28"/>
          <w:szCs w:val="28"/>
        </w:rPr>
        <w:t>pentru</w:t>
      </w:r>
      <w:r w:rsidRPr="001D0846">
        <w:rPr>
          <w:rFonts w:ascii="Times New Roman" w:hAnsi="Times New Roman" w:cs="Times New Roman"/>
          <w:spacing w:val="3"/>
          <w:sz w:val="28"/>
          <w:szCs w:val="28"/>
        </w:rPr>
        <w:t xml:space="preserve"> elabor</w:t>
      </w:r>
      <w:r w:rsidR="006B51ED">
        <w:rPr>
          <w:rFonts w:ascii="Times New Roman" w:hAnsi="Times New Roman" w:cs="Times New Roman"/>
          <w:spacing w:val="3"/>
          <w:sz w:val="28"/>
          <w:szCs w:val="28"/>
        </w:rPr>
        <w:t>area</w:t>
      </w:r>
      <w:r w:rsidRPr="001D0846">
        <w:rPr>
          <w:rFonts w:ascii="Times New Roman" w:hAnsi="Times New Roman" w:cs="Times New Roman"/>
          <w:spacing w:val="3"/>
          <w:sz w:val="28"/>
          <w:szCs w:val="28"/>
        </w:rPr>
        <w:t xml:space="preserve"> </w:t>
      </w:r>
      <w:r w:rsidRPr="001D0846">
        <w:rPr>
          <w:rFonts w:ascii="Times New Roman" w:hAnsi="Times New Roman" w:cs="Times New Roman"/>
          <w:color w:val="000000"/>
          <w:sz w:val="28"/>
          <w:szCs w:val="28"/>
        </w:rPr>
        <w:t xml:space="preserve">cadrului bugetar pe termen mediu </w:t>
      </w:r>
      <w:proofErr w:type="spellStart"/>
      <w:r w:rsidRPr="001D0846">
        <w:rPr>
          <w:rFonts w:ascii="Times New Roman" w:hAnsi="Times New Roman" w:cs="Times New Roman"/>
          <w:color w:val="000000"/>
          <w:sz w:val="28"/>
          <w:szCs w:val="28"/>
        </w:rPr>
        <w:t>şi</w:t>
      </w:r>
      <w:proofErr w:type="spellEnd"/>
      <w:r w:rsidRPr="001D0846">
        <w:rPr>
          <w:rFonts w:ascii="Times New Roman" w:hAnsi="Times New Roman" w:cs="Times New Roman"/>
          <w:color w:val="000000"/>
          <w:sz w:val="28"/>
          <w:szCs w:val="28"/>
        </w:rPr>
        <w:t xml:space="preserve"> a proiectului legii bugetului de stat</w:t>
      </w:r>
      <w:r w:rsidR="006B51ED">
        <w:rPr>
          <w:rFonts w:ascii="Times New Roman" w:hAnsi="Times New Roman" w:cs="Times New Roman"/>
          <w:color w:val="000000"/>
          <w:sz w:val="28"/>
          <w:szCs w:val="28"/>
        </w:rPr>
        <w:t>,</w:t>
      </w:r>
      <w:r w:rsidRPr="001D0846">
        <w:rPr>
          <w:rFonts w:ascii="Times New Roman" w:hAnsi="Times New Roman" w:cs="Times New Roman"/>
          <w:color w:val="000000"/>
          <w:sz w:val="28"/>
          <w:szCs w:val="28"/>
        </w:rPr>
        <w:t xml:space="preserve"> sunt reglementate de prevederile Legii nr.181 din 25.07.2014</w:t>
      </w:r>
      <w:r w:rsidRPr="001D0846">
        <w:rPr>
          <w:rStyle w:val="a6"/>
          <w:rFonts w:ascii="Times New Roman" w:hAnsi="Times New Roman" w:cs="Times New Roman"/>
          <w:color w:val="000000"/>
          <w:sz w:val="28"/>
          <w:szCs w:val="28"/>
        </w:rPr>
        <w:footnoteReference w:id="9"/>
      </w:r>
      <w:r w:rsidRPr="001D0846">
        <w:rPr>
          <w:rFonts w:ascii="Times New Roman" w:hAnsi="Times New Roman" w:cs="Times New Roman"/>
          <w:color w:val="000000"/>
          <w:sz w:val="28"/>
          <w:szCs w:val="28"/>
        </w:rPr>
        <w:t xml:space="preserve"> și a</w:t>
      </w:r>
      <w:r w:rsidR="006B51ED">
        <w:rPr>
          <w:rFonts w:ascii="Times New Roman" w:hAnsi="Times New Roman" w:cs="Times New Roman"/>
          <w:color w:val="000000"/>
          <w:sz w:val="28"/>
          <w:szCs w:val="28"/>
        </w:rPr>
        <w:t xml:space="preserve">le </w:t>
      </w:r>
      <w:r w:rsidRPr="001D0846">
        <w:rPr>
          <w:rFonts w:ascii="Times New Roman" w:hAnsi="Times New Roman" w:cs="Times New Roman"/>
          <w:color w:val="000000"/>
          <w:sz w:val="28"/>
          <w:szCs w:val="28"/>
        </w:rPr>
        <w:t xml:space="preserve"> Ordinului </w:t>
      </w:r>
      <w:r w:rsidR="006B51ED">
        <w:rPr>
          <w:rFonts w:ascii="Times New Roman" w:hAnsi="Times New Roman" w:cs="Times New Roman"/>
          <w:color w:val="000000"/>
          <w:sz w:val="28"/>
          <w:szCs w:val="28"/>
        </w:rPr>
        <w:t>m</w:t>
      </w:r>
      <w:r w:rsidRPr="001D0846">
        <w:rPr>
          <w:rFonts w:ascii="Times New Roman" w:hAnsi="Times New Roman" w:cs="Times New Roman"/>
          <w:color w:val="000000"/>
          <w:sz w:val="28"/>
          <w:szCs w:val="28"/>
        </w:rPr>
        <w:t xml:space="preserve">inistrului </w:t>
      </w:r>
      <w:r w:rsidR="006B51ED">
        <w:rPr>
          <w:rFonts w:ascii="Times New Roman" w:hAnsi="Times New Roman" w:cs="Times New Roman"/>
          <w:color w:val="000000"/>
          <w:sz w:val="28"/>
          <w:szCs w:val="28"/>
        </w:rPr>
        <w:t>f</w:t>
      </w:r>
      <w:r w:rsidRPr="001D0846">
        <w:rPr>
          <w:rFonts w:ascii="Times New Roman" w:hAnsi="Times New Roman" w:cs="Times New Roman"/>
          <w:color w:val="000000"/>
          <w:sz w:val="28"/>
          <w:szCs w:val="28"/>
        </w:rPr>
        <w:t>inanțelor nr.209 din 24.</w:t>
      </w:r>
      <w:r w:rsidR="009007F1" w:rsidRPr="001D0846">
        <w:rPr>
          <w:rFonts w:ascii="Times New Roman" w:hAnsi="Times New Roman" w:cs="Times New Roman"/>
          <w:color w:val="000000"/>
          <w:sz w:val="28"/>
          <w:szCs w:val="28"/>
        </w:rPr>
        <w:t>0</w:t>
      </w:r>
      <w:r w:rsidRPr="001D0846">
        <w:rPr>
          <w:rFonts w:ascii="Times New Roman" w:hAnsi="Times New Roman" w:cs="Times New Roman"/>
          <w:color w:val="000000"/>
          <w:sz w:val="28"/>
          <w:szCs w:val="28"/>
        </w:rPr>
        <w:t>1.2015</w:t>
      </w:r>
      <w:r w:rsidRPr="001D0846">
        <w:rPr>
          <w:rStyle w:val="a6"/>
          <w:rFonts w:ascii="Times New Roman" w:hAnsi="Times New Roman" w:cs="Times New Roman"/>
          <w:color w:val="000000"/>
          <w:sz w:val="28"/>
          <w:szCs w:val="28"/>
        </w:rPr>
        <w:footnoteReference w:id="10"/>
      </w:r>
      <w:r w:rsidRPr="001D0846">
        <w:rPr>
          <w:rFonts w:ascii="Times New Roman" w:hAnsi="Times New Roman" w:cs="Times New Roman"/>
          <w:color w:val="000000"/>
          <w:sz w:val="28"/>
          <w:szCs w:val="28"/>
        </w:rPr>
        <w:t>.</w:t>
      </w:r>
    </w:p>
    <w:p w:rsidR="00BE46F1" w:rsidRPr="001D0846" w:rsidRDefault="00BE46F1" w:rsidP="006358AD">
      <w:pPr>
        <w:spacing w:after="0" w:line="276" w:lineRule="auto"/>
        <w:ind w:firstLine="709"/>
        <w:jc w:val="both"/>
        <w:rPr>
          <w:rFonts w:ascii="Times New Roman" w:hAnsi="Times New Roman" w:cs="Times New Roman"/>
          <w:color w:val="000000"/>
          <w:sz w:val="28"/>
          <w:szCs w:val="28"/>
        </w:rPr>
      </w:pPr>
      <w:r w:rsidRPr="001D0846">
        <w:rPr>
          <w:rFonts w:ascii="Times New Roman" w:hAnsi="Times New Roman" w:cs="Times New Roman"/>
          <w:color w:val="000000"/>
          <w:sz w:val="28"/>
          <w:szCs w:val="28"/>
          <w:lang w:val="ro-MD"/>
        </w:rPr>
        <w:t xml:space="preserve">În scopul reglementării interne a procesului de </w:t>
      </w:r>
      <w:r w:rsidRPr="00975002">
        <w:rPr>
          <w:rFonts w:ascii="Times New Roman" w:hAnsi="Times New Roman" w:cs="Times New Roman"/>
          <w:color w:val="000000"/>
          <w:sz w:val="28"/>
          <w:szCs w:val="28"/>
          <w:lang w:val="ro-MD"/>
        </w:rPr>
        <w:t xml:space="preserve">prognozare, </w:t>
      </w:r>
      <w:r w:rsidR="00637A81" w:rsidRPr="00975002">
        <w:rPr>
          <w:rFonts w:ascii="Times New Roman" w:hAnsi="Times New Roman" w:cs="Times New Roman"/>
          <w:color w:val="000000"/>
          <w:sz w:val="28"/>
          <w:szCs w:val="28"/>
          <w:lang w:val="ro-MD"/>
        </w:rPr>
        <w:t xml:space="preserve">stabilirii </w:t>
      </w:r>
      <w:r w:rsidRPr="00975002">
        <w:rPr>
          <w:rFonts w:ascii="Times New Roman" w:hAnsi="Times New Roman" w:cs="Times New Roman"/>
          <w:color w:val="000000"/>
          <w:sz w:val="28"/>
          <w:szCs w:val="28"/>
          <w:lang w:val="ro-MD"/>
        </w:rPr>
        <w:t xml:space="preserve">sarcinilor de </w:t>
      </w:r>
      <w:r w:rsidR="00555B62" w:rsidRPr="00975002">
        <w:rPr>
          <w:rFonts w:ascii="Times New Roman" w:hAnsi="Times New Roman" w:cs="Times New Roman"/>
          <w:color w:val="000000"/>
          <w:sz w:val="28"/>
          <w:szCs w:val="28"/>
          <w:lang w:val="ro-MD"/>
        </w:rPr>
        <w:t xml:space="preserve">colectare a </w:t>
      </w:r>
      <w:r w:rsidRPr="00975002">
        <w:rPr>
          <w:rFonts w:ascii="Times New Roman" w:hAnsi="Times New Roman" w:cs="Times New Roman"/>
          <w:color w:val="000000"/>
          <w:sz w:val="28"/>
          <w:szCs w:val="28"/>
          <w:lang w:val="ro-MD"/>
        </w:rPr>
        <w:t>venituri</w:t>
      </w:r>
      <w:r w:rsidR="00555B62" w:rsidRPr="00975002">
        <w:rPr>
          <w:rFonts w:ascii="Times New Roman" w:hAnsi="Times New Roman" w:cs="Times New Roman"/>
          <w:color w:val="000000"/>
          <w:sz w:val="28"/>
          <w:szCs w:val="28"/>
          <w:lang w:val="ro-MD"/>
        </w:rPr>
        <w:t>lor</w:t>
      </w:r>
      <w:r w:rsidRPr="00975002">
        <w:rPr>
          <w:rFonts w:ascii="Times New Roman" w:hAnsi="Times New Roman" w:cs="Times New Roman"/>
          <w:color w:val="000000"/>
          <w:sz w:val="28"/>
          <w:szCs w:val="28"/>
          <w:lang w:val="ro-MD"/>
        </w:rPr>
        <w:t xml:space="preserve"> și </w:t>
      </w:r>
      <w:r w:rsidR="00975002" w:rsidRPr="00975002">
        <w:rPr>
          <w:rFonts w:ascii="Times New Roman" w:hAnsi="Times New Roman" w:cs="Times New Roman"/>
          <w:color w:val="000000"/>
          <w:sz w:val="28"/>
          <w:szCs w:val="28"/>
          <w:lang w:val="ro-MD"/>
        </w:rPr>
        <w:t>îmbunătățirii</w:t>
      </w:r>
      <w:r w:rsidRPr="00975002">
        <w:rPr>
          <w:rFonts w:ascii="Times New Roman" w:hAnsi="Times New Roman" w:cs="Times New Roman"/>
          <w:color w:val="000000"/>
          <w:sz w:val="28"/>
          <w:szCs w:val="28"/>
          <w:lang w:val="ro-MD"/>
        </w:rPr>
        <w:t xml:space="preserve"> administrării fiscale, SFS a elaborat și </w:t>
      </w:r>
      <w:r w:rsidR="006B51ED" w:rsidRPr="00975002">
        <w:rPr>
          <w:rFonts w:ascii="Times New Roman" w:hAnsi="Times New Roman" w:cs="Times New Roman"/>
          <w:color w:val="000000"/>
          <w:sz w:val="28"/>
          <w:szCs w:val="28"/>
          <w:lang w:val="ro-MD"/>
        </w:rPr>
        <w:t xml:space="preserve">a </w:t>
      </w:r>
      <w:r w:rsidRPr="00975002">
        <w:rPr>
          <w:rFonts w:ascii="Times New Roman" w:hAnsi="Times New Roman" w:cs="Times New Roman"/>
          <w:color w:val="000000"/>
          <w:sz w:val="28"/>
          <w:szCs w:val="28"/>
          <w:lang w:val="ro-MD"/>
        </w:rPr>
        <w:t>aprobat</w:t>
      </w:r>
      <w:r w:rsidRPr="00975002">
        <w:rPr>
          <w:rStyle w:val="a6"/>
          <w:rFonts w:ascii="Times New Roman" w:hAnsi="Times New Roman" w:cs="Times New Roman"/>
          <w:color w:val="000000"/>
          <w:sz w:val="28"/>
          <w:szCs w:val="28"/>
          <w:lang w:val="ro-MD"/>
        </w:rPr>
        <w:footnoteReference w:id="11"/>
      </w:r>
      <w:r w:rsidRPr="00975002">
        <w:rPr>
          <w:rFonts w:ascii="Times New Roman" w:hAnsi="Times New Roman" w:cs="Times New Roman"/>
          <w:color w:val="000000"/>
          <w:sz w:val="28"/>
          <w:szCs w:val="28"/>
          <w:lang w:val="ro-MD"/>
        </w:rPr>
        <w:t xml:space="preserve"> Recomandări</w:t>
      </w:r>
      <w:r w:rsidR="00637A81" w:rsidRPr="00975002">
        <w:rPr>
          <w:rFonts w:ascii="Times New Roman" w:hAnsi="Times New Roman" w:cs="Times New Roman"/>
          <w:color w:val="000000"/>
          <w:sz w:val="28"/>
          <w:szCs w:val="28"/>
          <w:lang w:val="ro-MD"/>
        </w:rPr>
        <w:t>le</w:t>
      </w:r>
      <w:r w:rsidRPr="00975002">
        <w:rPr>
          <w:rFonts w:ascii="Times New Roman" w:hAnsi="Times New Roman" w:cs="Times New Roman"/>
          <w:color w:val="000000"/>
          <w:sz w:val="28"/>
          <w:szCs w:val="28"/>
          <w:lang w:val="ro-MD"/>
        </w:rPr>
        <w:t xml:space="preserve"> metodice privind prognozarea veniturilor și stabilirea sarcinilor de venituri la BPN, care includ metode recomandabile</w:t>
      </w:r>
      <w:r w:rsidRPr="001D0846">
        <w:rPr>
          <w:rFonts w:ascii="Times New Roman" w:hAnsi="Times New Roman" w:cs="Times New Roman"/>
          <w:color w:val="000000"/>
          <w:sz w:val="28"/>
          <w:szCs w:val="28"/>
          <w:lang w:val="ro-MD"/>
        </w:rPr>
        <w:t xml:space="preserve"> la elaborarea prognozelor de venituri pe tipuri de impozite și taxe, precum și acțiuni de monitorizare a executării prognozelor de venituri în raport cu sarcinile stabilite.</w:t>
      </w:r>
      <w:r w:rsidRPr="001D0846">
        <w:rPr>
          <w:rFonts w:ascii="Times New Roman" w:hAnsi="Times New Roman" w:cs="Times New Roman"/>
          <w:color w:val="000000"/>
          <w:sz w:val="28"/>
          <w:szCs w:val="28"/>
        </w:rPr>
        <w:t xml:space="preserve"> Concomitent, se remarcă că SV nu dispune de metodologii de prognozare a veniturilor vamale, </w:t>
      </w:r>
      <w:r w:rsidR="00563BB7">
        <w:rPr>
          <w:rFonts w:ascii="Times New Roman" w:hAnsi="Times New Roman" w:cs="Times New Roman"/>
          <w:color w:val="000000"/>
          <w:sz w:val="28"/>
          <w:szCs w:val="28"/>
        </w:rPr>
        <w:t xml:space="preserve">dar </w:t>
      </w:r>
      <w:r w:rsidRPr="001D0846">
        <w:rPr>
          <w:rFonts w:ascii="Times New Roman" w:hAnsi="Times New Roman" w:cs="Times New Roman"/>
          <w:color w:val="000000"/>
          <w:sz w:val="28"/>
          <w:szCs w:val="28"/>
        </w:rPr>
        <w:t>utiliz</w:t>
      </w:r>
      <w:r w:rsidR="00563BB7">
        <w:rPr>
          <w:rFonts w:ascii="Times New Roman" w:hAnsi="Times New Roman" w:cs="Times New Roman"/>
          <w:color w:val="000000"/>
          <w:sz w:val="28"/>
          <w:szCs w:val="28"/>
        </w:rPr>
        <w:t>ează</w:t>
      </w:r>
      <w:r w:rsidRPr="001D0846">
        <w:rPr>
          <w:rFonts w:ascii="Times New Roman" w:hAnsi="Times New Roman" w:cs="Times New Roman"/>
          <w:color w:val="000000"/>
          <w:sz w:val="28"/>
          <w:szCs w:val="28"/>
        </w:rPr>
        <w:t xml:space="preserve"> în procesul de estimare/prognozare </w:t>
      </w:r>
      <w:r w:rsidRPr="001D0846">
        <w:rPr>
          <w:rFonts w:ascii="Times New Roman" w:hAnsi="Times New Roman" w:cs="Times New Roman"/>
          <w:sz w:val="28"/>
          <w:szCs w:val="28"/>
        </w:rPr>
        <w:t xml:space="preserve">analiza tendințelor recente ale încasărilor de venituri la BS (ultimii 2-3 ani), </w:t>
      </w:r>
      <w:r w:rsidRPr="001D0846">
        <w:rPr>
          <w:rFonts w:ascii="Times New Roman" w:hAnsi="Times New Roman" w:cs="Times New Roman"/>
          <w:color w:val="000000"/>
          <w:sz w:val="28"/>
          <w:szCs w:val="28"/>
          <w:lang w:val="it-IT"/>
        </w:rPr>
        <w:t>indicatorii macroeconomici, obiectivele</w:t>
      </w:r>
      <w:r w:rsidRPr="001D0846">
        <w:rPr>
          <w:rFonts w:ascii="Times New Roman" w:hAnsi="Times New Roman" w:cs="Times New Roman"/>
          <w:color w:val="000000"/>
          <w:sz w:val="28"/>
          <w:szCs w:val="28"/>
        </w:rPr>
        <w:t xml:space="preserve"> </w:t>
      </w:r>
      <w:r w:rsidRPr="001D0846">
        <w:rPr>
          <w:rFonts w:ascii="Times New Roman" w:hAnsi="Times New Roman" w:cs="Times New Roman"/>
          <w:sz w:val="28"/>
          <w:szCs w:val="28"/>
        </w:rPr>
        <w:t xml:space="preserve">politicii fiscale </w:t>
      </w:r>
      <w:proofErr w:type="spellStart"/>
      <w:r w:rsidRPr="001D0846">
        <w:rPr>
          <w:rFonts w:ascii="Times New Roman" w:hAnsi="Times New Roman" w:cs="Times New Roman"/>
          <w:sz w:val="28"/>
          <w:szCs w:val="28"/>
        </w:rPr>
        <w:t>şi</w:t>
      </w:r>
      <w:proofErr w:type="spellEnd"/>
      <w:r w:rsidRPr="001D0846">
        <w:rPr>
          <w:rFonts w:ascii="Times New Roman" w:hAnsi="Times New Roman" w:cs="Times New Roman"/>
          <w:sz w:val="28"/>
          <w:szCs w:val="28"/>
        </w:rPr>
        <w:t xml:space="preserve"> vamale, precum </w:t>
      </w:r>
      <w:proofErr w:type="spellStart"/>
      <w:r w:rsidRPr="001D0846">
        <w:rPr>
          <w:rFonts w:ascii="Times New Roman" w:hAnsi="Times New Roman" w:cs="Times New Roman"/>
          <w:sz w:val="28"/>
          <w:szCs w:val="28"/>
        </w:rPr>
        <w:t>şi</w:t>
      </w:r>
      <w:proofErr w:type="spellEnd"/>
      <w:r w:rsidRPr="001D0846">
        <w:rPr>
          <w:rFonts w:ascii="Times New Roman" w:hAnsi="Times New Roman" w:cs="Times New Roman"/>
          <w:sz w:val="28"/>
          <w:szCs w:val="28"/>
        </w:rPr>
        <w:t xml:space="preserve"> obiectivele politicii de administrare fiscală </w:t>
      </w:r>
      <w:proofErr w:type="spellStart"/>
      <w:r w:rsidRPr="001D0846">
        <w:rPr>
          <w:rFonts w:ascii="Times New Roman" w:hAnsi="Times New Roman" w:cs="Times New Roman"/>
          <w:sz w:val="28"/>
          <w:szCs w:val="28"/>
        </w:rPr>
        <w:t>şi</w:t>
      </w:r>
      <w:proofErr w:type="spellEnd"/>
      <w:r w:rsidRPr="001D0846">
        <w:rPr>
          <w:rFonts w:ascii="Times New Roman" w:hAnsi="Times New Roman" w:cs="Times New Roman"/>
          <w:sz w:val="28"/>
          <w:szCs w:val="28"/>
        </w:rPr>
        <w:t xml:space="preserve"> vamală.</w:t>
      </w:r>
    </w:p>
    <w:p w:rsidR="00BE46F1" w:rsidRPr="001D0846" w:rsidRDefault="00BE46F1" w:rsidP="006358AD">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Conform Recomandărilor metodice, la elaborarea estimărilor/ prognozelor privind veniturile administrate pe tipuri de  impozite și taxe SFS urmează să aplice următoarele metode reglementate: 1) Metoda cotei efective de impozitare, 2) Metoda </w:t>
      </w:r>
      <w:r w:rsidRPr="001D0846">
        <w:rPr>
          <w:rFonts w:ascii="Times New Roman" w:hAnsi="Times New Roman" w:cs="Times New Roman"/>
          <w:sz w:val="28"/>
          <w:szCs w:val="28"/>
        </w:rPr>
        <w:lastRenderedPageBreak/>
        <w:t>automată, 3) Metoda majorării (diminuării) sau metoda trendurilor, 4) Metoda opiniei de expert. Metodele stabilite sunt diferențiate la elaborarea prognozelor</w:t>
      </w:r>
      <w:r w:rsidR="00563BB7">
        <w:rPr>
          <w:rFonts w:ascii="Times New Roman" w:hAnsi="Times New Roman" w:cs="Times New Roman"/>
          <w:sz w:val="28"/>
          <w:szCs w:val="28"/>
        </w:rPr>
        <w:t xml:space="preserve">, </w:t>
      </w:r>
      <w:r w:rsidRPr="001D0846">
        <w:rPr>
          <w:rFonts w:ascii="Times New Roman" w:hAnsi="Times New Roman" w:cs="Times New Roman"/>
          <w:sz w:val="28"/>
          <w:szCs w:val="28"/>
        </w:rPr>
        <w:t xml:space="preserve"> ținând</w:t>
      </w:r>
      <w:r w:rsidR="00563BB7">
        <w:rPr>
          <w:rFonts w:ascii="Times New Roman" w:hAnsi="Times New Roman" w:cs="Times New Roman"/>
          <w:sz w:val="28"/>
          <w:szCs w:val="28"/>
        </w:rPr>
        <w:t>u-se</w:t>
      </w:r>
      <w:r w:rsidRPr="001D0846">
        <w:rPr>
          <w:rFonts w:ascii="Times New Roman" w:hAnsi="Times New Roman" w:cs="Times New Roman"/>
          <w:sz w:val="28"/>
          <w:szCs w:val="28"/>
        </w:rPr>
        <w:t xml:space="preserve"> cont de tipul impozitelor și taxelor, fiind utilizate formule </w:t>
      </w:r>
      <w:proofErr w:type="spellStart"/>
      <w:r w:rsidRPr="001D0846">
        <w:rPr>
          <w:rFonts w:ascii="Times New Roman" w:hAnsi="Times New Roman" w:cs="Times New Roman"/>
          <w:sz w:val="28"/>
          <w:szCs w:val="28"/>
        </w:rPr>
        <w:t>matematico</w:t>
      </w:r>
      <w:proofErr w:type="spellEnd"/>
      <w:r w:rsidRPr="001D0846">
        <w:rPr>
          <w:rFonts w:ascii="Times New Roman" w:hAnsi="Times New Roman" w:cs="Times New Roman"/>
          <w:sz w:val="28"/>
          <w:szCs w:val="28"/>
        </w:rPr>
        <w:t>-statistice</w:t>
      </w:r>
      <w:r w:rsidR="00563BB7">
        <w:rPr>
          <w:rFonts w:ascii="Times New Roman" w:hAnsi="Times New Roman" w:cs="Times New Roman"/>
          <w:sz w:val="28"/>
          <w:szCs w:val="28"/>
        </w:rPr>
        <w:t xml:space="preserve"> ce</w:t>
      </w:r>
      <w:r w:rsidRPr="001D0846">
        <w:rPr>
          <w:rFonts w:ascii="Times New Roman" w:hAnsi="Times New Roman" w:cs="Times New Roman"/>
          <w:sz w:val="28"/>
          <w:szCs w:val="28"/>
        </w:rPr>
        <w:t xml:space="preserve"> reie</w:t>
      </w:r>
      <w:r w:rsidR="00563BB7">
        <w:rPr>
          <w:rFonts w:ascii="Times New Roman" w:hAnsi="Times New Roman" w:cs="Times New Roman"/>
          <w:sz w:val="28"/>
          <w:szCs w:val="28"/>
        </w:rPr>
        <w:t>s</w:t>
      </w:r>
      <w:r w:rsidRPr="001D0846">
        <w:rPr>
          <w:rFonts w:ascii="Times New Roman" w:hAnsi="Times New Roman" w:cs="Times New Roman"/>
          <w:sz w:val="28"/>
          <w:szCs w:val="28"/>
        </w:rPr>
        <w:t xml:space="preserve"> din metodele selectate.</w:t>
      </w:r>
    </w:p>
    <w:p w:rsidR="00BE46F1" w:rsidRPr="001D0846" w:rsidRDefault="00BE46F1" w:rsidP="006358AD">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Audit</w:t>
      </w:r>
      <w:r w:rsidR="00FA74CB">
        <w:rPr>
          <w:rFonts w:ascii="Times New Roman" w:hAnsi="Times New Roman" w:cs="Times New Roman"/>
          <w:sz w:val="28"/>
          <w:szCs w:val="28"/>
        </w:rPr>
        <w:t>ul</w:t>
      </w:r>
      <w:r w:rsidRPr="001D0846">
        <w:rPr>
          <w:rFonts w:ascii="Times New Roman" w:hAnsi="Times New Roman" w:cs="Times New Roman"/>
          <w:sz w:val="28"/>
          <w:szCs w:val="28"/>
        </w:rPr>
        <w:t xml:space="preserve"> relevă că elaborarea estimărilor/prognozelor pe tipuri de impozite și taxe de către organele fiscale s-a efectuat în perioada 2015-2017 reieșind din încasările de facto înregistrate pe parcursul ultimilor 3 ani</w:t>
      </w:r>
      <w:r w:rsidRPr="00555B62">
        <w:rPr>
          <w:rFonts w:ascii="Times New Roman" w:hAnsi="Times New Roman" w:cs="Times New Roman"/>
          <w:sz w:val="28"/>
          <w:szCs w:val="28"/>
        </w:rPr>
        <w:t>, care au fost prezentate</w:t>
      </w:r>
      <w:r w:rsidRPr="001D0846">
        <w:rPr>
          <w:rFonts w:ascii="Times New Roman" w:hAnsi="Times New Roman" w:cs="Times New Roman"/>
          <w:sz w:val="28"/>
          <w:szCs w:val="28"/>
        </w:rPr>
        <w:t xml:space="preserve"> </w:t>
      </w:r>
      <w:proofErr w:type="spellStart"/>
      <w:r w:rsidRPr="001D0846">
        <w:rPr>
          <w:rFonts w:ascii="Times New Roman" w:hAnsi="Times New Roman" w:cs="Times New Roman"/>
          <w:sz w:val="28"/>
          <w:szCs w:val="28"/>
        </w:rPr>
        <w:t>admnistratorului</w:t>
      </w:r>
      <w:proofErr w:type="spellEnd"/>
      <w:r w:rsidRPr="001D0846">
        <w:rPr>
          <w:rFonts w:ascii="Times New Roman" w:hAnsi="Times New Roman" w:cs="Times New Roman"/>
          <w:sz w:val="28"/>
          <w:szCs w:val="28"/>
        </w:rPr>
        <w:t xml:space="preserve"> de buget. Totodată, examinările </w:t>
      </w:r>
      <w:r w:rsidR="00FA74CB">
        <w:rPr>
          <w:rFonts w:ascii="Times New Roman" w:hAnsi="Times New Roman" w:cs="Times New Roman"/>
          <w:sz w:val="28"/>
          <w:szCs w:val="28"/>
        </w:rPr>
        <w:t xml:space="preserve">efectuate de </w:t>
      </w:r>
      <w:r w:rsidRPr="001D0846">
        <w:rPr>
          <w:rFonts w:ascii="Times New Roman" w:hAnsi="Times New Roman" w:cs="Times New Roman"/>
          <w:sz w:val="28"/>
          <w:szCs w:val="28"/>
        </w:rPr>
        <w:t>audit</w:t>
      </w:r>
      <w:r w:rsidR="00FA74CB">
        <w:rPr>
          <w:rFonts w:ascii="Times New Roman" w:hAnsi="Times New Roman" w:cs="Times New Roman"/>
          <w:spacing w:val="3"/>
          <w:sz w:val="28"/>
          <w:szCs w:val="28"/>
        </w:rPr>
        <w:t xml:space="preserve"> denotă</w:t>
      </w:r>
      <w:r w:rsidRPr="001D0846">
        <w:rPr>
          <w:rFonts w:ascii="Times New Roman" w:hAnsi="Times New Roman" w:cs="Times New Roman"/>
          <w:spacing w:val="3"/>
          <w:sz w:val="28"/>
          <w:szCs w:val="28"/>
        </w:rPr>
        <w:t xml:space="preserve"> că SFS a asigurat elaborarea și prezentarea către MF a estimărilor privind veniturile BUAT, deși</w:t>
      </w:r>
      <w:r w:rsidR="00FA74CB">
        <w:rPr>
          <w:rFonts w:ascii="Times New Roman" w:hAnsi="Times New Roman" w:cs="Times New Roman"/>
          <w:spacing w:val="3"/>
          <w:sz w:val="28"/>
          <w:szCs w:val="28"/>
        </w:rPr>
        <w:t>,</w:t>
      </w:r>
      <w:r w:rsidRPr="001D0846">
        <w:rPr>
          <w:rFonts w:ascii="Times New Roman" w:hAnsi="Times New Roman" w:cs="Times New Roman"/>
          <w:spacing w:val="3"/>
          <w:sz w:val="28"/>
          <w:szCs w:val="28"/>
        </w:rPr>
        <w:t xml:space="preserve"> prin prisma </w:t>
      </w:r>
      <w:r w:rsidRPr="001D0846">
        <w:rPr>
          <w:rFonts w:ascii="Times New Roman" w:hAnsi="Times New Roman" w:cs="Times New Roman"/>
          <w:sz w:val="28"/>
          <w:szCs w:val="28"/>
        </w:rPr>
        <w:t xml:space="preserve">Legii nr.181 din 25.07.2014, rolul în elaborarea prognozelor </w:t>
      </w:r>
      <w:r w:rsidRPr="001D0846">
        <w:rPr>
          <w:rFonts w:ascii="Times New Roman" w:hAnsi="Times New Roman" w:cs="Times New Roman"/>
          <w:color w:val="000000"/>
          <w:sz w:val="28"/>
          <w:szCs w:val="28"/>
        </w:rPr>
        <w:t xml:space="preserve">bugetelor locale pe termen mediu </w:t>
      </w:r>
      <w:proofErr w:type="spellStart"/>
      <w:r w:rsidRPr="001D0846">
        <w:rPr>
          <w:rFonts w:ascii="Times New Roman" w:hAnsi="Times New Roman" w:cs="Times New Roman"/>
          <w:color w:val="000000"/>
          <w:sz w:val="28"/>
          <w:szCs w:val="28"/>
        </w:rPr>
        <w:t>şi</w:t>
      </w:r>
      <w:proofErr w:type="spellEnd"/>
      <w:r w:rsidRPr="001D0846">
        <w:rPr>
          <w:rFonts w:ascii="Times New Roman" w:hAnsi="Times New Roman" w:cs="Times New Roman"/>
          <w:color w:val="000000"/>
          <w:sz w:val="28"/>
          <w:szCs w:val="28"/>
        </w:rPr>
        <w:t xml:space="preserve"> lung le revine AAPL. </w:t>
      </w:r>
      <w:r w:rsidRPr="001D0846">
        <w:rPr>
          <w:rFonts w:ascii="Times New Roman" w:hAnsi="Times New Roman" w:cs="Times New Roman"/>
          <w:spacing w:val="3"/>
          <w:sz w:val="28"/>
          <w:szCs w:val="28"/>
        </w:rPr>
        <w:t xml:space="preserve">Concomitent, se remarcă că AAPL </w:t>
      </w:r>
      <w:r w:rsidRPr="001D0846">
        <w:rPr>
          <w:rFonts w:ascii="Times New Roman" w:hAnsi="Times New Roman" w:cs="Times New Roman"/>
          <w:color w:val="000000"/>
          <w:sz w:val="28"/>
          <w:szCs w:val="28"/>
        </w:rPr>
        <w:t>nu au prezentat SFS informații cu privire la estimările venituri</w:t>
      </w:r>
      <w:r w:rsidR="00FA74CB">
        <w:rPr>
          <w:rFonts w:ascii="Times New Roman" w:hAnsi="Times New Roman" w:cs="Times New Roman"/>
          <w:color w:val="000000"/>
          <w:sz w:val="28"/>
          <w:szCs w:val="28"/>
        </w:rPr>
        <w:t>lor</w:t>
      </w:r>
      <w:r w:rsidRPr="001D0846">
        <w:rPr>
          <w:rFonts w:ascii="Times New Roman" w:hAnsi="Times New Roman" w:cs="Times New Roman"/>
          <w:color w:val="000000"/>
          <w:sz w:val="28"/>
          <w:szCs w:val="28"/>
        </w:rPr>
        <w:t xml:space="preserve"> pe tipuri de impozite și taxe reieșind din baza impozabilă, obiectele impunerii și numărul de contribuabili administrați.</w:t>
      </w:r>
    </w:p>
    <w:p w:rsidR="00BE46F1" w:rsidRPr="001D0846" w:rsidRDefault="00BE46F1" w:rsidP="006358AD">
      <w:pPr>
        <w:spacing w:after="0" w:line="276" w:lineRule="auto"/>
        <w:ind w:firstLine="720"/>
        <w:jc w:val="both"/>
        <w:rPr>
          <w:rFonts w:ascii="Times New Roman" w:hAnsi="Times New Roman" w:cs="Times New Roman"/>
          <w:sz w:val="28"/>
          <w:szCs w:val="28"/>
          <w:lang w:val="it-IT"/>
        </w:rPr>
      </w:pPr>
      <w:r w:rsidRPr="001D0846">
        <w:rPr>
          <w:rFonts w:ascii="Times New Roman" w:hAnsi="Times New Roman" w:cs="Times New Roman"/>
          <w:sz w:val="28"/>
          <w:szCs w:val="28"/>
          <w:lang w:val="it-IT"/>
        </w:rPr>
        <w:t xml:space="preserve">Propunerile SFS și </w:t>
      </w:r>
      <w:r w:rsidR="00FB3F97">
        <w:rPr>
          <w:rFonts w:ascii="Times New Roman" w:hAnsi="Times New Roman" w:cs="Times New Roman"/>
          <w:sz w:val="28"/>
          <w:szCs w:val="28"/>
          <w:lang w:val="it-IT"/>
        </w:rPr>
        <w:t xml:space="preserve">ale </w:t>
      </w:r>
      <w:r w:rsidRPr="001D0846">
        <w:rPr>
          <w:rFonts w:ascii="Times New Roman" w:hAnsi="Times New Roman" w:cs="Times New Roman"/>
          <w:sz w:val="28"/>
          <w:szCs w:val="28"/>
          <w:lang w:val="it-IT"/>
        </w:rPr>
        <w:t>SV privind estimarea/prognozarea anuală a impozitelor și taxelor s</w:t>
      </w:r>
      <w:r w:rsidR="00FB3F97">
        <w:rPr>
          <w:rFonts w:ascii="Times New Roman" w:hAnsi="Times New Roman" w:cs="Times New Roman"/>
          <w:sz w:val="28"/>
          <w:szCs w:val="28"/>
          <w:lang w:val="it-IT"/>
        </w:rPr>
        <w:t>unt</w:t>
      </w:r>
      <w:r w:rsidRPr="001D0846">
        <w:rPr>
          <w:rFonts w:ascii="Times New Roman" w:hAnsi="Times New Roman" w:cs="Times New Roman"/>
          <w:sz w:val="28"/>
          <w:szCs w:val="28"/>
          <w:lang w:val="it-IT"/>
        </w:rPr>
        <w:t xml:space="preserve"> prez</w:t>
      </w:r>
      <w:r w:rsidR="00FB3F97">
        <w:rPr>
          <w:rFonts w:ascii="Times New Roman" w:hAnsi="Times New Roman" w:cs="Times New Roman"/>
          <w:sz w:val="28"/>
          <w:szCs w:val="28"/>
          <w:lang w:val="it-IT"/>
        </w:rPr>
        <w:t>enta</w:t>
      </w:r>
      <w:r w:rsidRPr="001D0846">
        <w:rPr>
          <w:rFonts w:ascii="Times New Roman" w:hAnsi="Times New Roman" w:cs="Times New Roman"/>
          <w:sz w:val="28"/>
          <w:szCs w:val="28"/>
          <w:lang w:val="it-IT"/>
        </w:rPr>
        <w:t>t</w:t>
      </w:r>
      <w:r w:rsidR="00FB3F97">
        <w:rPr>
          <w:rFonts w:ascii="Times New Roman" w:hAnsi="Times New Roman" w:cs="Times New Roman"/>
          <w:sz w:val="28"/>
          <w:szCs w:val="28"/>
          <w:lang w:val="it-IT"/>
        </w:rPr>
        <w:t>e</w:t>
      </w:r>
      <w:r w:rsidRPr="001D0846">
        <w:rPr>
          <w:rFonts w:ascii="Times New Roman" w:hAnsi="Times New Roman" w:cs="Times New Roman"/>
          <w:sz w:val="28"/>
          <w:szCs w:val="28"/>
          <w:lang w:val="it-IT"/>
        </w:rPr>
        <w:t xml:space="preserve"> MF, care</w:t>
      </w:r>
      <w:r w:rsidR="00FB3F97">
        <w:rPr>
          <w:rFonts w:ascii="Times New Roman" w:hAnsi="Times New Roman" w:cs="Times New Roman"/>
          <w:sz w:val="28"/>
          <w:szCs w:val="28"/>
          <w:lang w:val="it-IT"/>
        </w:rPr>
        <w:t>,</w:t>
      </w:r>
      <w:r w:rsidRPr="001D0846">
        <w:rPr>
          <w:rFonts w:ascii="Times New Roman" w:hAnsi="Times New Roman" w:cs="Times New Roman"/>
          <w:sz w:val="28"/>
          <w:szCs w:val="28"/>
          <w:lang w:val="it-IT"/>
        </w:rPr>
        <w:t xml:space="preserve">  în calitate de administrator de buget, asigură elaborarea propunerilor de buget pentru veniturile generale ale BPN. Astfel, MF</w:t>
      </w:r>
      <w:r w:rsidR="00FB3F97">
        <w:rPr>
          <w:rFonts w:ascii="Times New Roman" w:hAnsi="Times New Roman" w:cs="Times New Roman"/>
          <w:sz w:val="28"/>
          <w:szCs w:val="28"/>
          <w:lang w:val="it-IT"/>
        </w:rPr>
        <w:t>,</w:t>
      </w:r>
      <w:r w:rsidRPr="001D0846">
        <w:rPr>
          <w:rFonts w:ascii="Times New Roman" w:hAnsi="Times New Roman" w:cs="Times New Roman"/>
          <w:sz w:val="28"/>
          <w:szCs w:val="28"/>
          <w:lang w:val="it-IT"/>
        </w:rPr>
        <w:t xml:space="preserve"> în limita competențelor sale, examinează și verifică datele prezentate de către administratorii de venituri, totodată</w:t>
      </w:r>
      <w:r w:rsidR="00FB3F97">
        <w:rPr>
          <w:rFonts w:ascii="Times New Roman" w:hAnsi="Times New Roman" w:cs="Times New Roman"/>
          <w:sz w:val="28"/>
          <w:szCs w:val="28"/>
          <w:lang w:val="it-IT"/>
        </w:rPr>
        <w:t>,</w:t>
      </w:r>
      <w:r w:rsidRPr="001D0846">
        <w:rPr>
          <w:rFonts w:ascii="Times New Roman" w:hAnsi="Times New Roman" w:cs="Times New Roman"/>
          <w:sz w:val="28"/>
          <w:szCs w:val="28"/>
          <w:lang w:val="it-IT"/>
        </w:rPr>
        <w:t xml:space="preserve"> elabor</w:t>
      </w:r>
      <w:r w:rsidR="00FB3F97">
        <w:rPr>
          <w:rFonts w:ascii="Times New Roman" w:hAnsi="Times New Roman" w:cs="Times New Roman"/>
          <w:sz w:val="28"/>
          <w:szCs w:val="28"/>
          <w:lang w:val="it-IT"/>
        </w:rPr>
        <w:t>â</w:t>
      </w:r>
      <w:r w:rsidRPr="001D0846">
        <w:rPr>
          <w:rFonts w:ascii="Times New Roman" w:hAnsi="Times New Roman" w:cs="Times New Roman"/>
          <w:sz w:val="28"/>
          <w:szCs w:val="28"/>
          <w:lang w:val="it-IT"/>
        </w:rPr>
        <w:t xml:space="preserve">nd și propriile estimări ale veniturilor BS. </w:t>
      </w:r>
      <w:r w:rsidRPr="001D0846">
        <w:rPr>
          <w:rFonts w:ascii="Times New Roman" w:hAnsi="Times New Roman" w:cs="Times New Roman"/>
          <w:color w:val="000000"/>
          <w:spacing w:val="3"/>
          <w:sz w:val="28"/>
          <w:szCs w:val="28"/>
        </w:rPr>
        <w:t>La estimarea veniturilor bugetare, inclu</w:t>
      </w:r>
      <w:r w:rsidR="003B0641" w:rsidRPr="001D0846">
        <w:rPr>
          <w:rFonts w:ascii="Times New Roman" w:hAnsi="Times New Roman" w:cs="Times New Roman"/>
          <w:color w:val="000000"/>
          <w:spacing w:val="3"/>
          <w:sz w:val="28"/>
          <w:szCs w:val="28"/>
        </w:rPr>
        <w:t>siv în cadrul modelului, sunt</w:t>
      </w:r>
      <w:r w:rsidRPr="001D0846">
        <w:rPr>
          <w:rFonts w:ascii="Times New Roman" w:hAnsi="Times New Roman" w:cs="Times New Roman"/>
          <w:color w:val="000000"/>
          <w:spacing w:val="3"/>
          <w:sz w:val="28"/>
          <w:szCs w:val="28"/>
        </w:rPr>
        <w:t xml:space="preserve"> aplicate diferite metode</w:t>
      </w:r>
      <w:r w:rsidRPr="001D0846">
        <w:rPr>
          <w:rFonts w:ascii="Times New Roman" w:hAnsi="Times New Roman" w:cs="Times New Roman"/>
          <w:sz w:val="28"/>
          <w:szCs w:val="28"/>
          <w:lang w:val="it-IT"/>
        </w:rPr>
        <w:t xml:space="preserve"> enunțate în Setul metodologic aprobat prin Ordinul </w:t>
      </w:r>
      <w:r w:rsidR="00FB3F97">
        <w:rPr>
          <w:rFonts w:ascii="Times New Roman" w:hAnsi="Times New Roman" w:cs="Times New Roman"/>
          <w:sz w:val="28"/>
          <w:szCs w:val="28"/>
          <w:lang w:val="it-IT"/>
        </w:rPr>
        <w:t>ministrului finanțelor</w:t>
      </w:r>
      <w:r w:rsidRPr="001D0846">
        <w:rPr>
          <w:rFonts w:ascii="Times New Roman" w:hAnsi="Times New Roman" w:cs="Times New Roman"/>
          <w:sz w:val="28"/>
          <w:szCs w:val="28"/>
          <w:lang w:val="it-IT"/>
        </w:rPr>
        <w:t xml:space="preserve"> nr.209 din 24.12.2015</w:t>
      </w:r>
      <w:r w:rsidRPr="001D0846">
        <w:rPr>
          <w:rFonts w:ascii="Times New Roman" w:hAnsi="Times New Roman" w:cs="Times New Roman"/>
          <w:color w:val="000000"/>
          <w:spacing w:val="3"/>
          <w:sz w:val="28"/>
          <w:szCs w:val="28"/>
        </w:rPr>
        <w:t xml:space="preserve">, în </w:t>
      </w:r>
      <w:proofErr w:type="spellStart"/>
      <w:r w:rsidRPr="001D0846">
        <w:rPr>
          <w:rFonts w:ascii="Times New Roman" w:hAnsi="Times New Roman" w:cs="Times New Roman"/>
          <w:color w:val="000000"/>
          <w:spacing w:val="3"/>
          <w:sz w:val="28"/>
          <w:szCs w:val="28"/>
        </w:rPr>
        <w:t>funcţie</w:t>
      </w:r>
      <w:proofErr w:type="spellEnd"/>
      <w:r w:rsidRPr="001D0846">
        <w:rPr>
          <w:rFonts w:ascii="Times New Roman" w:hAnsi="Times New Roman" w:cs="Times New Roman"/>
          <w:color w:val="000000"/>
          <w:spacing w:val="3"/>
          <w:sz w:val="28"/>
          <w:szCs w:val="28"/>
        </w:rPr>
        <w:t xml:space="preserve"> de specificul veniturilor </w:t>
      </w:r>
      <w:proofErr w:type="spellStart"/>
      <w:r w:rsidRPr="001D0846">
        <w:rPr>
          <w:rFonts w:ascii="Times New Roman" w:hAnsi="Times New Roman" w:cs="Times New Roman"/>
          <w:color w:val="000000"/>
          <w:spacing w:val="3"/>
          <w:sz w:val="28"/>
          <w:szCs w:val="28"/>
        </w:rPr>
        <w:t>şi</w:t>
      </w:r>
      <w:proofErr w:type="spellEnd"/>
      <w:r w:rsidRPr="001D0846">
        <w:rPr>
          <w:rFonts w:ascii="Times New Roman" w:hAnsi="Times New Roman" w:cs="Times New Roman"/>
          <w:color w:val="000000"/>
          <w:spacing w:val="3"/>
          <w:sz w:val="28"/>
          <w:szCs w:val="28"/>
        </w:rPr>
        <w:t xml:space="preserve"> </w:t>
      </w:r>
      <w:r w:rsidR="00FB3F97">
        <w:rPr>
          <w:rFonts w:ascii="Times New Roman" w:hAnsi="Times New Roman" w:cs="Times New Roman"/>
          <w:color w:val="000000"/>
          <w:spacing w:val="3"/>
          <w:sz w:val="28"/>
          <w:szCs w:val="28"/>
        </w:rPr>
        <w:t xml:space="preserve">de </w:t>
      </w:r>
      <w:proofErr w:type="spellStart"/>
      <w:r w:rsidRPr="001D0846">
        <w:rPr>
          <w:rFonts w:ascii="Times New Roman" w:hAnsi="Times New Roman" w:cs="Times New Roman"/>
          <w:color w:val="000000"/>
          <w:spacing w:val="3"/>
          <w:sz w:val="28"/>
          <w:szCs w:val="28"/>
        </w:rPr>
        <w:t>relaţia</w:t>
      </w:r>
      <w:proofErr w:type="spellEnd"/>
      <w:r w:rsidRPr="001D0846">
        <w:rPr>
          <w:rFonts w:ascii="Times New Roman" w:hAnsi="Times New Roman" w:cs="Times New Roman"/>
          <w:color w:val="000000"/>
          <w:spacing w:val="3"/>
          <w:sz w:val="28"/>
          <w:szCs w:val="28"/>
        </w:rPr>
        <w:t xml:space="preserve"> acestora cu diferite variabile macroeconomice</w:t>
      </w:r>
      <w:r w:rsidRPr="001D0846">
        <w:rPr>
          <w:rFonts w:ascii="Times New Roman" w:hAnsi="Times New Roman" w:cs="Times New Roman"/>
          <w:sz w:val="28"/>
          <w:szCs w:val="28"/>
          <w:lang w:val="it-IT"/>
        </w:rPr>
        <w:t xml:space="preserve">. Se remarcă că decizia finală privind stabilirea indicatorilor de venituri pe tipuri de impozite și taxe administrate de către SFS și SV aparține MF. </w:t>
      </w:r>
      <w:r w:rsidRPr="001D0846">
        <w:rPr>
          <w:rFonts w:ascii="Times New Roman" w:hAnsi="Times New Roman" w:cs="Times New Roman"/>
          <w:sz w:val="28"/>
          <w:szCs w:val="28"/>
        </w:rPr>
        <w:t>Din momentul adoptării legilor și deciziilor bugetare anuale, administratorii de bugete prezintă administratorilor de venituri, inclusiv SFS și SV, sarcinile de venituri stabilite pentru anul bugetar, pe componentele BPN.</w:t>
      </w:r>
    </w:p>
    <w:p w:rsidR="001D5C0E" w:rsidRDefault="00BE46F1" w:rsidP="001D5C0E">
      <w:pPr>
        <w:spacing w:after="0" w:line="276" w:lineRule="auto"/>
        <w:ind w:firstLine="720"/>
        <w:jc w:val="both"/>
        <w:rPr>
          <w:rFonts w:ascii="Times New Roman" w:hAnsi="Times New Roman" w:cs="Times New Roman"/>
          <w:i/>
          <w:sz w:val="28"/>
          <w:szCs w:val="28"/>
        </w:rPr>
      </w:pPr>
      <w:r w:rsidRPr="001D0846">
        <w:rPr>
          <w:rFonts w:ascii="Times New Roman" w:hAnsi="Times New Roman" w:cs="Times New Roman"/>
          <w:sz w:val="28"/>
          <w:szCs w:val="28"/>
        </w:rPr>
        <w:t xml:space="preserve"> </w:t>
      </w:r>
      <w:r w:rsidRPr="00E6707D">
        <w:rPr>
          <w:rFonts w:ascii="Times New Roman" w:hAnsi="Times New Roman" w:cs="Times New Roman"/>
          <w:sz w:val="28"/>
          <w:szCs w:val="28"/>
        </w:rPr>
        <w:t>Analiza efectuată de audit asupra estimărilor</w:t>
      </w:r>
      <w:r w:rsidR="00B35FF4">
        <w:rPr>
          <w:rFonts w:ascii="Times New Roman" w:hAnsi="Times New Roman" w:cs="Times New Roman"/>
          <w:sz w:val="28"/>
          <w:szCs w:val="28"/>
        </w:rPr>
        <w:t>/prognozelor</w:t>
      </w:r>
      <w:r w:rsidRPr="00E6707D">
        <w:rPr>
          <w:rFonts w:ascii="Times New Roman" w:hAnsi="Times New Roman" w:cs="Times New Roman"/>
          <w:sz w:val="28"/>
          <w:szCs w:val="28"/>
        </w:rPr>
        <w:t xml:space="preserve"> elaborate de către administratorii de venituri </w:t>
      </w:r>
      <w:r w:rsidR="00C9010E" w:rsidRPr="00E6707D">
        <w:rPr>
          <w:rFonts w:ascii="Times New Roman" w:hAnsi="Times New Roman" w:cs="Times New Roman"/>
          <w:sz w:val="28"/>
          <w:szCs w:val="28"/>
        </w:rPr>
        <w:t xml:space="preserve">și MF </w:t>
      </w:r>
      <w:r w:rsidR="00FB3F97">
        <w:rPr>
          <w:rFonts w:ascii="Times New Roman" w:hAnsi="Times New Roman" w:cs="Times New Roman"/>
          <w:sz w:val="28"/>
          <w:szCs w:val="28"/>
        </w:rPr>
        <w:t>indică</w:t>
      </w:r>
      <w:r w:rsidRPr="00E6707D">
        <w:rPr>
          <w:rFonts w:ascii="Times New Roman" w:hAnsi="Times New Roman" w:cs="Times New Roman"/>
          <w:sz w:val="28"/>
          <w:szCs w:val="28"/>
        </w:rPr>
        <w:t xml:space="preserve"> unele </w:t>
      </w:r>
      <w:r w:rsidR="00C9010E" w:rsidRPr="00E6707D">
        <w:rPr>
          <w:rFonts w:ascii="Times New Roman" w:hAnsi="Times New Roman" w:cs="Times New Roman"/>
          <w:sz w:val="28"/>
          <w:szCs w:val="28"/>
        </w:rPr>
        <w:t>imprecizii</w:t>
      </w:r>
      <w:r w:rsidRPr="00E6707D">
        <w:rPr>
          <w:rFonts w:ascii="Times New Roman" w:hAnsi="Times New Roman" w:cs="Times New Roman"/>
          <w:sz w:val="28"/>
          <w:szCs w:val="28"/>
        </w:rPr>
        <w:t xml:space="preserve">, fapt ce denotă </w:t>
      </w:r>
      <w:r w:rsidR="00FB3F97">
        <w:rPr>
          <w:rFonts w:ascii="Times New Roman" w:hAnsi="Times New Roman" w:cs="Times New Roman"/>
          <w:sz w:val="28"/>
          <w:szCs w:val="28"/>
        </w:rPr>
        <w:t xml:space="preserve">anumite </w:t>
      </w:r>
      <w:r w:rsidRPr="00E6707D">
        <w:rPr>
          <w:rFonts w:ascii="Times New Roman" w:hAnsi="Times New Roman" w:cs="Times New Roman"/>
          <w:sz w:val="28"/>
          <w:szCs w:val="28"/>
        </w:rPr>
        <w:t xml:space="preserve"> rezerve în fundamentarea veniturilor fiscale și vamale. </w:t>
      </w:r>
      <w:r w:rsidR="001D5C0E" w:rsidRPr="001D5C0E">
        <w:rPr>
          <w:rFonts w:ascii="Times New Roman" w:hAnsi="Times New Roman" w:cs="Times New Roman"/>
          <w:i/>
          <w:sz w:val="28"/>
          <w:szCs w:val="28"/>
        </w:rPr>
        <w:t xml:space="preserve">Informația privind </w:t>
      </w:r>
      <w:r w:rsidR="00B35FF4">
        <w:rPr>
          <w:rFonts w:ascii="Times New Roman" w:hAnsi="Times New Roman" w:cs="Times New Roman"/>
          <w:i/>
          <w:sz w:val="28"/>
          <w:szCs w:val="28"/>
        </w:rPr>
        <w:t>estimările/prognozele de venituri</w:t>
      </w:r>
      <w:r w:rsidR="001D5C0E" w:rsidRPr="001D5C0E">
        <w:rPr>
          <w:rFonts w:ascii="Times New Roman" w:hAnsi="Times New Roman" w:cs="Times New Roman"/>
          <w:i/>
          <w:sz w:val="28"/>
          <w:szCs w:val="28"/>
        </w:rPr>
        <w:t xml:space="preserve"> </w:t>
      </w:r>
      <w:r w:rsidR="001D5C0E">
        <w:rPr>
          <w:rFonts w:ascii="Times New Roman" w:hAnsi="Times New Roman" w:cs="Times New Roman"/>
          <w:i/>
          <w:sz w:val="28"/>
          <w:szCs w:val="28"/>
        </w:rPr>
        <w:t>la BPN pentru perioada</w:t>
      </w:r>
      <w:r w:rsidR="001D5C0E" w:rsidRPr="001D5C0E">
        <w:rPr>
          <w:rFonts w:ascii="Times New Roman" w:hAnsi="Times New Roman" w:cs="Times New Roman"/>
          <w:i/>
          <w:sz w:val="28"/>
          <w:szCs w:val="28"/>
        </w:rPr>
        <w:t xml:space="preserve"> 2015-2017 </w:t>
      </w:r>
      <w:r w:rsidR="00FB3F97">
        <w:rPr>
          <w:rFonts w:ascii="Times New Roman" w:hAnsi="Times New Roman" w:cs="Times New Roman"/>
          <w:i/>
          <w:sz w:val="28"/>
          <w:szCs w:val="28"/>
        </w:rPr>
        <w:t>este</w:t>
      </w:r>
      <w:r w:rsidR="001D5C0E" w:rsidRPr="001D5C0E">
        <w:rPr>
          <w:rFonts w:ascii="Times New Roman" w:hAnsi="Times New Roman" w:cs="Times New Roman"/>
          <w:i/>
          <w:sz w:val="28"/>
          <w:szCs w:val="28"/>
        </w:rPr>
        <w:t xml:space="preserve"> prez</w:t>
      </w:r>
      <w:r w:rsidR="00FB3F97">
        <w:rPr>
          <w:rFonts w:ascii="Times New Roman" w:hAnsi="Times New Roman" w:cs="Times New Roman"/>
          <w:i/>
          <w:sz w:val="28"/>
          <w:szCs w:val="28"/>
        </w:rPr>
        <w:t>enta</w:t>
      </w:r>
      <w:r w:rsidR="001D5C0E" w:rsidRPr="001D5C0E">
        <w:rPr>
          <w:rFonts w:ascii="Times New Roman" w:hAnsi="Times New Roman" w:cs="Times New Roman"/>
          <w:i/>
          <w:sz w:val="28"/>
          <w:szCs w:val="28"/>
        </w:rPr>
        <w:t>tă în Tabelele nr.4 și nr.5 din Anexa nr.3 la Raport</w:t>
      </w:r>
      <w:r w:rsidR="00FB3F97">
        <w:rPr>
          <w:rFonts w:ascii="Times New Roman" w:hAnsi="Times New Roman" w:cs="Times New Roman"/>
          <w:i/>
          <w:sz w:val="28"/>
          <w:szCs w:val="28"/>
        </w:rPr>
        <w:t>ul</w:t>
      </w:r>
      <w:r w:rsidR="001D5C0E" w:rsidRPr="001D5C0E">
        <w:rPr>
          <w:rFonts w:ascii="Times New Roman" w:hAnsi="Times New Roman" w:cs="Times New Roman"/>
          <w:i/>
          <w:sz w:val="28"/>
          <w:szCs w:val="28"/>
        </w:rPr>
        <w:t xml:space="preserve"> de audit.</w:t>
      </w:r>
    </w:p>
    <w:p w:rsidR="005A209E" w:rsidRDefault="001D5C0E" w:rsidP="005A209E">
      <w:pPr>
        <w:spacing w:after="0" w:line="276" w:lineRule="auto"/>
        <w:ind w:firstLine="720"/>
        <w:jc w:val="both"/>
        <w:rPr>
          <w:rFonts w:ascii="Times New Roman" w:hAnsi="Times New Roman" w:cs="Times New Roman"/>
          <w:sz w:val="28"/>
          <w:szCs w:val="28"/>
        </w:rPr>
      </w:pPr>
      <w:r w:rsidRPr="00975002">
        <w:rPr>
          <w:rFonts w:ascii="Times New Roman" w:hAnsi="Times New Roman" w:cs="Times New Roman"/>
          <w:sz w:val="28"/>
          <w:szCs w:val="28"/>
        </w:rPr>
        <w:t xml:space="preserve">Examinările </w:t>
      </w:r>
      <w:r w:rsidR="00FB3F97" w:rsidRPr="00975002">
        <w:rPr>
          <w:rFonts w:ascii="Times New Roman" w:hAnsi="Times New Roman" w:cs="Times New Roman"/>
          <w:sz w:val="28"/>
          <w:szCs w:val="28"/>
        </w:rPr>
        <w:t xml:space="preserve">efectuate de </w:t>
      </w:r>
      <w:r w:rsidRPr="00975002">
        <w:rPr>
          <w:rFonts w:ascii="Times New Roman" w:hAnsi="Times New Roman" w:cs="Times New Roman"/>
          <w:sz w:val="28"/>
          <w:szCs w:val="28"/>
        </w:rPr>
        <w:t xml:space="preserve">audit asupra estimărilor </w:t>
      </w:r>
      <w:r w:rsidR="00975002" w:rsidRPr="00975002">
        <w:rPr>
          <w:rFonts w:ascii="Times New Roman" w:hAnsi="Times New Roman" w:cs="Times New Roman"/>
          <w:sz w:val="28"/>
          <w:szCs w:val="28"/>
        </w:rPr>
        <w:t xml:space="preserve">de </w:t>
      </w:r>
      <w:r w:rsidR="000C443F" w:rsidRPr="00975002">
        <w:rPr>
          <w:rFonts w:ascii="Times New Roman" w:hAnsi="Times New Roman" w:cs="Times New Roman"/>
          <w:sz w:val="28"/>
          <w:szCs w:val="28"/>
        </w:rPr>
        <w:t>venituri</w:t>
      </w:r>
      <w:r w:rsidR="00975002" w:rsidRPr="00975002">
        <w:rPr>
          <w:rFonts w:ascii="Times New Roman" w:hAnsi="Times New Roman" w:cs="Times New Roman"/>
          <w:sz w:val="28"/>
          <w:szCs w:val="28"/>
        </w:rPr>
        <w:t xml:space="preserve"> la</w:t>
      </w:r>
      <w:r w:rsidRPr="00975002">
        <w:rPr>
          <w:rFonts w:ascii="Times New Roman" w:hAnsi="Times New Roman" w:cs="Times New Roman"/>
          <w:sz w:val="28"/>
          <w:szCs w:val="28"/>
        </w:rPr>
        <w:t xml:space="preserve"> BS și BUAT </w:t>
      </w:r>
      <w:r w:rsidR="000C443F" w:rsidRPr="00975002">
        <w:rPr>
          <w:rFonts w:ascii="Times New Roman" w:hAnsi="Times New Roman" w:cs="Times New Roman"/>
          <w:sz w:val="28"/>
          <w:szCs w:val="28"/>
        </w:rPr>
        <w:t xml:space="preserve">elaborate </w:t>
      </w:r>
      <w:r w:rsidRPr="00975002">
        <w:rPr>
          <w:rFonts w:ascii="Times New Roman" w:hAnsi="Times New Roman" w:cs="Times New Roman"/>
          <w:sz w:val="28"/>
          <w:szCs w:val="28"/>
        </w:rPr>
        <w:t>de</w:t>
      </w:r>
      <w:r>
        <w:rPr>
          <w:rFonts w:ascii="Times New Roman" w:hAnsi="Times New Roman" w:cs="Times New Roman"/>
          <w:sz w:val="28"/>
          <w:szCs w:val="28"/>
        </w:rPr>
        <w:t xml:space="preserve"> către SFS </w:t>
      </w:r>
      <w:r w:rsidR="002B04DE">
        <w:rPr>
          <w:rFonts w:ascii="Times New Roman" w:hAnsi="Times New Roman" w:cs="Times New Roman"/>
          <w:sz w:val="28"/>
          <w:szCs w:val="28"/>
        </w:rPr>
        <w:t>denotă</w:t>
      </w:r>
      <w:r>
        <w:rPr>
          <w:rFonts w:ascii="Times New Roman" w:hAnsi="Times New Roman" w:cs="Times New Roman"/>
          <w:sz w:val="28"/>
          <w:szCs w:val="28"/>
        </w:rPr>
        <w:t xml:space="preserve"> că acestea</w:t>
      </w:r>
      <w:r w:rsidR="00FB3F97">
        <w:rPr>
          <w:rFonts w:ascii="Times New Roman" w:hAnsi="Times New Roman" w:cs="Times New Roman"/>
          <w:sz w:val="28"/>
          <w:szCs w:val="28"/>
        </w:rPr>
        <w:t>,</w:t>
      </w:r>
      <w:r>
        <w:rPr>
          <w:rFonts w:ascii="Times New Roman" w:hAnsi="Times New Roman" w:cs="Times New Roman"/>
          <w:sz w:val="28"/>
          <w:szCs w:val="28"/>
        </w:rPr>
        <w:t xml:space="preserve"> în anul 2017</w:t>
      </w:r>
      <w:r w:rsidR="00FB3F97">
        <w:rPr>
          <w:rFonts w:ascii="Times New Roman" w:hAnsi="Times New Roman" w:cs="Times New Roman"/>
          <w:sz w:val="28"/>
          <w:szCs w:val="28"/>
        </w:rPr>
        <w:t>,</w:t>
      </w:r>
      <w:r>
        <w:rPr>
          <w:rFonts w:ascii="Times New Roman" w:hAnsi="Times New Roman" w:cs="Times New Roman"/>
          <w:sz w:val="28"/>
          <w:szCs w:val="28"/>
        </w:rPr>
        <w:t xml:space="preserve"> au însumat în total 15,9 </w:t>
      </w:r>
      <w:proofErr w:type="spellStart"/>
      <w:r>
        <w:rPr>
          <w:rFonts w:ascii="Times New Roman" w:hAnsi="Times New Roman" w:cs="Times New Roman"/>
          <w:sz w:val="28"/>
          <w:szCs w:val="28"/>
        </w:rPr>
        <w:t>mlrd.lei</w:t>
      </w:r>
      <w:proofErr w:type="spellEnd"/>
      <w:r>
        <w:rPr>
          <w:rFonts w:ascii="Times New Roman" w:hAnsi="Times New Roman" w:cs="Times New Roman"/>
          <w:sz w:val="28"/>
          <w:szCs w:val="28"/>
        </w:rPr>
        <w:t xml:space="preserve">, </w:t>
      </w:r>
      <w:r w:rsidR="005A209E">
        <w:rPr>
          <w:rFonts w:ascii="Times New Roman" w:hAnsi="Times New Roman" w:cs="Times New Roman"/>
          <w:sz w:val="28"/>
          <w:szCs w:val="28"/>
        </w:rPr>
        <w:t>care ulterior</w:t>
      </w:r>
      <w:r w:rsidR="00FB3F97">
        <w:rPr>
          <w:rFonts w:ascii="Times New Roman" w:hAnsi="Times New Roman" w:cs="Times New Roman"/>
          <w:sz w:val="28"/>
          <w:szCs w:val="28"/>
        </w:rPr>
        <w:t>,</w:t>
      </w:r>
      <w:r w:rsidR="005A209E">
        <w:rPr>
          <w:rFonts w:ascii="Times New Roman" w:hAnsi="Times New Roman" w:cs="Times New Roman"/>
          <w:sz w:val="28"/>
          <w:szCs w:val="28"/>
        </w:rPr>
        <w:t xml:space="preserve"> pe parcursul anului</w:t>
      </w:r>
      <w:r w:rsidR="00FB3F97">
        <w:rPr>
          <w:rFonts w:ascii="Times New Roman" w:hAnsi="Times New Roman" w:cs="Times New Roman"/>
          <w:sz w:val="28"/>
          <w:szCs w:val="28"/>
        </w:rPr>
        <w:t>,</w:t>
      </w:r>
      <w:r w:rsidR="005A209E">
        <w:rPr>
          <w:rFonts w:ascii="Times New Roman" w:hAnsi="Times New Roman" w:cs="Times New Roman"/>
          <w:sz w:val="28"/>
          <w:szCs w:val="28"/>
        </w:rPr>
        <w:t xml:space="preserve"> au fost</w:t>
      </w:r>
      <w:r>
        <w:rPr>
          <w:rFonts w:ascii="Times New Roman" w:hAnsi="Times New Roman" w:cs="Times New Roman"/>
          <w:sz w:val="28"/>
          <w:szCs w:val="28"/>
        </w:rPr>
        <w:t xml:space="preserve"> modific</w:t>
      </w:r>
      <w:r w:rsidR="005A209E">
        <w:rPr>
          <w:rFonts w:ascii="Times New Roman" w:hAnsi="Times New Roman" w:cs="Times New Roman"/>
          <w:sz w:val="28"/>
          <w:szCs w:val="28"/>
        </w:rPr>
        <w:t>ate/precizate</w:t>
      </w:r>
      <w:r>
        <w:rPr>
          <w:rFonts w:ascii="Times New Roman" w:hAnsi="Times New Roman" w:cs="Times New Roman"/>
          <w:sz w:val="28"/>
          <w:szCs w:val="28"/>
        </w:rPr>
        <w:t xml:space="preserve"> </w:t>
      </w:r>
      <w:r w:rsidR="005A209E">
        <w:rPr>
          <w:rFonts w:ascii="Times New Roman" w:hAnsi="Times New Roman" w:cs="Times New Roman"/>
          <w:sz w:val="28"/>
          <w:szCs w:val="28"/>
        </w:rPr>
        <w:t xml:space="preserve">de către MF </w:t>
      </w:r>
      <w:r w:rsidR="008A2D27">
        <w:rPr>
          <w:rFonts w:ascii="Times New Roman" w:hAnsi="Times New Roman" w:cs="Times New Roman"/>
          <w:sz w:val="28"/>
          <w:szCs w:val="28"/>
        </w:rPr>
        <w:t xml:space="preserve">cu </w:t>
      </w:r>
      <w:r>
        <w:rPr>
          <w:rFonts w:ascii="Times New Roman" w:hAnsi="Times New Roman" w:cs="Times New Roman"/>
          <w:sz w:val="28"/>
          <w:szCs w:val="28"/>
        </w:rPr>
        <w:t xml:space="preserve">1,5 </w:t>
      </w:r>
      <w:proofErr w:type="spellStart"/>
      <w:r>
        <w:rPr>
          <w:rFonts w:ascii="Times New Roman" w:hAnsi="Times New Roman" w:cs="Times New Roman"/>
          <w:sz w:val="28"/>
          <w:szCs w:val="28"/>
        </w:rPr>
        <w:t>mlrd.lei</w:t>
      </w:r>
      <w:proofErr w:type="spellEnd"/>
      <w:r w:rsidR="008A2D27">
        <w:rPr>
          <w:rFonts w:ascii="Times New Roman" w:hAnsi="Times New Roman" w:cs="Times New Roman"/>
          <w:sz w:val="28"/>
          <w:szCs w:val="28"/>
        </w:rPr>
        <w:t xml:space="preserve"> mai mult</w:t>
      </w:r>
      <w:r>
        <w:rPr>
          <w:rFonts w:ascii="Times New Roman" w:hAnsi="Times New Roman" w:cs="Times New Roman"/>
          <w:sz w:val="28"/>
          <w:szCs w:val="28"/>
        </w:rPr>
        <w:t>, gradul de modificare</w:t>
      </w:r>
      <w:r w:rsidR="008A2D27">
        <w:rPr>
          <w:rFonts w:ascii="Times New Roman" w:hAnsi="Times New Roman" w:cs="Times New Roman"/>
          <w:sz w:val="28"/>
          <w:szCs w:val="28"/>
        </w:rPr>
        <w:t>/majorare</w:t>
      </w:r>
      <w:r>
        <w:rPr>
          <w:rFonts w:ascii="Times New Roman" w:hAnsi="Times New Roman" w:cs="Times New Roman"/>
          <w:sz w:val="28"/>
          <w:szCs w:val="28"/>
        </w:rPr>
        <w:t xml:space="preserve"> constituind</w:t>
      </w:r>
      <w:r w:rsidR="005A209E">
        <w:rPr>
          <w:rFonts w:ascii="Times New Roman" w:hAnsi="Times New Roman" w:cs="Times New Roman"/>
          <w:sz w:val="28"/>
          <w:szCs w:val="28"/>
        </w:rPr>
        <w:t xml:space="preserve"> 9%. </w:t>
      </w:r>
      <w:r w:rsidR="00E6707D" w:rsidRPr="00E6707D">
        <w:rPr>
          <w:rFonts w:ascii="Times New Roman" w:hAnsi="Times New Roman" w:cs="Times New Roman"/>
          <w:sz w:val="28"/>
          <w:szCs w:val="28"/>
        </w:rPr>
        <w:t>Totodată, nivelul de executare a veniturilor</w:t>
      </w:r>
      <w:r w:rsidR="005A209E">
        <w:rPr>
          <w:rFonts w:ascii="Times New Roman" w:hAnsi="Times New Roman" w:cs="Times New Roman"/>
          <w:sz w:val="28"/>
          <w:szCs w:val="28"/>
        </w:rPr>
        <w:t xml:space="preserve"> fiscale</w:t>
      </w:r>
      <w:r w:rsidR="00E6707D" w:rsidRPr="00E6707D">
        <w:rPr>
          <w:rFonts w:ascii="Times New Roman" w:hAnsi="Times New Roman" w:cs="Times New Roman"/>
          <w:sz w:val="28"/>
          <w:szCs w:val="28"/>
        </w:rPr>
        <w:t xml:space="preserve"> </w:t>
      </w:r>
      <w:r w:rsidR="005A209E">
        <w:rPr>
          <w:rFonts w:ascii="Times New Roman" w:hAnsi="Times New Roman" w:cs="Times New Roman"/>
          <w:sz w:val="28"/>
          <w:szCs w:val="28"/>
        </w:rPr>
        <w:t xml:space="preserve">în anul 2017 </w:t>
      </w:r>
      <w:r w:rsidR="00E6707D" w:rsidRPr="00E6707D">
        <w:rPr>
          <w:rFonts w:ascii="Times New Roman" w:hAnsi="Times New Roman" w:cs="Times New Roman"/>
          <w:sz w:val="28"/>
          <w:szCs w:val="28"/>
        </w:rPr>
        <w:t xml:space="preserve">a constituit 17,74 </w:t>
      </w:r>
      <w:proofErr w:type="spellStart"/>
      <w:r w:rsidR="00E6707D" w:rsidRPr="00E6707D">
        <w:rPr>
          <w:rFonts w:ascii="Times New Roman" w:hAnsi="Times New Roman" w:cs="Times New Roman"/>
          <w:sz w:val="28"/>
          <w:szCs w:val="28"/>
        </w:rPr>
        <w:t>mlrd.lei</w:t>
      </w:r>
      <w:proofErr w:type="spellEnd"/>
      <w:r w:rsidR="00E6707D" w:rsidRPr="00E6707D">
        <w:rPr>
          <w:rFonts w:ascii="Times New Roman" w:hAnsi="Times New Roman" w:cs="Times New Roman"/>
          <w:sz w:val="28"/>
          <w:szCs w:val="28"/>
        </w:rPr>
        <w:t xml:space="preserve">, </w:t>
      </w:r>
      <w:r w:rsidR="00FB3F97">
        <w:rPr>
          <w:rFonts w:ascii="Times New Roman" w:hAnsi="Times New Roman" w:cs="Times New Roman"/>
          <w:sz w:val="28"/>
          <w:szCs w:val="28"/>
        </w:rPr>
        <w:t>sau</w:t>
      </w:r>
      <w:r w:rsidR="00E6707D" w:rsidRPr="00E6707D">
        <w:rPr>
          <w:rFonts w:ascii="Times New Roman" w:hAnsi="Times New Roman" w:cs="Times New Roman"/>
          <w:sz w:val="28"/>
          <w:szCs w:val="28"/>
        </w:rPr>
        <w:t xml:space="preserve"> </w:t>
      </w:r>
      <w:r w:rsidR="00E6707D" w:rsidRPr="00E6707D">
        <w:rPr>
          <w:rFonts w:ascii="Times New Roman" w:hAnsi="Times New Roman" w:cs="Times New Roman"/>
          <w:sz w:val="28"/>
          <w:szCs w:val="28"/>
        </w:rPr>
        <w:lastRenderedPageBreak/>
        <w:t xml:space="preserve">cu 1,85 </w:t>
      </w:r>
      <w:proofErr w:type="spellStart"/>
      <w:r w:rsidR="00E6707D" w:rsidRPr="00E6707D">
        <w:rPr>
          <w:rFonts w:ascii="Times New Roman" w:hAnsi="Times New Roman" w:cs="Times New Roman"/>
          <w:sz w:val="28"/>
          <w:szCs w:val="28"/>
        </w:rPr>
        <w:t>mlrd.lei</w:t>
      </w:r>
      <w:proofErr w:type="spellEnd"/>
      <w:r w:rsidR="00E6707D" w:rsidRPr="00E6707D">
        <w:rPr>
          <w:rFonts w:ascii="Times New Roman" w:hAnsi="Times New Roman" w:cs="Times New Roman"/>
          <w:sz w:val="28"/>
          <w:szCs w:val="28"/>
        </w:rPr>
        <w:t xml:space="preserve"> mai mult față de estimările aprobate și cu 0,35 </w:t>
      </w:r>
      <w:proofErr w:type="spellStart"/>
      <w:r w:rsidR="00E6707D" w:rsidRPr="00E6707D">
        <w:rPr>
          <w:rFonts w:ascii="Times New Roman" w:hAnsi="Times New Roman" w:cs="Times New Roman"/>
          <w:sz w:val="28"/>
          <w:szCs w:val="28"/>
        </w:rPr>
        <w:t>mlrd.lei</w:t>
      </w:r>
      <w:proofErr w:type="spellEnd"/>
      <w:r w:rsidR="00E6707D" w:rsidRPr="00E6707D">
        <w:rPr>
          <w:rFonts w:ascii="Times New Roman" w:hAnsi="Times New Roman" w:cs="Times New Roman"/>
          <w:sz w:val="28"/>
          <w:szCs w:val="28"/>
        </w:rPr>
        <w:t xml:space="preserve"> mai mult față de estimările precizate. </w:t>
      </w:r>
    </w:p>
    <w:p w:rsidR="005A209E" w:rsidRDefault="002B04DE" w:rsidP="005A209E">
      <w:pPr>
        <w:spacing w:after="0" w:line="276" w:lineRule="auto"/>
        <w:ind w:firstLine="720"/>
        <w:jc w:val="both"/>
        <w:rPr>
          <w:rFonts w:ascii="Times New Roman" w:hAnsi="Times New Roman" w:cs="Times New Roman"/>
          <w:sz w:val="28"/>
          <w:szCs w:val="28"/>
        </w:rPr>
      </w:pPr>
      <w:r w:rsidRPr="00975002">
        <w:rPr>
          <w:rFonts w:ascii="Times New Roman" w:hAnsi="Times New Roman" w:cs="Times New Roman"/>
          <w:sz w:val="28"/>
          <w:szCs w:val="28"/>
        </w:rPr>
        <w:t>În urma e</w:t>
      </w:r>
      <w:r w:rsidR="005A209E" w:rsidRPr="00975002">
        <w:rPr>
          <w:rFonts w:ascii="Times New Roman" w:hAnsi="Times New Roman" w:cs="Times New Roman"/>
          <w:sz w:val="28"/>
          <w:szCs w:val="28"/>
        </w:rPr>
        <w:t>xaminăril</w:t>
      </w:r>
      <w:r w:rsidRPr="00975002">
        <w:rPr>
          <w:rFonts w:ascii="Times New Roman" w:hAnsi="Times New Roman" w:cs="Times New Roman"/>
          <w:sz w:val="28"/>
          <w:szCs w:val="28"/>
        </w:rPr>
        <w:t>or efectuate de</w:t>
      </w:r>
      <w:r w:rsidR="005A209E" w:rsidRPr="00975002">
        <w:rPr>
          <w:rFonts w:ascii="Times New Roman" w:hAnsi="Times New Roman" w:cs="Times New Roman"/>
          <w:sz w:val="28"/>
          <w:szCs w:val="28"/>
        </w:rPr>
        <w:t xml:space="preserve"> audit asupra estimărilor </w:t>
      </w:r>
      <w:r w:rsidR="00975002" w:rsidRPr="00975002">
        <w:rPr>
          <w:rFonts w:ascii="Times New Roman" w:hAnsi="Times New Roman" w:cs="Times New Roman"/>
          <w:sz w:val="28"/>
          <w:szCs w:val="28"/>
        </w:rPr>
        <w:t xml:space="preserve">de </w:t>
      </w:r>
      <w:r w:rsidR="000C443F" w:rsidRPr="00975002">
        <w:rPr>
          <w:rFonts w:ascii="Times New Roman" w:hAnsi="Times New Roman" w:cs="Times New Roman"/>
          <w:sz w:val="28"/>
          <w:szCs w:val="28"/>
        </w:rPr>
        <w:t>venituri</w:t>
      </w:r>
      <w:r w:rsidR="00975002" w:rsidRPr="00975002">
        <w:rPr>
          <w:rFonts w:ascii="Times New Roman" w:hAnsi="Times New Roman" w:cs="Times New Roman"/>
          <w:sz w:val="28"/>
          <w:szCs w:val="28"/>
        </w:rPr>
        <w:t xml:space="preserve"> la</w:t>
      </w:r>
      <w:r w:rsidR="005A209E" w:rsidRPr="00975002">
        <w:rPr>
          <w:rFonts w:ascii="Times New Roman" w:hAnsi="Times New Roman" w:cs="Times New Roman"/>
          <w:sz w:val="28"/>
          <w:szCs w:val="28"/>
        </w:rPr>
        <w:t xml:space="preserve"> BS </w:t>
      </w:r>
      <w:r w:rsidR="000C443F" w:rsidRPr="00975002">
        <w:rPr>
          <w:rFonts w:ascii="Times New Roman" w:hAnsi="Times New Roman" w:cs="Times New Roman"/>
          <w:sz w:val="28"/>
          <w:szCs w:val="28"/>
        </w:rPr>
        <w:t xml:space="preserve">elaborate </w:t>
      </w:r>
      <w:r w:rsidR="005A209E" w:rsidRPr="00975002">
        <w:rPr>
          <w:rFonts w:ascii="Times New Roman" w:hAnsi="Times New Roman" w:cs="Times New Roman"/>
          <w:sz w:val="28"/>
          <w:szCs w:val="28"/>
        </w:rPr>
        <w:t>de către SV</w:t>
      </w:r>
      <w:r w:rsidRPr="00975002">
        <w:rPr>
          <w:rFonts w:ascii="Times New Roman" w:hAnsi="Times New Roman" w:cs="Times New Roman"/>
          <w:sz w:val="28"/>
          <w:szCs w:val="28"/>
        </w:rPr>
        <w:t>, se</w:t>
      </w:r>
      <w:r w:rsidR="005A209E" w:rsidRPr="00975002">
        <w:rPr>
          <w:rFonts w:ascii="Times New Roman" w:hAnsi="Times New Roman" w:cs="Times New Roman"/>
          <w:sz w:val="28"/>
          <w:szCs w:val="28"/>
        </w:rPr>
        <w:t xml:space="preserve"> relevă că acestea</w:t>
      </w:r>
      <w:r w:rsidRPr="00975002">
        <w:rPr>
          <w:rFonts w:ascii="Times New Roman" w:hAnsi="Times New Roman" w:cs="Times New Roman"/>
          <w:sz w:val="28"/>
          <w:szCs w:val="28"/>
        </w:rPr>
        <w:t>,</w:t>
      </w:r>
      <w:r w:rsidR="005A209E" w:rsidRPr="00975002">
        <w:rPr>
          <w:rFonts w:ascii="Times New Roman" w:hAnsi="Times New Roman" w:cs="Times New Roman"/>
          <w:sz w:val="28"/>
          <w:szCs w:val="28"/>
        </w:rPr>
        <w:t xml:space="preserve"> în anul 2017</w:t>
      </w:r>
      <w:r w:rsidRPr="00975002">
        <w:rPr>
          <w:rFonts w:ascii="Times New Roman" w:hAnsi="Times New Roman" w:cs="Times New Roman"/>
          <w:sz w:val="28"/>
          <w:szCs w:val="28"/>
        </w:rPr>
        <w:t>,</w:t>
      </w:r>
      <w:r w:rsidR="005A209E" w:rsidRPr="00975002">
        <w:rPr>
          <w:rFonts w:ascii="Times New Roman" w:hAnsi="Times New Roman" w:cs="Times New Roman"/>
          <w:sz w:val="28"/>
          <w:szCs w:val="28"/>
        </w:rPr>
        <w:t xml:space="preserve"> au însumat în total 18,3 </w:t>
      </w:r>
      <w:proofErr w:type="spellStart"/>
      <w:r w:rsidR="005A209E" w:rsidRPr="00975002">
        <w:rPr>
          <w:rFonts w:ascii="Times New Roman" w:hAnsi="Times New Roman" w:cs="Times New Roman"/>
          <w:sz w:val="28"/>
          <w:szCs w:val="28"/>
        </w:rPr>
        <w:t>mlrd.lei</w:t>
      </w:r>
      <w:proofErr w:type="spellEnd"/>
      <w:r w:rsidR="005A209E" w:rsidRPr="00975002">
        <w:rPr>
          <w:rFonts w:ascii="Times New Roman" w:hAnsi="Times New Roman" w:cs="Times New Roman"/>
          <w:sz w:val="28"/>
          <w:szCs w:val="28"/>
        </w:rPr>
        <w:t xml:space="preserve">, </w:t>
      </w:r>
      <w:r w:rsidRPr="00975002">
        <w:rPr>
          <w:rFonts w:ascii="Times New Roman" w:hAnsi="Times New Roman" w:cs="Times New Roman"/>
          <w:sz w:val="28"/>
          <w:szCs w:val="28"/>
        </w:rPr>
        <w:t xml:space="preserve">care </w:t>
      </w:r>
      <w:r w:rsidR="005A209E" w:rsidRPr="00975002">
        <w:rPr>
          <w:rFonts w:ascii="Times New Roman" w:hAnsi="Times New Roman" w:cs="Times New Roman"/>
          <w:sz w:val="28"/>
          <w:szCs w:val="28"/>
        </w:rPr>
        <w:t>ulterior</w:t>
      </w:r>
      <w:r w:rsidRPr="00975002">
        <w:rPr>
          <w:rFonts w:ascii="Times New Roman" w:hAnsi="Times New Roman" w:cs="Times New Roman"/>
          <w:sz w:val="28"/>
          <w:szCs w:val="28"/>
        </w:rPr>
        <w:t>,</w:t>
      </w:r>
      <w:r w:rsidR="005A209E" w:rsidRPr="00975002">
        <w:rPr>
          <w:rFonts w:ascii="Times New Roman" w:hAnsi="Times New Roman" w:cs="Times New Roman"/>
          <w:sz w:val="28"/>
          <w:szCs w:val="28"/>
        </w:rPr>
        <w:t xml:space="preserve"> pe parcursul anului</w:t>
      </w:r>
      <w:r w:rsidRPr="00975002">
        <w:rPr>
          <w:rFonts w:ascii="Times New Roman" w:hAnsi="Times New Roman" w:cs="Times New Roman"/>
          <w:sz w:val="28"/>
          <w:szCs w:val="28"/>
        </w:rPr>
        <w:t>,</w:t>
      </w:r>
      <w:r w:rsidR="005A209E" w:rsidRPr="00975002">
        <w:rPr>
          <w:rFonts w:ascii="Times New Roman" w:hAnsi="Times New Roman" w:cs="Times New Roman"/>
          <w:sz w:val="28"/>
          <w:szCs w:val="28"/>
        </w:rPr>
        <w:t xml:space="preserve"> au fost modificate/precizate de către MF </w:t>
      </w:r>
      <w:r w:rsidRPr="00975002">
        <w:rPr>
          <w:rFonts w:ascii="Times New Roman" w:hAnsi="Times New Roman" w:cs="Times New Roman"/>
          <w:sz w:val="28"/>
          <w:szCs w:val="28"/>
        </w:rPr>
        <w:t>cu</w:t>
      </w:r>
      <w:r w:rsidR="005A209E" w:rsidRPr="00975002">
        <w:rPr>
          <w:rFonts w:ascii="Times New Roman" w:hAnsi="Times New Roman" w:cs="Times New Roman"/>
          <w:sz w:val="28"/>
          <w:szCs w:val="28"/>
        </w:rPr>
        <w:t xml:space="preserve"> sum</w:t>
      </w:r>
      <w:r w:rsidRPr="00975002">
        <w:rPr>
          <w:rFonts w:ascii="Times New Roman" w:hAnsi="Times New Roman" w:cs="Times New Roman"/>
          <w:sz w:val="28"/>
          <w:szCs w:val="28"/>
        </w:rPr>
        <w:t>a</w:t>
      </w:r>
      <w:r w:rsidR="005A209E" w:rsidRPr="00975002">
        <w:rPr>
          <w:rFonts w:ascii="Times New Roman" w:hAnsi="Times New Roman" w:cs="Times New Roman"/>
          <w:sz w:val="28"/>
          <w:szCs w:val="28"/>
        </w:rPr>
        <w:t xml:space="preserve"> de 20</w:t>
      </w:r>
      <w:r w:rsidRPr="00975002">
        <w:rPr>
          <w:rFonts w:ascii="Times New Roman" w:hAnsi="Times New Roman" w:cs="Times New Roman"/>
          <w:sz w:val="28"/>
          <w:szCs w:val="28"/>
        </w:rPr>
        <w:t>,0</w:t>
      </w:r>
      <w:r w:rsidR="005A209E" w:rsidRPr="00975002">
        <w:rPr>
          <w:rFonts w:ascii="Times New Roman" w:hAnsi="Times New Roman" w:cs="Times New Roman"/>
          <w:sz w:val="28"/>
          <w:szCs w:val="28"/>
        </w:rPr>
        <w:t xml:space="preserve"> </w:t>
      </w:r>
      <w:proofErr w:type="spellStart"/>
      <w:r w:rsidR="005A209E" w:rsidRPr="00975002">
        <w:rPr>
          <w:rFonts w:ascii="Times New Roman" w:hAnsi="Times New Roman" w:cs="Times New Roman"/>
          <w:sz w:val="28"/>
          <w:szCs w:val="28"/>
        </w:rPr>
        <w:t>mlrd.lei</w:t>
      </w:r>
      <w:proofErr w:type="spellEnd"/>
      <w:r w:rsidR="005A209E" w:rsidRPr="00975002">
        <w:rPr>
          <w:rFonts w:ascii="Times New Roman" w:hAnsi="Times New Roman" w:cs="Times New Roman"/>
          <w:sz w:val="28"/>
          <w:szCs w:val="28"/>
        </w:rPr>
        <w:t>, gradul</w:t>
      </w:r>
      <w:r w:rsidR="00975002" w:rsidRPr="00975002">
        <w:rPr>
          <w:rFonts w:ascii="Times New Roman" w:hAnsi="Times New Roman" w:cs="Times New Roman"/>
          <w:sz w:val="28"/>
          <w:szCs w:val="28"/>
        </w:rPr>
        <w:t xml:space="preserve"> de modificare constit</w:t>
      </w:r>
      <w:r w:rsidR="005A209E" w:rsidRPr="00975002">
        <w:rPr>
          <w:rFonts w:ascii="Times New Roman" w:hAnsi="Times New Roman" w:cs="Times New Roman"/>
          <w:sz w:val="28"/>
          <w:szCs w:val="28"/>
        </w:rPr>
        <w:t>u</w:t>
      </w:r>
      <w:r w:rsidR="00975002" w:rsidRPr="00975002">
        <w:rPr>
          <w:rFonts w:ascii="Times New Roman" w:hAnsi="Times New Roman" w:cs="Times New Roman"/>
          <w:sz w:val="28"/>
          <w:szCs w:val="28"/>
        </w:rPr>
        <w:t>i</w:t>
      </w:r>
      <w:r w:rsidR="005A209E" w:rsidRPr="00975002">
        <w:rPr>
          <w:rFonts w:ascii="Times New Roman" w:hAnsi="Times New Roman" w:cs="Times New Roman"/>
          <w:sz w:val="28"/>
          <w:szCs w:val="28"/>
        </w:rPr>
        <w:t xml:space="preserve">nd 7,9 %. Totodată, nivelul de executare a veniturilor vamale în anul 2017 a constituit 20,4 </w:t>
      </w:r>
      <w:proofErr w:type="spellStart"/>
      <w:r w:rsidR="005A209E" w:rsidRPr="00975002">
        <w:rPr>
          <w:rFonts w:ascii="Times New Roman" w:hAnsi="Times New Roman" w:cs="Times New Roman"/>
          <w:sz w:val="28"/>
          <w:szCs w:val="28"/>
        </w:rPr>
        <w:t>mlrd.lei</w:t>
      </w:r>
      <w:proofErr w:type="spellEnd"/>
      <w:r w:rsidR="005A209E" w:rsidRPr="00975002">
        <w:rPr>
          <w:rFonts w:ascii="Times New Roman" w:hAnsi="Times New Roman" w:cs="Times New Roman"/>
          <w:sz w:val="28"/>
          <w:szCs w:val="28"/>
        </w:rPr>
        <w:t>,</w:t>
      </w:r>
      <w:r w:rsidR="008A2D27" w:rsidRPr="00975002">
        <w:rPr>
          <w:rFonts w:ascii="Times New Roman" w:hAnsi="Times New Roman" w:cs="Times New Roman"/>
          <w:sz w:val="28"/>
          <w:szCs w:val="28"/>
        </w:rPr>
        <w:t xml:space="preserve"> </w:t>
      </w:r>
      <w:r w:rsidRPr="00975002">
        <w:rPr>
          <w:rFonts w:ascii="Times New Roman" w:hAnsi="Times New Roman" w:cs="Times New Roman"/>
          <w:sz w:val="28"/>
          <w:szCs w:val="28"/>
        </w:rPr>
        <w:t>sau</w:t>
      </w:r>
      <w:r w:rsidR="008A2D27" w:rsidRPr="00975002">
        <w:rPr>
          <w:rFonts w:ascii="Times New Roman" w:hAnsi="Times New Roman" w:cs="Times New Roman"/>
          <w:sz w:val="28"/>
          <w:szCs w:val="28"/>
        </w:rPr>
        <w:t xml:space="preserve"> cu 1,8 </w:t>
      </w:r>
      <w:proofErr w:type="spellStart"/>
      <w:r w:rsidR="008A2D27" w:rsidRPr="00975002">
        <w:rPr>
          <w:rFonts w:ascii="Times New Roman" w:hAnsi="Times New Roman" w:cs="Times New Roman"/>
          <w:sz w:val="28"/>
          <w:szCs w:val="28"/>
        </w:rPr>
        <w:t>mlrd.lei</w:t>
      </w:r>
      <w:proofErr w:type="spellEnd"/>
      <w:r w:rsidR="008A2D27" w:rsidRPr="00975002">
        <w:rPr>
          <w:rFonts w:ascii="Times New Roman" w:hAnsi="Times New Roman" w:cs="Times New Roman"/>
          <w:sz w:val="28"/>
          <w:szCs w:val="28"/>
        </w:rPr>
        <w:t xml:space="preserve"> mai mult față de estimările aprobate și cu 0,4 </w:t>
      </w:r>
      <w:proofErr w:type="spellStart"/>
      <w:r w:rsidR="008A2D27" w:rsidRPr="00975002">
        <w:rPr>
          <w:rFonts w:ascii="Times New Roman" w:hAnsi="Times New Roman" w:cs="Times New Roman"/>
          <w:sz w:val="28"/>
          <w:szCs w:val="28"/>
        </w:rPr>
        <w:t>mlrd.lei</w:t>
      </w:r>
      <w:proofErr w:type="spellEnd"/>
      <w:r w:rsidR="008A2D27" w:rsidRPr="00975002">
        <w:rPr>
          <w:rFonts w:ascii="Times New Roman" w:hAnsi="Times New Roman" w:cs="Times New Roman"/>
          <w:sz w:val="28"/>
          <w:szCs w:val="28"/>
        </w:rPr>
        <w:t xml:space="preserve"> mai mult față de estimările precizate.</w:t>
      </w:r>
    </w:p>
    <w:p w:rsidR="005A209E" w:rsidRDefault="005A209E" w:rsidP="008A2D27">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Situații analogice care </w:t>
      </w:r>
      <w:r w:rsidR="008A2D27">
        <w:rPr>
          <w:rFonts w:ascii="Times New Roman" w:hAnsi="Times New Roman" w:cs="Times New Roman"/>
          <w:sz w:val="28"/>
          <w:szCs w:val="28"/>
        </w:rPr>
        <w:t>denotă</w:t>
      </w:r>
      <w:r>
        <w:rPr>
          <w:rFonts w:ascii="Times New Roman" w:hAnsi="Times New Roman" w:cs="Times New Roman"/>
          <w:sz w:val="28"/>
          <w:szCs w:val="28"/>
        </w:rPr>
        <w:t xml:space="preserve"> rezerve în fundamentarea veniturilor fiscale </w:t>
      </w:r>
      <w:r w:rsidR="008A2D27">
        <w:rPr>
          <w:rFonts w:ascii="Times New Roman" w:hAnsi="Times New Roman" w:cs="Times New Roman"/>
          <w:sz w:val="28"/>
          <w:szCs w:val="28"/>
        </w:rPr>
        <w:t xml:space="preserve">și vamale </w:t>
      </w:r>
      <w:r>
        <w:rPr>
          <w:rFonts w:ascii="Times New Roman" w:hAnsi="Times New Roman" w:cs="Times New Roman"/>
          <w:sz w:val="28"/>
          <w:szCs w:val="28"/>
        </w:rPr>
        <w:t xml:space="preserve">se </w:t>
      </w:r>
      <w:r w:rsidR="000C443F">
        <w:rPr>
          <w:rFonts w:ascii="Times New Roman" w:hAnsi="Times New Roman" w:cs="Times New Roman"/>
          <w:sz w:val="28"/>
          <w:szCs w:val="28"/>
        </w:rPr>
        <w:t>atestă</w:t>
      </w:r>
      <w:r>
        <w:rPr>
          <w:rFonts w:ascii="Times New Roman" w:hAnsi="Times New Roman" w:cs="Times New Roman"/>
          <w:sz w:val="28"/>
          <w:szCs w:val="28"/>
        </w:rPr>
        <w:t xml:space="preserve"> și în </w:t>
      </w:r>
      <w:r w:rsidR="000C443F">
        <w:rPr>
          <w:rFonts w:ascii="Times New Roman" w:hAnsi="Times New Roman" w:cs="Times New Roman"/>
          <w:sz w:val="28"/>
          <w:szCs w:val="28"/>
        </w:rPr>
        <w:t>anii</w:t>
      </w:r>
      <w:r>
        <w:rPr>
          <w:rFonts w:ascii="Times New Roman" w:hAnsi="Times New Roman" w:cs="Times New Roman"/>
          <w:sz w:val="28"/>
          <w:szCs w:val="28"/>
        </w:rPr>
        <w:t xml:space="preserve"> 2015-2016.</w:t>
      </w:r>
    </w:p>
    <w:p w:rsidR="00385FE6" w:rsidRPr="001D0846" w:rsidRDefault="00BE46F1" w:rsidP="008A2D27">
      <w:pPr>
        <w:spacing w:after="0" w:line="276" w:lineRule="auto"/>
        <w:ind w:firstLine="720"/>
        <w:jc w:val="both"/>
        <w:rPr>
          <w:rFonts w:ascii="Times New Roman" w:hAnsi="Times New Roman" w:cs="Times New Roman"/>
          <w:spacing w:val="3"/>
          <w:sz w:val="28"/>
          <w:szCs w:val="28"/>
        </w:rPr>
      </w:pPr>
      <w:r w:rsidRPr="001D0846">
        <w:rPr>
          <w:rFonts w:ascii="Times New Roman" w:hAnsi="Times New Roman" w:cs="Times New Roman"/>
          <w:sz w:val="28"/>
          <w:szCs w:val="28"/>
          <w:lang w:val="ro-MD"/>
        </w:rPr>
        <w:t>Totodată, auditul menționează că la elaborarea estimărilor</w:t>
      </w:r>
      <w:r w:rsidR="008A2D27">
        <w:rPr>
          <w:rFonts w:ascii="Times New Roman" w:hAnsi="Times New Roman" w:cs="Times New Roman"/>
          <w:sz w:val="28"/>
          <w:szCs w:val="28"/>
          <w:lang w:val="ro-MD"/>
        </w:rPr>
        <w:t>/prognozelor</w:t>
      </w:r>
      <w:r w:rsidRPr="001D0846">
        <w:rPr>
          <w:rFonts w:ascii="Times New Roman" w:hAnsi="Times New Roman" w:cs="Times New Roman"/>
          <w:sz w:val="28"/>
          <w:szCs w:val="28"/>
          <w:lang w:val="ro-MD"/>
        </w:rPr>
        <w:t xml:space="preserve"> bugetare privind încasările de venituri pe tipuri de impozite și taxe nu se iau în considera</w:t>
      </w:r>
      <w:r w:rsidR="000C443F">
        <w:rPr>
          <w:rFonts w:ascii="Times New Roman" w:hAnsi="Times New Roman" w:cs="Times New Roman"/>
          <w:sz w:val="28"/>
          <w:szCs w:val="28"/>
          <w:lang w:val="ro-MD"/>
        </w:rPr>
        <w:t>ție</w:t>
      </w:r>
      <w:r w:rsidRPr="001D0846">
        <w:rPr>
          <w:rFonts w:ascii="Times New Roman" w:hAnsi="Times New Roman" w:cs="Times New Roman"/>
          <w:sz w:val="28"/>
          <w:szCs w:val="28"/>
          <w:lang w:val="ro-MD"/>
        </w:rPr>
        <w:t xml:space="preserve"> unii factori care ar putea influența sarcina de colectare a veniturilor bugetare (gradul de conformare voluntară la achitarea impozitelor și taxelor)</w:t>
      </w:r>
      <w:r w:rsidR="000C443F">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din lipsa mecanism</w:t>
      </w:r>
      <w:r w:rsidR="008A2D27">
        <w:rPr>
          <w:rFonts w:ascii="Times New Roman" w:hAnsi="Times New Roman" w:cs="Times New Roman"/>
          <w:sz w:val="28"/>
          <w:szCs w:val="28"/>
          <w:lang w:val="ro-MD"/>
        </w:rPr>
        <w:t>ului</w:t>
      </w:r>
      <w:r w:rsidRPr="001D0846">
        <w:rPr>
          <w:rFonts w:ascii="Times New Roman" w:hAnsi="Times New Roman" w:cs="Times New Roman"/>
          <w:sz w:val="28"/>
          <w:szCs w:val="28"/>
          <w:lang w:val="ro-MD"/>
        </w:rPr>
        <w:t xml:space="preserve"> de prognozare. În viziunea auditului, indicator</w:t>
      </w:r>
      <w:r w:rsidR="008A2D27">
        <w:rPr>
          <w:rFonts w:ascii="Times New Roman" w:hAnsi="Times New Roman" w:cs="Times New Roman"/>
          <w:sz w:val="28"/>
          <w:szCs w:val="28"/>
          <w:lang w:val="ro-MD"/>
        </w:rPr>
        <w:t>ul respectiv</w:t>
      </w:r>
      <w:r w:rsidRPr="001D0846">
        <w:rPr>
          <w:rFonts w:ascii="Times New Roman" w:hAnsi="Times New Roman" w:cs="Times New Roman"/>
          <w:sz w:val="28"/>
          <w:szCs w:val="28"/>
          <w:lang w:val="ro-MD"/>
        </w:rPr>
        <w:t xml:space="preserve"> </w:t>
      </w:r>
      <w:r w:rsidR="008A2D27">
        <w:rPr>
          <w:rFonts w:ascii="Times New Roman" w:hAnsi="Times New Roman" w:cs="Times New Roman"/>
          <w:sz w:val="28"/>
          <w:szCs w:val="28"/>
          <w:lang w:val="ro-MD"/>
        </w:rPr>
        <w:t>are</w:t>
      </w:r>
      <w:r w:rsidRPr="001D0846">
        <w:rPr>
          <w:rFonts w:ascii="Times New Roman" w:hAnsi="Times New Roman" w:cs="Times New Roman"/>
          <w:sz w:val="28"/>
          <w:szCs w:val="28"/>
          <w:lang w:val="ro-MD"/>
        </w:rPr>
        <w:t xml:space="preserve"> un impact major asupra sarcinii </w:t>
      </w:r>
      <w:r w:rsidRPr="001D0846">
        <w:rPr>
          <w:rFonts w:ascii="Times New Roman" w:hAnsi="Times New Roman" w:cs="Times New Roman"/>
          <w:spacing w:val="3"/>
          <w:sz w:val="28"/>
          <w:szCs w:val="28"/>
          <w:lang w:val="ro-MD"/>
        </w:rPr>
        <w:t>de colectare</w:t>
      </w:r>
      <w:r w:rsidRPr="001D0846">
        <w:rPr>
          <w:rFonts w:ascii="Times New Roman" w:hAnsi="Times New Roman" w:cs="Times New Roman"/>
          <w:spacing w:val="3"/>
          <w:sz w:val="28"/>
          <w:szCs w:val="28"/>
        </w:rPr>
        <w:t xml:space="preserve"> a veniturilor la BPN, urmând a fi întreprinse măsuri în vederea elaborării unor estimări cuantificabile, </w:t>
      </w:r>
      <w:r w:rsidR="0014035B">
        <w:rPr>
          <w:rFonts w:ascii="Times New Roman" w:hAnsi="Times New Roman" w:cs="Times New Roman"/>
          <w:spacing w:val="3"/>
          <w:sz w:val="28"/>
          <w:szCs w:val="28"/>
        </w:rPr>
        <w:t xml:space="preserve">care se vor </w:t>
      </w:r>
      <w:r w:rsidRPr="001D0846">
        <w:rPr>
          <w:rFonts w:ascii="Times New Roman" w:hAnsi="Times New Roman" w:cs="Times New Roman"/>
          <w:spacing w:val="3"/>
          <w:sz w:val="28"/>
          <w:szCs w:val="28"/>
        </w:rPr>
        <w:t>lua în calcul la elaborarea prognozelor de venituri.</w:t>
      </w:r>
    </w:p>
    <w:p w:rsidR="008A2D27" w:rsidRDefault="008A2D27" w:rsidP="008A2D27">
      <w:pPr>
        <w:pStyle w:val="1"/>
        <w:spacing w:before="0" w:line="276" w:lineRule="auto"/>
        <w:jc w:val="both"/>
        <w:rPr>
          <w:rFonts w:ascii="Times New Roman" w:hAnsi="Times New Roman" w:cs="Times New Roman"/>
          <w:b/>
          <w:color w:val="auto"/>
          <w:sz w:val="28"/>
          <w:szCs w:val="28"/>
        </w:rPr>
      </w:pPr>
    </w:p>
    <w:p w:rsidR="00DD4561" w:rsidRPr="00C77119" w:rsidRDefault="00BC0C40" w:rsidP="003C4B9E">
      <w:pPr>
        <w:pStyle w:val="1"/>
        <w:spacing w:before="0" w:line="276" w:lineRule="auto"/>
        <w:jc w:val="both"/>
        <w:rPr>
          <w:rFonts w:ascii="Times New Roman" w:hAnsi="Times New Roman" w:cs="Times New Roman"/>
          <w:b/>
          <w:color w:val="auto"/>
          <w:sz w:val="28"/>
          <w:szCs w:val="28"/>
        </w:rPr>
      </w:pPr>
      <w:bookmarkStart w:id="11" w:name="_Toc515894889"/>
      <w:r w:rsidRPr="00C77119">
        <w:rPr>
          <w:rFonts w:ascii="Times New Roman" w:hAnsi="Times New Roman" w:cs="Times New Roman"/>
          <w:b/>
          <w:color w:val="auto"/>
          <w:sz w:val="28"/>
          <w:szCs w:val="28"/>
        </w:rPr>
        <w:t>3</w:t>
      </w:r>
      <w:r w:rsidR="00C947DA" w:rsidRPr="00C77119">
        <w:rPr>
          <w:rFonts w:ascii="Times New Roman" w:hAnsi="Times New Roman" w:cs="Times New Roman"/>
          <w:b/>
          <w:color w:val="auto"/>
          <w:sz w:val="28"/>
          <w:szCs w:val="28"/>
        </w:rPr>
        <w:t>.3</w:t>
      </w:r>
      <w:r w:rsidR="008C1007" w:rsidRPr="00C77119">
        <w:rPr>
          <w:rFonts w:ascii="Times New Roman" w:hAnsi="Times New Roman" w:cs="Times New Roman"/>
          <w:b/>
          <w:color w:val="auto"/>
          <w:sz w:val="28"/>
          <w:szCs w:val="28"/>
        </w:rPr>
        <w:t>.</w:t>
      </w:r>
      <w:r w:rsidR="00DD4561" w:rsidRPr="00C77119">
        <w:rPr>
          <w:rFonts w:ascii="Times New Roman" w:hAnsi="Times New Roman" w:cs="Times New Roman"/>
          <w:b/>
          <w:color w:val="auto"/>
          <w:sz w:val="28"/>
          <w:szCs w:val="28"/>
        </w:rPr>
        <w:t xml:space="preserve"> Realizarea sarcinii de c</w:t>
      </w:r>
      <w:r w:rsidR="008C1007" w:rsidRPr="00C77119">
        <w:rPr>
          <w:rFonts w:ascii="Times New Roman" w:hAnsi="Times New Roman" w:cs="Times New Roman"/>
          <w:b/>
          <w:color w:val="auto"/>
          <w:sz w:val="28"/>
          <w:szCs w:val="28"/>
        </w:rPr>
        <w:t xml:space="preserve">olectare </w:t>
      </w:r>
      <w:r w:rsidR="00DD4561" w:rsidRPr="00C77119">
        <w:rPr>
          <w:rFonts w:ascii="Times New Roman" w:hAnsi="Times New Roman" w:cs="Times New Roman"/>
          <w:b/>
          <w:color w:val="auto"/>
          <w:sz w:val="28"/>
          <w:szCs w:val="28"/>
        </w:rPr>
        <w:t xml:space="preserve">a veniturilor la BPN </w:t>
      </w:r>
      <w:r w:rsidR="00AF240A" w:rsidRPr="00C77119">
        <w:rPr>
          <w:rFonts w:ascii="Times New Roman" w:hAnsi="Times New Roman" w:cs="Times New Roman"/>
          <w:b/>
          <w:color w:val="auto"/>
          <w:sz w:val="28"/>
          <w:szCs w:val="28"/>
        </w:rPr>
        <w:t xml:space="preserve">de către </w:t>
      </w:r>
      <w:r w:rsidR="003C4B9E">
        <w:rPr>
          <w:rFonts w:ascii="Times New Roman" w:hAnsi="Times New Roman" w:cs="Times New Roman"/>
          <w:b/>
          <w:color w:val="auto"/>
          <w:sz w:val="28"/>
          <w:szCs w:val="28"/>
        </w:rPr>
        <w:t>SFS și SV</w:t>
      </w:r>
      <w:r w:rsidR="00AF240A" w:rsidRPr="00C77119">
        <w:rPr>
          <w:rFonts w:ascii="Times New Roman" w:hAnsi="Times New Roman" w:cs="Times New Roman"/>
          <w:b/>
          <w:color w:val="auto"/>
          <w:sz w:val="28"/>
          <w:szCs w:val="28"/>
        </w:rPr>
        <w:t>.</w:t>
      </w:r>
      <w:bookmarkEnd w:id="11"/>
    </w:p>
    <w:p w:rsidR="006151D1" w:rsidRPr="006B66CF" w:rsidRDefault="008C1007" w:rsidP="006B66CF">
      <w:pPr>
        <w:spacing w:after="0" w:line="276" w:lineRule="auto"/>
        <w:ind w:firstLine="720"/>
        <w:jc w:val="both"/>
        <w:rPr>
          <w:rFonts w:ascii="Times New Roman" w:hAnsi="Times New Roman" w:cs="Times New Roman"/>
          <w:bCs/>
          <w:i/>
          <w:sz w:val="28"/>
          <w:szCs w:val="28"/>
          <w:lang w:val="ro-MD" w:eastAsia="ro-RO"/>
        </w:rPr>
      </w:pPr>
      <w:r w:rsidRPr="001D0846">
        <w:rPr>
          <w:rFonts w:ascii="Times New Roman" w:hAnsi="Times New Roman" w:cs="Times New Roman"/>
          <w:i/>
          <w:sz w:val="28"/>
          <w:szCs w:val="28"/>
          <w:lang w:val="ro-MD"/>
        </w:rPr>
        <w:t>Asigurarea părții de venituri la BPN, realizată prin exercitarea atribuțiilor de administrare fiscală și vamală, reprezintă unul din</w:t>
      </w:r>
      <w:r w:rsidR="0014035B">
        <w:rPr>
          <w:rFonts w:ascii="Times New Roman" w:hAnsi="Times New Roman" w:cs="Times New Roman"/>
          <w:i/>
          <w:sz w:val="28"/>
          <w:szCs w:val="28"/>
          <w:lang w:val="ro-MD"/>
        </w:rPr>
        <w:t>tre</w:t>
      </w:r>
      <w:r w:rsidRPr="001D0846">
        <w:rPr>
          <w:rFonts w:ascii="Times New Roman" w:hAnsi="Times New Roman" w:cs="Times New Roman"/>
          <w:i/>
          <w:sz w:val="28"/>
          <w:szCs w:val="28"/>
          <w:lang w:val="ro-MD"/>
        </w:rPr>
        <w:t xml:space="preserve"> obiectivele fundamentale ale </w:t>
      </w:r>
      <w:r w:rsidRPr="001D0846">
        <w:rPr>
          <w:rFonts w:ascii="Times New Roman" w:hAnsi="Times New Roman" w:cs="Times New Roman"/>
          <w:bCs/>
          <w:i/>
          <w:sz w:val="28"/>
          <w:szCs w:val="28"/>
          <w:lang w:val="ro-MD" w:eastAsia="ro-RO"/>
        </w:rPr>
        <w:t>SFS și SV</w:t>
      </w:r>
      <w:r w:rsidR="0014035B">
        <w:rPr>
          <w:rFonts w:ascii="Times New Roman" w:hAnsi="Times New Roman" w:cs="Times New Roman"/>
          <w:bCs/>
          <w:i/>
          <w:sz w:val="28"/>
          <w:szCs w:val="28"/>
          <w:lang w:val="ro-MD" w:eastAsia="ro-RO"/>
        </w:rPr>
        <w:t>,</w:t>
      </w:r>
      <w:r w:rsidRPr="001D0846">
        <w:rPr>
          <w:rFonts w:ascii="Times New Roman" w:hAnsi="Times New Roman" w:cs="Times New Roman"/>
          <w:bCs/>
          <w:i/>
          <w:sz w:val="28"/>
          <w:szCs w:val="28"/>
          <w:lang w:val="ro-MD" w:eastAsia="ro-RO"/>
        </w:rPr>
        <w:t xml:space="preserve"> care derivă din documentele de politici naționale în domeniu. În vederea realizării acestui deziderat strategic, organele fiscale și </w:t>
      </w:r>
      <w:r w:rsidR="0014035B">
        <w:rPr>
          <w:rFonts w:ascii="Times New Roman" w:hAnsi="Times New Roman" w:cs="Times New Roman"/>
          <w:bCs/>
          <w:i/>
          <w:sz w:val="28"/>
          <w:szCs w:val="28"/>
          <w:lang w:val="ro-MD" w:eastAsia="ro-RO"/>
        </w:rPr>
        <w:t xml:space="preserve">cele </w:t>
      </w:r>
      <w:r w:rsidRPr="001D0846">
        <w:rPr>
          <w:rFonts w:ascii="Times New Roman" w:hAnsi="Times New Roman" w:cs="Times New Roman"/>
          <w:bCs/>
          <w:i/>
          <w:sz w:val="28"/>
          <w:szCs w:val="28"/>
          <w:lang w:val="ro-MD" w:eastAsia="ro-RO"/>
        </w:rPr>
        <w:t xml:space="preserve">vamale urmau să asigure mobilizarea eforturilor și a capacităților instituționale în vederea atingerii performanțelor în administrarea </w:t>
      </w:r>
      <w:r w:rsidRPr="00975002">
        <w:rPr>
          <w:rFonts w:ascii="Times New Roman" w:hAnsi="Times New Roman" w:cs="Times New Roman"/>
          <w:bCs/>
          <w:i/>
          <w:sz w:val="28"/>
          <w:szCs w:val="28"/>
          <w:lang w:val="ro-MD" w:eastAsia="ro-RO"/>
        </w:rPr>
        <w:t xml:space="preserve">impozitelor și taxelor, asigurând colectarea maximă a veniturilor bugetare. Deși sarcina de </w:t>
      </w:r>
      <w:r w:rsidR="00555B62" w:rsidRPr="00975002">
        <w:rPr>
          <w:rFonts w:ascii="Times New Roman" w:hAnsi="Times New Roman" w:cs="Times New Roman"/>
          <w:bCs/>
          <w:i/>
          <w:sz w:val="28"/>
          <w:szCs w:val="28"/>
          <w:lang w:val="ro-MD" w:eastAsia="ro-RO"/>
        </w:rPr>
        <w:t xml:space="preserve">colectare a </w:t>
      </w:r>
      <w:r w:rsidRPr="00975002">
        <w:rPr>
          <w:rFonts w:ascii="Times New Roman" w:hAnsi="Times New Roman" w:cs="Times New Roman"/>
          <w:bCs/>
          <w:i/>
          <w:sz w:val="28"/>
          <w:szCs w:val="28"/>
          <w:lang w:val="ro-MD" w:eastAsia="ro-RO"/>
        </w:rPr>
        <w:t>venituri</w:t>
      </w:r>
      <w:r w:rsidR="00555B62" w:rsidRPr="00975002">
        <w:rPr>
          <w:rFonts w:ascii="Times New Roman" w:hAnsi="Times New Roman" w:cs="Times New Roman"/>
          <w:bCs/>
          <w:i/>
          <w:sz w:val="28"/>
          <w:szCs w:val="28"/>
          <w:lang w:val="ro-MD" w:eastAsia="ro-RO"/>
        </w:rPr>
        <w:t>lor</w:t>
      </w:r>
      <w:r w:rsidRPr="00975002">
        <w:rPr>
          <w:rFonts w:ascii="Times New Roman" w:hAnsi="Times New Roman" w:cs="Times New Roman"/>
          <w:bCs/>
          <w:i/>
          <w:sz w:val="28"/>
          <w:szCs w:val="28"/>
          <w:lang w:val="ro-MD" w:eastAsia="ro-RO"/>
        </w:rPr>
        <w:t xml:space="preserve"> la BPN, per ansamblu, a fost realizată integral de către organele fiscale</w:t>
      </w:r>
      <w:r w:rsidRPr="001D0846">
        <w:rPr>
          <w:rFonts w:ascii="Times New Roman" w:hAnsi="Times New Roman" w:cs="Times New Roman"/>
          <w:bCs/>
          <w:i/>
          <w:sz w:val="28"/>
          <w:szCs w:val="28"/>
          <w:lang w:val="ro-MD" w:eastAsia="ro-RO"/>
        </w:rPr>
        <w:t xml:space="preserve"> și vamale, stabilindu-se concomitent și unele tendințe pozitive de majorare a venituril</w:t>
      </w:r>
      <w:r w:rsidR="00CF60B0" w:rsidRPr="001D0846">
        <w:rPr>
          <w:rFonts w:ascii="Times New Roman" w:hAnsi="Times New Roman" w:cs="Times New Roman"/>
          <w:bCs/>
          <w:i/>
          <w:sz w:val="28"/>
          <w:szCs w:val="28"/>
          <w:lang w:val="ro-MD" w:eastAsia="ro-RO"/>
        </w:rPr>
        <w:t>or bugetare</w:t>
      </w:r>
      <w:r w:rsidR="006B66CF">
        <w:rPr>
          <w:rFonts w:ascii="Times New Roman" w:hAnsi="Times New Roman" w:cs="Times New Roman"/>
          <w:bCs/>
          <w:i/>
          <w:sz w:val="28"/>
          <w:szCs w:val="28"/>
          <w:lang w:val="ro-MD" w:eastAsia="ro-RO"/>
        </w:rPr>
        <w:t xml:space="preserve">, </w:t>
      </w:r>
      <w:r w:rsidRPr="001D0846">
        <w:rPr>
          <w:rFonts w:ascii="Times New Roman" w:hAnsi="Times New Roman" w:cs="Times New Roman"/>
          <w:bCs/>
          <w:i/>
          <w:sz w:val="28"/>
          <w:szCs w:val="28"/>
          <w:lang w:val="ro-MD" w:eastAsia="ro-RO"/>
        </w:rPr>
        <w:t>audit</w:t>
      </w:r>
      <w:r w:rsidR="0014035B">
        <w:rPr>
          <w:rFonts w:ascii="Times New Roman" w:hAnsi="Times New Roman" w:cs="Times New Roman"/>
          <w:bCs/>
          <w:i/>
          <w:sz w:val="28"/>
          <w:szCs w:val="28"/>
          <w:lang w:val="ro-MD" w:eastAsia="ro-RO"/>
        </w:rPr>
        <w:t xml:space="preserve">ul </w:t>
      </w:r>
      <w:r w:rsidRPr="001D0846">
        <w:rPr>
          <w:rFonts w:ascii="Times New Roman" w:hAnsi="Times New Roman" w:cs="Times New Roman"/>
          <w:bCs/>
          <w:i/>
          <w:sz w:val="28"/>
          <w:szCs w:val="28"/>
          <w:lang w:val="ro-MD" w:eastAsia="ro-RO"/>
        </w:rPr>
        <w:t xml:space="preserve"> relevă unele problematici și vulnerabilități</w:t>
      </w:r>
      <w:r w:rsidR="0014035B">
        <w:rPr>
          <w:rFonts w:ascii="Times New Roman" w:hAnsi="Times New Roman" w:cs="Times New Roman"/>
          <w:bCs/>
          <w:i/>
          <w:sz w:val="28"/>
          <w:szCs w:val="28"/>
          <w:lang w:val="ro-MD" w:eastAsia="ro-RO"/>
        </w:rPr>
        <w:t>,</w:t>
      </w:r>
      <w:r w:rsidRPr="001D0846">
        <w:rPr>
          <w:rFonts w:ascii="Times New Roman" w:hAnsi="Times New Roman" w:cs="Times New Roman"/>
          <w:bCs/>
          <w:i/>
          <w:sz w:val="28"/>
          <w:szCs w:val="28"/>
          <w:lang w:val="ro-MD" w:eastAsia="ro-RO"/>
        </w:rPr>
        <w:t xml:space="preserve"> care</w:t>
      </w:r>
      <w:r w:rsidR="006B66CF">
        <w:rPr>
          <w:rFonts w:ascii="Times New Roman" w:hAnsi="Times New Roman" w:cs="Times New Roman"/>
          <w:bCs/>
          <w:i/>
          <w:sz w:val="28"/>
          <w:szCs w:val="28"/>
          <w:lang w:val="ro-MD" w:eastAsia="ro-RO"/>
        </w:rPr>
        <w:t xml:space="preserve"> </w:t>
      </w:r>
      <w:r w:rsidRPr="001D0846">
        <w:rPr>
          <w:rFonts w:ascii="Times New Roman" w:hAnsi="Times New Roman" w:cs="Times New Roman"/>
          <w:bCs/>
          <w:i/>
          <w:sz w:val="28"/>
          <w:szCs w:val="28"/>
          <w:lang w:val="ro-MD" w:eastAsia="ro-RO"/>
        </w:rPr>
        <w:t xml:space="preserve">limitează eficiența și eficacitatea administrării fiscale și vamale în colectarea impozitelor și taxelor. Astfel, modificările sarcinii bugetare anuale privind colectarea veniturilor, nerealizarea planului de încasări în aspectul unor impozite și taxe, ritmul </w:t>
      </w:r>
      <w:r w:rsidR="006B66CF">
        <w:rPr>
          <w:rFonts w:ascii="Times New Roman" w:hAnsi="Times New Roman" w:cs="Times New Roman"/>
          <w:bCs/>
          <w:i/>
          <w:sz w:val="28"/>
          <w:szCs w:val="28"/>
          <w:lang w:val="ro-MD" w:eastAsia="ro-RO"/>
        </w:rPr>
        <w:t>încetinit</w:t>
      </w:r>
      <w:r w:rsidRPr="001D0846">
        <w:rPr>
          <w:rFonts w:ascii="Times New Roman" w:hAnsi="Times New Roman" w:cs="Times New Roman"/>
          <w:bCs/>
          <w:i/>
          <w:sz w:val="28"/>
          <w:szCs w:val="28"/>
          <w:lang w:val="ro-MD" w:eastAsia="ro-RO"/>
        </w:rPr>
        <w:t xml:space="preserve"> de creștere a veniturilor colectate de SFS și SV</w:t>
      </w:r>
      <w:r w:rsidR="00DC52BD">
        <w:rPr>
          <w:rFonts w:ascii="Times New Roman" w:hAnsi="Times New Roman" w:cs="Times New Roman"/>
          <w:bCs/>
          <w:i/>
          <w:sz w:val="28"/>
          <w:szCs w:val="28"/>
          <w:lang w:val="ro-MD" w:eastAsia="ro-RO"/>
        </w:rPr>
        <w:t>,</w:t>
      </w:r>
      <w:r w:rsidRPr="001D0846">
        <w:rPr>
          <w:rFonts w:ascii="Times New Roman" w:hAnsi="Times New Roman" w:cs="Times New Roman"/>
          <w:bCs/>
          <w:i/>
          <w:sz w:val="28"/>
          <w:szCs w:val="28"/>
          <w:lang w:val="ro-MD" w:eastAsia="ro-RO"/>
        </w:rPr>
        <w:t xml:space="preserve"> raportat la evoluția PIB, </w:t>
      </w:r>
      <w:r w:rsidRPr="001D0846">
        <w:rPr>
          <w:rFonts w:ascii="Times New Roman" w:hAnsi="Times New Roman" w:cs="Times New Roman"/>
          <w:i/>
          <w:sz w:val="28"/>
          <w:szCs w:val="28"/>
          <w:lang w:val="ro-MD"/>
        </w:rPr>
        <w:t>modificările impredictibile în politica bugetar-fiscală pe parcursul anului</w:t>
      </w:r>
      <w:r w:rsidR="00DC52BD">
        <w:rPr>
          <w:rFonts w:ascii="Times New Roman" w:hAnsi="Times New Roman" w:cs="Times New Roman"/>
          <w:i/>
          <w:sz w:val="28"/>
          <w:szCs w:val="28"/>
          <w:lang w:val="ro-MD"/>
        </w:rPr>
        <w:t>,</w:t>
      </w:r>
      <w:r w:rsidRPr="001D0846">
        <w:rPr>
          <w:rFonts w:ascii="Times New Roman" w:hAnsi="Times New Roman" w:cs="Times New Roman"/>
          <w:i/>
          <w:sz w:val="28"/>
          <w:szCs w:val="28"/>
          <w:lang w:val="ro-MD"/>
        </w:rPr>
        <w:t xml:space="preserve"> care au majorat veniturile bugetare fără eforturi de administrare, gradul redus de conformare voluntară la declararea și plata obligației fiscale și vamale au avut </w:t>
      </w:r>
      <w:r w:rsidRPr="001D0846">
        <w:rPr>
          <w:rFonts w:ascii="Times New Roman" w:hAnsi="Times New Roman" w:cs="Times New Roman"/>
          <w:i/>
          <w:sz w:val="28"/>
          <w:szCs w:val="28"/>
          <w:lang w:val="ro-MD"/>
        </w:rPr>
        <w:lastRenderedPageBreak/>
        <w:t xml:space="preserve">impact asupra performanțelor administrării fiscale și vamale, generând o </w:t>
      </w:r>
      <w:proofErr w:type="spellStart"/>
      <w:r w:rsidRPr="001D0846">
        <w:rPr>
          <w:rFonts w:ascii="Times New Roman" w:hAnsi="Times New Roman" w:cs="Times New Roman"/>
          <w:i/>
          <w:sz w:val="28"/>
          <w:szCs w:val="28"/>
          <w:lang w:val="ro-MD"/>
        </w:rPr>
        <w:t>rezultativitate</w:t>
      </w:r>
      <w:proofErr w:type="spellEnd"/>
      <w:r w:rsidRPr="001D0846">
        <w:rPr>
          <w:rFonts w:ascii="Times New Roman" w:hAnsi="Times New Roman" w:cs="Times New Roman"/>
          <w:i/>
          <w:sz w:val="28"/>
          <w:szCs w:val="28"/>
          <w:lang w:val="ro-MD"/>
        </w:rPr>
        <w:t xml:space="preserve"> inferioară celei </w:t>
      </w:r>
      <w:r w:rsidR="00DC52BD">
        <w:rPr>
          <w:rFonts w:ascii="Times New Roman" w:hAnsi="Times New Roman" w:cs="Times New Roman"/>
          <w:i/>
          <w:sz w:val="28"/>
          <w:szCs w:val="28"/>
          <w:lang w:val="ro-MD"/>
        </w:rPr>
        <w:t>scontate</w:t>
      </w:r>
      <w:r w:rsidRPr="001D0846">
        <w:rPr>
          <w:rFonts w:ascii="Times New Roman" w:hAnsi="Times New Roman" w:cs="Times New Roman"/>
          <w:i/>
          <w:sz w:val="28"/>
          <w:szCs w:val="28"/>
          <w:lang w:val="ro-MD"/>
        </w:rPr>
        <w:t xml:space="preserve">. </w:t>
      </w:r>
    </w:p>
    <w:p w:rsidR="006B66CF" w:rsidRDefault="008C1007" w:rsidP="003128C6">
      <w:pPr>
        <w:spacing w:after="0" w:line="276" w:lineRule="auto"/>
        <w:ind w:firstLine="720"/>
        <w:jc w:val="both"/>
        <w:rPr>
          <w:rFonts w:ascii="Times New Roman" w:hAnsi="Times New Roman" w:cs="Times New Roman"/>
          <w:b/>
          <w:i/>
          <w:sz w:val="28"/>
          <w:szCs w:val="28"/>
          <w:lang w:val="ro-MD" w:eastAsia="ru-RU"/>
        </w:rPr>
      </w:pPr>
      <w:r w:rsidRPr="001D0846">
        <w:rPr>
          <w:rFonts w:ascii="Times New Roman" w:hAnsi="Times New Roman" w:cs="Times New Roman"/>
          <w:sz w:val="28"/>
          <w:szCs w:val="28"/>
          <w:lang w:val="ro-MD"/>
        </w:rPr>
        <w:t>În anul 2017</w:t>
      </w:r>
      <w:r w:rsidR="00DC52BD">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veniturile administrate de organele fiscale și vamale în totalul veniturilor BPN au constituit 50,3 </w:t>
      </w:r>
      <w:proofErr w:type="spellStart"/>
      <w:r w:rsidRPr="001D0846">
        <w:rPr>
          <w:rFonts w:ascii="Times New Roman" w:hAnsi="Times New Roman" w:cs="Times New Roman"/>
          <w:sz w:val="28"/>
          <w:szCs w:val="28"/>
          <w:lang w:val="ro-MD"/>
        </w:rPr>
        <w:t>ml</w:t>
      </w:r>
      <w:r w:rsidR="00DC52BD">
        <w:rPr>
          <w:rFonts w:ascii="Times New Roman" w:hAnsi="Times New Roman" w:cs="Times New Roman"/>
          <w:sz w:val="28"/>
          <w:szCs w:val="28"/>
          <w:lang w:val="ro-MD"/>
        </w:rPr>
        <w:t>r</w:t>
      </w:r>
      <w:r w:rsidRPr="001D0846">
        <w:rPr>
          <w:rFonts w:ascii="Times New Roman" w:hAnsi="Times New Roman" w:cs="Times New Roman"/>
          <w:sz w:val="28"/>
          <w:szCs w:val="28"/>
          <w:lang w:val="ro-MD"/>
        </w:rPr>
        <w:t>d</w:t>
      </w:r>
      <w:proofErr w:type="spellEnd"/>
      <w:r w:rsidRPr="001D0846">
        <w:rPr>
          <w:rFonts w:ascii="Times New Roman" w:hAnsi="Times New Roman" w:cs="Times New Roman"/>
          <w:sz w:val="28"/>
          <w:szCs w:val="28"/>
          <w:lang w:val="ro-MD"/>
        </w:rPr>
        <w:t xml:space="preserve">. lei (fără restituirea TVA), fiind în creștere cu 7,7 </w:t>
      </w:r>
      <w:proofErr w:type="spellStart"/>
      <w:r w:rsidRPr="001D0846">
        <w:rPr>
          <w:rFonts w:ascii="Times New Roman" w:hAnsi="Times New Roman" w:cs="Times New Roman"/>
          <w:sz w:val="28"/>
          <w:szCs w:val="28"/>
          <w:lang w:val="ro-MD"/>
        </w:rPr>
        <w:t>ml</w:t>
      </w:r>
      <w:r w:rsidR="00BE14FC">
        <w:rPr>
          <w:rFonts w:ascii="Times New Roman" w:hAnsi="Times New Roman" w:cs="Times New Roman"/>
          <w:sz w:val="28"/>
          <w:szCs w:val="28"/>
          <w:lang w:val="ro-MD"/>
        </w:rPr>
        <w:t>r</w:t>
      </w:r>
      <w:r w:rsidRPr="001D0846">
        <w:rPr>
          <w:rFonts w:ascii="Times New Roman" w:hAnsi="Times New Roman" w:cs="Times New Roman"/>
          <w:sz w:val="28"/>
          <w:szCs w:val="28"/>
          <w:lang w:val="ro-MD"/>
        </w:rPr>
        <w:t>d</w:t>
      </w:r>
      <w:proofErr w:type="spellEnd"/>
      <w:r w:rsidRPr="001D0846">
        <w:rPr>
          <w:rFonts w:ascii="Times New Roman" w:hAnsi="Times New Roman" w:cs="Times New Roman"/>
          <w:sz w:val="28"/>
          <w:szCs w:val="28"/>
          <w:lang w:val="ro-MD"/>
        </w:rPr>
        <w:t xml:space="preserve">. lei față de anul 2016 și cu 11,7 </w:t>
      </w:r>
      <w:proofErr w:type="spellStart"/>
      <w:r w:rsidRPr="001D0846">
        <w:rPr>
          <w:rFonts w:ascii="Times New Roman" w:hAnsi="Times New Roman" w:cs="Times New Roman"/>
          <w:sz w:val="28"/>
          <w:szCs w:val="28"/>
          <w:lang w:val="ro-MD"/>
        </w:rPr>
        <w:t>ml</w:t>
      </w:r>
      <w:r w:rsidR="00BE14FC">
        <w:rPr>
          <w:rFonts w:ascii="Times New Roman" w:hAnsi="Times New Roman" w:cs="Times New Roman"/>
          <w:sz w:val="28"/>
          <w:szCs w:val="28"/>
          <w:lang w:val="ro-MD"/>
        </w:rPr>
        <w:t>r</w:t>
      </w:r>
      <w:r w:rsidRPr="001D0846">
        <w:rPr>
          <w:rFonts w:ascii="Times New Roman" w:hAnsi="Times New Roman" w:cs="Times New Roman"/>
          <w:sz w:val="28"/>
          <w:szCs w:val="28"/>
          <w:lang w:val="ro-MD"/>
        </w:rPr>
        <w:t>d</w:t>
      </w:r>
      <w:proofErr w:type="spellEnd"/>
      <w:r w:rsidRPr="001D0846">
        <w:rPr>
          <w:rFonts w:ascii="Times New Roman" w:hAnsi="Times New Roman" w:cs="Times New Roman"/>
          <w:sz w:val="28"/>
          <w:szCs w:val="28"/>
          <w:lang w:val="ro-MD"/>
        </w:rPr>
        <w:t xml:space="preserve">. lei față de anul 2015, ceea ce denotă o tendință pozitivă de majorare a veniturilor bugetare. </w:t>
      </w:r>
      <w:r w:rsidRPr="001D0846">
        <w:rPr>
          <w:rFonts w:ascii="Times New Roman" w:hAnsi="Times New Roman" w:cs="Times New Roman"/>
          <w:i/>
          <w:sz w:val="28"/>
          <w:szCs w:val="28"/>
          <w:lang w:val="ro-MD"/>
        </w:rPr>
        <w:t>Evoluția și ponderea veniturilor administrate de către SFS și SV în totalul veniturilor BPN</w:t>
      </w:r>
      <w:r w:rsidRPr="001D0846">
        <w:rPr>
          <w:rFonts w:ascii="Times New Roman" w:hAnsi="Times New Roman" w:cs="Times New Roman"/>
          <w:sz w:val="28"/>
          <w:szCs w:val="28"/>
          <w:lang w:val="ro-MD"/>
        </w:rPr>
        <w:t xml:space="preserve"> </w:t>
      </w:r>
      <w:r w:rsidR="00D1586E" w:rsidRPr="001D0846">
        <w:rPr>
          <w:rFonts w:ascii="Times New Roman" w:hAnsi="Times New Roman" w:cs="Times New Roman"/>
          <w:i/>
          <w:sz w:val="28"/>
          <w:szCs w:val="28"/>
          <w:lang w:val="ro-MD"/>
        </w:rPr>
        <w:t>s</w:t>
      </w:r>
      <w:r w:rsidR="00BE14FC">
        <w:rPr>
          <w:rFonts w:ascii="Times New Roman" w:hAnsi="Times New Roman" w:cs="Times New Roman"/>
          <w:i/>
          <w:sz w:val="28"/>
          <w:szCs w:val="28"/>
          <w:lang w:val="ro-MD"/>
        </w:rPr>
        <w:t>unt</w:t>
      </w:r>
      <w:r w:rsidR="00D1586E" w:rsidRPr="001D0846">
        <w:rPr>
          <w:rFonts w:ascii="Times New Roman" w:hAnsi="Times New Roman" w:cs="Times New Roman"/>
          <w:i/>
          <w:sz w:val="28"/>
          <w:szCs w:val="28"/>
          <w:lang w:val="ro-MD"/>
        </w:rPr>
        <w:t xml:space="preserve"> prez</w:t>
      </w:r>
      <w:r w:rsidR="00BE14FC">
        <w:rPr>
          <w:rFonts w:ascii="Times New Roman" w:hAnsi="Times New Roman" w:cs="Times New Roman"/>
          <w:i/>
          <w:sz w:val="28"/>
          <w:szCs w:val="28"/>
          <w:lang w:val="ro-MD"/>
        </w:rPr>
        <w:t>enta</w:t>
      </w:r>
      <w:r w:rsidR="00D1586E" w:rsidRPr="001D0846">
        <w:rPr>
          <w:rFonts w:ascii="Times New Roman" w:hAnsi="Times New Roman" w:cs="Times New Roman"/>
          <w:i/>
          <w:sz w:val="28"/>
          <w:szCs w:val="28"/>
          <w:lang w:val="ro-MD"/>
        </w:rPr>
        <w:t>t</w:t>
      </w:r>
      <w:r w:rsidR="00BE14FC">
        <w:rPr>
          <w:rFonts w:ascii="Times New Roman" w:hAnsi="Times New Roman" w:cs="Times New Roman"/>
          <w:i/>
          <w:sz w:val="28"/>
          <w:szCs w:val="28"/>
          <w:lang w:val="ro-MD"/>
        </w:rPr>
        <w:t xml:space="preserve">e </w:t>
      </w:r>
      <w:r w:rsidR="00D1586E" w:rsidRPr="001D0846">
        <w:rPr>
          <w:rFonts w:ascii="Times New Roman" w:hAnsi="Times New Roman" w:cs="Times New Roman"/>
          <w:i/>
          <w:sz w:val="28"/>
          <w:szCs w:val="28"/>
          <w:lang w:val="ro-MD"/>
        </w:rPr>
        <w:t xml:space="preserve"> în </w:t>
      </w:r>
      <w:r w:rsidR="004B2C7B" w:rsidRPr="001D0846">
        <w:rPr>
          <w:rFonts w:ascii="Times New Roman" w:hAnsi="Times New Roman" w:cs="Times New Roman"/>
          <w:i/>
          <w:sz w:val="28"/>
          <w:szCs w:val="28"/>
          <w:lang w:val="ro-MD"/>
        </w:rPr>
        <w:t>Diagrama nr.</w:t>
      </w:r>
      <w:r w:rsidR="00C47531">
        <w:rPr>
          <w:rFonts w:ascii="Times New Roman" w:hAnsi="Times New Roman" w:cs="Times New Roman"/>
          <w:i/>
          <w:sz w:val="28"/>
          <w:szCs w:val="28"/>
          <w:lang w:val="ro-MD"/>
        </w:rPr>
        <w:t>2</w:t>
      </w:r>
      <w:r w:rsidRPr="001D0846">
        <w:rPr>
          <w:rFonts w:ascii="Times New Roman" w:hAnsi="Times New Roman" w:cs="Times New Roman"/>
          <w:i/>
          <w:sz w:val="28"/>
          <w:szCs w:val="28"/>
          <w:lang w:val="ro-MD"/>
        </w:rPr>
        <w:t>.</w:t>
      </w:r>
      <w:r w:rsidRPr="001D0846">
        <w:rPr>
          <w:rFonts w:ascii="Times New Roman" w:hAnsi="Times New Roman" w:cs="Times New Roman"/>
          <w:b/>
          <w:i/>
          <w:sz w:val="28"/>
          <w:szCs w:val="28"/>
          <w:lang w:val="ro-MD" w:eastAsia="ru-RU"/>
        </w:rPr>
        <w:t xml:space="preserve"> </w:t>
      </w:r>
    </w:p>
    <w:p w:rsidR="00342D30" w:rsidRDefault="00342D30" w:rsidP="006B66CF">
      <w:pPr>
        <w:spacing w:after="0" w:line="276" w:lineRule="auto"/>
        <w:ind w:right="-96"/>
        <w:jc w:val="right"/>
        <w:rPr>
          <w:rFonts w:ascii="Times New Roman" w:hAnsi="Times New Roman" w:cs="Times New Roman"/>
          <w:b/>
          <w:i/>
          <w:sz w:val="28"/>
          <w:szCs w:val="28"/>
          <w:lang w:val="it-IT" w:eastAsia="ru-RU"/>
        </w:rPr>
      </w:pPr>
    </w:p>
    <w:p w:rsidR="006B66CF" w:rsidRPr="001D0846" w:rsidRDefault="006B66CF" w:rsidP="006B66CF">
      <w:pPr>
        <w:spacing w:after="0" w:line="276" w:lineRule="auto"/>
        <w:ind w:right="-96"/>
        <w:jc w:val="right"/>
        <w:rPr>
          <w:rFonts w:ascii="Times New Roman" w:hAnsi="Times New Roman" w:cs="Times New Roman"/>
          <w:b/>
          <w:i/>
          <w:sz w:val="28"/>
          <w:szCs w:val="28"/>
          <w:lang w:val="it-IT" w:eastAsia="ru-RU"/>
        </w:rPr>
      </w:pPr>
      <w:r w:rsidRPr="001D0846">
        <w:rPr>
          <w:rFonts w:ascii="Times New Roman" w:hAnsi="Times New Roman" w:cs="Times New Roman"/>
          <w:b/>
          <w:i/>
          <w:sz w:val="28"/>
          <w:szCs w:val="28"/>
          <w:lang w:val="it-IT" w:eastAsia="ru-RU"/>
        </w:rPr>
        <w:t>Diagrama nr.</w:t>
      </w:r>
      <w:r w:rsidR="00C47531">
        <w:rPr>
          <w:rFonts w:ascii="Times New Roman" w:hAnsi="Times New Roman" w:cs="Times New Roman"/>
          <w:b/>
          <w:i/>
          <w:sz w:val="28"/>
          <w:szCs w:val="28"/>
          <w:lang w:val="it-IT" w:eastAsia="ru-RU"/>
        </w:rPr>
        <w:t>2</w:t>
      </w:r>
      <w:r w:rsidRPr="001D0846">
        <w:rPr>
          <w:rFonts w:ascii="Times New Roman" w:hAnsi="Times New Roman" w:cs="Times New Roman"/>
          <w:i/>
          <w:sz w:val="24"/>
          <w:szCs w:val="24"/>
          <w:lang w:val="it-IT" w:eastAsia="ru-RU"/>
        </w:rPr>
        <w:t xml:space="preserve">  </w:t>
      </w:r>
    </w:p>
    <w:p w:rsidR="006B66CF" w:rsidRPr="001D0846" w:rsidRDefault="006B66CF" w:rsidP="006B66CF">
      <w:pPr>
        <w:spacing w:after="0" w:line="276" w:lineRule="auto"/>
        <w:ind w:right="-424"/>
        <w:jc w:val="center"/>
        <w:rPr>
          <w:rFonts w:ascii="Times New Roman" w:hAnsi="Times New Roman" w:cs="Times New Roman"/>
          <w:i/>
          <w:sz w:val="24"/>
          <w:szCs w:val="24"/>
          <w:lang w:val="it-IT" w:eastAsia="ru-RU"/>
        </w:rPr>
      </w:pPr>
      <w:r w:rsidRPr="001D0846">
        <w:rPr>
          <w:rFonts w:ascii="Times New Roman" w:hAnsi="Times New Roman" w:cs="Times New Roman"/>
          <w:i/>
          <w:sz w:val="24"/>
          <w:szCs w:val="24"/>
          <w:lang w:val="it-IT" w:eastAsia="ru-RU"/>
        </w:rPr>
        <w:t xml:space="preserve">                                                                                                                                          (ml</w:t>
      </w:r>
      <w:r>
        <w:rPr>
          <w:rFonts w:ascii="Times New Roman" w:hAnsi="Times New Roman" w:cs="Times New Roman"/>
          <w:i/>
          <w:sz w:val="24"/>
          <w:szCs w:val="24"/>
          <w:lang w:val="it-IT" w:eastAsia="ru-RU"/>
        </w:rPr>
        <w:t>r</w:t>
      </w:r>
      <w:r w:rsidRPr="001D0846">
        <w:rPr>
          <w:rFonts w:ascii="Times New Roman" w:hAnsi="Times New Roman" w:cs="Times New Roman"/>
          <w:i/>
          <w:sz w:val="24"/>
          <w:szCs w:val="24"/>
          <w:lang w:val="it-IT" w:eastAsia="ru-RU"/>
        </w:rPr>
        <w:t>d.lei)</w:t>
      </w:r>
    </w:p>
    <w:p w:rsidR="006B66CF" w:rsidRPr="001D0846" w:rsidRDefault="006B66CF" w:rsidP="00C47531">
      <w:pPr>
        <w:tabs>
          <w:tab w:val="left" w:pos="5316"/>
          <w:tab w:val="left" w:pos="9450"/>
        </w:tabs>
        <w:spacing w:after="0" w:line="240" w:lineRule="auto"/>
        <w:ind w:right="-418"/>
        <w:rPr>
          <w:rFonts w:ascii="Times New Roman" w:eastAsia="Calibri" w:hAnsi="Times New Roman" w:cs="Times New Roman"/>
          <w:i/>
          <w:sz w:val="20"/>
          <w:szCs w:val="20"/>
          <w:lang w:val="ro-MD"/>
        </w:rPr>
      </w:pPr>
      <w:r w:rsidRPr="001D0846">
        <w:rPr>
          <w:rFonts w:ascii="Times New Roman" w:hAnsi="Times New Roman" w:cs="Times New Roman"/>
          <w:b/>
          <w:noProof/>
          <w:sz w:val="16"/>
          <w:szCs w:val="16"/>
          <w:lang w:val="ru-RU" w:eastAsia="ru-RU"/>
        </w:rPr>
        <w:drawing>
          <wp:inline distT="0" distB="0" distL="0" distR="0" wp14:anchorId="339CDD42" wp14:editId="23E105C5">
            <wp:extent cx="5974080" cy="2484755"/>
            <wp:effectExtent l="0" t="0" r="7620" b="1079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D0846">
        <w:rPr>
          <w:rFonts w:ascii="Times New Roman" w:eastAsia="Calibri" w:hAnsi="Times New Roman" w:cs="Times New Roman"/>
          <w:b/>
          <w:i/>
          <w:sz w:val="20"/>
          <w:szCs w:val="20"/>
          <w:lang w:val="ro-MD"/>
        </w:rPr>
        <w:t>Sursă:</w:t>
      </w:r>
      <w:r w:rsidRPr="001D0846">
        <w:rPr>
          <w:rFonts w:ascii="Times New Roman" w:eastAsia="Calibri" w:hAnsi="Times New Roman" w:cs="Times New Roman"/>
          <w:i/>
          <w:sz w:val="20"/>
          <w:szCs w:val="20"/>
          <w:lang w:val="ro-MD"/>
        </w:rPr>
        <w:t xml:space="preserve"> Date generalizate de către echipa de audit în baza informațiilor din dările de seamă privind încasările la</w:t>
      </w:r>
      <w:r w:rsidR="0029582E">
        <w:rPr>
          <w:rFonts w:ascii="Times New Roman" w:eastAsia="Calibri" w:hAnsi="Times New Roman" w:cs="Times New Roman"/>
          <w:i/>
          <w:sz w:val="20"/>
          <w:szCs w:val="20"/>
          <w:lang w:val="ro-MD"/>
        </w:rPr>
        <w:t xml:space="preserve"> BPN</w:t>
      </w:r>
    </w:p>
    <w:p w:rsidR="006B66CF" w:rsidRDefault="006B66CF" w:rsidP="00C47531">
      <w:pPr>
        <w:tabs>
          <w:tab w:val="left" w:pos="5316"/>
          <w:tab w:val="left" w:pos="9450"/>
        </w:tabs>
        <w:spacing w:after="0" w:line="240" w:lineRule="auto"/>
        <w:ind w:right="-418"/>
        <w:rPr>
          <w:rFonts w:ascii="Times New Roman" w:hAnsi="Times New Roman" w:cs="Times New Roman"/>
          <w:b/>
          <w:i/>
          <w:sz w:val="28"/>
          <w:szCs w:val="28"/>
          <w:lang w:val="ro-MD" w:eastAsia="ru-RU"/>
        </w:rPr>
      </w:pPr>
      <w:r w:rsidRPr="001D0846">
        <w:rPr>
          <w:rFonts w:ascii="Times New Roman" w:eastAsia="Calibri" w:hAnsi="Times New Roman" w:cs="Times New Roman"/>
          <w:i/>
          <w:sz w:val="20"/>
          <w:szCs w:val="20"/>
          <w:lang w:val="ro-MD"/>
        </w:rPr>
        <w:t>administrate de SFS și SV pe anii 2015-2017.</w:t>
      </w:r>
    </w:p>
    <w:p w:rsidR="008C1007" w:rsidRPr="001D0846" w:rsidRDefault="008C1007" w:rsidP="00C47531">
      <w:pPr>
        <w:tabs>
          <w:tab w:val="left" w:pos="9450"/>
        </w:tabs>
        <w:spacing w:after="0" w:line="240" w:lineRule="auto"/>
        <w:ind w:firstLine="720"/>
        <w:rPr>
          <w:rFonts w:ascii="Times New Roman" w:hAnsi="Times New Roman" w:cs="Times New Roman"/>
          <w:b/>
          <w:sz w:val="28"/>
          <w:szCs w:val="28"/>
          <w:lang w:val="ro-MD"/>
        </w:rPr>
      </w:pPr>
      <w:r w:rsidRPr="001D0846">
        <w:rPr>
          <w:rFonts w:ascii="Times New Roman" w:hAnsi="Times New Roman" w:cs="Times New Roman"/>
          <w:b/>
          <w:i/>
          <w:sz w:val="28"/>
          <w:szCs w:val="28"/>
          <w:lang w:val="ro-MD" w:eastAsia="ru-RU"/>
        </w:rPr>
        <w:t xml:space="preserve">                  </w:t>
      </w:r>
      <w:r w:rsidRPr="001D0846">
        <w:rPr>
          <w:rFonts w:ascii="Times New Roman" w:hAnsi="Times New Roman" w:cs="Times New Roman"/>
          <w:b/>
          <w:sz w:val="28"/>
          <w:szCs w:val="28"/>
          <w:lang w:val="ro-MD" w:eastAsia="ru-RU"/>
        </w:rPr>
        <w:t xml:space="preserve">                 </w:t>
      </w:r>
    </w:p>
    <w:p w:rsidR="006B66CF" w:rsidRDefault="008C1007" w:rsidP="003128C6">
      <w:pPr>
        <w:spacing w:after="0" w:line="276" w:lineRule="auto"/>
        <w:ind w:firstLine="720"/>
        <w:jc w:val="both"/>
        <w:rPr>
          <w:rFonts w:ascii="Times New Roman" w:hAnsi="Times New Roman" w:cs="Times New Roman"/>
          <w:b/>
          <w:i/>
          <w:sz w:val="28"/>
          <w:szCs w:val="28"/>
          <w:lang w:val="it-IT" w:eastAsia="ru-RU"/>
        </w:rPr>
      </w:pPr>
      <w:r w:rsidRPr="001D0846">
        <w:rPr>
          <w:rFonts w:ascii="Times New Roman" w:hAnsi="Times New Roman" w:cs="Times New Roman"/>
          <w:sz w:val="28"/>
          <w:szCs w:val="28"/>
          <w:lang w:val="ro-MD"/>
        </w:rPr>
        <w:t xml:space="preserve">Analiza datelor prezentate în Diagramă relevă că, în ansamblu, ponderea veniturilor administrate de organele fiscale și vamale în totalul veniturilor BPN este în creștere </w:t>
      </w:r>
      <w:r w:rsidR="00BE14FC">
        <w:rPr>
          <w:rFonts w:ascii="Times New Roman" w:hAnsi="Times New Roman" w:cs="Times New Roman"/>
          <w:sz w:val="28"/>
          <w:szCs w:val="28"/>
          <w:lang w:val="ro-MD"/>
        </w:rPr>
        <w:t>(</w:t>
      </w:r>
      <w:r w:rsidRPr="001D0846">
        <w:rPr>
          <w:rFonts w:ascii="Times New Roman" w:hAnsi="Times New Roman" w:cs="Times New Roman"/>
          <w:sz w:val="28"/>
          <w:szCs w:val="28"/>
          <w:lang w:val="ro-MD"/>
        </w:rPr>
        <w:t>de la 88,3 % în anul 2015 până la 94,2 % în anul 2017</w:t>
      </w:r>
      <w:r w:rsidR="00BE14FC">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De asemenea, auditul constată o pondere ascendentă a veniturilor administrate de SFS și SV (fără restituirea TVA) în totalul veniturilor BS, care în anul 2017 a </w:t>
      </w:r>
      <w:r w:rsidR="00BE14FC">
        <w:rPr>
          <w:rFonts w:ascii="Times New Roman" w:hAnsi="Times New Roman" w:cs="Times New Roman"/>
          <w:sz w:val="28"/>
          <w:szCs w:val="28"/>
          <w:lang w:val="ro-MD"/>
        </w:rPr>
        <w:t>constituit</w:t>
      </w:r>
      <w:r w:rsidRPr="001D0846">
        <w:rPr>
          <w:rFonts w:ascii="Times New Roman" w:hAnsi="Times New Roman" w:cs="Times New Roman"/>
          <w:sz w:val="28"/>
          <w:szCs w:val="28"/>
          <w:lang w:val="ro-MD"/>
        </w:rPr>
        <w:t xml:space="preserve"> 94,7%, fiind în creștere cu 9,3 </w:t>
      </w:r>
      <w:proofErr w:type="spellStart"/>
      <w:r w:rsidRPr="001D0846">
        <w:rPr>
          <w:rFonts w:ascii="Times New Roman" w:hAnsi="Times New Roman" w:cs="Times New Roman"/>
          <w:sz w:val="28"/>
          <w:szCs w:val="28"/>
          <w:lang w:val="ro-MD"/>
        </w:rPr>
        <w:t>p.p.</w:t>
      </w:r>
      <w:proofErr w:type="spellEnd"/>
      <w:r w:rsidRPr="001D0846">
        <w:rPr>
          <w:rFonts w:ascii="Times New Roman" w:hAnsi="Times New Roman" w:cs="Times New Roman"/>
          <w:sz w:val="28"/>
          <w:szCs w:val="28"/>
          <w:lang w:val="ro-MD"/>
        </w:rPr>
        <w:t xml:space="preserve"> față de anul 2015. </w:t>
      </w:r>
      <w:r w:rsidRPr="001D0846">
        <w:rPr>
          <w:rFonts w:ascii="Times New Roman" w:hAnsi="Times New Roman" w:cs="Times New Roman"/>
          <w:i/>
          <w:sz w:val="28"/>
          <w:szCs w:val="28"/>
          <w:lang w:val="ro-MD"/>
        </w:rPr>
        <w:t>Evoluția și ponderea veniturilor administrate de SFS și SV în totalul veniturilor BS s</w:t>
      </w:r>
      <w:r w:rsidR="00BE14FC">
        <w:rPr>
          <w:rFonts w:ascii="Times New Roman" w:hAnsi="Times New Roman" w:cs="Times New Roman"/>
          <w:i/>
          <w:sz w:val="28"/>
          <w:szCs w:val="28"/>
          <w:lang w:val="ro-MD"/>
        </w:rPr>
        <w:t>unt</w:t>
      </w:r>
      <w:r w:rsidRPr="001D0846">
        <w:rPr>
          <w:rFonts w:ascii="Times New Roman" w:hAnsi="Times New Roman" w:cs="Times New Roman"/>
          <w:i/>
          <w:sz w:val="28"/>
          <w:szCs w:val="28"/>
          <w:lang w:val="ro-MD"/>
        </w:rPr>
        <w:t xml:space="preserve"> </w:t>
      </w:r>
      <w:r w:rsidR="00D1586E" w:rsidRPr="001D0846">
        <w:rPr>
          <w:rFonts w:ascii="Times New Roman" w:hAnsi="Times New Roman" w:cs="Times New Roman"/>
          <w:i/>
          <w:sz w:val="28"/>
          <w:szCs w:val="28"/>
          <w:lang w:val="ro-MD"/>
        </w:rPr>
        <w:t>prez</w:t>
      </w:r>
      <w:r w:rsidR="00BE14FC">
        <w:rPr>
          <w:rFonts w:ascii="Times New Roman" w:hAnsi="Times New Roman" w:cs="Times New Roman"/>
          <w:i/>
          <w:sz w:val="28"/>
          <w:szCs w:val="28"/>
          <w:lang w:val="ro-MD"/>
        </w:rPr>
        <w:t>enta</w:t>
      </w:r>
      <w:r w:rsidR="00D1586E" w:rsidRPr="001D0846">
        <w:rPr>
          <w:rFonts w:ascii="Times New Roman" w:hAnsi="Times New Roman" w:cs="Times New Roman"/>
          <w:i/>
          <w:sz w:val="28"/>
          <w:szCs w:val="28"/>
          <w:lang w:val="ro-MD"/>
        </w:rPr>
        <w:t>t</w:t>
      </w:r>
      <w:r w:rsidR="00BE14FC">
        <w:rPr>
          <w:rFonts w:ascii="Times New Roman" w:hAnsi="Times New Roman" w:cs="Times New Roman"/>
          <w:i/>
          <w:sz w:val="28"/>
          <w:szCs w:val="28"/>
          <w:lang w:val="ro-MD"/>
        </w:rPr>
        <w:t xml:space="preserve">e </w:t>
      </w:r>
      <w:r w:rsidR="004B2C7B" w:rsidRPr="001D0846">
        <w:rPr>
          <w:rFonts w:ascii="Times New Roman" w:hAnsi="Times New Roman" w:cs="Times New Roman"/>
          <w:i/>
          <w:sz w:val="28"/>
          <w:szCs w:val="28"/>
          <w:lang w:val="ro-MD"/>
        </w:rPr>
        <w:t xml:space="preserve"> în Diagrama nr.</w:t>
      </w:r>
      <w:r w:rsidR="00C47531">
        <w:rPr>
          <w:rFonts w:ascii="Times New Roman" w:hAnsi="Times New Roman" w:cs="Times New Roman"/>
          <w:i/>
          <w:sz w:val="28"/>
          <w:szCs w:val="28"/>
          <w:lang w:val="ro-MD"/>
        </w:rPr>
        <w:t>3</w:t>
      </w:r>
      <w:r w:rsidR="006B66CF">
        <w:rPr>
          <w:rFonts w:ascii="Times New Roman" w:hAnsi="Times New Roman" w:cs="Times New Roman"/>
          <w:i/>
          <w:sz w:val="28"/>
          <w:szCs w:val="28"/>
          <w:lang w:val="ro-MD"/>
        </w:rPr>
        <w:t>.</w:t>
      </w:r>
      <w:r w:rsidRPr="001D0846">
        <w:rPr>
          <w:rFonts w:ascii="Times New Roman" w:hAnsi="Times New Roman" w:cs="Times New Roman"/>
          <w:i/>
          <w:sz w:val="28"/>
          <w:szCs w:val="28"/>
          <w:lang w:val="ro-MD"/>
        </w:rPr>
        <w:t xml:space="preserve"> </w:t>
      </w:r>
      <w:r w:rsidR="006151D1" w:rsidRPr="001D0846">
        <w:rPr>
          <w:rFonts w:ascii="Times New Roman" w:hAnsi="Times New Roman" w:cs="Times New Roman"/>
          <w:i/>
          <w:sz w:val="28"/>
          <w:szCs w:val="28"/>
          <w:lang w:val="ro-MD"/>
        </w:rPr>
        <w:t xml:space="preserve"> </w:t>
      </w:r>
      <w:r w:rsidRPr="001D0846">
        <w:rPr>
          <w:rFonts w:ascii="Times New Roman" w:hAnsi="Times New Roman" w:cs="Times New Roman"/>
          <w:b/>
          <w:i/>
          <w:sz w:val="28"/>
          <w:szCs w:val="28"/>
          <w:lang w:val="it-IT" w:eastAsia="ru-RU"/>
        </w:rPr>
        <w:t xml:space="preserve"> </w:t>
      </w:r>
    </w:p>
    <w:p w:rsidR="006B66CF" w:rsidRDefault="006B66CF" w:rsidP="003128C6">
      <w:pPr>
        <w:spacing w:after="0" w:line="276" w:lineRule="auto"/>
        <w:ind w:firstLine="720"/>
        <w:jc w:val="both"/>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6B66CF" w:rsidRPr="001D0846" w:rsidRDefault="006B66CF" w:rsidP="0029582E">
      <w:pPr>
        <w:spacing w:after="0" w:line="276" w:lineRule="auto"/>
        <w:ind w:right="-6"/>
        <w:jc w:val="right"/>
        <w:rPr>
          <w:rFonts w:ascii="Times New Roman" w:hAnsi="Times New Roman" w:cs="Times New Roman"/>
          <w:b/>
          <w:i/>
          <w:sz w:val="28"/>
          <w:szCs w:val="28"/>
          <w:lang w:val="it-IT" w:eastAsia="ru-RU"/>
        </w:rPr>
      </w:pPr>
      <w:r w:rsidRPr="001D0846">
        <w:rPr>
          <w:rFonts w:ascii="Times New Roman" w:hAnsi="Times New Roman" w:cs="Times New Roman"/>
          <w:b/>
          <w:i/>
          <w:sz w:val="28"/>
          <w:szCs w:val="28"/>
          <w:lang w:val="it-IT" w:eastAsia="ru-RU"/>
        </w:rPr>
        <w:lastRenderedPageBreak/>
        <w:t>Diagrama nr.</w:t>
      </w:r>
      <w:r w:rsidR="00C47531">
        <w:rPr>
          <w:rFonts w:ascii="Times New Roman" w:hAnsi="Times New Roman" w:cs="Times New Roman"/>
          <w:b/>
          <w:i/>
          <w:sz w:val="28"/>
          <w:szCs w:val="28"/>
          <w:lang w:val="it-IT" w:eastAsia="ru-RU"/>
        </w:rPr>
        <w:t>3</w:t>
      </w:r>
      <w:r w:rsidRPr="001D0846">
        <w:rPr>
          <w:rFonts w:ascii="Times New Roman" w:hAnsi="Times New Roman" w:cs="Times New Roman"/>
          <w:i/>
          <w:sz w:val="24"/>
          <w:szCs w:val="24"/>
          <w:lang w:val="it-IT" w:eastAsia="ru-RU"/>
        </w:rPr>
        <w:t xml:space="preserve">  </w:t>
      </w:r>
    </w:p>
    <w:p w:rsidR="006B66CF" w:rsidRPr="001D0846" w:rsidRDefault="006B66CF" w:rsidP="0029582E">
      <w:pPr>
        <w:spacing w:after="0" w:line="276" w:lineRule="auto"/>
        <w:ind w:right="-6"/>
        <w:jc w:val="right"/>
        <w:rPr>
          <w:rFonts w:ascii="Times New Roman" w:hAnsi="Times New Roman" w:cs="Times New Roman"/>
          <w:i/>
          <w:sz w:val="24"/>
          <w:szCs w:val="24"/>
          <w:lang w:val="it-IT" w:eastAsia="ru-RU"/>
        </w:rPr>
      </w:pPr>
      <w:r w:rsidRPr="001D0846">
        <w:rPr>
          <w:rFonts w:ascii="Times New Roman" w:hAnsi="Times New Roman" w:cs="Times New Roman"/>
          <w:i/>
          <w:sz w:val="24"/>
          <w:szCs w:val="24"/>
          <w:lang w:val="it-IT" w:eastAsia="ru-RU"/>
        </w:rPr>
        <w:t>(ml</w:t>
      </w:r>
      <w:r w:rsidR="0029582E">
        <w:rPr>
          <w:rFonts w:ascii="Times New Roman" w:hAnsi="Times New Roman" w:cs="Times New Roman"/>
          <w:i/>
          <w:sz w:val="24"/>
          <w:szCs w:val="24"/>
          <w:lang w:val="it-IT" w:eastAsia="ru-RU"/>
        </w:rPr>
        <w:t>r</w:t>
      </w:r>
      <w:r w:rsidRPr="001D0846">
        <w:rPr>
          <w:rFonts w:ascii="Times New Roman" w:hAnsi="Times New Roman" w:cs="Times New Roman"/>
          <w:i/>
          <w:sz w:val="24"/>
          <w:szCs w:val="24"/>
          <w:lang w:val="it-IT" w:eastAsia="ru-RU"/>
        </w:rPr>
        <w:t>d.lei)</w:t>
      </w:r>
    </w:p>
    <w:p w:rsidR="006B66CF" w:rsidRPr="001D0846" w:rsidRDefault="006B66CF" w:rsidP="006B66CF">
      <w:pPr>
        <w:tabs>
          <w:tab w:val="left" w:pos="3330"/>
          <w:tab w:val="left" w:pos="5316"/>
        </w:tabs>
        <w:spacing w:after="0" w:line="276" w:lineRule="auto"/>
        <w:rPr>
          <w:rFonts w:ascii="Times New Roman" w:hAnsi="Times New Roman" w:cs="Times New Roman"/>
          <w:sz w:val="28"/>
          <w:szCs w:val="28"/>
          <w:lang w:val="ro-MD"/>
          <w14:glow w14:rad="38100">
            <w14:srgbClr w14:val="000000"/>
          </w14:glow>
          <w14:textOutline w14:w="9525" w14:cap="rnd" w14:cmpd="sng" w14:algn="ctr">
            <w14:gradFill>
              <w14:gsLst>
                <w14:gs w14:pos="0">
                  <w14:schemeClr w14:val="accent1">
                    <w14:alpha w14:val="5000"/>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1D0846">
        <w:rPr>
          <w:rFonts w:ascii="Times New Roman" w:hAnsi="Times New Roman" w:cs="Times New Roman"/>
          <w:b/>
          <w:noProof/>
          <w:sz w:val="16"/>
          <w:szCs w:val="16"/>
          <w:lang w:val="ru-RU" w:eastAsia="ru-RU"/>
        </w:rPr>
        <w:drawing>
          <wp:inline distT="0" distB="0" distL="0" distR="0" wp14:anchorId="703D9C26" wp14:editId="069C46B5">
            <wp:extent cx="5935980" cy="2758440"/>
            <wp:effectExtent l="0" t="0" r="7620" b="381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66CF" w:rsidRPr="001D0846" w:rsidRDefault="006B66CF" w:rsidP="00C47531">
      <w:pPr>
        <w:tabs>
          <w:tab w:val="left" w:pos="5316"/>
        </w:tabs>
        <w:spacing w:after="0" w:line="240" w:lineRule="auto"/>
        <w:ind w:right="-331"/>
        <w:rPr>
          <w:rFonts w:ascii="Times New Roman" w:eastAsia="Calibri" w:hAnsi="Times New Roman" w:cs="Times New Roman"/>
          <w:i/>
          <w:sz w:val="20"/>
          <w:szCs w:val="20"/>
          <w:lang w:val="ro-MD"/>
        </w:rPr>
      </w:pPr>
      <w:r w:rsidRPr="001D0846">
        <w:rPr>
          <w:rFonts w:ascii="Times New Roman" w:eastAsia="Calibri" w:hAnsi="Times New Roman" w:cs="Times New Roman"/>
          <w:b/>
          <w:i/>
          <w:sz w:val="20"/>
          <w:szCs w:val="20"/>
          <w:lang w:val="ro-MD"/>
        </w:rPr>
        <w:t>Sursă:</w:t>
      </w:r>
      <w:r w:rsidRPr="001D0846">
        <w:rPr>
          <w:rFonts w:ascii="Times New Roman" w:eastAsia="Calibri" w:hAnsi="Times New Roman" w:cs="Times New Roman"/>
          <w:i/>
          <w:sz w:val="20"/>
          <w:szCs w:val="20"/>
          <w:lang w:val="ro-MD"/>
        </w:rPr>
        <w:t xml:space="preserve"> Date generalizate de către echipa de audit în baza informațiilor din dările de seamă privind încasările la</w:t>
      </w:r>
      <w:r w:rsidR="0029582E">
        <w:rPr>
          <w:rFonts w:ascii="Times New Roman" w:eastAsia="Calibri" w:hAnsi="Times New Roman" w:cs="Times New Roman"/>
          <w:i/>
          <w:sz w:val="20"/>
          <w:szCs w:val="20"/>
          <w:lang w:val="ro-MD"/>
        </w:rPr>
        <w:t xml:space="preserve"> BPN</w:t>
      </w:r>
      <w:r w:rsidRPr="001D0846">
        <w:rPr>
          <w:rFonts w:ascii="Times New Roman" w:eastAsia="Calibri" w:hAnsi="Times New Roman" w:cs="Times New Roman"/>
          <w:i/>
          <w:sz w:val="20"/>
          <w:szCs w:val="20"/>
          <w:lang w:val="ro-MD"/>
        </w:rPr>
        <w:t xml:space="preserve"> </w:t>
      </w:r>
    </w:p>
    <w:p w:rsidR="006B66CF" w:rsidRDefault="006B66CF" w:rsidP="00C47531">
      <w:pPr>
        <w:tabs>
          <w:tab w:val="left" w:pos="5316"/>
        </w:tabs>
        <w:spacing w:after="0" w:line="240" w:lineRule="auto"/>
        <w:ind w:right="-331"/>
        <w:rPr>
          <w:rFonts w:ascii="Times New Roman" w:eastAsia="Calibri" w:hAnsi="Times New Roman" w:cs="Times New Roman"/>
          <w:i/>
          <w:sz w:val="20"/>
          <w:szCs w:val="20"/>
          <w:lang w:val="ro-MD"/>
        </w:rPr>
      </w:pPr>
      <w:r w:rsidRPr="001D0846">
        <w:rPr>
          <w:rFonts w:ascii="Times New Roman" w:eastAsia="Calibri" w:hAnsi="Times New Roman" w:cs="Times New Roman"/>
          <w:i/>
          <w:sz w:val="20"/>
          <w:szCs w:val="20"/>
          <w:lang w:val="ro-MD"/>
        </w:rPr>
        <w:t>administrate de SFS și SV pe anii 2015-2017.</w:t>
      </w:r>
    </w:p>
    <w:p w:rsidR="00342D30" w:rsidRPr="001D0846" w:rsidRDefault="00342D30" w:rsidP="00C47531">
      <w:pPr>
        <w:tabs>
          <w:tab w:val="left" w:pos="5316"/>
        </w:tabs>
        <w:spacing w:after="0" w:line="240" w:lineRule="auto"/>
        <w:ind w:right="-331"/>
        <w:rPr>
          <w:rFonts w:ascii="Times New Roman" w:eastAsia="Calibri" w:hAnsi="Times New Roman" w:cs="Times New Roman"/>
          <w:i/>
          <w:sz w:val="20"/>
          <w:szCs w:val="20"/>
          <w:lang w:val="ro-MD"/>
        </w:rPr>
      </w:pPr>
    </w:p>
    <w:p w:rsidR="008C1007" w:rsidRPr="001D0846" w:rsidRDefault="006151D1" w:rsidP="006B66CF">
      <w:pPr>
        <w:spacing w:after="0" w:line="276" w:lineRule="auto"/>
        <w:ind w:firstLine="709"/>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Analiza datelor prezentate</w:t>
      </w:r>
      <w:r w:rsidR="008C1007" w:rsidRPr="001D0846">
        <w:rPr>
          <w:rFonts w:ascii="Times New Roman" w:hAnsi="Times New Roman" w:cs="Times New Roman"/>
          <w:sz w:val="28"/>
          <w:szCs w:val="28"/>
          <w:lang w:val="ro-MD"/>
        </w:rPr>
        <w:t xml:space="preserve"> în Diagramă relevă o creștere a veniturilor administrate de SFS și SV în totalul veniturilor BS </w:t>
      </w:r>
      <w:r w:rsidR="00BE14FC">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de la 24</w:t>
      </w:r>
      <w:r w:rsidR="00BE14FC">
        <w:rPr>
          <w:rFonts w:ascii="Times New Roman" w:hAnsi="Times New Roman" w:cs="Times New Roman"/>
          <w:sz w:val="28"/>
          <w:szCs w:val="28"/>
          <w:lang w:val="ro-MD"/>
        </w:rPr>
        <w:t>,0</w:t>
      </w:r>
      <w:r w:rsidR="008C1007" w:rsidRPr="001D0846">
        <w:rPr>
          <w:rFonts w:ascii="Times New Roman" w:hAnsi="Times New Roman" w:cs="Times New Roman"/>
          <w:sz w:val="28"/>
          <w:szCs w:val="28"/>
          <w:lang w:val="ro-MD"/>
        </w:rPr>
        <w:t xml:space="preserve"> </w:t>
      </w:r>
      <w:proofErr w:type="spellStart"/>
      <w:r w:rsidR="008C1007" w:rsidRPr="001D0846">
        <w:rPr>
          <w:rFonts w:ascii="Times New Roman" w:hAnsi="Times New Roman" w:cs="Times New Roman"/>
          <w:sz w:val="28"/>
          <w:szCs w:val="28"/>
          <w:lang w:val="ro-MD"/>
        </w:rPr>
        <w:t>ml</w:t>
      </w:r>
      <w:r w:rsidR="00BE14FC">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xml:space="preserve"> în anul 2015 până la 31,9 </w:t>
      </w:r>
      <w:proofErr w:type="spellStart"/>
      <w:r w:rsidR="008C1007" w:rsidRPr="001D0846">
        <w:rPr>
          <w:rFonts w:ascii="Times New Roman" w:hAnsi="Times New Roman" w:cs="Times New Roman"/>
          <w:sz w:val="28"/>
          <w:szCs w:val="28"/>
          <w:lang w:val="ro-MD"/>
        </w:rPr>
        <w:t>ml</w:t>
      </w:r>
      <w:r w:rsidR="00BE14FC">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xml:space="preserve"> în anul 2017</w:t>
      </w:r>
      <w:r w:rsidR="00BE14FC">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w:t>
      </w:r>
      <w:r w:rsidR="0029582E">
        <w:rPr>
          <w:rFonts w:ascii="Times New Roman" w:hAnsi="Times New Roman" w:cs="Times New Roman"/>
          <w:sz w:val="28"/>
          <w:szCs w:val="28"/>
          <w:lang w:val="ro-MD"/>
        </w:rPr>
        <w:t xml:space="preserve">Totodată, se </w:t>
      </w:r>
      <w:r w:rsidR="008C1007" w:rsidRPr="001D0846">
        <w:rPr>
          <w:rFonts w:ascii="Times New Roman" w:hAnsi="Times New Roman" w:cs="Times New Roman"/>
          <w:sz w:val="28"/>
          <w:szCs w:val="28"/>
          <w:lang w:val="ro-MD"/>
        </w:rPr>
        <w:t xml:space="preserve">denotă că pe fundalul creșterii veniturilor </w:t>
      </w:r>
      <w:r w:rsidR="0029582E">
        <w:rPr>
          <w:rFonts w:ascii="Times New Roman" w:hAnsi="Times New Roman" w:cs="Times New Roman"/>
          <w:sz w:val="28"/>
          <w:szCs w:val="28"/>
          <w:lang w:val="ro-MD"/>
        </w:rPr>
        <w:t>fiscale și vamale</w:t>
      </w:r>
      <w:r w:rsidR="008C1007" w:rsidRPr="001D0846">
        <w:rPr>
          <w:rFonts w:ascii="Times New Roman" w:hAnsi="Times New Roman" w:cs="Times New Roman"/>
          <w:sz w:val="28"/>
          <w:szCs w:val="28"/>
          <w:lang w:val="ro-MD"/>
        </w:rPr>
        <w:t xml:space="preserve"> se atestă o majorare în ansamblu a veniturilor BS </w:t>
      </w:r>
      <w:r w:rsidR="00D84302">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de la 28,1 </w:t>
      </w:r>
      <w:proofErr w:type="spellStart"/>
      <w:r w:rsidR="008C1007" w:rsidRPr="001D0846">
        <w:rPr>
          <w:rFonts w:ascii="Times New Roman" w:hAnsi="Times New Roman" w:cs="Times New Roman"/>
          <w:sz w:val="28"/>
          <w:szCs w:val="28"/>
          <w:lang w:val="ro-MD"/>
        </w:rPr>
        <w:t>ml</w:t>
      </w:r>
      <w:r w:rsidR="00D84302">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xml:space="preserve"> în anul 2015 până la 33,7 </w:t>
      </w:r>
      <w:proofErr w:type="spellStart"/>
      <w:r w:rsidR="008C1007" w:rsidRPr="001D0846">
        <w:rPr>
          <w:rFonts w:ascii="Times New Roman" w:hAnsi="Times New Roman" w:cs="Times New Roman"/>
          <w:sz w:val="28"/>
          <w:szCs w:val="28"/>
          <w:lang w:val="ro-MD"/>
        </w:rPr>
        <w:t>ml</w:t>
      </w:r>
      <w:r w:rsidR="00D84302">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xml:space="preserve"> în anul 2017</w:t>
      </w:r>
      <w:r w:rsidR="00D84302">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w:t>
      </w:r>
    </w:p>
    <w:p w:rsidR="0029582E" w:rsidRPr="0029582E" w:rsidRDefault="008C1007" w:rsidP="0029582E">
      <w:pPr>
        <w:spacing w:after="0" w:line="276" w:lineRule="auto"/>
        <w:ind w:firstLine="709"/>
        <w:jc w:val="both"/>
        <w:rPr>
          <w:rFonts w:ascii="Times New Roman" w:hAnsi="Times New Roman" w:cs="Times New Roman"/>
          <w:i/>
          <w:sz w:val="28"/>
          <w:szCs w:val="28"/>
        </w:rPr>
      </w:pPr>
      <w:r w:rsidRPr="001D0846">
        <w:rPr>
          <w:rFonts w:ascii="Times New Roman" w:hAnsi="Times New Roman" w:cs="Times New Roman"/>
          <w:sz w:val="28"/>
          <w:szCs w:val="28"/>
          <w:lang w:val="ro-MD"/>
        </w:rPr>
        <w:t>Întrucât performanțele administrării impozitelor și taxelor de către organele fiscale și vamale au un impact semnificativ asupra echilibrului bugetar</w:t>
      </w:r>
      <w:r w:rsidR="006151D1" w:rsidRPr="001D0846">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în scopul evaluării</w:t>
      </w:r>
      <w:r w:rsidRPr="001D0846">
        <w:rPr>
          <w:rFonts w:ascii="Times New Roman" w:hAnsi="Times New Roman" w:cs="Times New Roman"/>
          <w:b/>
          <w:sz w:val="28"/>
          <w:szCs w:val="28"/>
          <w:lang w:val="ro-MD"/>
        </w:rPr>
        <w:t xml:space="preserve"> </w:t>
      </w:r>
      <w:r w:rsidRPr="001D0846">
        <w:rPr>
          <w:rFonts w:ascii="Times New Roman" w:hAnsi="Times New Roman" w:cs="Times New Roman"/>
          <w:sz w:val="28"/>
          <w:szCs w:val="28"/>
        </w:rPr>
        <w:t>gradului de performanță al administrării impozitelor și taxelor de către SFS și SV</w:t>
      </w:r>
      <w:r w:rsidR="00D84302">
        <w:rPr>
          <w:rFonts w:ascii="Times New Roman" w:hAnsi="Times New Roman" w:cs="Times New Roman"/>
          <w:sz w:val="28"/>
          <w:szCs w:val="28"/>
        </w:rPr>
        <w:t>,</w:t>
      </w:r>
      <w:r w:rsidRPr="001D0846">
        <w:rPr>
          <w:rFonts w:ascii="Times New Roman" w:hAnsi="Times New Roman" w:cs="Times New Roman"/>
          <w:sz w:val="28"/>
          <w:szCs w:val="28"/>
        </w:rPr>
        <w:t xml:space="preserve"> se impune corelarea rezultatelor administrării fis</w:t>
      </w:r>
      <w:r w:rsidR="0029582E">
        <w:rPr>
          <w:rFonts w:ascii="Times New Roman" w:hAnsi="Times New Roman" w:cs="Times New Roman"/>
          <w:sz w:val="28"/>
          <w:szCs w:val="28"/>
        </w:rPr>
        <w:t xml:space="preserve">cale și vamale cu evoluția PIB. </w:t>
      </w:r>
      <w:r w:rsidR="0029582E" w:rsidRPr="0029582E">
        <w:rPr>
          <w:rFonts w:ascii="Times New Roman" w:hAnsi="Times New Roman" w:cs="Times New Roman"/>
          <w:i/>
          <w:sz w:val="28"/>
          <w:szCs w:val="28"/>
        </w:rPr>
        <w:t xml:space="preserve">Informația privind ponderea veniturilor administrate de organele fiscale și vamale în PIB </w:t>
      </w:r>
      <w:r w:rsidR="00D84302">
        <w:rPr>
          <w:rFonts w:ascii="Times New Roman" w:hAnsi="Times New Roman" w:cs="Times New Roman"/>
          <w:i/>
          <w:sz w:val="28"/>
          <w:szCs w:val="28"/>
        </w:rPr>
        <w:t>este</w:t>
      </w:r>
      <w:r w:rsidR="0029582E">
        <w:rPr>
          <w:rFonts w:ascii="Times New Roman" w:hAnsi="Times New Roman" w:cs="Times New Roman"/>
          <w:i/>
          <w:sz w:val="28"/>
          <w:szCs w:val="28"/>
        </w:rPr>
        <w:t xml:space="preserve"> prez</w:t>
      </w:r>
      <w:r w:rsidR="00D84302">
        <w:rPr>
          <w:rFonts w:ascii="Times New Roman" w:hAnsi="Times New Roman" w:cs="Times New Roman"/>
          <w:i/>
          <w:sz w:val="28"/>
          <w:szCs w:val="28"/>
        </w:rPr>
        <w:t>enta</w:t>
      </w:r>
      <w:r w:rsidR="0029582E">
        <w:rPr>
          <w:rFonts w:ascii="Times New Roman" w:hAnsi="Times New Roman" w:cs="Times New Roman"/>
          <w:i/>
          <w:sz w:val="28"/>
          <w:szCs w:val="28"/>
        </w:rPr>
        <w:t xml:space="preserve">tă </w:t>
      </w:r>
      <w:r w:rsidR="0029582E" w:rsidRPr="0029582E">
        <w:rPr>
          <w:rFonts w:ascii="Times New Roman" w:hAnsi="Times New Roman" w:cs="Times New Roman"/>
          <w:i/>
          <w:sz w:val="28"/>
          <w:szCs w:val="28"/>
          <w:lang w:val="ro-MD"/>
        </w:rPr>
        <w:t>în Diagrama nr.</w:t>
      </w:r>
      <w:r w:rsidR="00C47531">
        <w:rPr>
          <w:rFonts w:ascii="Times New Roman" w:hAnsi="Times New Roman" w:cs="Times New Roman"/>
          <w:i/>
          <w:sz w:val="28"/>
          <w:szCs w:val="28"/>
          <w:lang w:val="ro-MD"/>
        </w:rPr>
        <w:t>4</w:t>
      </w:r>
      <w:r w:rsidR="0029582E" w:rsidRPr="0029582E">
        <w:rPr>
          <w:rFonts w:ascii="Times New Roman" w:hAnsi="Times New Roman" w:cs="Times New Roman"/>
          <w:i/>
          <w:sz w:val="28"/>
          <w:szCs w:val="28"/>
          <w:lang w:val="ro-MD"/>
        </w:rPr>
        <w:t>.</w:t>
      </w: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342D30" w:rsidRDefault="00342D30" w:rsidP="0029582E">
      <w:pPr>
        <w:spacing w:after="0" w:line="276" w:lineRule="auto"/>
        <w:ind w:right="-6"/>
        <w:jc w:val="right"/>
        <w:rPr>
          <w:rFonts w:ascii="Times New Roman" w:hAnsi="Times New Roman" w:cs="Times New Roman"/>
          <w:b/>
          <w:i/>
          <w:sz w:val="28"/>
          <w:szCs w:val="28"/>
          <w:lang w:val="it-IT" w:eastAsia="ru-RU"/>
        </w:rPr>
      </w:pPr>
    </w:p>
    <w:p w:rsidR="0029582E" w:rsidRPr="001D0846" w:rsidRDefault="0029582E" w:rsidP="0029582E">
      <w:pPr>
        <w:spacing w:after="0" w:line="276" w:lineRule="auto"/>
        <w:ind w:right="-6"/>
        <w:jc w:val="right"/>
        <w:rPr>
          <w:rFonts w:ascii="Times New Roman" w:hAnsi="Times New Roman" w:cs="Times New Roman"/>
          <w:b/>
          <w:i/>
          <w:sz w:val="28"/>
          <w:szCs w:val="28"/>
          <w:lang w:val="it-IT" w:eastAsia="ru-RU"/>
        </w:rPr>
      </w:pPr>
      <w:r w:rsidRPr="001D0846">
        <w:rPr>
          <w:rFonts w:ascii="Times New Roman" w:hAnsi="Times New Roman" w:cs="Times New Roman"/>
          <w:b/>
          <w:i/>
          <w:sz w:val="28"/>
          <w:szCs w:val="28"/>
          <w:lang w:val="it-IT" w:eastAsia="ru-RU"/>
        </w:rPr>
        <w:lastRenderedPageBreak/>
        <w:t>Diagrama nr.</w:t>
      </w:r>
      <w:r w:rsidR="00C47531">
        <w:rPr>
          <w:rFonts w:ascii="Times New Roman" w:hAnsi="Times New Roman" w:cs="Times New Roman"/>
          <w:b/>
          <w:i/>
          <w:sz w:val="28"/>
          <w:szCs w:val="28"/>
          <w:lang w:val="it-IT" w:eastAsia="ru-RU"/>
        </w:rPr>
        <w:t>4</w:t>
      </w:r>
      <w:r w:rsidRPr="001D0846">
        <w:rPr>
          <w:rFonts w:ascii="Times New Roman" w:hAnsi="Times New Roman" w:cs="Times New Roman"/>
          <w:i/>
          <w:sz w:val="24"/>
          <w:szCs w:val="24"/>
          <w:lang w:val="it-IT" w:eastAsia="ru-RU"/>
        </w:rPr>
        <w:t xml:space="preserve">  </w:t>
      </w:r>
    </w:p>
    <w:p w:rsidR="0029582E" w:rsidRPr="0029582E" w:rsidRDefault="0029582E" w:rsidP="0029582E">
      <w:pPr>
        <w:spacing w:after="0" w:line="276" w:lineRule="auto"/>
        <w:ind w:right="-6"/>
        <w:jc w:val="right"/>
        <w:rPr>
          <w:rFonts w:ascii="Times New Roman" w:hAnsi="Times New Roman" w:cs="Times New Roman"/>
          <w:i/>
          <w:sz w:val="28"/>
          <w:szCs w:val="28"/>
          <w:lang w:val="ro-MD"/>
        </w:rPr>
      </w:pPr>
      <w:r w:rsidRPr="001D0846">
        <w:rPr>
          <w:rFonts w:ascii="Times New Roman" w:hAnsi="Times New Roman" w:cs="Times New Roman"/>
          <w:i/>
          <w:sz w:val="24"/>
          <w:szCs w:val="24"/>
          <w:lang w:val="it-IT" w:eastAsia="ru-RU"/>
        </w:rPr>
        <w:t>(ml</w:t>
      </w:r>
      <w:r>
        <w:rPr>
          <w:rFonts w:ascii="Times New Roman" w:hAnsi="Times New Roman" w:cs="Times New Roman"/>
          <w:i/>
          <w:sz w:val="24"/>
          <w:szCs w:val="24"/>
          <w:lang w:val="it-IT" w:eastAsia="ru-RU"/>
        </w:rPr>
        <w:t>r</w:t>
      </w:r>
      <w:r w:rsidRPr="001D0846">
        <w:rPr>
          <w:rFonts w:ascii="Times New Roman" w:hAnsi="Times New Roman" w:cs="Times New Roman"/>
          <w:i/>
          <w:sz w:val="24"/>
          <w:szCs w:val="24"/>
          <w:lang w:val="it-IT" w:eastAsia="ru-RU"/>
        </w:rPr>
        <w:t>d.lei)</w:t>
      </w:r>
    </w:p>
    <w:p w:rsidR="0029582E" w:rsidRPr="001D0846" w:rsidRDefault="0029582E" w:rsidP="0029582E">
      <w:pPr>
        <w:spacing w:after="0" w:line="276" w:lineRule="auto"/>
        <w:ind w:right="-6"/>
        <w:jc w:val="center"/>
        <w:rPr>
          <w:rFonts w:ascii="Times New Roman" w:hAnsi="Times New Roman" w:cs="Times New Roman"/>
          <w:sz w:val="28"/>
          <w:szCs w:val="28"/>
          <w:lang w:val="ro-MD"/>
        </w:rPr>
      </w:pPr>
      <w:r w:rsidRPr="001D0846">
        <w:rPr>
          <w:rFonts w:ascii="Times New Roman" w:hAnsi="Times New Roman" w:cs="Times New Roman"/>
          <w:noProof/>
          <w:sz w:val="16"/>
          <w:szCs w:val="16"/>
          <w:shd w:val="clear" w:color="auto" w:fill="FFFFFF" w:themeFill="background1"/>
          <w:lang w:val="ru-RU" w:eastAsia="ru-RU"/>
        </w:rPr>
        <w:drawing>
          <wp:inline distT="0" distB="0" distL="0" distR="0" wp14:anchorId="0B8D8E9E" wp14:editId="50A4F526">
            <wp:extent cx="5890260" cy="2987040"/>
            <wp:effectExtent l="0" t="0" r="15240" b="381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582E" w:rsidRPr="001D0846" w:rsidRDefault="0029582E" w:rsidP="00C47531">
      <w:pPr>
        <w:spacing w:after="0" w:line="240" w:lineRule="auto"/>
        <w:ind w:right="-331"/>
        <w:jc w:val="both"/>
        <w:rPr>
          <w:rFonts w:ascii="Times New Roman" w:eastAsia="Calibri" w:hAnsi="Times New Roman" w:cs="Times New Roman"/>
          <w:i/>
          <w:sz w:val="20"/>
          <w:szCs w:val="20"/>
          <w:lang w:val="ro-MD"/>
        </w:rPr>
      </w:pPr>
      <w:r w:rsidRPr="001D0846">
        <w:rPr>
          <w:rFonts w:ascii="Times New Roman" w:eastAsia="Calibri" w:hAnsi="Times New Roman" w:cs="Times New Roman"/>
          <w:b/>
          <w:i/>
          <w:sz w:val="20"/>
          <w:szCs w:val="20"/>
          <w:lang w:val="ro-MD"/>
        </w:rPr>
        <w:t>Sursă:</w:t>
      </w:r>
      <w:r w:rsidRPr="001D0846">
        <w:rPr>
          <w:rFonts w:ascii="Times New Roman" w:eastAsia="Calibri" w:hAnsi="Times New Roman" w:cs="Times New Roman"/>
          <w:i/>
          <w:sz w:val="20"/>
          <w:szCs w:val="20"/>
          <w:lang w:val="ro-MD"/>
        </w:rPr>
        <w:t xml:space="preserve"> Date generalizate de către echipa de audit în baza informațiilor din dările de seamă privind încasările la </w:t>
      </w:r>
    </w:p>
    <w:p w:rsidR="0029582E" w:rsidRPr="001D0846" w:rsidRDefault="0029582E" w:rsidP="00C47531">
      <w:pPr>
        <w:spacing w:after="0" w:line="240" w:lineRule="auto"/>
        <w:ind w:right="-331"/>
        <w:jc w:val="both"/>
        <w:rPr>
          <w:rFonts w:ascii="Times New Roman" w:eastAsia="Calibri" w:hAnsi="Times New Roman" w:cs="Times New Roman"/>
          <w:i/>
          <w:sz w:val="20"/>
          <w:szCs w:val="20"/>
          <w:lang w:val="ro-MD"/>
        </w:rPr>
      </w:pPr>
      <w:r w:rsidRPr="001D0846">
        <w:rPr>
          <w:rFonts w:ascii="Times New Roman" w:eastAsia="Calibri" w:hAnsi="Times New Roman" w:cs="Times New Roman"/>
          <w:i/>
          <w:sz w:val="20"/>
          <w:szCs w:val="20"/>
          <w:lang w:val="ro-MD"/>
        </w:rPr>
        <w:t>BPN administrate de SFS și SV pe anii 2015-2017, precum și anuarul statistic.</w:t>
      </w:r>
    </w:p>
    <w:p w:rsidR="0029582E" w:rsidRPr="0029582E" w:rsidRDefault="0029582E" w:rsidP="00D1586E">
      <w:pPr>
        <w:spacing w:after="0" w:line="276" w:lineRule="auto"/>
        <w:ind w:firstLine="709"/>
        <w:jc w:val="both"/>
        <w:rPr>
          <w:rFonts w:ascii="Times New Roman" w:hAnsi="Times New Roman" w:cs="Times New Roman"/>
          <w:sz w:val="28"/>
          <w:szCs w:val="28"/>
          <w:lang w:val="ro-MD"/>
        </w:rPr>
      </w:pPr>
    </w:p>
    <w:p w:rsidR="00EC0309" w:rsidRPr="001D0846" w:rsidRDefault="006151D1" w:rsidP="0029582E">
      <w:pPr>
        <w:spacing w:after="0" w:line="276" w:lineRule="auto"/>
        <w:ind w:firstLine="709"/>
        <w:jc w:val="both"/>
        <w:rPr>
          <w:rFonts w:ascii="Times New Roman" w:eastAsia="Calibri" w:hAnsi="Times New Roman" w:cs="Times New Roman"/>
          <w:i/>
          <w:sz w:val="20"/>
          <w:szCs w:val="20"/>
          <w:lang w:val="ro-MD"/>
        </w:rPr>
      </w:pPr>
      <w:r w:rsidRPr="001D0846">
        <w:rPr>
          <w:rFonts w:ascii="Times New Roman" w:hAnsi="Times New Roman" w:cs="Times New Roman"/>
          <w:sz w:val="28"/>
          <w:szCs w:val="28"/>
          <w:lang w:val="ro-MD"/>
        </w:rPr>
        <w:t>Analiza datelor prezentate</w:t>
      </w:r>
      <w:r w:rsidR="008C1007" w:rsidRPr="001D0846">
        <w:rPr>
          <w:rFonts w:ascii="Times New Roman" w:hAnsi="Times New Roman" w:cs="Times New Roman"/>
          <w:sz w:val="28"/>
          <w:szCs w:val="28"/>
          <w:lang w:val="ro-MD"/>
        </w:rPr>
        <w:t xml:space="preserve"> în Diagramă relevă o dinamică ascendentă a PIB pe parcursul ultimilor 3 ani, care </w:t>
      </w:r>
      <w:r w:rsidR="00CF47BD" w:rsidRPr="001D0846">
        <w:rPr>
          <w:rFonts w:ascii="Times New Roman" w:hAnsi="Times New Roman" w:cs="Times New Roman"/>
          <w:sz w:val="28"/>
          <w:szCs w:val="28"/>
          <w:lang w:val="ro-MD"/>
        </w:rPr>
        <w:t xml:space="preserve">în anul 2017 </w:t>
      </w:r>
      <w:r w:rsidR="008C1007" w:rsidRPr="001D0846">
        <w:rPr>
          <w:rFonts w:ascii="Times New Roman" w:hAnsi="Times New Roman" w:cs="Times New Roman"/>
          <w:sz w:val="28"/>
          <w:szCs w:val="28"/>
          <w:lang w:val="ro-MD"/>
        </w:rPr>
        <w:t>a înregistrat o creștere de 15</w:t>
      </w:r>
      <w:r w:rsidR="00CF47BD">
        <w:rPr>
          <w:rFonts w:ascii="Times New Roman" w:hAnsi="Times New Roman" w:cs="Times New Roman"/>
          <w:sz w:val="28"/>
          <w:szCs w:val="28"/>
          <w:lang w:val="ro-MD"/>
        </w:rPr>
        <w:t>0</w:t>
      </w:r>
      <w:r w:rsidR="008C1007" w:rsidRPr="001D0846">
        <w:rPr>
          <w:rFonts w:ascii="Times New Roman" w:hAnsi="Times New Roman" w:cs="Times New Roman"/>
          <w:sz w:val="28"/>
          <w:szCs w:val="28"/>
          <w:lang w:val="ro-MD"/>
        </w:rPr>
        <w:t xml:space="preserve"> </w:t>
      </w:r>
      <w:proofErr w:type="spellStart"/>
      <w:r w:rsidR="008C1007" w:rsidRPr="001D0846">
        <w:rPr>
          <w:rFonts w:ascii="Times New Roman" w:hAnsi="Times New Roman" w:cs="Times New Roman"/>
          <w:sz w:val="28"/>
          <w:szCs w:val="28"/>
          <w:lang w:val="ro-MD"/>
        </w:rPr>
        <w:t>ml</w:t>
      </w:r>
      <w:r w:rsidR="00CF47BD">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xml:space="preserve"> față de anul 2016 și de 27,8 </w:t>
      </w:r>
      <w:proofErr w:type="spellStart"/>
      <w:r w:rsidR="008C1007" w:rsidRPr="001D0846">
        <w:rPr>
          <w:rFonts w:ascii="Times New Roman" w:hAnsi="Times New Roman" w:cs="Times New Roman"/>
          <w:sz w:val="28"/>
          <w:szCs w:val="28"/>
          <w:lang w:val="ro-MD"/>
        </w:rPr>
        <w:t>ml</w:t>
      </w:r>
      <w:r w:rsidR="00CF47BD">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xml:space="preserve"> față de anul 2015, ceea ce </w:t>
      </w:r>
      <w:r w:rsidR="0097558C" w:rsidRPr="001D0846">
        <w:rPr>
          <w:rFonts w:ascii="Times New Roman" w:hAnsi="Times New Roman" w:cs="Times New Roman"/>
          <w:sz w:val="28"/>
          <w:szCs w:val="28"/>
          <w:lang w:val="ro-MD"/>
        </w:rPr>
        <w:t>reprezintă</w:t>
      </w:r>
      <w:r w:rsidR="008C1007" w:rsidRPr="001D0846">
        <w:rPr>
          <w:rFonts w:ascii="Times New Roman" w:hAnsi="Times New Roman" w:cs="Times New Roman"/>
          <w:sz w:val="28"/>
          <w:szCs w:val="28"/>
          <w:lang w:val="ro-MD"/>
        </w:rPr>
        <w:t xml:space="preserve"> tendințe pozitive în evoluția economiei Republicii Moldova. Totodată, se denotă că, pe fundalul creșterii PIB, veniturile colectate de SFS și SV au înregistrat o pondere ascendentă,  de la 31,5 % în anul 2015 până la 33,4 % în anul 2017, fiind în creștere cu 1,9 </w:t>
      </w:r>
      <w:proofErr w:type="spellStart"/>
      <w:r w:rsidR="008C1007" w:rsidRPr="001D0846">
        <w:rPr>
          <w:rFonts w:ascii="Times New Roman" w:hAnsi="Times New Roman" w:cs="Times New Roman"/>
          <w:sz w:val="28"/>
          <w:szCs w:val="28"/>
          <w:lang w:val="ro-MD"/>
        </w:rPr>
        <w:t>p.p.</w:t>
      </w:r>
      <w:proofErr w:type="spellEnd"/>
      <w:r w:rsidR="00CF47BD">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w:t>
      </w:r>
      <w:r w:rsidR="00CF47BD">
        <w:rPr>
          <w:rFonts w:ascii="Times New Roman" w:hAnsi="Times New Roman" w:cs="Times New Roman"/>
          <w:sz w:val="28"/>
          <w:szCs w:val="28"/>
          <w:lang w:val="ro-MD"/>
        </w:rPr>
        <w:t>De asemenea</w:t>
      </w:r>
      <w:r w:rsidR="008C1007" w:rsidRPr="001D0846">
        <w:rPr>
          <w:rFonts w:ascii="Times New Roman" w:hAnsi="Times New Roman" w:cs="Times New Roman"/>
          <w:sz w:val="28"/>
          <w:szCs w:val="28"/>
          <w:lang w:val="ro-MD"/>
        </w:rPr>
        <w:t xml:space="preserve">, </w:t>
      </w:r>
      <w:r w:rsidR="00CF47BD">
        <w:rPr>
          <w:rFonts w:ascii="Times New Roman" w:hAnsi="Times New Roman" w:cs="Times New Roman"/>
          <w:sz w:val="28"/>
          <w:szCs w:val="28"/>
          <w:lang w:val="ro-MD"/>
        </w:rPr>
        <w:t xml:space="preserve">s-a constatat că </w:t>
      </w:r>
      <w:r w:rsidR="008C1007" w:rsidRPr="001D0846">
        <w:rPr>
          <w:rFonts w:ascii="Times New Roman" w:hAnsi="Times New Roman" w:cs="Times New Roman"/>
          <w:sz w:val="28"/>
          <w:szCs w:val="28"/>
          <w:lang w:val="ro-MD"/>
        </w:rPr>
        <w:t>asupra creșterii în anul 2017 a veniturilor administrate de organele fiscale și vamale au influențat mai mulți factori, inclusiv: (i) creșterea PIB (cu 15</w:t>
      </w:r>
      <w:r w:rsidR="00CF47BD">
        <w:rPr>
          <w:rFonts w:ascii="Times New Roman" w:hAnsi="Times New Roman" w:cs="Times New Roman"/>
          <w:sz w:val="28"/>
          <w:szCs w:val="28"/>
          <w:lang w:val="ro-MD"/>
        </w:rPr>
        <w:t>,0</w:t>
      </w:r>
      <w:r w:rsidR="008C1007" w:rsidRPr="001D0846">
        <w:rPr>
          <w:rFonts w:ascii="Times New Roman" w:hAnsi="Times New Roman" w:cs="Times New Roman"/>
          <w:sz w:val="28"/>
          <w:szCs w:val="28"/>
          <w:lang w:val="ro-MD"/>
        </w:rPr>
        <w:t xml:space="preserve"> </w:t>
      </w:r>
      <w:proofErr w:type="spellStart"/>
      <w:r w:rsidR="008C1007" w:rsidRPr="001D0846">
        <w:rPr>
          <w:rFonts w:ascii="Times New Roman" w:hAnsi="Times New Roman" w:cs="Times New Roman"/>
          <w:sz w:val="28"/>
          <w:szCs w:val="28"/>
          <w:lang w:val="ro-MD"/>
        </w:rPr>
        <w:t>ml</w:t>
      </w:r>
      <w:r w:rsidR="00CF47BD">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xml:space="preserve">); (ii) </w:t>
      </w:r>
      <w:r w:rsidR="0015723C" w:rsidRPr="001D0846">
        <w:rPr>
          <w:rFonts w:ascii="Times New Roman" w:hAnsi="Times New Roman" w:cs="Times New Roman"/>
          <w:sz w:val="28"/>
          <w:szCs w:val="28"/>
          <w:lang w:val="ro-MD"/>
        </w:rPr>
        <w:t>creșterea</w:t>
      </w:r>
      <w:r w:rsidR="008C1007" w:rsidRPr="001D0846">
        <w:rPr>
          <w:rFonts w:ascii="Times New Roman" w:hAnsi="Times New Roman" w:cs="Times New Roman"/>
          <w:sz w:val="28"/>
          <w:szCs w:val="28"/>
          <w:lang w:val="ro-MD"/>
        </w:rPr>
        <w:t xml:space="preserve"> comerțului exterior (cu 160,3 mil.lei); (iii) creșterea importurilor (cu 11,3 mil.lei) și exporturilor (cu 6,8 mil.lei); (iv) modificările intervenite în politica bugetar-fiscală pe parcursul anului, </w:t>
      </w:r>
      <w:r w:rsidR="00CF47BD">
        <w:rPr>
          <w:rFonts w:ascii="Times New Roman" w:hAnsi="Times New Roman" w:cs="Times New Roman"/>
          <w:sz w:val="28"/>
          <w:szCs w:val="28"/>
          <w:lang w:val="ro-MD"/>
        </w:rPr>
        <w:t xml:space="preserve">fiind </w:t>
      </w:r>
      <w:r w:rsidR="008C1007" w:rsidRPr="001D0846">
        <w:rPr>
          <w:rFonts w:ascii="Times New Roman" w:hAnsi="Times New Roman" w:cs="Times New Roman"/>
          <w:sz w:val="28"/>
          <w:szCs w:val="28"/>
          <w:lang w:val="ro-MD"/>
        </w:rPr>
        <w:t xml:space="preserve"> introdus</w:t>
      </w:r>
      <w:r w:rsidR="00CF47BD">
        <w:rPr>
          <w:rFonts w:ascii="Times New Roman" w:hAnsi="Times New Roman" w:cs="Times New Roman"/>
          <w:sz w:val="28"/>
          <w:szCs w:val="28"/>
          <w:lang w:val="ro-MD"/>
        </w:rPr>
        <w:t>e</w:t>
      </w:r>
      <w:r w:rsidR="008C1007" w:rsidRPr="001D0846">
        <w:rPr>
          <w:rFonts w:ascii="Times New Roman" w:hAnsi="Times New Roman" w:cs="Times New Roman"/>
          <w:sz w:val="28"/>
          <w:szCs w:val="28"/>
          <w:lang w:val="ro-MD"/>
        </w:rPr>
        <w:t xml:space="preserve"> noi impozite și taxe, sau  majorat</w:t>
      </w:r>
      <w:r w:rsidR="00CF47BD">
        <w:rPr>
          <w:rFonts w:ascii="Times New Roman" w:hAnsi="Times New Roman" w:cs="Times New Roman"/>
          <w:sz w:val="28"/>
          <w:szCs w:val="28"/>
          <w:lang w:val="ro-MD"/>
        </w:rPr>
        <w:t>e</w:t>
      </w:r>
      <w:r w:rsidR="008C1007" w:rsidRPr="001D0846">
        <w:rPr>
          <w:rFonts w:ascii="Times New Roman" w:hAnsi="Times New Roman" w:cs="Times New Roman"/>
          <w:sz w:val="28"/>
          <w:szCs w:val="28"/>
          <w:lang w:val="ro-MD"/>
        </w:rPr>
        <w:t xml:space="preserve"> cotele existente.</w:t>
      </w:r>
      <w:r w:rsidR="00442FAB" w:rsidRPr="001D0846">
        <w:rPr>
          <w:rFonts w:ascii="Times New Roman" w:hAnsi="Times New Roman" w:cs="Times New Roman"/>
          <w:sz w:val="28"/>
          <w:szCs w:val="28"/>
          <w:lang w:val="ro-MD"/>
        </w:rPr>
        <w:t xml:space="preserve"> </w:t>
      </w:r>
    </w:p>
    <w:p w:rsidR="00385FE6" w:rsidRPr="001D0846" w:rsidRDefault="00385FE6" w:rsidP="003311D9">
      <w:pPr>
        <w:spacing w:after="0" w:line="240" w:lineRule="auto"/>
        <w:ind w:right="-331" w:firstLine="720"/>
        <w:jc w:val="both"/>
        <w:rPr>
          <w:rFonts w:ascii="Times New Roman" w:hAnsi="Times New Roman" w:cs="Times New Roman"/>
          <w:color w:val="000000"/>
          <w:sz w:val="28"/>
          <w:szCs w:val="28"/>
          <w:shd w:val="clear" w:color="auto" w:fill="FFFFFF"/>
          <w:lang w:val="ro-MD"/>
        </w:rPr>
      </w:pPr>
    </w:p>
    <w:p w:rsidR="001272E2" w:rsidRPr="001D0846" w:rsidRDefault="0029582E" w:rsidP="0029582E">
      <w:pPr>
        <w:spacing w:after="0" w:line="276" w:lineRule="auto"/>
        <w:ind w:right="-2" w:firstLine="709"/>
        <w:jc w:val="both"/>
        <w:rPr>
          <w:rFonts w:ascii="Times New Roman" w:hAnsi="Times New Roman" w:cs="Times New Roman"/>
          <w:i/>
          <w:sz w:val="28"/>
          <w:szCs w:val="28"/>
          <w:lang w:val="ro-MD" w:eastAsia="ru-RU"/>
        </w:rPr>
      </w:pPr>
      <w:r w:rsidRPr="0029582E">
        <w:rPr>
          <w:rFonts w:ascii="Times New Roman" w:hAnsi="Times New Roman" w:cs="Times New Roman"/>
          <w:b/>
          <w:i/>
          <w:sz w:val="28"/>
          <w:szCs w:val="28"/>
          <w:lang w:val="ro-MD" w:eastAsia="ru-RU"/>
        </w:rPr>
        <w:t>3.3.1.</w:t>
      </w:r>
      <w:r>
        <w:rPr>
          <w:rFonts w:ascii="Times New Roman" w:hAnsi="Times New Roman" w:cs="Times New Roman"/>
          <w:i/>
          <w:sz w:val="28"/>
          <w:szCs w:val="28"/>
          <w:lang w:val="ro-MD" w:eastAsia="ru-RU"/>
        </w:rPr>
        <w:t xml:space="preserve"> </w:t>
      </w:r>
      <w:r w:rsidR="001272E2" w:rsidRPr="001D0846">
        <w:rPr>
          <w:rFonts w:ascii="Times New Roman" w:hAnsi="Times New Roman" w:cs="Times New Roman"/>
          <w:i/>
          <w:sz w:val="28"/>
          <w:szCs w:val="28"/>
          <w:lang w:val="ro-MD" w:eastAsia="ru-RU"/>
        </w:rPr>
        <w:t>SFS este împuternicit să administreze veniturile provenite din impozite și ta</w:t>
      </w:r>
      <w:r w:rsidR="00B15024" w:rsidRPr="001D0846">
        <w:rPr>
          <w:rFonts w:ascii="Times New Roman" w:hAnsi="Times New Roman" w:cs="Times New Roman"/>
          <w:i/>
          <w:sz w:val="28"/>
          <w:szCs w:val="28"/>
          <w:lang w:val="ro-MD" w:eastAsia="ru-RU"/>
        </w:rPr>
        <w:t xml:space="preserve">xe la toate bugetele componente </w:t>
      </w:r>
      <w:r w:rsidRPr="001D0846">
        <w:rPr>
          <w:rFonts w:ascii="Times New Roman" w:hAnsi="Times New Roman" w:cs="Times New Roman"/>
          <w:i/>
          <w:sz w:val="28"/>
          <w:szCs w:val="28"/>
          <w:lang w:val="ro-MD" w:eastAsia="ru-RU"/>
        </w:rPr>
        <w:t xml:space="preserve">ale BPN </w:t>
      </w:r>
      <w:r w:rsidR="00B15024" w:rsidRPr="001D0846">
        <w:rPr>
          <w:rFonts w:ascii="Times New Roman" w:hAnsi="Times New Roman" w:cs="Times New Roman"/>
          <w:i/>
          <w:sz w:val="28"/>
          <w:szCs w:val="28"/>
          <w:lang w:val="ro-MD" w:eastAsia="ru-RU"/>
        </w:rPr>
        <w:t>(BS, BASS, BUAT și FAOAM)</w:t>
      </w:r>
      <w:r w:rsidR="001272E2" w:rsidRPr="001D0846">
        <w:rPr>
          <w:rFonts w:ascii="Times New Roman" w:hAnsi="Times New Roman" w:cs="Times New Roman"/>
          <w:i/>
          <w:sz w:val="28"/>
          <w:szCs w:val="28"/>
          <w:lang w:val="ro-MD" w:eastAsia="ru-RU"/>
        </w:rPr>
        <w:t>, purtând responsabilitate pentru corectitudinea calculării și încasării acestora.</w:t>
      </w:r>
    </w:p>
    <w:p w:rsidR="00FD3ABA" w:rsidRPr="00C47531" w:rsidRDefault="001272E2" w:rsidP="002C308C">
      <w:pPr>
        <w:spacing w:after="0" w:line="276" w:lineRule="auto"/>
        <w:ind w:right="-2"/>
        <w:jc w:val="both"/>
        <w:rPr>
          <w:rFonts w:ascii="Times New Roman" w:hAnsi="Times New Roman" w:cs="Times New Roman"/>
          <w:i/>
          <w:sz w:val="28"/>
          <w:szCs w:val="28"/>
          <w:lang w:val="ro-MD" w:eastAsia="ru-RU"/>
        </w:rPr>
      </w:pPr>
      <w:r w:rsidRPr="001D0846">
        <w:rPr>
          <w:lang w:val="ro-MD"/>
        </w:rPr>
        <w:tab/>
      </w:r>
      <w:r w:rsidR="008C1007" w:rsidRPr="001D0846">
        <w:rPr>
          <w:rFonts w:ascii="Times New Roman" w:hAnsi="Times New Roman" w:cs="Times New Roman"/>
          <w:sz w:val="28"/>
          <w:szCs w:val="28"/>
          <w:lang w:val="ro-MD"/>
        </w:rPr>
        <w:t>Potrivit Raportului privind încasările la BPN pe anul 2017, veniturile colectate de SFS (inclusiv restituirile TVA</w:t>
      </w:r>
      <w:r w:rsidR="00691F49" w:rsidRPr="001D0846">
        <w:rPr>
          <w:rFonts w:ascii="Times New Roman" w:hAnsi="Times New Roman" w:cs="Times New Roman"/>
          <w:sz w:val="28"/>
          <w:szCs w:val="28"/>
          <w:lang w:val="ro-MD"/>
        </w:rPr>
        <w:t>/accize</w:t>
      </w:r>
      <w:r w:rsidR="002B7EE7">
        <w:rPr>
          <w:rFonts w:ascii="Times New Roman" w:hAnsi="Times New Roman" w:cs="Times New Roman"/>
          <w:sz w:val="28"/>
          <w:szCs w:val="28"/>
          <w:lang w:val="ro-MD"/>
        </w:rPr>
        <w:t>lor</w:t>
      </w:r>
      <w:r w:rsidR="008C1007" w:rsidRPr="001D0846">
        <w:rPr>
          <w:rFonts w:ascii="Times New Roman" w:hAnsi="Times New Roman" w:cs="Times New Roman"/>
          <w:sz w:val="28"/>
          <w:szCs w:val="28"/>
          <w:lang w:val="ro-MD"/>
        </w:rPr>
        <w:t xml:space="preserve">) au constituit </w:t>
      </w:r>
      <w:r w:rsidR="002B7EE7">
        <w:rPr>
          <w:rFonts w:ascii="Times New Roman" w:hAnsi="Times New Roman" w:cs="Times New Roman"/>
          <w:sz w:val="28"/>
          <w:szCs w:val="28"/>
          <w:lang w:val="ro-MD"/>
        </w:rPr>
        <w:t xml:space="preserve">suma de </w:t>
      </w:r>
      <w:r w:rsidR="008C1007" w:rsidRPr="001D0846">
        <w:rPr>
          <w:rFonts w:ascii="Times New Roman" w:hAnsi="Times New Roman" w:cs="Times New Roman"/>
          <w:sz w:val="28"/>
          <w:szCs w:val="28"/>
          <w:lang w:val="ro-MD"/>
        </w:rPr>
        <w:t xml:space="preserve">32,7 </w:t>
      </w:r>
      <w:proofErr w:type="spellStart"/>
      <w:r w:rsidR="008C1007" w:rsidRPr="001D0846">
        <w:rPr>
          <w:rFonts w:ascii="Times New Roman" w:hAnsi="Times New Roman" w:cs="Times New Roman"/>
          <w:sz w:val="28"/>
          <w:szCs w:val="28"/>
          <w:lang w:val="ro-MD"/>
        </w:rPr>
        <w:t>ml</w:t>
      </w:r>
      <w:r w:rsidR="002B7EE7">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xml:space="preserve">, fiind în creștere cu 5,1 </w:t>
      </w:r>
      <w:proofErr w:type="spellStart"/>
      <w:r w:rsidR="008C1007" w:rsidRPr="001D0846">
        <w:rPr>
          <w:rFonts w:ascii="Times New Roman" w:hAnsi="Times New Roman" w:cs="Times New Roman"/>
          <w:sz w:val="28"/>
          <w:szCs w:val="28"/>
          <w:lang w:val="ro-MD"/>
        </w:rPr>
        <w:t>ml</w:t>
      </w:r>
      <w:r w:rsidR="002B7EE7">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xml:space="preserve">, sau </w:t>
      </w:r>
      <w:r w:rsidR="002B7EE7">
        <w:rPr>
          <w:rFonts w:ascii="Times New Roman" w:hAnsi="Times New Roman" w:cs="Times New Roman"/>
          <w:sz w:val="28"/>
          <w:szCs w:val="28"/>
          <w:lang w:val="ro-MD"/>
        </w:rPr>
        <w:t xml:space="preserve">cu </w:t>
      </w:r>
      <w:r w:rsidR="008C1007" w:rsidRPr="001D0846">
        <w:rPr>
          <w:rFonts w:ascii="Times New Roman" w:hAnsi="Times New Roman" w:cs="Times New Roman"/>
          <w:sz w:val="28"/>
          <w:szCs w:val="28"/>
          <w:lang w:val="ro-MD"/>
        </w:rPr>
        <w:t>1</w:t>
      </w:r>
      <w:r w:rsidR="003B105E">
        <w:rPr>
          <w:rFonts w:ascii="Times New Roman" w:hAnsi="Times New Roman" w:cs="Times New Roman"/>
          <w:sz w:val="28"/>
          <w:szCs w:val="28"/>
          <w:lang w:val="ro-MD"/>
        </w:rPr>
        <w:t xml:space="preserve">8 </w:t>
      </w:r>
      <w:r w:rsidR="008C1007" w:rsidRPr="001D0846">
        <w:rPr>
          <w:rFonts w:ascii="Times New Roman" w:hAnsi="Times New Roman" w:cs="Times New Roman"/>
          <w:sz w:val="28"/>
          <w:szCs w:val="28"/>
          <w:lang w:val="ro-MD"/>
        </w:rPr>
        <w:t>%</w:t>
      </w:r>
      <w:r w:rsidR="002B7EE7">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față de anul 2016 și cu 7,6 </w:t>
      </w:r>
      <w:proofErr w:type="spellStart"/>
      <w:r w:rsidR="008C1007" w:rsidRPr="001D0846">
        <w:rPr>
          <w:rFonts w:ascii="Times New Roman" w:hAnsi="Times New Roman" w:cs="Times New Roman"/>
          <w:sz w:val="28"/>
          <w:szCs w:val="28"/>
          <w:lang w:val="ro-MD"/>
        </w:rPr>
        <w:t>ml</w:t>
      </w:r>
      <w:r w:rsidR="002B7EE7">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xml:space="preserve">, sau cu </w:t>
      </w:r>
      <w:r w:rsidR="00A416D1">
        <w:rPr>
          <w:rFonts w:ascii="Times New Roman" w:hAnsi="Times New Roman" w:cs="Times New Roman"/>
          <w:sz w:val="28"/>
          <w:szCs w:val="28"/>
          <w:lang w:val="ro-MD"/>
        </w:rPr>
        <w:t xml:space="preserve">30 </w:t>
      </w:r>
      <w:r w:rsidR="008C1007" w:rsidRPr="001D0846">
        <w:rPr>
          <w:rFonts w:ascii="Times New Roman" w:hAnsi="Times New Roman" w:cs="Times New Roman"/>
          <w:sz w:val="28"/>
          <w:szCs w:val="28"/>
          <w:lang w:val="ro-MD"/>
        </w:rPr>
        <w:t>%</w:t>
      </w:r>
      <w:r w:rsidR="002B7EE7">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față de anul 2015.</w:t>
      </w:r>
      <w:r w:rsidR="00691F49" w:rsidRPr="001D0846">
        <w:rPr>
          <w:rFonts w:ascii="Times New Roman" w:hAnsi="Times New Roman" w:cs="Times New Roman"/>
          <w:sz w:val="28"/>
          <w:szCs w:val="28"/>
          <w:lang w:val="ro-MD"/>
        </w:rPr>
        <w:t xml:space="preserve"> </w:t>
      </w:r>
      <w:r w:rsidR="008C1007" w:rsidRPr="00C47531">
        <w:rPr>
          <w:rFonts w:ascii="Times New Roman" w:hAnsi="Times New Roman" w:cs="Times New Roman"/>
          <w:i/>
          <w:sz w:val="28"/>
          <w:szCs w:val="28"/>
          <w:lang w:val="ro-MD" w:eastAsia="ru-RU"/>
        </w:rPr>
        <w:t xml:space="preserve">Structura și dinamica veniturilor </w:t>
      </w:r>
      <w:r w:rsidR="002B7EE7" w:rsidRPr="00C47531">
        <w:rPr>
          <w:rFonts w:ascii="Times New Roman" w:hAnsi="Times New Roman" w:cs="Times New Roman"/>
          <w:i/>
          <w:sz w:val="28"/>
          <w:szCs w:val="28"/>
          <w:lang w:val="ro-MD" w:eastAsia="ru-RU"/>
        </w:rPr>
        <w:t xml:space="preserve">la BPN </w:t>
      </w:r>
      <w:r w:rsidR="008C1007" w:rsidRPr="00C47531">
        <w:rPr>
          <w:rFonts w:ascii="Times New Roman" w:hAnsi="Times New Roman" w:cs="Times New Roman"/>
          <w:i/>
          <w:sz w:val="28"/>
          <w:szCs w:val="28"/>
          <w:lang w:val="ro-MD" w:eastAsia="ru-RU"/>
        </w:rPr>
        <w:t xml:space="preserve">administrate </w:t>
      </w:r>
      <w:r w:rsidR="002B7EE7" w:rsidRPr="00C47531">
        <w:rPr>
          <w:rFonts w:ascii="Times New Roman" w:hAnsi="Times New Roman" w:cs="Times New Roman"/>
          <w:i/>
          <w:sz w:val="28"/>
          <w:szCs w:val="28"/>
          <w:lang w:val="ro-MD" w:eastAsia="ru-RU"/>
        </w:rPr>
        <w:t xml:space="preserve">de </w:t>
      </w:r>
      <w:r w:rsidR="002B7EE7" w:rsidRPr="00C47531">
        <w:rPr>
          <w:rFonts w:ascii="Times New Roman" w:hAnsi="Times New Roman" w:cs="Times New Roman"/>
          <w:i/>
          <w:sz w:val="28"/>
          <w:szCs w:val="28"/>
          <w:lang w:val="ro-MD" w:eastAsia="ru-RU"/>
        </w:rPr>
        <w:lastRenderedPageBreak/>
        <w:t xml:space="preserve">către organele fiscale </w:t>
      </w:r>
      <w:r w:rsidR="008C1007" w:rsidRPr="00C47531">
        <w:rPr>
          <w:rFonts w:ascii="Times New Roman" w:hAnsi="Times New Roman" w:cs="Times New Roman"/>
          <w:i/>
          <w:sz w:val="28"/>
          <w:szCs w:val="28"/>
          <w:lang w:val="ro-MD" w:eastAsia="ru-RU"/>
        </w:rPr>
        <w:t xml:space="preserve">în perioada </w:t>
      </w:r>
      <w:r w:rsidR="002B7EE7">
        <w:rPr>
          <w:rFonts w:ascii="Times New Roman" w:hAnsi="Times New Roman" w:cs="Times New Roman"/>
          <w:i/>
          <w:sz w:val="28"/>
          <w:szCs w:val="28"/>
          <w:lang w:val="ro-MD" w:eastAsia="ru-RU"/>
        </w:rPr>
        <w:t xml:space="preserve">anilor </w:t>
      </w:r>
      <w:r w:rsidR="008C1007" w:rsidRPr="00C47531">
        <w:rPr>
          <w:rFonts w:ascii="Times New Roman" w:hAnsi="Times New Roman" w:cs="Times New Roman"/>
          <w:i/>
          <w:sz w:val="28"/>
          <w:szCs w:val="28"/>
          <w:lang w:val="ro-MD" w:eastAsia="ru-RU"/>
        </w:rPr>
        <w:t>2015-2017 s</w:t>
      </w:r>
      <w:r w:rsidR="002B7EE7">
        <w:rPr>
          <w:rFonts w:ascii="Times New Roman" w:hAnsi="Times New Roman" w:cs="Times New Roman"/>
          <w:i/>
          <w:sz w:val="28"/>
          <w:szCs w:val="28"/>
          <w:lang w:val="ro-MD" w:eastAsia="ru-RU"/>
        </w:rPr>
        <w:t>unt</w:t>
      </w:r>
      <w:r w:rsidR="008C1007" w:rsidRPr="00C47531">
        <w:rPr>
          <w:rFonts w:ascii="Times New Roman" w:hAnsi="Times New Roman" w:cs="Times New Roman"/>
          <w:i/>
          <w:sz w:val="28"/>
          <w:szCs w:val="28"/>
          <w:lang w:val="ro-MD" w:eastAsia="ru-RU"/>
        </w:rPr>
        <w:t xml:space="preserve"> prez</w:t>
      </w:r>
      <w:r w:rsidR="002B7EE7">
        <w:rPr>
          <w:rFonts w:ascii="Times New Roman" w:hAnsi="Times New Roman" w:cs="Times New Roman"/>
          <w:i/>
          <w:sz w:val="28"/>
          <w:szCs w:val="28"/>
          <w:lang w:val="ro-MD" w:eastAsia="ru-RU"/>
        </w:rPr>
        <w:t>enta</w:t>
      </w:r>
      <w:r w:rsidR="008C1007" w:rsidRPr="00C47531">
        <w:rPr>
          <w:rFonts w:ascii="Times New Roman" w:hAnsi="Times New Roman" w:cs="Times New Roman"/>
          <w:i/>
          <w:sz w:val="28"/>
          <w:szCs w:val="28"/>
          <w:lang w:val="ro-MD" w:eastAsia="ru-RU"/>
        </w:rPr>
        <w:t>t</w:t>
      </w:r>
      <w:r w:rsidR="002B7EE7">
        <w:rPr>
          <w:rFonts w:ascii="Times New Roman" w:hAnsi="Times New Roman" w:cs="Times New Roman"/>
          <w:i/>
          <w:sz w:val="28"/>
          <w:szCs w:val="28"/>
          <w:lang w:val="ro-MD" w:eastAsia="ru-RU"/>
        </w:rPr>
        <w:t>e</w:t>
      </w:r>
      <w:r w:rsidR="008C1007" w:rsidRPr="00C47531">
        <w:rPr>
          <w:rFonts w:ascii="Times New Roman" w:hAnsi="Times New Roman" w:cs="Times New Roman"/>
          <w:i/>
          <w:sz w:val="28"/>
          <w:szCs w:val="28"/>
          <w:lang w:val="ro-MD" w:eastAsia="ru-RU"/>
        </w:rPr>
        <w:t xml:space="preserve"> în Diagrama </w:t>
      </w:r>
      <w:r w:rsidR="007D2A25" w:rsidRPr="00C47531">
        <w:rPr>
          <w:rFonts w:ascii="Times New Roman" w:hAnsi="Times New Roman" w:cs="Times New Roman"/>
          <w:i/>
          <w:sz w:val="28"/>
          <w:szCs w:val="28"/>
          <w:lang w:val="ro-MD" w:eastAsia="ru-RU"/>
        </w:rPr>
        <w:t>nr.</w:t>
      </w:r>
      <w:r w:rsidR="00C47531" w:rsidRPr="00C47531">
        <w:rPr>
          <w:rFonts w:ascii="Times New Roman" w:hAnsi="Times New Roman" w:cs="Times New Roman"/>
          <w:i/>
          <w:sz w:val="28"/>
          <w:szCs w:val="28"/>
          <w:lang w:val="ro-MD" w:eastAsia="ru-RU"/>
        </w:rPr>
        <w:t>5</w:t>
      </w:r>
      <w:r w:rsidR="008C1007" w:rsidRPr="00C47531">
        <w:rPr>
          <w:rFonts w:ascii="Times New Roman" w:hAnsi="Times New Roman" w:cs="Times New Roman"/>
          <w:i/>
          <w:sz w:val="28"/>
          <w:szCs w:val="28"/>
          <w:lang w:val="ro-MD" w:eastAsia="ru-RU"/>
        </w:rPr>
        <w:t xml:space="preserve">. </w:t>
      </w:r>
    </w:p>
    <w:p w:rsidR="0029582E" w:rsidRDefault="00F358D7" w:rsidP="002C308C">
      <w:pPr>
        <w:spacing w:after="0" w:line="276" w:lineRule="auto"/>
        <w:ind w:right="-6"/>
        <w:jc w:val="right"/>
        <w:rPr>
          <w:rFonts w:ascii="Times New Roman" w:hAnsi="Times New Roman" w:cs="Times New Roman"/>
          <w:b/>
          <w:i/>
          <w:sz w:val="28"/>
          <w:szCs w:val="28"/>
          <w:lang w:val="ro-MD" w:eastAsia="ru-RU"/>
        </w:rPr>
      </w:pPr>
      <w:r w:rsidRPr="001D0846">
        <w:rPr>
          <w:rFonts w:ascii="Times New Roman" w:hAnsi="Times New Roman" w:cs="Times New Roman"/>
          <w:b/>
          <w:i/>
          <w:sz w:val="28"/>
          <w:szCs w:val="28"/>
          <w:lang w:val="ro-MD" w:eastAsia="ru-RU"/>
        </w:rPr>
        <w:t>Diagrama nr.</w:t>
      </w:r>
      <w:r w:rsidR="00C47531">
        <w:rPr>
          <w:rFonts w:ascii="Times New Roman" w:hAnsi="Times New Roman" w:cs="Times New Roman"/>
          <w:b/>
          <w:i/>
          <w:sz w:val="28"/>
          <w:szCs w:val="28"/>
          <w:lang w:val="ro-MD" w:eastAsia="ru-RU"/>
        </w:rPr>
        <w:t>5</w:t>
      </w:r>
    </w:p>
    <w:p w:rsidR="0029582E" w:rsidRDefault="0029582E" w:rsidP="002C308C">
      <w:pPr>
        <w:spacing w:after="0" w:line="276" w:lineRule="auto"/>
        <w:ind w:right="-6"/>
        <w:jc w:val="right"/>
        <w:rPr>
          <w:rFonts w:ascii="Times New Roman" w:hAnsi="Times New Roman" w:cs="Times New Roman"/>
          <w:b/>
          <w:i/>
          <w:sz w:val="28"/>
          <w:szCs w:val="28"/>
          <w:lang w:val="ro-MD" w:eastAsia="ru-RU"/>
        </w:rPr>
      </w:pPr>
      <w:r w:rsidRPr="001D0846">
        <w:rPr>
          <w:rFonts w:ascii="Times New Roman" w:hAnsi="Times New Roman" w:cs="Times New Roman"/>
          <w:i/>
          <w:sz w:val="24"/>
          <w:szCs w:val="24"/>
          <w:lang w:val="it-IT" w:eastAsia="ru-RU"/>
        </w:rPr>
        <w:t>(ml</w:t>
      </w:r>
      <w:r>
        <w:rPr>
          <w:rFonts w:ascii="Times New Roman" w:hAnsi="Times New Roman" w:cs="Times New Roman"/>
          <w:i/>
          <w:sz w:val="24"/>
          <w:szCs w:val="24"/>
          <w:lang w:val="it-IT" w:eastAsia="ru-RU"/>
        </w:rPr>
        <w:t>r</w:t>
      </w:r>
      <w:r w:rsidRPr="001D0846">
        <w:rPr>
          <w:rFonts w:ascii="Times New Roman" w:hAnsi="Times New Roman" w:cs="Times New Roman"/>
          <w:i/>
          <w:sz w:val="24"/>
          <w:szCs w:val="24"/>
          <w:lang w:val="it-IT" w:eastAsia="ru-RU"/>
        </w:rPr>
        <w:t>d.lei)</w:t>
      </w:r>
    </w:p>
    <w:p w:rsidR="00F358D7" w:rsidRPr="001D0846" w:rsidRDefault="00F358D7" w:rsidP="002C308C">
      <w:pPr>
        <w:spacing w:after="0" w:line="276" w:lineRule="auto"/>
        <w:ind w:right="95"/>
        <w:jc w:val="right"/>
        <w:rPr>
          <w:rFonts w:ascii="Times New Roman" w:hAnsi="Times New Roman" w:cs="Times New Roman"/>
          <w:b/>
          <w:i/>
          <w:sz w:val="28"/>
          <w:szCs w:val="28"/>
          <w:lang w:val="ro-MD" w:eastAsia="ru-RU"/>
        </w:rPr>
      </w:pPr>
      <w:r w:rsidRPr="001D0846">
        <w:rPr>
          <w:rFonts w:cs="Times New Roman"/>
          <w:noProof/>
          <w:sz w:val="28"/>
          <w:szCs w:val="28"/>
          <w:lang w:val="ru-RU" w:eastAsia="ru-RU"/>
        </w:rPr>
        <w:drawing>
          <wp:inline distT="0" distB="0" distL="0" distR="0" wp14:anchorId="3F5FB07D" wp14:editId="5502932F">
            <wp:extent cx="1946275" cy="2042160"/>
            <wp:effectExtent l="0" t="0" r="1587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D0846">
        <w:rPr>
          <w:rFonts w:ascii="Times New Roman" w:hAnsi="Times New Roman" w:cs="Times New Roman"/>
          <w:sz w:val="28"/>
          <w:szCs w:val="28"/>
          <w:lang w:val="ro-MD" w:eastAsia="ru-RU"/>
        </w:rPr>
        <w:t xml:space="preserve"> </w:t>
      </w:r>
      <w:r w:rsidRPr="001D0846">
        <w:rPr>
          <w:rFonts w:cs="Times New Roman"/>
          <w:noProof/>
          <w:sz w:val="28"/>
          <w:szCs w:val="28"/>
          <w:lang w:val="ru-RU" w:eastAsia="ru-RU"/>
        </w:rPr>
        <w:drawing>
          <wp:inline distT="0" distB="0" distL="0" distR="0" wp14:anchorId="5ED561DE" wp14:editId="3B185BCA">
            <wp:extent cx="1915795" cy="2049780"/>
            <wp:effectExtent l="0" t="0" r="8255"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D0846">
        <w:rPr>
          <w:rFonts w:cs="Times New Roman"/>
          <w:noProof/>
          <w:sz w:val="28"/>
          <w:szCs w:val="28"/>
          <w:lang w:val="ru-RU" w:eastAsia="ru-RU"/>
        </w:rPr>
        <w:drawing>
          <wp:inline distT="0" distB="0" distL="0" distR="0" wp14:anchorId="30861B91" wp14:editId="23DC5295">
            <wp:extent cx="1902460" cy="2042160"/>
            <wp:effectExtent l="0" t="0" r="254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58D7" w:rsidRPr="001D0846" w:rsidRDefault="00F358D7" w:rsidP="00C47531">
      <w:pPr>
        <w:spacing w:after="0" w:line="240" w:lineRule="auto"/>
        <w:jc w:val="both"/>
        <w:rPr>
          <w:rFonts w:ascii="Times New Roman" w:eastAsia="Calibri" w:hAnsi="Times New Roman"/>
          <w:i/>
          <w:sz w:val="20"/>
          <w:szCs w:val="20"/>
          <w:lang w:val="ro-MD"/>
        </w:rPr>
      </w:pPr>
      <w:r w:rsidRPr="001D0846">
        <w:rPr>
          <w:rFonts w:ascii="Times New Roman" w:eastAsia="Calibri" w:hAnsi="Times New Roman"/>
          <w:b/>
          <w:i/>
          <w:sz w:val="20"/>
          <w:szCs w:val="20"/>
          <w:lang w:val="ro-MD"/>
        </w:rPr>
        <w:t>Sursă:</w:t>
      </w:r>
      <w:r w:rsidRPr="001D0846">
        <w:rPr>
          <w:rFonts w:ascii="Times New Roman" w:eastAsia="Calibri" w:hAnsi="Times New Roman"/>
          <w:i/>
          <w:sz w:val="20"/>
          <w:szCs w:val="20"/>
          <w:lang w:val="ro-MD"/>
        </w:rPr>
        <w:t xml:space="preserve"> Date generalizate de către echipa de audit în baza informațiilor din dările de seamă privind </w:t>
      </w:r>
      <w:r w:rsidR="004D2143" w:rsidRPr="001D0846">
        <w:rPr>
          <w:rFonts w:ascii="Times New Roman" w:eastAsia="Calibri" w:hAnsi="Times New Roman"/>
          <w:i/>
          <w:sz w:val="20"/>
          <w:szCs w:val="20"/>
          <w:lang w:val="ro-MD"/>
        </w:rPr>
        <w:t xml:space="preserve">încasările </w:t>
      </w:r>
      <w:r w:rsidRPr="001D0846">
        <w:rPr>
          <w:rFonts w:ascii="Times New Roman" w:eastAsia="Calibri" w:hAnsi="Times New Roman"/>
          <w:i/>
          <w:sz w:val="20"/>
          <w:szCs w:val="20"/>
          <w:lang w:val="ro-MD"/>
        </w:rPr>
        <w:t xml:space="preserve">la </w:t>
      </w:r>
      <w:r w:rsidRPr="001D0846">
        <w:rPr>
          <w:rFonts w:ascii="Times New Roman" w:eastAsia="Calibri" w:hAnsi="Times New Roman" w:cs="Times New Roman"/>
          <w:i/>
          <w:sz w:val="20"/>
          <w:szCs w:val="20"/>
          <w:lang w:val="ro-MD"/>
        </w:rPr>
        <w:t xml:space="preserve"> BPN administrate de SFS pe anii 2015-2017.</w:t>
      </w:r>
    </w:p>
    <w:p w:rsidR="00F358D7" w:rsidRPr="001D0846" w:rsidRDefault="00F358D7" w:rsidP="00C47531">
      <w:pPr>
        <w:spacing w:after="0" w:line="240" w:lineRule="auto"/>
        <w:ind w:right="-244"/>
        <w:jc w:val="both"/>
        <w:rPr>
          <w:rFonts w:ascii="Times New Roman" w:hAnsi="Times New Roman" w:cs="Times New Roman"/>
          <w:sz w:val="28"/>
          <w:szCs w:val="28"/>
          <w:lang w:val="ro-MD" w:eastAsia="ru-RU"/>
        </w:rPr>
      </w:pPr>
    </w:p>
    <w:p w:rsidR="008C1007" w:rsidRPr="001D0846" w:rsidRDefault="008C1007" w:rsidP="002C308C">
      <w:pPr>
        <w:spacing w:after="0" w:line="276" w:lineRule="auto"/>
        <w:ind w:right="-2"/>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ab/>
        <w:t>Datele prezentate în Diagramă relevă o dinamică ascendentă a veniturilor din impozite și taxe administrate de SFS la bugetele componente ale BPN</w:t>
      </w:r>
      <w:r w:rsidR="00D4179D">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 xml:space="preserve">de la 25,1 </w:t>
      </w:r>
      <w:proofErr w:type="spellStart"/>
      <w:r w:rsidRPr="001D0846">
        <w:rPr>
          <w:rFonts w:ascii="Times New Roman" w:hAnsi="Times New Roman" w:cs="Times New Roman"/>
          <w:sz w:val="28"/>
          <w:szCs w:val="28"/>
          <w:lang w:val="ro-MD"/>
        </w:rPr>
        <w:t>ml</w:t>
      </w:r>
      <w:r w:rsidR="00D4179D">
        <w:rPr>
          <w:rFonts w:ascii="Times New Roman" w:hAnsi="Times New Roman" w:cs="Times New Roman"/>
          <w:sz w:val="28"/>
          <w:szCs w:val="28"/>
          <w:lang w:val="ro-MD"/>
        </w:rPr>
        <w:t>r</w:t>
      </w:r>
      <w:r w:rsidRPr="001D0846">
        <w:rPr>
          <w:rFonts w:ascii="Times New Roman" w:hAnsi="Times New Roman" w:cs="Times New Roman"/>
          <w:sz w:val="28"/>
          <w:szCs w:val="28"/>
          <w:lang w:val="ro-MD"/>
        </w:rPr>
        <w:t>d.lei</w:t>
      </w:r>
      <w:proofErr w:type="spellEnd"/>
      <w:r w:rsidRPr="001D0846">
        <w:rPr>
          <w:rFonts w:ascii="Times New Roman" w:hAnsi="Times New Roman" w:cs="Times New Roman"/>
          <w:sz w:val="28"/>
          <w:szCs w:val="28"/>
          <w:lang w:val="ro-MD"/>
        </w:rPr>
        <w:t xml:space="preserve"> în anul 2015 până la 32,7 </w:t>
      </w:r>
      <w:proofErr w:type="spellStart"/>
      <w:r w:rsidRPr="001D0846">
        <w:rPr>
          <w:rFonts w:ascii="Times New Roman" w:hAnsi="Times New Roman" w:cs="Times New Roman"/>
          <w:sz w:val="28"/>
          <w:szCs w:val="28"/>
          <w:lang w:val="ro-MD"/>
        </w:rPr>
        <w:t>ml</w:t>
      </w:r>
      <w:r w:rsidR="00D4179D">
        <w:rPr>
          <w:rFonts w:ascii="Times New Roman" w:hAnsi="Times New Roman" w:cs="Times New Roman"/>
          <w:sz w:val="28"/>
          <w:szCs w:val="28"/>
          <w:lang w:val="ro-MD"/>
        </w:rPr>
        <w:t>r</w:t>
      </w:r>
      <w:r w:rsidRPr="001D0846">
        <w:rPr>
          <w:rFonts w:ascii="Times New Roman" w:hAnsi="Times New Roman" w:cs="Times New Roman"/>
          <w:sz w:val="28"/>
          <w:szCs w:val="28"/>
          <w:lang w:val="ro-MD"/>
        </w:rPr>
        <w:t>d.lei</w:t>
      </w:r>
      <w:proofErr w:type="spellEnd"/>
      <w:r w:rsidRPr="001D0846">
        <w:rPr>
          <w:rFonts w:ascii="Times New Roman" w:hAnsi="Times New Roman" w:cs="Times New Roman"/>
          <w:sz w:val="28"/>
          <w:szCs w:val="28"/>
          <w:lang w:val="ro-MD"/>
        </w:rPr>
        <w:t xml:space="preserve"> în anul 2017</w:t>
      </w:r>
      <w:r w:rsidR="00D4179D">
        <w:rPr>
          <w:rFonts w:ascii="Times New Roman" w:hAnsi="Times New Roman" w:cs="Times New Roman"/>
          <w:sz w:val="28"/>
          <w:szCs w:val="28"/>
          <w:lang w:val="ro-MD"/>
        </w:rPr>
        <w:t>)</w:t>
      </w:r>
      <w:r w:rsidRPr="001D0846">
        <w:rPr>
          <w:rFonts w:ascii="Times New Roman" w:hAnsi="Times New Roman" w:cs="Times New Roman"/>
          <w:sz w:val="28"/>
          <w:szCs w:val="28"/>
          <w:lang w:val="ro-MD"/>
        </w:rPr>
        <w:t>. În totalul veniturilor administrate de SFS la BPN</w:t>
      </w:r>
      <w:r w:rsidR="00D4179D">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ponderea majoră o dețin veniturile BS</w:t>
      </w:r>
      <w:r w:rsidR="00D4179D">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care în anul 2017 au constituit 14,3 </w:t>
      </w:r>
      <w:proofErr w:type="spellStart"/>
      <w:r w:rsidRPr="001D0846">
        <w:rPr>
          <w:rFonts w:ascii="Times New Roman" w:hAnsi="Times New Roman" w:cs="Times New Roman"/>
          <w:sz w:val="28"/>
          <w:szCs w:val="28"/>
          <w:lang w:val="ro-MD"/>
        </w:rPr>
        <w:t>ml</w:t>
      </w:r>
      <w:r w:rsidR="00D4179D">
        <w:rPr>
          <w:rFonts w:ascii="Times New Roman" w:hAnsi="Times New Roman" w:cs="Times New Roman"/>
          <w:sz w:val="28"/>
          <w:szCs w:val="28"/>
          <w:lang w:val="ro-MD"/>
        </w:rPr>
        <w:t>r</w:t>
      </w:r>
      <w:r w:rsidRPr="001D0846">
        <w:rPr>
          <w:rFonts w:ascii="Times New Roman" w:hAnsi="Times New Roman" w:cs="Times New Roman"/>
          <w:sz w:val="28"/>
          <w:szCs w:val="28"/>
          <w:lang w:val="ro-MD"/>
        </w:rPr>
        <w:t>d</w:t>
      </w:r>
      <w:proofErr w:type="spellEnd"/>
      <w:r w:rsidRPr="001D0846">
        <w:rPr>
          <w:rFonts w:ascii="Times New Roman" w:hAnsi="Times New Roman" w:cs="Times New Roman"/>
          <w:sz w:val="28"/>
          <w:szCs w:val="28"/>
          <w:lang w:val="ro-MD"/>
        </w:rPr>
        <w:t xml:space="preserve">. lei (44%), fiind în creștere cu 3,8 </w:t>
      </w:r>
      <w:proofErr w:type="spellStart"/>
      <w:r w:rsidRPr="001D0846">
        <w:rPr>
          <w:rFonts w:ascii="Times New Roman" w:hAnsi="Times New Roman" w:cs="Times New Roman"/>
          <w:sz w:val="28"/>
          <w:szCs w:val="28"/>
          <w:lang w:val="ro-MD"/>
        </w:rPr>
        <w:t>ml</w:t>
      </w:r>
      <w:r w:rsidR="00D4179D">
        <w:rPr>
          <w:rFonts w:ascii="Times New Roman" w:hAnsi="Times New Roman" w:cs="Times New Roman"/>
          <w:sz w:val="28"/>
          <w:szCs w:val="28"/>
          <w:lang w:val="ro-MD"/>
        </w:rPr>
        <w:t>r</w:t>
      </w:r>
      <w:r w:rsidRPr="001D0846">
        <w:rPr>
          <w:rFonts w:ascii="Times New Roman" w:hAnsi="Times New Roman" w:cs="Times New Roman"/>
          <w:sz w:val="28"/>
          <w:szCs w:val="28"/>
          <w:lang w:val="ro-MD"/>
        </w:rPr>
        <w:t>d</w:t>
      </w:r>
      <w:proofErr w:type="spellEnd"/>
      <w:r w:rsidRPr="001D0846">
        <w:rPr>
          <w:rFonts w:ascii="Times New Roman" w:hAnsi="Times New Roman" w:cs="Times New Roman"/>
          <w:sz w:val="28"/>
          <w:szCs w:val="28"/>
          <w:lang w:val="ro-MD"/>
        </w:rPr>
        <w:t xml:space="preserve">. lei (2%) față de anul 2015. O creștere a veniturilor administrate de SFS se atestă la BASS și FAOAM, care în anul 2017 au fost majorate cu </w:t>
      </w:r>
      <w:r w:rsidRPr="001D0846">
        <w:rPr>
          <w:rFonts w:ascii="Times New Roman" w:hAnsi="Times New Roman" w:cs="Times New Roman"/>
          <w:spacing w:val="8"/>
          <w:sz w:val="28"/>
          <w:szCs w:val="28"/>
          <w:lang w:val="ro-MD"/>
        </w:rPr>
        <w:t xml:space="preserve">2,5 </w:t>
      </w:r>
      <w:proofErr w:type="spellStart"/>
      <w:r w:rsidRPr="001D0846">
        <w:rPr>
          <w:rFonts w:ascii="Times New Roman" w:hAnsi="Times New Roman" w:cs="Times New Roman"/>
          <w:spacing w:val="8"/>
          <w:sz w:val="28"/>
          <w:szCs w:val="28"/>
          <w:lang w:val="ro-MD"/>
        </w:rPr>
        <w:t>ml</w:t>
      </w:r>
      <w:r w:rsidR="00D4179D">
        <w:rPr>
          <w:rFonts w:ascii="Times New Roman" w:hAnsi="Times New Roman" w:cs="Times New Roman"/>
          <w:spacing w:val="8"/>
          <w:sz w:val="28"/>
          <w:szCs w:val="28"/>
          <w:lang w:val="ro-MD"/>
        </w:rPr>
        <w:t>r</w:t>
      </w:r>
      <w:r w:rsidRPr="001D0846">
        <w:rPr>
          <w:rFonts w:ascii="Times New Roman" w:hAnsi="Times New Roman" w:cs="Times New Roman"/>
          <w:spacing w:val="8"/>
          <w:sz w:val="28"/>
          <w:szCs w:val="28"/>
          <w:lang w:val="ro-MD"/>
        </w:rPr>
        <w:t>d</w:t>
      </w:r>
      <w:proofErr w:type="spellEnd"/>
      <w:r w:rsidRPr="001D0846">
        <w:rPr>
          <w:rFonts w:ascii="Times New Roman" w:hAnsi="Times New Roman" w:cs="Times New Roman"/>
          <w:spacing w:val="8"/>
          <w:sz w:val="28"/>
          <w:szCs w:val="28"/>
          <w:lang w:val="ro-MD"/>
        </w:rPr>
        <w:t>. lei și</w:t>
      </w:r>
      <w:r w:rsidR="00D4179D">
        <w:rPr>
          <w:rFonts w:ascii="Times New Roman" w:hAnsi="Times New Roman" w:cs="Times New Roman"/>
          <w:spacing w:val="8"/>
          <w:sz w:val="28"/>
          <w:szCs w:val="28"/>
          <w:lang w:val="ro-MD"/>
        </w:rPr>
        <w:t>,</w:t>
      </w:r>
      <w:r w:rsidRPr="001D0846">
        <w:rPr>
          <w:rFonts w:ascii="Times New Roman" w:hAnsi="Times New Roman" w:cs="Times New Roman"/>
          <w:spacing w:val="8"/>
          <w:sz w:val="28"/>
          <w:szCs w:val="28"/>
          <w:lang w:val="ro-MD"/>
        </w:rPr>
        <w:t xml:space="preserve"> respectiv</w:t>
      </w:r>
      <w:r w:rsidR="00D4179D">
        <w:rPr>
          <w:rFonts w:ascii="Times New Roman" w:hAnsi="Times New Roman" w:cs="Times New Roman"/>
          <w:spacing w:val="8"/>
          <w:sz w:val="28"/>
          <w:szCs w:val="28"/>
          <w:lang w:val="ro-MD"/>
        </w:rPr>
        <w:t>, cu</w:t>
      </w:r>
      <w:r w:rsidRPr="001D0846">
        <w:rPr>
          <w:rFonts w:ascii="Times New Roman" w:hAnsi="Times New Roman" w:cs="Times New Roman"/>
          <w:spacing w:val="8"/>
          <w:sz w:val="28"/>
          <w:szCs w:val="28"/>
          <w:lang w:val="ro-MD"/>
        </w:rPr>
        <w:t xml:space="preserve"> 0,7 </w:t>
      </w:r>
      <w:proofErr w:type="spellStart"/>
      <w:r w:rsidRPr="001D0846">
        <w:rPr>
          <w:rFonts w:ascii="Times New Roman" w:hAnsi="Times New Roman" w:cs="Times New Roman"/>
          <w:spacing w:val="8"/>
          <w:sz w:val="28"/>
          <w:szCs w:val="28"/>
          <w:lang w:val="ro-MD"/>
        </w:rPr>
        <w:t>mld.lei</w:t>
      </w:r>
      <w:proofErr w:type="spellEnd"/>
      <w:r w:rsidRPr="001D0846">
        <w:rPr>
          <w:rFonts w:ascii="Times New Roman" w:hAnsi="Times New Roman" w:cs="Times New Roman"/>
          <w:sz w:val="28"/>
          <w:szCs w:val="28"/>
          <w:lang w:val="ro-MD"/>
        </w:rPr>
        <w:t xml:space="preserve"> față de anul 2015, deținând pondere</w:t>
      </w:r>
      <w:r w:rsidR="00D4179D">
        <w:rPr>
          <w:rFonts w:ascii="Times New Roman" w:hAnsi="Times New Roman" w:cs="Times New Roman"/>
          <w:sz w:val="28"/>
          <w:szCs w:val="28"/>
          <w:lang w:val="ro-MD"/>
        </w:rPr>
        <w:t>a</w:t>
      </w:r>
      <w:r w:rsidRPr="001D0846">
        <w:rPr>
          <w:rFonts w:ascii="Times New Roman" w:hAnsi="Times New Roman" w:cs="Times New Roman"/>
          <w:sz w:val="28"/>
          <w:szCs w:val="28"/>
          <w:lang w:val="ro-MD"/>
        </w:rPr>
        <w:t xml:space="preserve"> de 35% și</w:t>
      </w:r>
      <w:r w:rsidR="00D4179D">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respectiv</w:t>
      </w:r>
      <w:r w:rsidR="00D4179D">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11% în totalul veniturilor BPN. De asemenea, în anul 2017 se </w:t>
      </w:r>
      <w:r w:rsidR="00D4179D">
        <w:rPr>
          <w:rFonts w:ascii="Times New Roman" w:hAnsi="Times New Roman" w:cs="Times New Roman"/>
          <w:sz w:val="28"/>
          <w:szCs w:val="28"/>
          <w:lang w:val="ro-MD"/>
        </w:rPr>
        <w:t>atestă</w:t>
      </w:r>
      <w:r w:rsidRPr="001D0846">
        <w:rPr>
          <w:rFonts w:ascii="Times New Roman" w:hAnsi="Times New Roman" w:cs="Times New Roman"/>
          <w:sz w:val="28"/>
          <w:szCs w:val="28"/>
          <w:lang w:val="ro-MD"/>
        </w:rPr>
        <w:t xml:space="preserve"> o creștere a veniturilor BUAT, care au fost majorate cu 0,5 </w:t>
      </w:r>
      <w:proofErr w:type="spellStart"/>
      <w:r w:rsidRPr="001D0846">
        <w:rPr>
          <w:rFonts w:ascii="Times New Roman" w:hAnsi="Times New Roman" w:cs="Times New Roman"/>
          <w:sz w:val="28"/>
          <w:szCs w:val="28"/>
          <w:lang w:val="ro-MD"/>
        </w:rPr>
        <w:t>ml</w:t>
      </w:r>
      <w:r w:rsidR="00D4179D">
        <w:rPr>
          <w:rFonts w:ascii="Times New Roman" w:hAnsi="Times New Roman" w:cs="Times New Roman"/>
          <w:sz w:val="28"/>
          <w:szCs w:val="28"/>
          <w:lang w:val="ro-MD"/>
        </w:rPr>
        <w:t>r</w:t>
      </w:r>
      <w:r w:rsidRPr="001D0846">
        <w:rPr>
          <w:rFonts w:ascii="Times New Roman" w:hAnsi="Times New Roman" w:cs="Times New Roman"/>
          <w:sz w:val="28"/>
          <w:szCs w:val="28"/>
          <w:lang w:val="ro-MD"/>
        </w:rPr>
        <w:t>d.lei</w:t>
      </w:r>
      <w:proofErr w:type="spellEnd"/>
      <w:r w:rsidRPr="001D0846">
        <w:rPr>
          <w:rFonts w:ascii="Times New Roman" w:hAnsi="Times New Roman" w:cs="Times New Roman"/>
          <w:sz w:val="28"/>
          <w:szCs w:val="28"/>
          <w:lang w:val="ro-MD"/>
        </w:rPr>
        <w:t xml:space="preserve">, deși ca pondere în totalul veniturilor BPN au înregistrat o scădere cu 2 </w:t>
      </w:r>
      <w:proofErr w:type="spellStart"/>
      <w:r w:rsidRPr="001D0846">
        <w:rPr>
          <w:rFonts w:ascii="Times New Roman" w:hAnsi="Times New Roman" w:cs="Times New Roman"/>
          <w:sz w:val="28"/>
          <w:szCs w:val="28"/>
          <w:lang w:val="ro-MD"/>
        </w:rPr>
        <w:t>p.p.</w:t>
      </w:r>
      <w:proofErr w:type="spellEnd"/>
      <w:r w:rsidR="00D4179D">
        <w:rPr>
          <w:rFonts w:ascii="Times New Roman" w:hAnsi="Times New Roman" w:cs="Times New Roman"/>
          <w:sz w:val="28"/>
          <w:szCs w:val="28"/>
          <w:lang w:val="ro-MD"/>
        </w:rPr>
        <w:t>.</w:t>
      </w:r>
    </w:p>
    <w:p w:rsidR="008C1007" w:rsidRDefault="001272E2" w:rsidP="000A421F">
      <w:pPr>
        <w:spacing w:after="0" w:line="276" w:lineRule="auto"/>
        <w:ind w:right="-2" w:firstLine="720"/>
        <w:jc w:val="both"/>
        <w:rPr>
          <w:rFonts w:ascii="Times New Roman" w:hAnsi="Times New Roman" w:cs="Times New Roman"/>
          <w:i/>
          <w:sz w:val="28"/>
          <w:szCs w:val="28"/>
          <w:lang w:val="ro-MD"/>
        </w:rPr>
      </w:pPr>
      <w:r w:rsidRPr="001D0846">
        <w:rPr>
          <w:rFonts w:ascii="Times New Roman" w:hAnsi="Times New Roman" w:cs="Times New Roman"/>
          <w:sz w:val="28"/>
          <w:szCs w:val="28"/>
          <w:lang w:val="ro-MD"/>
        </w:rPr>
        <w:t xml:space="preserve">Examinările </w:t>
      </w:r>
      <w:r w:rsidR="00D4179D">
        <w:rPr>
          <w:rFonts w:ascii="Times New Roman" w:hAnsi="Times New Roman" w:cs="Times New Roman"/>
          <w:sz w:val="28"/>
          <w:szCs w:val="28"/>
          <w:lang w:val="ro-MD"/>
        </w:rPr>
        <w:t xml:space="preserve">efectuate de </w:t>
      </w:r>
      <w:r w:rsidRPr="001D0846">
        <w:rPr>
          <w:rFonts w:ascii="Times New Roman" w:hAnsi="Times New Roman" w:cs="Times New Roman"/>
          <w:sz w:val="28"/>
          <w:szCs w:val="28"/>
          <w:lang w:val="ro-MD"/>
        </w:rPr>
        <w:t>audit</w:t>
      </w:r>
      <w:r w:rsidR="008C1007" w:rsidRPr="001D0846">
        <w:rPr>
          <w:rFonts w:ascii="Times New Roman" w:hAnsi="Times New Roman" w:cs="Times New Roman"/>
          <w:sz w:val="28"/>
          <w:szCs w:val="28"/>
          <w:lang w:val="ro-MD"/>
        </w:rPr>
        <w:t xml:space="preserve"> </w:t>
      </w:r>
      <w:r w:rsidR="00D4179D">
        <w:rPr>
          <w:rFonts w:ascii="Times New Roman" w:hAnsi="Times New Roman" w:cs="Times New Roman"/>
          <w:sz w:val="28"/>
          <w:szCs w:val="28"/>
          <w:lang w:val="ro-MD"/>
        </w:rPr>
        <w:t>indică</w:t>
      </w:r>
      <w:r w:rsidR="008C1007" w:rsidRPr="001D0846">
        <w:rPr>
          <w:rFonts w:ascii="Times New Roman" w:hAnsi="Times New Roman" w:cs="Times New Roman"/>
          <w:sz w:val="28"/>
          <w:szCs w:val="28"/>
          <w:lang w:val="ro-MD"/>
        </w:rPr>
        <w:t xml:space="preserve"> o creștere a ponderii veniturilor administrate de SFS în raport cu PIB, </w:t>
      </w:r>
      <w:r w:rsidR="008C1007" w:rsidRPr="001D0846">
        <w:rPr>
          <w:rFonts w:ascii="Times New Roman" w:hAnsi="Times New Roman" w:cs="Times New Roman"/>
          <w:i/>
          <w:sz w:val="28"/>
          <w:szCs w:val="28"/>
          <w:lang w:val="ro-MD"/>
        </w:rPr>
        <w:t xml:space="preserve">situație care </w:t>
      </w:r>
      <w:r w:rsidR="002B7EE7">
        <w:rPr>
          <w:rFonts w:ascii="Times New Roman" w:hAnsi="Times New Roman" w:cs="Times New Roman"/>
          <w:i/>
          <w:sz w:val="28"/>
          <w:szCs w:val="28"/>
          <w:lang w:val="ro-MD"/>
        </w:rPr>
        <w:t>este</w:t>
      </w:r>
      <w:r w:rsidR="008C1007" w:rsidRPr="001D0846">
        <w:rPr>
          <w:rFonts w:ascii="Times New Roman" w:hAnsi="Times New Roman" w:cs="Times New Roman"/>
          <w:i/>
          <w:sz w:val="28"/>
          <w:szCs w:val="28"/>
          <w:lang w:val="ro-MD"/>
        </w:rPr>
        <w:t xml:space="preserve"> prez</w:t>
      </w:r>
      <w:r w:rsidR="002B7EE7">
        <w:rPr>
          <w:rFonts w:ascii="Times New Roman" w:hAnsi="Times New Roman" w:cs="Times New Roman"/>
          <w:i/>
          <w:sz w:val="28"/>
          <w:szCs w:val="28"/>
          <w:lang w:val="ro-MD"/>
        </w:rPr>
        <w:t>enta</w:t>
      </w:r>
      <w:r w:rsidR="008C1007" w:rsidRPr="001D0846">
        <w:rPr>
          <w:rFonts w:ascii="Times New Roman" w:hAnsi="Times New Roman" w:cs="Times New Roman"/>
          <w:i/>
          <w:sz w:val="28"/>
          <w:szCs w:val="28"/>
          <w:lang w:val="ro-MD"/>
        </w:rPr>
        <w:t>tă în detaliu în Diagrama</w:t>
      </w:r>
      <w:r w:rsidR="00D1586E" w:rsidRPr="001D0846">
        <w:rPr>
          <w:rFonts w:ascii="Times New Roman" w:hAnsi="Times New Roman" w:cs="Times New Roman"/>
          <w:i/>
          <w:sz w:val="28"/>
          <w:szCs w:val="28"/>
          <w:lang w:val="ro-MD"/>
        </w:rPr>
        <w:t xml:space="preserve"> nr.</w:t>
      </w:r>
      <w:r w:rsidR="00C47531">
        <w:rPr>
          <w:rFonts w:ascii="Times New Roman" w:hAnsi="Times New Roman" w:cs="Times New Roman"/>
          <w:i/>
          <w:sz w:val="28"/>
          <w:szCs w:val="28"/>
          <w:lang w:val="ro-MD"/>
        </w:rPr>
        <w:t>6</w:t>
      </w:r>
      <w:r w:rsidRPr="001D0846">
        <w:rPr>
          <w:rFonts w:ascii="Times New Roman" w:hAnsi="Times New Roman" w:cs="Times New Roman"/>
          <w:i/>
          <w:sz w:val="28"/>
          <w:szCs w:val="28"/>
          <w:lang w:val="ro-MD"/>
        </w:rPr>
        <w:t xml:space="preserve"> din A</w:t>
      </w:r>
      <w:r w:rsidR="004B2C7B" w:rsidRPr="001D0846">
        <w:rPr>
          <w:rFonts w:ascii="Times New Roman" w:hAnsi="Times New Roman" w:cs="Times New Roman"/>
          <w:i/>
          <w:sz w:val="28"/>
          <w:szCs w:val="28"/>
          <w:lang w:val="ro-MD"/>
        </w:rPr>
        <w:t>nexa nr.4</w:t>
      </w:r>
      <w:r w:rsidRPr="001D0846">
        <w:rPr>
          <w:rFonts w:ascii="Times New Roman" w:hAnsi="Times New Roman" w:cs="Times New Roman"/>
          <w:i/>
          <w:sz w:val="28"/>
          <w:szCs w:val="28"/>
          <w:lang w:val="ro-MD"/>
        </w:rPr>
        <w:t xml:space="preserve"> la Raport</w:t>
      </w:r>
      <w:r w:rsidR="00D4179D">
        <w:rPr>
          <w:rFonts w:ascii="Times New Roman" w:hAnsi="Times New Roman" w:cs="Times New Roman"/>
          <w:i/>
          <w:sz w:val="28"/>
          <w:szCs w:val="28"/>
          <w:lang w:val="ro-MD"/>
        </w:rPr>
        <w:t>ul</w:t>
      </w:r>
      <w:r w:rsidRPr="001D0846">
        <w:rPr>
          <w:rFonts w:ascii="Times New Roman" w:hAnsi="Times New Roman" w:cs="Times New Roman"/>
          <w:i/>
          <w:sz w:val="28"/>
          <w:szCs w:val="28"/>
          <w:lang w:val="ro-MD"/>
        </w:rPr>
        <w:t xml:space="preserve"> de audit.</w:t>
      </w:r>
    </w:p>
    <w:p w:rsidR="00DA3FF6" w:rsidRPr="001D0846" w:rsidRDefault="001272E2" w:rsidP="000A421F">
      <w:pPr>
        <w:spacing w:after="0" w:line="276" w:lineRule="auto"/>
        <w:ind w:right="-2" w:firstLine="72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Analiza datelor </w:t>
      </w:r>
      <w:r w:rsidR="008C1007" w:rsidRPr="001D0846">
        <w:rPr>
          <w:rFonts w:ascii="Times New Roman" w:hAnsi="Times New Roman" w:cs="Times New Roman"/>
          <w:sz w:val="28"/>
          <w:szCs w:val="28"/>
          <w:lang w:val="ro-MD"/>
        </w:rPr>
        <w:t xml:space="preserve">prezentate în Diagramă relevă un ritm </w:t>
      </w:r>
      <w:r w:rsidR="00DA3FF6" w:rsidRPr="001D0846">
        <w:rPr>
          <w:rFonts w:ascii="Times New Roman" w:hAnsi="Times New Roman" w:cs="Times New Roman"/>
          <w:sz w:val="28"/>
          <w:szCs w:val="28"/>
          <w:lang w:val="ro-MD"/>
        </w:rPr>
        <w:t>încetinit</w:t>
      </w:r>
      <w:r w:rsidR="008C1007" w:rsidRPr="001D0846">
        <w:rPr>
          <w:rFonts w:ascii="Times New Roman" w:hAnsi="Times New Roman" w:cs="Times New Roman"/>
          <w:sz w:val="28"/>
          <w:szCs w:val="28"/>
          <w:lang w:val="ro-MD"/>
        </w:rPr>
        <w:t xml:space="preserve"> de creștere a ponderii veniturilor administrate de organele </w:t>
      </w:r>
      <w:r w:rsidR="00CC4451" w:rsidRPr="001D0846">
        <w:rPr>
          <w:rFonts w:ascii="Times New Roman" w:hAnsi="Times New Roman" w:cs="Times New Roman"/>
          <w:sz w:val="28"/>
          <w:szCs w:val="28"/>
          <w:lang w:val="ro-MD"/>
        </w:rPr>
        <w:t>fiscale</w:t>
      </w:r>
      <w:r w:rsidR="008C1007" w:rsidRPr="001D0846">
        <w:rPr>
          <w:rFonts w:ascii="Times New Roman" w:hAnsi="Times New Roman" w:cs="Times New Roman"/>
          <w:sz w:val="28"/>
          <w:szCs w:val="28"/>
          <w:lang w:val="ro-MD"/>
        </w:rPr>
        <w:t xml:space="preserve"> în PIB</w:t>
      </w:r>
      <w:r w:rsidR="00632438">
        <w:rPr>
          <w:rFonts w:ascii="Times New Roman" w:hAnsi="Times New Roman" w:cs="Times New Roman"/>
          <w:sz w:val="28"/>
          <w:szCs w:val="28"/>
          <w:lang w:val="ro-MD"/>
        </w:rPr>
        <w:t xml:space="preserve"> (</w:t>
      </w:r>
      <w:r w:rsidR="008C1007" w:rsidRPr="001D0846">
        <w:rPr>
          <w:rFonts w:ascii="Times New Roman" w:hAnsi="Times New Roman" w:cs="Times New Roman"/>
          <w:sz w:val="28"/>
          <w:szCs w:val="28"/>
          <w:lang w:val="ro-MD"/>
        </w:rPr>
        <w:t xml:space="preserve">de la 20,5 % în anul 2015 până la 21,7 %, sau </w:t>
      </w:r>
      <w:r w:rsidR="00632438" w:rsidRPr="001D0846">
        <w:rPr>
          <w:rFonts w:ascii="Times New Roman" w:hAnsi="Times New Roman" w:cs="Times New Roman"/>
          <w:sz w:val="28"/>
          <w:szCs w:val="28"/>
          <w:lang w:val="ro-MD"/>
        </w:rPr>
        <w:t xml:space="preserve">cu 1,2 </w:t>
      </w:r>
      <w:proofErr w:type="spellStart"/>
      <w:r w:rsidR="00632438" w:rsidRPr="001D0846">
        <w:rPr>
          <w:rFonts w:ascii="Times New Roman" w:hAnsi="Times New Roman" w:cs="Times New Roman"/>
          <w:sz w:val="28"/>
          <w:szCs w:val="28"/>
          <w:lang w:val="ro-MD"/>
        </w:rPr>
        <w:t>p.p.</w:t>
      </w:r>
      <w:proofErr w:type="spellEnd"/>
      <w:r w:rsidR="00632438">
        <w:rPr>
          <w:rFonts w:ascii="Times New Roman" w:hAnsi="Times New Roman" w:cs="Times New Roman"/>
          <w:sz w:val="28"/>
          <w:szCs w:val="28"/>
          <w:lang w:val="ro-MD"/>
        </w:rPr>
        <w:t xml:space="preserve"> </w:t>
      </w:r>
      <w:r w:rsidR="008C1007" w:rsidRPr="001D0846">
        <w:rPr>
          <w:rFonts w:ascii="Times New Roman" w:hAnsi="Times New Roman" w:cs="Times New Roman"/>
          <w:sz w:val="28"/>
          <w:szCs w:val="28"/>
          <w:lang w:val="ro-MD"/>
        </w:rPr>
        <w:t>mai</w:t>
      </w:r>
      <w:r w:rsidR="00DA3FF6" w:rsidRPr="001D0846">
        <w:rPr>
          <w:rFonts w:ascii="Times New Roman" w:hAnsi="Times New Roman" w:cs="Times New Roman"/>
          <w:sz w:val="28"/>
          <w:szCs w:val="28"/>
          <w:lang w:val="ro-MD"/>
        </w:rPr>
        <w:t xml:space="preserve"> mult</w:t>
      </w:r>
      <w:r w:rsidR="00632438">
        <w:rPr>
          <w:rFonts w:ascii="Times New Roman" w:hAnsi="Times New Roman" w:cs="Times New Roman"/>
          <w:sz w:val="28"/>
          <w:szCs w:val="28"/>
          <w:lang w:val="ro-MD"/>
        </w:rPr>
        <w:t>,</w:t>
      </w:r>
      <w:r w:rsidR="00DA3FF6" w:rsidRPr="001D0846">
        <w:rPr>
          <w:rFonts w:ascii="Times New Roman" w:hAnsi="Times New Roman" w:cs="Times New Roman"/>
          <w:sz w:val="28"/>
          <w:szCs w:val="28"/>
          <w:lang w:val="ro-MD"/>
        </w:rPr>
        <w:t xml:space="preserve"> în anul 2017</w:t>
      </w:r>
      <w:r w:rsidR="00632438">
        <w:rPr>
          <w:rFonts w:ascii="Times New Roman" w:hAnsi="Times New Roman" w:cs="Times New Roman"/>
          <w:sz w:val="28"/>
          <w:szCs w:val="28"/>
          <w:lang w:val="ro-MD"/>
        </w:rPr>
        <w:t>)</w:t>
      </w:r>
      <w:r w:rsidR="00DA3FF6" w:rsidRPr="001D0846">
        <w:rPr>
          <w:rFonts w:ascii="Times New Roman" w:hAnsi="Times New Roman" w:cs="Times New Roman"/>
          <w:sz w:val="28"/>
          <w:szCs w:val="28"/>
          <w:lang w:val="ro-MD"/>
        </w:rPr>
        <w:t>.</w:t>
      </w:r>
    </w:p>
    <w:p w:rsidR="008C1007" w:rsidRPr="001D0846" w:rsidRDefault="008C1007" w:rsidP="000A421F">
      <w:pPr>
        <w:spacing w:after="0" w:line="276" w:lineRule="auto"/>
        <w:ind w:right="-2" w:firstLine="720"/>
        <w:jc w:val="both"/>
        <w:rPr>
          <w:rFonts w:ascii="Times New Roman" w:hAnsi="Times New Roman" w:cs="Times New Roman"/>
          <w:i/>
          <w:color w:val="000000"/>
          <w:sz w:val="28"/>
          <w:szCs w:val="28"/>
          <w:lang w:val="ro-MD"/>
        </w:rPr>
      </w:pPr>
      <w:r w:rsidRPr="001D0846">
        <w:rPr>
          <w:rFonts w:ascii="Times New Roman" w:hAnsi="Times New Roman" w:cs="Times New Roman"/>
          <w:sz w:val="28"/>
          <w:szCs w:val="28"/>
          <w:lang w:val="ro-MD"/>
        </w:rPr>
        <w:t xml:space="preserve">În anul 2017, precum </w:t>
      </w:r>
      <w:proofErr w:type="spellStart"/>
      <w:r w:rsidRPr="001D0846">
        <w:rPr>
          <w:rFonts w:ascii="Times New Roman" w:hAnsi="Times New Roman" w:cs="Times New Roman"/>
          <w:sz w:val="28"/>
          <w:szCs w:val="28"/>
          <w:lang w:val="ro-MD"/>
        </w:rPr>
        <w:t>şi</w:t>
      </w:r>
      <w:proofErr w:type="spellEnd"/>
      <w:r w:rsidRPr="001D0846">
        <w:rPr>
          <w:rFonts w:ascii="Times New Roman" w:hAnsi="Times New Roman" w:cs="Times New Roman"/>
          <w:sz w:val="28"/>
          <w:szCs w:val="28"/>
          <w:lang w:val="ro-MD"/>
        </w:rPr>
        <w:t xml:space="preserve"> în perioadele precedente, unul din</w:t>
      </w:r>
      <w:r w:rsidR="00632438">
        <w:rPr>
          <w:rFonts w:ascii="Times New Roman" w:hAnsi="Times New Roman" w:cs="Times New Roman"/>
          <w:sz w:val="28"/>
          <w:szCs w:val="28"/>
          <w:lang w:val="ro-MD"/>
        </w:rPr>
        <w:t>tre</w:t>
      </w:r>
      <w:r w:rsidRPr="001D0846">
        <w:rPr>
          <w:rFonts w:ascii="Times New Roman" w:hAnsi="Times New Roman" w:cs="Times New Roman"/>
          <w:sz w:val="28"/>
          <w:szCs w:val="28"/>
          <w:lang w:val="ro-MD"/>
        </w:rPr>
        <w:t xml:space="preserve"> indicatorii (de eficacitate) </w:t>
      </w:r>
      <w:proofErr w:type="spellStart"/>
      <w:r w:rsidRPr="001D0846">
        <w:rPr>
          <w:rFonts w:ascii="Times New Roman" w:hAnsi="Times New Roman" w:cs="Times New Roman"/>
          <w:sz w:val="28"/>
          <w:szCs w:val="28"/>
          <w:lang w:val="ro-MD"/>
        </w:rPr>
        <w:t>utilizaţi</w:t>
      </w:r>
      <w:proofErr w:type="spellEnd"/>
      <w:r w:rsidRPr="001D0846">
        <w:rPr>
          <w:rFonts w:ascii="Times New Roman" w:hAnsi="Times New Roman" w:cs="Times New Roman"/>
          <w:sz w:val="28"/>
          <w:szCs w:val="28"/>
          <w:lang w:val="ro-MD"/>
        </w:rPr>
        <w:t xml:space="preserve"> de SFS la aprecierea rezultatelor </w:t>
      </w:r>
      <w:proofErr w:type="spellStart"/>
      <w:r w:rsidRPr="001D0846">
        <w:rPr>
          <w:rFonts w:ascii="Times New Roman" w:hAnsi="Times New Roman" w:cs="Times New Roman"/>
          <w:sz w:val="28"/>
          <w:szCs w:val="28"/>
          <w:lang w:val="ro-MD"/>
        </w:rPr>
        <w:t>activităţii</w:t>
      </w:r>
      <w:proofErr w:type="spellEnd"/>
      <w:r w:rsidRPr="001D0846">
        <w:rPr>
          <w:rFonts w:ascii="Times New Roman" w:hAnsi="Times New Roman" w:cs="Times New Roman"/>
          <w:sz w:val="28"/>
          <w:szCs w:val="28"/>
          <w:lang w:val="ro-MD"/>
        </w:rPr>
        <w:t xml:space="preserve"> de administrare a impozitelor și taxelor a fost</w:t>
      </w:r>
      <w:r w:rsidRPr="001D0846">
        <w:rPr>
          <w:rFonts w:ascii="Times New Roman" w:hAnsi="Times New Roman" w:cs="Times New Roman"/>
          <w:b/>
          <w:sz w:val="28"/>
          <w:szCs w:val="28"/>
          <w:lang w:val="ro-MD"/>
        </w:rPr>
        <w:t xml:space="preserve"> </w:t>
      </w:r>
      <w:r w:rsidRPr="001D0846">
        <w:rPr>
          <w:rFonts w:ascii="Times New Roman" w:hAnsi="Times New Roman" w:cs="Times New Roman"/>
          <w:sz w:val="28"/>
          <w:szCs w:val="28"/>
          <w:lang w:val="ro-MD"/>
        </w:rPr>
        <w:t xml:space="preserve">nivelul de realizare a sarcinii bugetare anuale privind colectarea veniturilor în aspectul bugetelor. </w:t>
      </w:r>
    </w:p>
    <w:p w:rsidR="008C1007" w:rsidRPr="002506A5" w:rsidRDefault="001272E2" w:rsidP="002506A5">
      <w:pPr>
        <w:spacing w:after="0" w:line="276" w:lineRule="auto"/>
        <w:ind w:right="-2" w:firstLine="720"/>
        <w:jc w:val="both"/>
        <w:rPr>
          <w:rFonts w:ascii="Times New Roman" w:hAnsi="Times New Roman" w:cs="Times New Roman"/>
          <w:sz w:val="28"/>
          <w:szCs w:val="28"/>
          <w:lang w:val="ro-MD"/>
        </w:rPr>
      </w:pPr>
      <w:r w:rsidRPr="001D0846">
        <w:rPr>
          <w:rFonts w:ascii="Times New Roman" w:hAnsi="Times New Roman" w:cs="Times New Roman"/>
          <w:color w:val="000000"/>
          <w:sz w:val="28"/>
          <w:szCs w:val="28"/>
          <w:lang w:val="ro-MD"/>
        </w:rPr>
        <w:t xml:space="preserve">Analiza </w:t>
      </w:r>
      <w:r w:rsidR="0001016B">
        <w:rPr>
          <w:rFonts w:ascii="Times New Roman" w:hAnsi="Times New Roman" w:cs="Times New Roman"/>
          <w:color w:val="000000"/>
          <w:sz w:val="28"/>
          <w:szCs w:val="28"/>
          <w:lang w:val="ro-MD"/>
        </w:rPr>
        <w:t xml:space="preserve">efectuată de audit </w:t>
      </w:r>
      <w:r w:rsidR="00632438">
        <w:rPr>
          <w:rFonts w:ascii="Times New Roman" w:hAnsi="Times New Roman" w:cs="Times New Roman"/>
          <w:color w:val="000000"/>
          <w:sz w:val="28"/>
          <w:szCs w:val="28"/>
          <w:lang w:val="ro-MD"/>
        </w:rPr>
        <w:t>denotă</w:t>
      </w:r>
      <w:r w:rsidR="008C1007" w:rsidRPr="001D0846">
        <w:rPr>
          <w:rFonts w:ascii="Times New Roman" w:eastAsia="Times New Roman" w:hAnsi="Times New Roman" w:cs="Times New Roman"/>
          <w:sz w:val="28"/>
          <w:szCs w:val="28"/>
          <w:lang w:val="ro-MD"/>
        </w:rPr>
        <w:t xml:space="preserve"> că </w:t>
      </w:r>
      <w:r w:rsidR="008C1007" w:rsidRPr="001D0846">
        <w:rPr>
          <w:rFonts w:ascii="Times New Roman" w:hAnsi="Times New Roman" w:cs="Times New Roman"/>
          <w:sz w:val="28"/>
          <w:szCs w:val="28"/>
          <w:lang w:val="ro-MD"/>
        </w:rPr>
        <w:t xml:space="preserve">sarcina bugetară anuală privind colectarea veniturilor a suportat </w:t>
      </w:r>
      <w:r w:rsidR="008C1007" w:rsidRPr="001D0846">
        <w:rPr>
          <w:rFonts w:ascii="Times New Roman" w:hAnsi="Times New Roman" w:cs="Times New Roman"/>
          <w:color w:val="000000"/>
          <w:sz w:val="28"/>
          <w:szCs w:val="28"/>
          <w:lang w:val="ro-MD"/>
        </w:rPr>
        <w:t xml:space="preserve">modificări pe parcursul </w:t>
      </w:r>
      <w:r w:rsidR="00632438">
        <w:rPr>
          <w:rFonts w:ascii="Times New Roman" w:hAnsi="Times New Roman" w:cs="Times New Roman"/>
          <w:color w:val="000000"/>
          <w:sz w:val="28"/>
          <w:szCs w:val="28"/>
          <w:lang w:val="ro-MD"/>
        </w:rPr>
        <w:t>anilor</w:t>
      </w:r>
      <w:r w:rsidR="008C1007" w:rsidRPr="001D0846">
        <w:rPr>
          <w:rFonts w:ascii="Times New Roman" w:hAnsi="Times New Roman" w:cs="Times New Roman"/>
          <w:color w:val="000000"/>
          <w:sz w:val="28"/>
          <w:szCs w:val="28"/>
          <w:lang w:val="ro-MD"/>
        </w:rPr>
        <w:t xml:space="preserve"> 2015-2017</w:t>
      </w:r>
      <w:r w:rsidR="002506A5">
        <w:rPr>
          <w:rFonts w:ascii="Times New Roman" w:hAnsi="Times New Roman" w:cs="Times New Roman"/>
          <w:color w:val="000000"/>
          <w:sz w:val="28"/>
          <w:szCs w:val="28"/>
          <w:lang w:val="ro-MD"/>
        </w:rPr>
        <w:t xml:space="preserve">, </w:t>
      </w:r>
      <w:r w:rsidR="008C1007" w:rsidRPr="001D0846">
        <w:rPr>
          <w:rFonts w:ascii="Times New Roman" w:hAnsi="Times New Roman" w:cs="Times New Roman"/>
          <w:sz w:val="28"/>
          <w:szCs w:val="28"/>
          <w:lang w:val="ro-MD"/>
        </w:rPr>
        <w:t xml:space="preserve">în sensul </w:t>
      </w:r>
      <w:r w:rsidR="008C1007" w:rsidRPr="001D0846">
        <w:rPr>
          <w:rFonts w:ascii="Times New Roman" w:hAnsi="Times New Roman" w:cs="Times New Roman"/>
          <w:sz w:val="28"/>
          <w:szCs w:val="28"/>
          <w:lang w:val="ro-MD"/>
        </w:rPr>
        <w:lastRenderedPageBreak/>
        <w:t>majorării indicatorilor planului de încasări al SFS, pentru a</w:t>
      </w:r>
      <w:r w:rsidR="002506A5">
        <w:rPr>
          <w:rFonts w:ascii="Times New Roman" w:hAnsi="Times New Roman" w:cs="Times New Roman"/>
          <w:sz w:val="28"/>
          <w:szCs w:val="28"/>
          <w:lang w:val="ro-MD"/>
        </w:rPr>
        <w:t>-l</w:t>
      </w:r>
      <w:r w:rsidR="008C1007" w:rsidRPr="001D0846">
        <w:rPr>
          <w:rFonts w:ascii="Times New Roman" w:hAnsi="Times New Roman" w:cs="Times New Roman"/>
          <w:sz w:val="28"/>
          <w:szCs w:val="28"/>
          <w:lang w:val="ro-MD"/>
        </w:rPr>
        <w:t xml:space="preserve"> aduce la un nivel c</w:t>
      </w:r>
      <w:r w:rsidR="00632438">
        <w:rPr>
          <w:rFonts w:ascii="Times New Roman" w:hAnsi="Times New Roman" w:cs="Times New Roman"/>
          <w:sz w:val="28"/>
          <w:szCs w:val="28"/>
          <w:lang w:val="ro-MD"/>
        </w:rPr>
        <w:t>â</w:t>
      </w:r>
      <w:r w:rsidR="008C1007" w:rsidRPr="001D0846">
        <w:rPr>
          <w:rFonts w:ascii="Times New Roman" w:hAnsi="Times New Roman" w:cs="Times New Roman"/>
          <w:sz w:val="28"/>
          <w:szCs w:val="28"/>
          <w:lang w:val="ro-MD"/>
        </w:rPr>
        <w:t>t mai apropiat de nivelu</w:t>
      </w:r>
      <w:r w:rsidR="002506A5">
        <w:rPr>
          <w:rFonts w:ascii="Times New Roman" w:hAnsi="Times New Roman" w:cs="Times New Roman"/>
          <w:sz w:val="28"/>
          <w:szCs w:val="28"/>
          <w:lang w:val="ro-MD"/>
        </w:rPr>
        <w:t xml:space="preserve">l veniturilor efectiv realizate. </w:t>
      </w:r>
      <w:r w:rsidR="008C1007" w:rsidRPr="002506A5">
        <w:rPr>
          <w:rFonts w:ascii="Times New Roman" w:hAnsi="Times New Roman" w:cs="Times New Roman"/>
          <w:sz w:val="28"/>
          <w:szCs w:val="28"/>
          <w:lang w:val="ro-MD"/>
        </w:rPr>
        <w:t xml:space="preserve">Astfel, auditul constată că modificările indicatorilor </w:t>
      </w:r>
      <w:r w:rsidR="008C1007" w:rsidRPr="002506A5">
        <w:rPr>
          <w:rFonts w:ascii="Times New Roman" w:eastAsia="Times New Roman" w:hAnsi="Times New Roman" w:cs="Times New Roman"/>
          <w:iCs/>
          <w:sz w:val="28"/>
          <w:szCs w:val="28"/>
          <w:lang w:val="ro-MD"/>
        </w:rPr>
        <w:t xml:space="preserve">au variat în proporție de </w:t>
      </w:r>
      <w:r w:rsidR="002506A5" w:rsidRPr="002506A5">
        <w:rPr>
          <w:rFonts w:ascii="Times New Roman" w:eastAsia="Times New Roman" w:hAnsi="Times New Roman" w:cs="Times New Roman"/>
          <w:iCs/>
          <w:sz w:val="28"/>
          <w:szCs w:val="28"/>
          <w:lang w:val="ro-MD"/>
        </w:rPr>
        <w:t>2,2-22,5</w:t>
      </w:r>
      <w:r w:rsidR="008C1007" w:rsidRPr="002506A5">
        <w:rPr>
          <w:rFonts w:ascii="Times New Roman" w:eastAsia="Times New Roman" w:hAnsi="Times New Roman" w:cs="Times New Roman"/>
          <w:iCs/>
          <w:sz w:val="28"/>
          <w:szCs w:val="28"/>
          <w:lang w:val="ro-MD"/>
        </w:rPr>
        <w:t xml:space="preserve">%, deși </w:t>
      </w:r>
      <w:r w:rsidR="008C1007" w:rsidRPr="002506A5">
        <w:rPr>
          <w:rFonts w:ascii="Times New Roman" w:eastAsia="Times New Roman" w:hAnsi="Times New Roman" w:cs="Times New Roman"/>
          <w:sz w:val="28"/>
          <w:szCs w:val="28"/>
          <w:lang w:val="ro-MD"/>
        </w:rPr>
        <w:t>variația optimă potrivit indicatorilor manualului PEFA</w:t>
      </w:r>
      <w:r w:rsidR="008C1007" w:rsidRPr="002506A5">
        <w:rPr>
          <w:rStyle w:val="a6"/>
          <w:rFonts w:ascii="Times New Roman" w:eastAsia="Times New Roman" w:hAnsi="Times New Roman" w:cs="Times New Roman"/>
          <w:sz w:val="28"/>
          <w:szCs w:val="28"/>
          <w:lang w:val="ro-MD"/>
        </w:rPr>
        <w:footnoteReference w:id="12"/>
      </w:r>
      <w:r w:rsidR="008C1007" w:rsidRPr="002506A5">
        <w:rPr>
          <w:rFonts w:ascii="Times New Roman" w:eastAsia="Times New Roman" w:hAnsi="Times New Roman" w:cs="Times New Roman"/>
          <w:sz w:val="28"/>
          <w:szCs w:val="28"/>
          <w:lang w:val="ro-MD"/>
        </w:rPr>
        <w:t xml:space="preserve"> este plafonată (de la -3% până la +6%), situație cauzată de rezervele privind</w:t>
      </w:r>
      <w:r w:rsidR="008C1007" w:rsidRPr="002506A5">
        <w:rPr>
          <w:rFonts w:ascii="Times New Roman" w:hAnsi="Times New Roman" w:cs="Times New Roman"/>
          <w:sz w:val="28"/>
          <w:szCs w:val="28"/>
          <w:lang w:val="ro-MD"/>
        </w:rPr>
        <w:t xml:space="preserve"> modalitatea de calcul </w:t>
      </w:r>
      <w:proofErr w:type="spellStart"/>
      <w:r w:rsidR="008C1007" w:rsidRPr="002506A5">
        <w:rPr>
          <w:rFonts w:ascii="Times New Roman" w:hAnsi="Times New Roman" w:cs="Times New Roman"/>
          <w:sz w:val="28"/>
          <w:szCs w:val="28"/>
          <w:lang w:val="ro-MD"/>
        </w:rPr>
        <w:t>şi</w:t>
      </w:r>
      <w:proofErr w:type="spellEnd"/>
      <w:r w:rsidR="008C1007" w:rsidRPr="002506A5">
        <w:rPr>
          <w:rFonts w:ascii="Times New Roman" w:hAnsi="Times New Roman" w:cs="Times New Roman"/>
          <w:sz w:val="28"/>
          <w:szCs w:val="28"/>
          <w:lang w:val="ro-MD"/>
        </w:rPr>
        <w:t xml:space="preserve"> </w:t>
      </w:r>
      <w:proofErr w:type="spellStart"/>
      <w:r w:rsidR="008C1007" w:rsidRPr="002506A5">
        <w:rPr>
          <w:rFonts w:ascii="Times New Roman" w:hAnsi="Times New Roman" w:cs="Times New Roman"/>
          <w:sz w:val="28"/>
          <w:szCs w:val="28"/>
          <w:lang w:val="ro-MD"/>
        </w:rPr>
        <w:t>acurateţea</w:t>
      </w:r>
      <w:proofErr w:type="spellEnd"/>
      <w:r w:rsidR="008C1007" w:rsidRPr="002506A5">
        <w:rPr>
          <w:rFonts w:ascii="Times New Roman" w:hAnsi="Times New Roman" w:cs="Times New Roman"/>
          <w:sz w:val="28"/>
          <w:szCs w:val="28"/>
          <w:lang w:val="ro-MD"/>
        </w:rPr>
        <w:t xml:space="preserve"> estimărilor</w:t>
      </w:r>
      <w:r w:rsidR="008C1007" w:rsidRPr="002506A5">
        <w:rPr>
          <w:rFonts w:ascii="Times New Roman" w:eastAsia="Times New Roman" w:hAnsi="Times New Roman" w:cs="Times New Roman"/>
          <w:sz w:val="28"/>
          <w:szCs w:val="28"/>
          <w:lang w:val="ro-MD"/>
        </w:rPr>
        <w:t>, precum și variația pe parcursul anului a indicatorilor macroeconomici</w:t>
      </w:r>
      <w:r w:rsidR="008C1007" w:rsidRPr="002506A5">
        <w:rPr>
          <w:rFonts w:ascii="Times New Roman" w:hAnsi="Times New Roman" w:cs="Times New Roman"/>
          <w:sz w:val="28"/>
          <w:szCs w:val="28"/>
          <w:lang w:val="ro-MD"/>
        </w:rPr>
        <w:t>.</w:t>
      </w:r>
    </w:p>
    <w:p w:rsidR="008C1007" w:rsidRPr="003F6A2F" w:rsidRDefault="008C1007" w:rsidP="003F6A2F">
      <w:pPr>
        <w:spacing w:after="0" w:line="276" w:lineRule="auto"/>
        <w:ind w:right="-2" w:firstLine="720"/>
        <w:jc w:val="both"/>
        <w:rPr>
          <w:rFonts w:ascii="Times New Roman" w:hAnsi="Times New Roman" w:cs="Times New Roman"/>
          <w:color w:val="FF0000"/>
          <w:sz w:val="28"/>
          <w:szCs w:val="28"/>
          <w:lang w:val="ro-MD"/>
        </w:rPr>
      </w:pPr>
      <w:r w:rsidRPr="001D0846">
        <w:rPr>
          <w:rFonts w:ascii="Times New Roman" w:hAnsi="Times New Roman" w:cs="Times New Roman"/>
          <w:sz w:val="28"/>
          <w:szCs w:val="28"/>
          <w:lang w:val="ro-MD"/>
        </w:rPr>
        <w:t>Comparând nivelul prognozat al veniturilor colectate (</w:t>
      </w:r>
      <w:r w:rsidR="00F30253" w:rsidRPr="001D0846">
        <w:rPr>
          <w:rFonts w:ascii="Times New Roman" w:hAnsi="Times New Roman" w:cs="Times New Roman"/>
          <w:sz w:val="28"/>
          <w:szCs w:val="28"/>
          <w:lang w:val="ro-MD"/>
        </w:rPr>
        <w:t>obiectiv propus</w:t>
      </w:r>
      <w:r w:rsidRPr="001D0846">
        <w:rPr>
          <w:rFonts w:ascii="Times New Roman" w:hAnsi="Times New Roman" w:cs="Times New Roman"/>
          <w:sz w:val="28"/>
          <w:szCs w:val="28"/>
          <w:lang w:val="ro-MD"/>
        </w:rPr>
        <w:t xml:space="preserve"> de MF) </w:t>
      </w:r>
      <w:r w:rsidR="00FA07F7">
        <w:rPr>
          <w:rFonts w:ascii="Times New Roman" w:hAnsi="Times New Roman" w:cs="Times New Roman"/>
          <w:sz w:val="28"/>
          <w:szCs w:val="28"/>
          <w:lang w:val="ro-MD"/>
        </w:rPr>
        <w:t>cu</w:t>
      </w:r>
      <w:r w:rsidRPr="001D0846">
        <w:rPr>
          <w:rFonts w:ascii="Times New Roman" w:hAnsi="Times New Roman" w:cs="Times New Roman"/>
          <w:sz w:val="28"/>
          <w:szCs w:val="28"/>
          <w:lang w:val="ro-MD"/>
        </w:rPr>
        <w:t xml:space="preserve"> încasările în aspectul componentelor</w:t>
      </w:r>
      <w:r w:rsidR="003F6A2F">
        <w:rPr>
          <w:rFonts w:ascii="Times New Roman" w:hAnsi="Times New Roman" w:cs="Times New Roman"/>
          <w:sz w:val="28"/>
          <w:szCs w:val="28"/>
          <w:lang w:val="ro-MD"/>
        </w:rPr>
        <w:t xml:space="preserve"> BPN realizate în </w:t>
      </w:r>
      <w:r w:rsidR="00FA07F7">
        <w:rPr>
          <w:rFonts w:ascii="Times New Roman" w:hAnsi="Times New Roman" w:cs="Times New Roman"/>
          <w:sz w:val="28"/>
          <w:szCs w:val="28"/>
          <w:lang w:val="ro-MD"/>
        </w:rPr>
        <w:t>anul</w:t>
      </w:r>
      <w:r w:rsidR="003F6A2F">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2017, s-a constatat că, per ansamblu</w:t>
      </w:r>
      <w:r w:rsidR="00FA07F7">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SFS a îndeplinit obiectivele stabilite, fiind înregistrat un nivel de realizare a sarcinii de colectare a veniturilor la BPN  de 102%, inclusiv BS și BUAT – 102 %, BASS – 100,6 %</w:t>
      </w:r>
      <w:r w:rsidR="00FA07F7">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și FAOAM – 107,9 %. </w:t>
      </w:r>
    </w:p>
    <w:p w:rsidR="001272E2" w:rsidRPr="001D0846" w:rsidRDefault="008C1007" w:rsidP="000A421F">
      <w:pPr>
        <w:spacing w:after="0" w:line="276" w:lineRule="auto"/>
        <w:ind w:right="-2" w:firstLine="720"/>
        <w:jc w:val="both"/>
        <w:rPr>
          <w:rFonts w:ascii="Times New Roman" w:hAnsi="Times New Roman" w:cs="Times New Roman"/>
          <w:b/>
          <w:i/>
          <w:sz w:val="28"/>
          <w:szCs w:val="28"/>
          <w:lang w:val="ro-MD"/>
        </w:rPr>
      </w:pPr>
      <w:r w:rsidRPr="001D0846">
        <w:rPr>
          <w:rFonts w:ascii="Times New Roman" w:hAnsi="Times New Roman" w:cs="Times New Roman"/>
          <w:sz w:val="28"/>
          <w:szCs w:val="28"/>
          <w:lang w:val="ro-MD"/>
        </w:rPr>
        <w:t>Analiza nivelul</w:t>
      </w:r>
      <w:r w:rsidR="00734532" w:rsidRPr="001D0846">
        <w:rPr>
          <w:rFonts w:ascii="Times New Roman" w:hAnsi="Times New Roman" w:cs="Times New Roman"/>
          <w:sz w:val="28"/>
          <w:szCs w:val="28"/>
          <w:lang w:val="ro-MD"/>
        </w:rPr>
        <w:t>ui</w:t>
      </w:r>
      <w:r w:rsidRPr="001D0846">
        <w:rPr>
          <w:rFonts w:ascii="Times New Roman" w:hAnsi="Times New Roman" w:cs="Times New Roman"/>
          <w:sz w:val="28"/>
          <w:szCs w:val="28"/>
          <w:lang w:val="ro-MD"/>
        </w:rPr>
        <w:t xml:space="preserve"> de realizare a sarcinii de colectare în aspectul tipurilor de impozite și taxe relevă unele discrepanțe între nivelul prognozat al încasărilor și cel efectiv realizat</w:t>
      </w:r>
      <w:r w:rsidRPr="00B26E20">
        <w:rPr>
          <w:rFonts w:ascii="Times New Roman" w:hAnsi="Times New Roman" w:cs="Times New Roman"/>
          <w:sz w:val="28"/>
          <w:szCs w:val="28"/>
          <w:lang w:val="ro-MD"/>
        </w:rPr>
        <w:t xml:space="preserve">, </w:t>
      </w:r>
      <w:r w:rsidRPr="00B26E20">
        <w:rPr>
          <w:rFonts w:ascii="Times New Roman" w:hAnsi="Times New Roman" w:cs="Times New Roman"/>
          <w:i/>
          <w:sz w:val="28"/>
          <w:szCs w:val="28"/>
          <w:lang w:val="ro-MD"/>
        </w:rPr>
        <w:t xml:space="preserve">situație care </w:t>
      </w:r>
      <w:r w:rsidR="00FA07F7">
        <w:rPr>
          <w:rFonts w:ascii="Times New Roman" w:hAnsi="Times New Roman" w:cs="Times New Roman"/>
          <w:i/>
          <w:sz w:val="28"/>
          <w:szCs w:val="28"/>
          <w:lang w:val="ro-MD"/>
        </w:rPr>
        <w:t>este</w:t>
      </w:r>
      <w:r w:rsidRPr="00B26E20">
        <w:rPr>
          <w:rFonts w:ascii="Times New Roman" w:hAnsi="Times New Roman" w:cs="Times New Roman"/>
          <w:i/>
          <w:sz w:val="28"/>
          <w:szCs w:val="28"/>
          <w:lang w:val="ro-MD"/>
        </w:rPr>
        <w:t xml:space="preserve"> prez</w:t>
      </w:r>
      <w:r w:rsidR="00FA07F7">
        <w:rPr>
          <w:rFonts w:ascii="Times New Roman" w:hAnsi="Times New Roman" w:cs="Times New Roman"/>
          <w:i/>
          <w:sz w:val="28"/>
          <w:szCs w:val="28"/>
          <w:lang w:val="ro-MD"/>
        </w:rPr>
        <w:t>enta</w:t>
      </w:r>
      <w:r w:rsidRPr="00B26E20">
        <w:rPr>
          <w:rFonts w:ascii="Times New Roman" w:hAnsi="Times New Roman" w:cs="Times New Roman"/>
          <w:i/>
          <w:sz w:val="28"/>
          <w:szCs w:val="28"/>
          <w:lang w:val="ro-MD"/>
        </w:rPr>
        <w:t xml:space="preserve">tă în detaliu în Tabelul </w:t>
      </w:r>
      <w:r w:rsidR="00F127BD" w:rsidRPr="00B26E20">
        <w:rPr>
          <w:rFonts w:ascii="Times New Roman" w:hAnsi="Times New Roman" w:cs="Times New Roman"/>
          <w:i/>
          <w:sz w:val="28"/>
          <w:szCs w:val="28"/>
          <w:lang w:val="ro-MD"/>
        </w:rPr>
        <w:t>nr.6 din Anexa nr.3</w:t>
      </w:r>
      <w:r w:rsidR="001272E2" w:rsidRPr="00B26E20">
        <w:rPr>
          <w:rFonts w:ascii="Times New Roman" w:hAnsi="Times New Roman" w:cs="Times New Roman"/>
          <w:i/>
          <w:sz w:val="28"/>
          <w:szCs w:val="28"/>
          <w:lang w:val="ro-MD"/>
        </w:rPr>
        <w:t xml:space="preserve"> </w:t>
      </w:r>
      <w:r w:rsidR="00FA07F7">
        <w:rPr>
          <w:rFonts w:ascii="Times New Roman" w:hAnsi="Times New Roman" w:cs="Times New Roman"/>
          <w:i/>
          <w:sz w:val="28"/>
          <w:szCs w:val="28"/>
          <w:lang w:val="ro-MD"/>
        </w:rPr>
        <w:t>la</w:t>
      </w:r>
      <w:r w:rsidR="001272E2" w:rsidRPr="00B26E20">
        <w:rPr>
          <w:rFonts w:ascii="Times New Roman" w:hAnsi="Times New Roman" w:cs="Times New Roman"/>
          <w:i/>
          <w:sz w:val="28"/>
          <w:szCs w:val="28"/>
          <w:lang w:val="ro-MD"/>
        </w:rPr>
        <w:t xml:space="preserve"> Raport</w:t>
      </w:r>
      <w:r w:rsidR="00FA07F7">
        <w:rPr>
          <w:rFonts w:ascii="Times New Roman" w:hAnsi="Times New Roman" w:cs="Times New Roman"/>
          <w:i/>
          <w:sz w:val="28"/>
          <w:szCs w:val="28"/>
          <w:lang w:val="ro-MD"/>
        </w:rPr>
        <w:t>ul</w:t>
      </w:r>
      <w:r w:rsidR="001272E2" w:rsidRPr="00B26E20">
        <w:rPr>
          <w:rFonts w:ascii="Times New Roman" w:hAnsi="Times New Roman" w:cs="Times New Roman"/>
          <w:i/>
          <w:sz w:val="28"/>
          <w:szCs w:val="28"/>
          <w:lang w:val="ro-MD"/>
        </w:rPr>
        <w:t xml:space="preserve"> de audit</w:t>
      </w:r>
      <w:r w:rsidRPr="00B26E20">
        <w:rPr>
          <w:rFonts w:ascii="Times New Roman" w:hAnsi="Times New Roman" w:cs="Times New Roman"/>
          <w:i/>
          <w:sz w:val="28"/>
          <w:szCs w:val="28"/>
          <w:lang w:val="ro-MD"/>
        </w:rPr>
        <w:t>.</w:t>
      </w:r>
    </w:p>
    <w:p w:rsidR="00FC0584" w:rsidRPr="00191BA5" w:rsidRDefault="00FA07F7" w:rsidP="00191BA5">
      <w:pPr>
        <w:spacing w:after="0" w:line="276" w:lineRule="auto"/>
        <w:ind w:right="-2" w:firstLine="720"/>
        <w:jc w:val="both"/>
        <w:rPr>
          <w:rFonts w:ascii="Times New Roman" w:hAnsi="Times New Roman" w:cs="Times New Roman"/>
          <w:sz w:val="28"/>
          <w:szCs w:val="28"/>
          <w:lang w:val="ro-MD"/>
        </w:rPr>
      </w:pPr>
      <w:r>
        <w:rPr>
          <w:rFonts w:ascii="Times New Roman" w:hAnsi="Times New Roman" w:cs="Times New Roman"/>
          <w:sz w:val="28"/>
          <w:szCs w:val="28"/>
          <w:lang w:val="ro-MD"/>
        </w:rPr>
        <w:t>Examinând</w:t>
      </w:r>
      <w:r w:rsidR="001272E2" w:rsidRPr="001D0846">
        <w:rPr>
          <w:rFonts w:ascii="Times New Roman" w:hAnsi="Times New Roman" w:cs="Times New Roman"/>
          <w:sz w:val="28"/>
          <w:szCs w:val="28"/>
          <w:lang w:val="ro-MD"/>
        </w:rPr>
        <w:t xml:space="preserve"> datel</w:t>
      </w:r>
      <w:r>
        <w:rPr>
          <w:rFonts w:ascii="Times New Roman" w:hAnsi="Times New Roman" w:cs="Times New Roman"/>
          <w:sz w:val="28"/>
          <w:szCs w:val="28"/>
          <w:lang w:val="ro-MD"/>
        </w:rPr>
        <w:t>e</w:t>
      </w:r>
      <w:r w:rsidR="001272E2" w:rsidRPr="001D0846">
        <w:rPr>
          <w:rFonts w:ascii="Times New Roman" w:hAnsi="Times New Roman" w:cs="Times New Roman"/>
          <w:b/>
          <w:sz w:val="28"/>
          <w:szCs w:val="28"/>
          <w:lang w:val="ro-MD"/>
        </w:rPr>
        <w:t xml:space="preserve"> </w:t>
      </w:r>
      <w:r w:rsidR="008C1007" w:rsidRPr="001D0846">
        <w:rPr>
          <w:rFonts w:ascii="Times New Roman" w:hAnsi="Times New Roman" w:cs="Times New Roman"/>
          <w:sz w:val="28"/>
          <w:szCs w:val="28"/>
          <w:lang w:val="ro-MD"/>
        </w:rPr>
        <w:t xml:space="preserve">prezentate în </w:t>
      </w:r>
      <w:r>
        <w:rPr>
          <w:rFonts w:ascii="Times New Roman" w:hAnsi="Times New Roman" w:cs="Times New Roman"/>
          <w:sz w:val="28"/>
          <w:szCs w:val="28"/>
          <w:lang w:val="ro-MD"/>
        </w:rPr>
        <w:t>t</w:t>
      </w:r>
      <w:r w:rsidR="008C1007" w:rsidRPr="001D0846">
        <w:rPr>
          <w:rFonts w:ascii="Times New Roman" w:hAnsi="Times New Roman" w:cs="Times New Roman"/>
          <w:sz w:val="28"/>
          <w:szCs w:val="28"/>
          <w:lang w:val="ro-MD"/>
        </w:rPr>
        <w:t>abel</w:t>
      </w:r>
      <w:r>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w:t>
      </w:r>
      <w:r>
        <w:rPr>
          <w:rFonts w:ascii="Times New Roman" w:hAnsi="Times New Roman" w:cs="Times New Roman"/>
          <w:sz w:val="28"/>
          <w:szCs w:val="28"/>
          <w:lang w:val="ro-MD"/>
        </w:rPr>
        <w:t>se constată</w:t>
      </w:r>
      <w:r w:rsidR="008C1007" w:rsidRPr="001D0846">
        <w:rPr>
          <w:rFonts w:ascii="Times New Roman" w:hAnsi="Times New Roman" w:cs="Times New Roman"/>
          <w:sz w:val="28"/>
          <w:szCs w:val="28"/>
          <w:lang w:val="ro-MD"/>
        </w:rPr>
        <w:t xml:space="preserve"> nerealizarea de către SFS în </w:t>
      </w:r>
      <w:r w:rsidR="00191BA5">
        <w:rPr>
          <w:rFonts w:ascii="Times New Roman" w:hAnsi="Times New Roman" w:cs="Times New Roman"/>
          <w:sz w:val="28"/>
          <w:szCs w:val="28"/>
          <w:lang w:val="ro-MD"/>
        </w:rPr>
        <w:t xml:space="preserve">anul 2017 </w:t>
      </w:r>
      <w:r w:rsidR="008C1007" w:rsidRPr="001D0846">
        <w:rPr>
          <w:rFonts w:ascii="Times New Roman" w:hAnsi="Times New Roman" w:cs="Times New Roman"/>
          <w:sz w:val="28"/>
          <w:szCs w:val="28"/>
          <w:lang w:val="ro-MD"/>
        </w:rPr>
        <w:t>a planului de încasări</w:t>
      </w:r>
      <w:r>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față de nivelul planificat</w:t>
      </w:r>
      <w:r>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w:t>
      </w:r>
      <w:r w:rsidR="00191BA5">
        <w:rPr>
          <w:rFonts w:ascii="Times New Roman" w:hAnsi="Times New Roman" w:cs="Times New Roman"/>
          <w:sz w:val="28"/>
          <w:szCs w:val="28"/>
          <w:lang w:val="ro-MD"/>
        </w:rPr>
        <w:t>la impozitul</w:t>
      </w:r>
      <w:r w:rsidR="008C1007" w:rsidRPr="001D0846">
        <w:rPr>
          <w:rFonts w:ascii="Times New Roman" w:hAnsi="Times New Roman" w:cs="Times New Roman"/>
          <w:sz w:val="28"/>
          <w:szCs w:val="28"/>
          <w:lang w:val="ro-MD"/>
        </w:rPr>
        <w:t xml:space="preserve"> pe venit cu 78,8 mil.lei</w:t>
      </w:r>
      <w:r>
        <w:rPr>
          <w:rFonts w:ascii="Times New Roman" w:hAnsi="Times New Roman" w:cs="Times New Roman"/>
          <w:sz w:val="28"/>
          <w:szCs w:val="28"/>
          <w:lang w:val="ro-MD"/>
        </w:rPr>
        <w:t>, precum</w:t>
      </w:r>
      <w:r w:rsidR="008C1007" w:rsidRPr="001D0846">
        <w:rPr>
          <w:rFonts w:ascii="Times New Roman" w:hAnsi="Times New Roman" w:cs="Times New Roman"/>
          <w:sz w:val="28"/>
          <w:szCs w:val="28"/>
          <w:lang w:val="ro-MD"/>
        </w:rPr>
        <w:t xml:space="preserve"> și </w:t>
      </w:r>
      <w:r>
        <w:rPr>
          <w:rFonts w:ascii="Times New Roman" w:hAnsi="Times New Roman" w:cs="Times New Roman"/>
          <w:sz w:val="28"/>
          <w:szCs w:val="28"/>
          <w:lang w:val="ro-MD"/>
        </w:rPr>
        <w:t>la</w:t>
      </w:r>
      <w:r w:rsidR="008C1007" w:rsidRPr="001D0846">
        <w:rPr>
          <w:rFonts w:ascii="Times New Roman" w:hAnsi="Times New Roman" w:cs="Times New Roman"/>
          <w:sz w:val="28"/>
          <w:szCs w:val="28"/>
          <w:lang w:val="ro-MD"/>
        </w:rPr>
        <w:t xml:space="preserve"> </w:t>
      </w:r>
      <w:r>
        <w:rPr>
          <w:rFonts w:ascii="Times New Roman" w:hAnsi="Times New Roman" w:cs="Times New Roman"/>
          <w:sz w:val="28"/>
          <w:szCs w:val="28"/>
          <w:lang w:val="ro-MD"/>
        </w:rPr>
        <w:t>t</w:t>
      </w:r>
      <w:r w:rsidR="008C1007" w:rsidRPr="001D0846">
        <w:rPr>
          <w:rFonts w:ascii="Times New Roman" w:hAnsi="Times New Roman" w:cs="Times New Roman"/>
          <w:sz w:val="28"/>
          <w:szCs w:val="28"/>
          <w:lang w:val="ro-MD"/>
        </w:rPr>
        <w:t>ax</w:t>
      </w:r>
      <w:r>
        <w:rPr>
          <w:rFonts w:ascii="Times New Roman" w:hAnsi="Times New Roman" w:cs="Times New Roman"/>
          <w:sz w:val="28"/>
          <w:szCs w:val="28"/>
          <w:lang w:val="ro-MD"/>
        </w:rPr>
        <w:t>a</w:t>
      </w:r>
      <w:r w:rsidR="008C1007" w:rsidRPr="001D0846">
        <w:rPr>
          <w:rFonts w:ascii="Times New Roman" w:hAnsi="Times New Roman" w:cs="Times New Roman"/>
          <w:sz w:val="28"/>
          <w:szCs w:val="28"/>
          <w:lang w:val="ro-MD"/>
        </w:rPr>
        <w:t xml:space="preserve"> pentru folosirea drumurilor </w:t>
      </w:r>
      <w:r>
        <w:rPr>
          <w:rFonts w:ascii="Times New Roman" w:hAnsi="Times New Roman" w:cs="Times New Roman"/>
          <w:sz w:val="28"/>
          <w:szCs w:val="28"/>
          <w:lang w:val="ro-MD"/>
        </w:rPr>
        <w:t xml:space="preserve">- </w:t>
      </w:r>
      <w:r w:rsidR="008C1007" w:rsidRPr="001D0846">
        <w:rPr>
          <w:rFonts w:ascii="Times New Roman" w:hAnsi="Times New Roman" w:cs="Times New Roman"/>
          <w:sz w:val="28"/>
          <w:szCs w:val="28"/>
          <w:lang w:val="ro-MD"/>
        </w:rPr>
        <w:t xml:space="preserve">cu 15,9 mil.lei. Analogic, în </w:t>
      </w:r>
      <w:r>
        <w:rPr>
          <w:rFonts w:ascii="Times New Roman" w:hAnsi="Times New Roman" w:cs="Times New Roman"/>
          <w:sz w:val="28"/>
          <w:szCs w:val="28"/>
          <w:lang w:val="ro-MD"/>
        </w:rPr>
        <w:t>anul</w:t>
      </w:r>
      <w:r w:rsidR="008C1007" w:rsidRPr="001D0846">
        <w:rPr>
          <w:rFonts w:ascii="Times New Roman" w:hAnsi="Times New Roman" w:cs="Times New Roman"/>
          <w:sz w:val="28"/>
          <w:szCs w:val="28"/>
          <w:lang w:val="ro-MD"/>
        </w:rPr>
        <w:t xml:space="preserve"> 2016, la aceleași impozite/taxe se atestă nerealizări cu 33,8 mil.lei și</w:t>
      </w:r>
      <w:r w:rsidR="00F40F1E">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respectiv</w:t>
      </w:r>
      <w:r w:rsidR="00F40F1E">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cu </w:t>
      </w:r>
      <w:r w:rsidR="00191BA5">
        <w:rPr>
          <w:rFonts w:ascii="Times New Roman" w:hAnsi="Times New Roman" w:cs="Times New Roman"/>
          <w:sz w:val="28"/>
          <w:szCs w:val="28"/>
          <w:lang w:val="ro-MD"/>
        </w:rPr>
        <w:t>28,8 mil.lei, precum și</w:t>
      </w:r>
      <w:r w:rsidR="008C1007" w:rsidRPr="001D0846">
        <w:rPr>
          <w:rFonts w:ascii="Times New Roman" w:hAnsi="Times New Roman" w:cs="Times New Roman"/>
          <w:sz w:val="28"/>
          <w:szCs w:val="28"/>
          <w:lang w:val="ro-MD"/>
        </w:rPr>
        <w:t xml:space="preserve"> nerealizări la alte impozite și taxe </w:t>
      </w:r>
      <w:r w:rsidR="00F40F1E">
        <w:rPr>
          <w:rFonts w:ascii="Times New Roman" w:hAnsi="Times New Roman" w:cs="Times New Roman"/>
          <w:sz w:val="28"/>
          <w:szCs w:val="28"/>
          <w:lang w:val="ro-MD"/>
        </w:rPr>
        <w:t xml:space="preserve">- </w:t>
      </w:r>
      <w:r w:rsidR="008C1007" w:rsidRPr="001D0846">
        <w:rPr>
          <w:rFonts w:ascii="Times New Roman" w:hAnsi="Times New Roman" w:cs="Times New Roman"/>
          <w:sz w:val="28"/>
          <w:szCs w:val="28"/>
          <w:lang w:val="ro-MD"/>
        </w:rPr>
        <w:t xml:space="preserve">cu 32,2 mil.lei. În </w:t>
      </w:r>
      <w:r w:rsidR="00F40F1E">
        <w:rPr>
          <w:rFonts w:ascii="Times New Roman" w:hAnsi="Times New Roman" w:cs="Times New Roman"/>
          <w:sz w:val="28"/>
          <w:szCs w:val="28"/>
          <w:lang w:val="ro-MD"/>
        </w:rPr>
        <w:t>anul</w:t>
      </w:r>
      <w:r w:rsidR="008C1007" w:rsidRPr="001D0846">
        <w:rPr>
          <w:rFonts w:ascii="Times New Roman" w:hAnsi="Times New Roman" w:cs="Times New Roman"/>
          <w:sz w:val="28"/>
          <w:szCs w:val="28"/>
          <w:lang w:val="ro-MD"/>
        </w:rPr>
        <w:t xml:space="preserve"> 2015 </w:t>
      </w:r>
      <w:r w:rsidR="00F40F1E">
        <w:rPr>
          <w:rFonts w:ascii="Times New Roman" w:hAnsi="Times New Roman" w:cs="Times New Roman"/>
          <w:sz w:val="28"/>
          <w:szCs w:val="28"/>
          <w:lang w:val="ro-MD"/>
        </w:rPr>
        <w:t>nu s-a realizat</w:t>
      </w:r>
      <w:r w:rsidR="008C1007" w:rsidRPr="001D0846">
        <w:rPr>
          <w:rFonts w:ascii="Times New Roman" w:hAnsi="Times New Roman" w:cs="Times New Roman"/>
          <w:sz w:val="28"/>
          <w:szCs w:val="28"/>
          <w:lang w:val="ro-MD"/>
        </w:rPr>
        <w:t xml:space="preserve"> planu</w:t>
      </w:r>
      <w:r w:rsidR="00F40F1E">
        <w:rPr>
          <w:rFonts w:ascii="Times New Roman" w:hAnsi="Times New Roman" w:cs="Times New Roman"/>
          <w:sz w:val="28"/>
          <w:szCs w:val="28"/>
          <w:lang w:val="ro-MD"/>
        </w:rPr>
        <w:t>l</w:t>
      </w:r>
      <w:r w:rsidR="008C1007" w:rsidRPr="001D0846">
        <w:rPr>
          <w:rFonts w:ascii="Times New Roman" w:hAnsi="Times New Roman" w:cs="Times New Roman"/>
          <w:sz w:val="28"/>
          <w:szCs w:val="28"/>
          <w:lang w:val="ro-MD"/>
        </w:rPr>
        <w:t xml:space="preserve"> de încasări la TVA cu 78,6 mil.lei.</w:t>
      </w:r>
      <w:r w:rsidR="00A96AD6" w:rsidRPr="001D0846">
        <w:rPr>
          <w:rFonts w:ascii="Times New Roman" w:hAnsi="Times New Roman" w:cs="Times New Roman"/>
          <w:b/>
          <w:sz w:val="28"/>
          <w:szCs w:val="28"/>
          <w:lang w:val="ro-MD"/>
        </w:rPr>
        <w:t xml:space="preserve"> </w:t>
      </w:r>
    </w:p>
    <w:p w:rsidR="00A355CC" w:rsidRPr="001D0846" w:rsidRDefault="00FC0584" w:rsidP="000A421F">
      <w:pPr>
        <w:spacing w:after="0" w:line="276" w:lineRule="auto"/>
        <w:ind w:right="-2" w:firstLine="72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Î</w:t>
      </w:r>
      <w:r w:rsidR="008C1007" w:rsidRPr="001D0846">
        <w:rPr>
          <w:rFonts w:ascii="Times New Roman" w:hAnsi="Times New Roman" w:cs="Times New Roman"/>
          <w:sz w:val="28"/>
          <w:szCs w:val="28"/>
          <w:lang w:val="ro-MD"/>
        </w:rPr>
        <w:t xml:space="preserve">n totalul veniturilor colectate de SFS la </w:t>
      </w:r>
      <w:r w:rsidR="00A355CC" w:rsidRPr="001D0846">
        <w:rPr>
          <w:rFonts w:ascii="Times New Roman" w:hAnsi="Times New Roman" w:cs="Times New Roman"/>
          <w:sz w:val="28"/>
          <w:szCs w:val="28"/>
          <w:lang w:val="ro-MD"/>
        </w:rPr>
        <w:t>B</w:t>
      </w:r>
      <w:r w:rsidR="00102813">
        <w:rPr>
          <w:rFonts w:ascii="Times New Roman" w:hAnsi="Times New Roman" w:cs="Times New Roman"/>
          <w:sz w:val="28"/>
          <w:szCs w:val="28"/>
          <w:lang w:val="ro-MD"/>
        </w:rPr>
        <w:t>S</w:t>
      </w:r>
      <w:r w:rsidR="00A355CC" w:rsidRPr="001D0846">
        <w:rPr>
          <w:rFonts w:ascii="Times New Roman" w:hAnsi="Times New Roman" w:cs="Times New Roman"/>
          <w:sz w:val="28"/>
          <w:szCs w:val="28"/>
          <w:lang w:val="ro-MD"/>
        </w:rPr>
        <w:t xml:space="preserve"> în anul 2017</w:t>
      </w:r>
      <w:r w:rsidR="008C1007" w:rsidRPr="001D0846">
        <w:rPr>
          <w:rFonts w:ascii="Times New Roman" w:hAnsi="Times New Roman" w:cs="Times New Roman"/>
          <w:sz w:val="28"/>
          <w:szCs w:val="28"/>
          <w:lang w:val="ro-MD"/>
        </w:rPr>
        <w:t xml:space="preserve">, ponderea majoră o dețin încasările de la TVA (6,2 </w:t>
      </w:r>
      <w:proofErr w:type="spellStart"/>
      <w:r w:rsidR="008C1007" w:rsidRPr="001D0846">
        <w:rPr>
          <w:rFonts w:ascii="Times New Roman" w:hAnsi="Times New Roman" w:cs="Times New Roman"/>
          <w:sz w:val="28"/>
          <w:szCs w:val="28"/>
          <w:lang w:val="ro-MD"/>
        </w:rPr>
        <w:t>ml</w:t>
      </w:r>
      <w:r w:rsidR="00F40F1E">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sau 19%)</w:t>
      </w:r>
      <w:r w:rsidR="00F40F1E">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urmate de încasările de la impozitu</w:t>
      </w:r>
      <w:r w:rsidR="005B3DC9" w:rsidRPr="001D0846">
        <w:rPr>
          <w:rFonts w:ascii="Times New Roman" w:hAnsi="Times New Roman" w:cs="Times New Roman"/>
          <w:sz w:val="28"/>
          <w:szCs w:val="28"/>
          <w:lang w:val="ro-MD"/>
        </w:rPr>
        <w:t xml:space="preserve">l pe venit (5,6 </w:t>
      </w:r>
      <w:proofErr w:type="spellStart"/>
      <w:r w:rsidR="005B3DC9" w:rsidRPr="001D0846">
        <w:rPr>
          <w:rFonts w:ascii="Times New Roman" w:hAnsi="Times New Roman" w:cs="Times New Roman"/>
          <w:sz w:val="28"/>
          <w:szCs w:val="28"/>
          <w:lang w:val="ro-MD"/>
        </w:rPr>
        <w:t>ml</w:t>
      </w:r>
      <w:r w:rsidR="00F40F1E">
        <w:rPr>
          <w:rFonts w:ascii="Times New Roman" w:hAnsi="Times New Roman" w:cs="Times New Roman"/>
          <w:sz w:val="28"/>
          <w:szCs w:val="28"/>
          <w:lang w:val="ro-MD"/>
        </w:rPr>
        <w:t>r</w:t>
      </w:r>
      <w:r w:rsidR="005B3DC9" w:rsidRPr="001D0846">
        <w:rPr>
          <w:rFonts w:ascii="Times New Roman" w:hAnsi="Times New Roman" w:cs="Times New Roman"/>
          <w:sz w:val="28"/>
          <w:szCs w:val="28"/>
          <w:lang w:val="ro-MD"/>
        </w:rPr>
        <w:t>d.lei</w:t>
      </w:r>
      <w:proofErr w:type="spellEnd"/>
      <w:r w:rsidR="005B3DC9" w:rsidRPr="001D0846">
        <w:rPr>
          <w:rFonts w:ascii="Times New Roman" w:hAnsi="Times New Roman" w:cs="Times New Roman"/>
          <w:sz w:val="28"/>
          <w:szCs w:val="28"/>
          <w:lang w:val="ro-MD"/>
        </w:rPr>
        <w:t>, sau 17</w:t>
      </w:r>
      <w:r w:rsidR="008C1007" w:rsidRPr="001D0846">
        <w:rPr>
          <w:rFonts w:ascii="Times New Roman" w:hAnsi="Times New Roman" w:cs="Times New Roman"/>
          <w:sz w:val="28"/>
          <w:szCs w:val="28"/>
          <w:lang w:val="ro-MD"/>
        </w:rPr>
        <w:t xml:space="preserve">%). </w:t>
      </w:r>
    </w:p>
    <w:p w:rsidR="008C1007" w:rsidRDefault="008C1007" w:rsidP="000A421F">
      <w:pPr>
        <w:spacing w:after="0" w:line="276" w:lineRule="auto"/>
        <w:ind w:right="-2" w:firstLine="720"/>
        <w:jc w:val="both"/>
        <w:rPr>
          <w:rFonts w:ascii="Times New Roman" w:hAnsi="Times New Roman" w:cs="Times New Roman"/>
          <w:i/>
          <w:sz w:val="28"/>
          <w:szCs w:val="28"/>
          <w:lang w:val="ro-MD"/>
        </w:rPr>
      </w:pPr>
      <w:r w:rsidRPr="001D0846">
        <w:rPr>
          <w:rFonts w:ascii="Times New Roman" w:hAnsi="Times New Roman" w:cs="Times New Roman"/>
          <w:sz w:val="28"/>
          <w:szCs w:val="28"/>
          <w:lang w:val="ro-MD"/>
        </w:rPr>
        <w:t>Analiza efectuată de audit denotă că</w:t>
      </w:r>
      <w:r w:rsidR="00F40F1E">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deși, în perioada anilor 2015-2016</w:t>
      </w:r>
      <w:r w:rsidR="00F40F1E">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 xml:space="preserve"> ponderea TVA în totalul veniturilor colectate la </w:t>
      </w:r>
      <w:r w:rsidR="00A355CC" w:rsidRPr="001D0846">
        <w:rPr>
          <w:rFonts w:ascii="Times New Roman" w:hAnsi="Times New Roman" w:cs="Times New Roman"/>
          <w:sz w:val="28"/>
          <w:szCs w:val="28"/>
          <w:lang w:val="ro-MD"/>
        </w:rPr>
        <w:t>BS</w:t>
      </w:r>
      <w:r w:rsidRPr="001D0846">
        <w:rPr>
          <w:rFonts w:ascii="Times New Roman" w:hAnsi="Times New Roman" w:cs="Times New Roman"/>
          <w:sz w:val="28"/>
          <w:szCs w:val="28"/>
          <w:lang w:val="ro-MD"/>
        </w:rPr>
        <w:t xml:space="preserve"> con</w:t>
      </w:r>
      <w:r w:rsidR="005B3DC9" w:rsidRPr="001D0846">
        <w:rPr>
          <w:rFonts w:ascii="Times New Roman" w:hAnsi="Times New Roman" w:cs="Times New Roman"/>
          <w:sz w:val="28"/>
          <w:szCs w:val="28"/>
          <w:lang w:val="ro-MD"/>
        </w:rPr>
        <w:t xml:space="preserve">stituia </w:t>
      </w:r>
      <w:r w:rsidR="00A355CC" w:rsidRPr="001D0846">
        <w:rPr>
          <w:rFonts w:ascii="Times New Roman" w:hAnsi="Times New Roman" w:cs="Times New Roman"/>
          <w:sz w:val="28"/>
          <w:szCs w:val="28"/>
          <w:lang w:val="ro-MD"/>
        </w:rPr>
        <w:t>45,7</w:t>
      </w:r>
      <w:r w:rsidR="005B3DC9" w:rsidRPr="001D0846">
        <w:rPr>
          <w:rFonts w:ascii="Times New Roman" w:hAnsi="Times New Roman" w:cs="Times New Roman"/>
          <w:sz w:val="28"/>
          <w:szCs w:val="28"/>
          <w:lang w:val="ro-MD"/>
        </w:rPr>
        <w:t>% și</w:t>
      </w:r>
      <w:r w:rsidR="00F40F1E">
        <w:rPr>
          <w:rFonts w:ascii="Times New Roman" w:hAnsi="Times New Roman" w:cs="Times New Roman"/>
          <w:sz w:val="28"/>
          <w:szCs w:val="28"/>
          <w:lang w:val="ro-MD"/>
        </w:rPr>
        <w:t>,</w:t>
      </w:r>
      <w:r w:rsidR="005B3DC9" w:rsidRPr="001D0846">
        <w:rPr>
          <w:rFonts w:ascii="Times New Roman" w:hAnsi="Times New Roman" w:cs="Times New Roman"/>
          <w:sz w:val="28"/>
          <w:szCs w:val="28"/>
          <w:lang w:val="ro-MD"/>
        </w:rPr>
        <w:t xml:space="preserve"> respectiv</w:t>
      </w:r>
      <w:r w:rsidR="00F40F1E">
        <w:rPr>
          <w:rFonts w:ascii="Times New Roman" w:hAnsi="Times New Roman" w:cs="Times New Roman"/>
          <w:sz w:val="28"/>
          <w:szCs w:val="28"/>
          <w:lang w:val="ro-MD"/>
        </w:rPr>
        <w:t xml:space="preserve">, </w:t>
      </w:r>
      <w:r w:rsidR="005B3DC9" w:rsidRPr="001D0846">
        <w:rPr>
          <w:rFonts w:ascii="Times New Roman" w:hAnsi="Times New Roman" w:cs="Times New Roman"/>
          <w:sz w:val="28"/>
          <w:szCs w:val="28"/>
          <w:lang w:val="ro-MD"/>
        </w:rPr>
        <w:t xml:space="preserve"> 46,0</w:t>
      </w:r>
      <w:r w:rsidRPr="001D0846">
        <w:rPr>
          <w:rFonts w:ascii="Times New Roman" w:hAnsi="Times New Roman" w:cs="Times New Roman"/>
          <w:sz w:val="28"/>
          <w:szCs w:val="28"/>
          <w:lang w:val="ro-MD"/>
        </w:rPr>
        <w:t xml:space="preserve">%, în anul 2017 se atestă o scădere </w:t>
      </w:r>
      <w:r w:rsidR="005B3DC9" w:rsidRPr="001D0846">
        <w:rPr>
          <w:rFonts w:ascii="Times New Roman" w:hAnsi="Times New Roman" w:cs="Times New Roman"/>
          <w:sz w:val="28"/>
          <w:szCs w:val="28"/>
          <w:lang w:val="ro-MD"/>
        </w:rPr>
        <w:t xml:space="preserve">a ponderii acestei taxe cu 2,7 </w:t>
      </w:r>
      <w:proofErr w:type="spellStart"/>
      <w:r w:rsidR="005B3DC9" w:rsidRPr="001D0846">
        <w:rPr>
          <w:rFonts w:ascii="Times New Roman" w:hAnsi="Times New Roman" w:cs="Times New Roman"/>
          <w:sz w:val="28"/>
          <w:szCs w:val="28"/>
          <w:lang w:val="ro-MD"/>
        </w:rPr>
        <w:t>p.p.</w:t>
      </w:r>
      <w:proofErr w:type="spellEnd"/>
      <w:r w:rsidR="00F40F1E">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constituind 43,3%</w:t>
      </w:r>
      <w:r w:rsidR="009F2216" w:rsidRPr="001D0846">
        <w:rPr>
          <w:rFonts w:ascii="Times New Roman" w:hAnsi="Times New Roman" w:cs="Times New Roman"/>
          <w:sz w:val="28"/>
          <w:szCs w:val="28"/>
          <w:lang w:val="ro-MD"/>
        </w:rPr>
        <w:t>, situație cauzată de creșterea ponderii altor impozite și taxe</w:t>
      </w:r>
      <w:r w:rsidRPr="001D0846">
        <w:rPr>
          <w:rFonts w:ascii="Times New Roman" w:hAnsi="Times New Roman" w:cs="Times New Roman"/>
          <w:sz w:val="28"/>
          <w:szCs w:val="28"/>
          <w:lang w:val="ro-MD"/>
        </w:rPr>
        <w:t xml:space="preserve">. Analogic, se remarcă reducerea în anul 2017 a ponderii impozitului pe venit cu 1,8 % și a accizelor </w:t>
      </w:r>
      <w:r w:rsidR="00F40F1E">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cu 0,6 %</w:t>
      </w:r>
      <w:r w:rsidR="00F40F1E">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față de anul 2016. Totodată, se </w:t>
      </w:r>
      <w:r w:rsidR="00F40F1E">
        <w:rPr>
          <w:rFonts w:ascii="Times New Roman" w:hAnsi="Times New Roman" w:cs="Times New Roman"/>
          <w:sz w:val="28"/>
          <w:szCs w:val="28"/>
          <w:lang w:val="ro-MD"/>
        </w:rPr>
        <w:t>constată</w:t>
      </w:r>
      <w:r w:rsidRPr="001D0846">
        <w:rPr>
          <w:rFonts w:ascii="Times New Roman" w:hAnsi="Times New Roman" w:cs="Times New Roman"/>
          <w:sz w:val="28"/>
          <w:szCs w:val="28"/>
          <w:lang w:val="ro-MD"/>
        </w:rPr>
        <w:t xml:space="preserve"> o creștere a ponderii altor impozite și taxe în anul 2017 cu 1,3 %</w:t>
      </w:r>
      <w:r w:rsidR="00F40F1E">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față de anul 2016, influențată de transmiterea spre administrare în anul 2017 a unor impozite și taxe de la IES și a </w:t>
      </w:r>
      <w:r w:rsidRPr="00555B62">
        <w:rPr>
          <w:rFonts w:ascii="Times New Roman" w:hAnsi="Times New Roman" w:cs="Times New Roman"/>
          <w:sz w:val="28"/>
          <w:szCs w:val="28"/>
          <w:lang w:val="ro-MD"/>
        </w:rPr>
        <w:t>taxei pentru vinietă, de la care au</w:t>
      </w:r>
      <w:r w:rsidRPr="001D0846">
        <w:rPr>
          <w:rFonts w:ascii="Times New Roman" w:hAnsi="Times New Roman" w:cs="Times New Roman"/>
          <w:sz w:val="28"/>
          <w:szCs w:val="28"/>
          <w:lang w:val="ro-MD"/>
        </w:rPr>
        <w:t xml:space="preserve"> fost încasate </w:t>
      </w:r>
      <w:r w:rsidR="00F40F1E" w:rsidRPr="001D0846">
        <w:rPr>
          <w:rFonts w:ascii="Times New Roman" w:hAnsi="Times New Roman" w:cs="Times New Roman"/>
          <w:sz w:val="28"/>
          <w:szCs w:val="28"/>
          <w:lang w:val="ro-MD"/>
        </w:rPr>
        <w:t xml:space="preserve">în BS </w:t>
      </w:r>
      <w:r w:rsidRPr="001D0846">
        <w:rPr>
          <w:rFonts w:ascii="Times New Roman" w:hAnsi="Times New Roman" w:cs="Times New Roman"/>
          <w:sz w:val="28"/>
          <w:szCs w:val="28"/>
          <w:lang w:val="ro-MD"/>
        </w:rPr>
        <w:t>venituri suplimentare în sumă de 293,7 mil.lei și</w:t>
      </w:r>
      <w:r w:rsidR="00F40F1E">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respectiv</w:t>
      </w:r>
      <w:r w:rsidR="00F40F1E">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w:t>
      </w:r>
      <w:r w:rsidR="0027690B">
        <w:rPr>
          <w:rFonts w:ascii="Times New Roman" w:hAnsi="Times New Roman" w:cs="Times New Roman"/>
          <w:sz w:val="28"/>
          <w:szCs w:val="28"/>
          <w:lang w:val="ro-MD"/>
        </w:rPr>
        <w:t xml:space="preserve">de </w:t>
      </w:r>
      <w:r w:rsidRPr="001D0846">
        <w:rPr>
          <w:rFonts w:ascii="Times New Roman" w:hAnsi="Times New Roman" w:cs="Times New Roman"/>
          <w:sz w:val="28"/>
          <w:szCs w:val="28"/>
          <w:lang w:val="ro-MD"/>
        </w:rPr>
        <w:t>85</w:t>
      </w:r>
      <w:r w:rsidR="00F40F1E">
        <w:rPr>
          <w:rFonts w:ascii="Times New Roman" w:hAnsi="Times New Roman" w:cs="Times New Roman"/>
          <w:sz w:val="28"/>
          <w:szCs w:val="28"/>
          <w:lang w:val="ro-MD"/>
        </w:rPr>
        <w:t>,0</w:t>
      </w:r>
      <w:r w:rsidRPr="001D0846">
        <w:rPr>
          <w:rFonts w:ascii="Times New Roman" w:hAnsi="Times New Roman" w:cs="Times New Roman"/>
          <w:sz w:val="28"/>
          <w:szCs w:val="28"/>
          <w:lang w:val="ro-MD"/>
        </w:rPr>
        <w:t xml:space="preserve"> mil.lei.</w:t>
      </w:r>
      <w:r w:rsidR="00EC4D08" w:rsidRPr="001D0846">
        <w:rPr>
          <w:rFonts w:ascii="Times New Roman" w:hAnsi="Times New Roman" w:cs="Times New Roman"/>
          <w:sz w:val="28"/>
          <w:szCs w:val="28"/>
          <w:lang w:val="ro-MD"/>
        </w:rPr>
        <w:t xml:space="preserve"> </w:t>
      </w:r>
      <w:r w:rsidR="00EC4D08" w:rsidRPr="00C47531">
        <w:rPr>
          <w:rFonts w:ascii="Times New Roman" w:hAnsi="Times New Roman" w:cs="Times New Roman"/>
          <w:i/>
          <w:sz w:val="28"/>
          <w:szCs w:val="28"/>
          <w:lang w:val="ro-MD"/>
        </w:rPr>
        <w:t xml:space="preserve">Informația privind încasările la BS în </w:t>
      </w:r>
      <w:r w:rsidR="00EC4D08" w:rsidRPr="00C47531">
        <w:rPr>
          <w:rFonts w:ascii="Times New Roman" w:hAnsi="Times New Roman" w:cs="Times New Roman"/>
          <w:i/>
          <w:sz w:val="28"/>
          <w:szCs w:val="28"/>
          <w:lang w:val="ro-MD"/>
        </w:rPr>
        <w:lastRenderedPageBreak/>
        <w:t>aspectul unor tipuri de impozite administrate de SFS pentru ani</w:t>
      </w:r>
      <w:r w:rsidR="0027690B">
        <w:rPr>
          <w:rFonts w:ascii="Times New Roman" w:hAnsi="Times New Roman" w:cs="Times New Roman"/>
          <w:i/>
          <w:sz w:val="28"/>
          <w:szCs w:val="28"/>
          <w:lang w:val="ro-MD"/>
        </w:rPr>
        <w:t>i</w:t>
      </w:r>
      <w:r w:rsidR="00EC4D08" w:rsidRPr="00C47531">
        <w:rPr>
          <w:rFonts w:ascii="Times New Roman" w:hAnsi="Times New Roman" w:cs="Times New Roman"/>
          <w:i/>
          <w:sz w:val="28"/>
          <w:szCs w:val="28"/>
          <w:lang w:val="ro-MD"/>
        </w:rPr>
        <w:t xml:space="preserve"> 2015-2</w:t>
      </w:r>
      <w:r w:rsidR="00C47531">
        <w:rPr>
          <w:rFonts w:ascii="Times New Roman" w:hAnsi="Times New Roman" w:cs="Times New Roman"/>
          <w:i/>
          <w:sz w:val="28"/>
          <w:szCs w:val="28"/>
          <w:lang w:val="ro-MD"/>
        </w:rPr>
        <w:t xml:space="preserve">017 </w:t>
      </w:r>
      <w:r w:rsidR="0027690B">
        <w:rPr>
          <w:rFonts w:ascii="Times New Roman" w:hAnsi="Times New Roman" w:cs="Times New Roman"/>
          <w:i/>
          <w:sz w:val="28"/>
          <w:szCs w:val="28"/>
          <w:lang w:val="ro-MD"/>
        </w:rPr>
        <w:t xml:space="preserve">este </w:t>
      </w:r>
      <w:r w:rsidR="00C47531">
        <w:rPr>
          <w:rFonts w:ascii="Times New Roman" w:hAnsi="Times New Roman" w:cs="Times New Roman"/>
          <w:i/>
          <w:sz w:val="28"/>
          <w:szCs w:val="28"/>
          <w:lang w:val="ro-MD"/>
        </w:rPr>
        <w:t xml:space="preserve"> prez</w:t>
      </w:r>
      <w:r w:rsidR="0027690B">
        <w:rPr>
          <w:rFonts w:ascii="Times New Roman" w:hAnsi="Times New Roman" w:cs="Times New Roman"/>
          <w:i/>
          <w:sz w:val="28"/>
          <w:szCs w:val="28"/>
          <w:lang w:val="ro-MD"/>
        </w:rPr>
        <w:t>enta</w:t>
      </w:r>
      <w:r w:rsidR="00C47531">
        <w:rPr>
          <w:rFonts w:ascii="Times New Roman" w:hAnsi="Times New Roman" w:cs="Times New Roman"/>
          <w:i/>
          <w:sz w:val="28"/>
          <w:szCs w:val="28"/>
          <w:lang w:val="ro-MD"/>
        </w:rPr>
        <w:t>tă în Diagrama nr.7</w:t>
      </w:r>
      <w:r w:rsidR="00EC4D08" w:rsidRPr="00C47531">
        <w:rPr>
          <w:rFonts w:ascii="Times New Roman" w:hAnsi="Times New Roman" w:cs="Times New Roman"/>
          <w:i/>
          <w:sz w:val="28"/>
          <w:szCs w:val="28"/>
          <w:lang w:val="ro-MD"/>
        </w:rPr>
        <w:t xml:space="preserve"> </w:t>
      </w:r>
      <w:r w:rsidR="0027690B">
        <w:rPr>
          <w:rFonts w:ascii="Times New Roman" w:hAnsi="Times New Roman" w:cs="Times New Roman"/>
          <w:i/>
          <w:sz w:val="28"/>
          <w:szCs w:val="28"/>
          <w:lang w:val="ro-MD"/>
        </w:rPr>
        <w:t xml:space="preserve">din </w:t>
      </w:r>
      <w:r w:rsidR="00EC4D08" w:rsidRPr="00C47531">
        <w:rPr>
          <w:rFonts w:ascii="Times New Roman" w:hAnsi="Times New Roman" w:cs="Times New Roman"/>
          <w:i/>
          <w:sz w:val="28"/>
          <w:szCs w:val="28"/>
          <w:lang w:val="ro-MD"/>
        </w:rPr>
        <w:t>Anexa nr.4</w:t>
      </w:r>
      <w:r w:rsidR="0027690B">
        <w:rPr>
          <w:rFonts w:ascii="Times New Roman" w:hAnsi="Times New Roman" w:cs="Times New Roman"/>
          <w:i/>
          <w:sz w:val="28"/>
          <w:szCs w:val="28"/>
          <w:lang w:val="ro-MD"/>
        </w:rPr>
        <w:t xml:space="preserve"> la Raportul de audit</w:t>
      </w:r>
      <w:r w:rsidR="00EC4D08" w:rsidRPr="00C47531">
        <w:rPr>
          <w:rFonts w:ascii="Times New Roman" w:hAnsi="Times New Roman" w:cs="Times New Roman"/>
          <w:i/>
          <w:sz w:val="28"/>
          <w:szCs w:val="28"/>
          <w:lang w:val="ro-MD"/>
        </w:rPr>
        <w:t>.</w:t>
      </w:r>
    </w:p>
    <w:p w:rsidR="00EC4D50" w:rsidRPr="00EC4D50" w:rsidRDefault="008C1007" w:rsidP="00EC4D50">
      <w:pPr>
        <w:tabs>
          <w:tab w:val="left" w:pos="284"/>
          <w:tab w:val="left" w:pos="851"/>
          <w:tab w:val="left" w:pos="1134"/>
        </w:tabs>
        <w:spacing w:after="0" w:line="276" w:lineRule="auto"/>
        <w:ind w:right="-2"/>
        <w:jc w:val="both"/>
        <w:rPr>
          <w:rFonts w:ascii="Times New Roman" w:hAnsi="Times New Roman" w:cs="Times New Roman"/>
          <w:i/>
          <w:sz w:val="28"/>
          <w:szCs w:val="28"/>
          <w:lang w:val="ro-MD"/>
        </w:rPr>
      </w:pPr>
      <w:r w:rsidRPr="001D0846">
        <w:rPr>
          <w:rFonts w:ascii="Times New Roman" w:hAnsi="Times New Roman" w:cs="Times New Roman"/>
          <w:sz w:val="28"/>
          <w:szCs w:val="28"/>
          <w:lang w:val="ro-MD"/>
        </w:rPr>
        <w:tab/>
        <w:t xml:space="preserve"> </w:t>
      </w:r>
      <w:r w:rsidR="00074794">
        <w:rPr>
          <w:rFonts w:ascii="Times New Roman" w:hAnsi="Times New Roman" w:cs="Times New Roman"/>
          <w:sz w:val="28"/>
          <w:szCs w:val="28"/>
          <w:lang w:val="ro-MD"/>
        </w:rPr>
        <w:tab/>
      </w:r>
      <w:r w:rsidR="00074794" w:rsidRPr="00DC5522">
        <w:rPr>
          <w:rFonts w:ascii="Times New Roman" w:hAnsi="Times New Roman" w:cs="Times New Roman"/>
          <w:sz w:val="28"/>
          <w:szCs w:val="28"/>
          <w:lang w:val="ro-MD"/>
        </w:rPr>
        <w:t>Analiz</w:t>
      </w:r>
      <w:r w:rsidR="0027690B">
        <w:rPr>
          <w:rFonts w:ascii="Times New Roman" w:hAnsi="Times New Roman" w:cs="Times New Roman"/>
          <w:sz w:val="28"/>
          <w:szCs w:val="28"/>
          <w:lang w:val="ro-MD"/>
        </w:rPr>
        <w:t>ând</w:t>
      </w:r>
      <w:r w:rsidR="00074794" w:rsidRPr="00DC5522">
        <w:rPr>
          <w:rFonts w:ascii="Times New Roman" w:hAnsi="Times New Roman" w:cs="Times New Roman"/>
          <w:sz w:val="28"/>
          <w:szCs w:val="28"/>
          <w:lang w:val="ro-MD"/>
        </w:rPr>
        <w:t xml:space="preserve"> nivelul de încasare a sumelor calculate de SFS la B</w:t>
      </w:r>
      <w:r w:rsidR="00F7638B">
        <w:rPr>
          <w:rFonts w:ascii="Times New Roman" w:hAnsi="Times New Roman" w:cs="Times New Roman"/>
          <w:sz w:val="28"/>
          <w:szCs w:val="28"/>
          <w:lang w:val="ro-MD"/>
        </w:rPr>
        <w:t>S</w:t>
      </w:r>
      <w:r w:rsidR="0027690B">
        <w:rPr>
          <w:rFonts w:ascii="Times New Roman" w:hAnsi="Times New Roman" w:cs="Times New Roman"/>
          <w:sz w:val="28"/>
          <w:szCs w:val="28"/>
          <w:lang w:val="ro-MD"/>
        </w:rPr>
        <w:t xml:space="preserve">, se constată </w:t>
      </w:r>
      <w:r w:rsidR="00074794" w:rsidRPr="00DC5522">
        <w:rPr>
          <w:rFonts w:ascii="Times New Roman" w:hAnsi="Times New Roman" w:cs="Times New Roman"/>
          <w:sz w:val="28"/>
          <w:szCs w:val="28"/>
          <w:lang w:val="ro-MD"/>
        </w:rPr>
        <w:t xml:space="preserve"> o creștere </w:t>
      </w:r>
      <w:r w:rsidR="00B26E20" w:rsidRPr="00DC5522">
        <w:rPr>
          <w:rFonts w:ascii="Times New Roman" w:hAnsi="Times New Roman" w:cs="Times New Roman"/>
          <w:sz w:val="28"/>
          <w:szCs w:val="28"/>
          <w:lang w:val="ro-MD"/>
        </w:rPr>
        <w:t xml:space="preserve">în anul 2017 </w:t>
      </w:r>
      <w:r w:rsidR="00074794" w:rsidRPr="00DC5522">
        <w:rPr>
          <w:rFonts w:ascii="Times New Roman" w:hAnsi="Times New Roman" w:cs="Times New Roman"/>
          <w:sz w:val="28"/>
          <w:szCs w:val="28"/>
          <w:lang w:val="ro-MD"/>
        </w:rPr>
        <w:t xml:space="preserve">a încasărilor </w:t>
      </w:r>
      <w:r w:rsidR="00074794">
        <w:rPr>
          <w:rFonts w:ascii="Times New Roman" w:hAnsi="Times New Roman" w:cs="Times New Roman"/>
          <w:sz w:val="28"/>
          <w:szCs w:val="28"/>
          <w:lang w:val="ro-MD"/>
        </w:rPr>
        <w:t>la principalele tipuri de impozite și taxe</w:t>
      </w:r>
      <w:r w:rsidR="0027690B">
        <w:rPr>
          <w:rFonts w:ascii="Times New Roman" w:hAnsi="Times New Roman" w:cs="Times New Roman"/>
          <w:sz w:val="28"/>
          <w:szCs w:val="28"/>
          <w:lang w:val="ro-MD"/>
        </w:rPr>
        <w:t>,</w:t>
      </w:r>
      <w:r w:rsidR="00074794">
        <w:rPr>
          <w:rFonts w:ascii="Times New Roman" w:hAnsi="Times New Roman" w:cs="Times New Roman"/>
          <w:sz w:val="28"/>
          <w:szCs w:val="28"/>
          <w:lang w:val="ro-MD"/>
        </w:rPr>
        <w:t xml:space="preserve"> </w:t>
      </w:r>
      <w:r w:rsidR="00074794" w:rsidRPr="00DC5522">
        <w:rPr>
          <w:rFonts w:ascii="Times New Roman" w:hAnsi="Times New Roman" w:cs="Times New Roman"/>
          <w:sz w:val="28"/>
          <w:szCs w:val="28"/>
          <w:lang w:val="ro-MD"/>
        </w:rPr>
        <w:t xml:space="preserve">față de </w:t>
      </w:r>
      <w:r w:rsidR="0027690B">
        <w:rPr>
          <w:rFonts w:ascii="Times New Roman" w:hAnsi="Times New Roman" w:cs="Times New Roman"/>
          <w:sz w:val="28"/>
          <w:szCs w:val="28"/>
          <w:lang w:val="ro-MD"/>
        </w:rPr>
        <w:t>anii</w:t>
      </w:r>
      <w:r w:rsidR="00074794" w:rsidRPr="00DC5522">
        <w:rPr>
          <w:rFonts w:ascii="Times New Roman" w:hAnsi="Times New Roman" w:cs="Times New Roman"/>
          <w:sz w:val="28"/>
          <w:szCs w:val="28"/>
          <w:lang w:val="ro-MD"/>
        </w:rPr>
        <w:t xml:space="preserve"> 2015-2016</w:t>
      </w:r>
      <w:r w:rsidR="0027690B">
        <w:rPr>
          <w:rFonts w:ascii="Times New Roman" w:hAnsi="Times New Roman" w:cs="Times New Roman"/>
          <w:sz w:val="28"/>
          <w:szCs w:val="28"/>
          <w:lang w:val="ro-MD"/>
        </w:rPr>
        <w:t>,</w:t>
      </w:r>
      <w:r w:rsidR="00074794" w:rsidRPr="00DC5522">
        <w:rPr>
          <w:rFonts w:ascii="Times New Roman" w:hAnsi="Times New Roman" w:cs="Times New Roman"/>
          <w:sz w:val="28"/>
          <w:szCs w:val="28"/>
          <w:lang w:val="ro-MD"/>
        </w:rPr>
        <w:t xml:space="preserve"> cu 8,1 </w:t>
      </w:r>
      <w:proofErr w:type="spellStart"/>
      <w:r w:rsidR="00074794" w:rsidRPr="00DC5522">
        <w:rPr>
          <w:rFonts w:ascii="Times New Roman" w:hAnsi="Times New Roman" w:cs="Times New Roman"/>
          <w:sz w:val="28"/>
          <w:szCs w:val="28"/>
          <w:lang w:val="ro-MD"/>
        </w:rPr>
        <w:t>ml</w:t>
      </w:r>
      <w:r w:rsidR="0027690B">
        <w:rPr>
          <w:rFonts w:ascii="Times New Roman" w:hAnsi="Times New Roman" w:cs="Times New Roman"/>
          <w:sz w:val="28"/>
          <w:szCs w:val="28"/>
          <w:lang w:val="ro-MD"/>
        </w:rPr>
        <w:t>r</w:t>
      </w:r>
      <w:r w:rsidR="00074794" w:rsidRPr="00DC5522">
        <w:rPr>
          <w:rFonts w:ascii="Times New Roman" w:hAnsi="Times New Roman" w:cs="Times New Roman"/>
          <w:sz w:val="28"/>
          <w:szCs w:val="28"/>
          <w:lang w:val="ro-MD"/>
        </w:rPr>
        <w:t>d.lei</w:t>
      </w:r>
      <w:proofErr w:type="spellEnd"/>
      <w:r w:rsidR="00074794" w:rsidRPr="00DC5522">
        <w:rPr>
          <w:rFonts w:ascii="Times New Roman" w:hAnsi="Times New Roman" w:cs="Times New Roman"/>
          <w:sz w:val="28"/>
          <w:szCs w:val="28"/>
          <w:lang w:val="ro-MD"/>
        </w:rPr>
        <w:t xml:space="preserve"> și</w:t>
      </w:r>
      <w:r w:rsidR="0027690B">
        <w:rPr>
          <w:rFonts w:ascii="Times New Roman" w:hAnsi="Times New Roman" w:cs="Times New Roman"/>
          <w:sz w:val="28"/>
          <w:szCs w:val="28"/>
          <w:lang w:val="ro-MD"/>
        </w:rPr>
        <w:t>,</w:t>
      </w:r>
      <w:r w:rsidR="00074794" w:rsidRPr="00DC5522">
        <w:rPr>
          <w:rFonts w:ascii="Times New Roman" w:hAnsi="Times New Roman" w:cs="Times New Roman"/>
          <w:sz w:val="28"/>
          <w:szCs w:val="28"/>
          <w:lang w:val="ro-MD"/>
        </w:rPr>
        <w:t xml:space="preserve"> respectiv</w:t>
      </w:r>
      <w:r w:rsidR="0027690B">
        <w:rPr>
          <w:rFonts w:ascii="Times New Roman" w:hAnsi="Times New Roman" w:cs="Times New Roman"/>
          <w:sz w:val="28"/>
          <w:szCs w:val="28"/>
          <w:lang w:val="ro-MD"/>
        </w:rPr>
        <w:t>,</w:t>
      </w:r>
      <w:r w:rsidR="00074794" w:rsidRPr="00DC5522">
        <w:rPr>
          <w:rFonts w:ascii="Times New Roman" w:hAnsi="Times New Roman" w:cs="Times New Roman"/>
          <w:sz w:val="28"/>
          <w:szCs w:val="28"/>
          <w:lang w:val="ro-MD"/>
        </w:rPr>
        <w:t xml:space="preserve"> cu 6,1 </w:t>
      </w:r>
      <w:proofErr w:type="spellStart"/>
      <w:r w:rsidR="00074794" w:rsidRPr="00DC5522">
        <w:rPr>
          <w:rFonts w:ascii="Times New Roman" w:hAnsi="Times New Roman" w:cs="Times New Roman"/>
          <w:sz w:val="28"/>
          <w:szCs w:val="28"/>
          <w:lang w:val="ro-MD"/>
        </w:rPr>
        <w:t>ml</w:t>
      </w:r>
      <w:r w:rsidR="0027690B">
        <w:rPr>
          <w:rFonts w:ascii="Times New Roman" w:hAnsi="Times New Roman" w:cs="Times New Roman"/>
          <w:sz w:val="28"/>
          <w:szCs w:val="28"/>
          <w:lang w:val="ro-MD"/>
        </w:rPr>
        <w:t>r</w:t>
      </w:r>
      <w:r w:rsidR="00074794" w:rsidRPr="00DC5522">
        <w:rPr>
          <w:rFonts w:ascii="Times New Roman" w:hAnsi="Times New Roman" w:cs="Times New Roman"/>
          <w:sz w:val="28"/>
          <w:szCs w:val="28"/>
          <w:lang w:val="ro-MD"/>
        </w:rPr>
        <w:t>d.lei</w:t>
      </w:r>
      <w:proofErr w:type="spellEnd"/>
      <w:r w:rsidR="00074794" w:rsidRPr="00DC5522">
        <w:rPr>
          <w:rFonts w:ascii="Times New Roman" w:hAnsi="Times New Roman" w:cs="Times New Roman"/>
          <w:sz w:val="28"/>
          <w:szCs w:val="28"/>
          <w:lang w:val="ro-MD"/>
        </w:rPr>
        <w:t xml:space="preserve">. </w:t>
      </w:r>
      <w:r w:rsidR="00074794" w:rsidRPr="00DC5522">
        <w:rPr>
          <w:rFonts w:ascii="Times New Roman" w:hAnsi="Times New Roman" w:cs="Times New Roman"/>
          <w:i/>
          <w:sz w:val="28"/>
          <w:szCs w:val="28"/>
          <w:lang w:val="ro-MD"/>
        </w:rPr>
        <w:t xml:space="preserve">Informația privind sumele calculate și încasate pe tipuri de impozite și taxe la BPN de către SFS </w:t>
      </w:r>
      <w:r w:rsidR="0027690B">
        <w:rPr>
          <w:rFonts w:ascii="Times New Roman" w:hAnsi="Times New Roman" w:cs="Times New Roman"/>
          <w:i/>
          <w:sz w:val="28"/>
          <w:szCs w:val="28"/>
          <w:lang w:val="ro-MD"/>
        </w:rPr>
        <w:t xml:space="preserve">este </w:t>
      </w:r>
      <w:r w:rsidR="00074794" w:rsidRPr="00DC5522">
        <w:rPr>
          <w:rFonts w:ascii="Times New Roman" w:hAnsi="Times New Roman" w:cs="Times New Roman"/>
          <w:i/>
          <w:sz w:val="28"/>
          <w:szCs w:val="28"/>
          <w:lang w:val="ro-MD"/>
        </w:rPr>
        <w:t xml:space="preserve"> prez</w:t>
      </w:r>
      <w:r w:rsidR="0027690B">
        <w:rPr>
          <w:rFonts w:ascii="Times New Roman" w:hAnsi="Times New Roman" w:cs="Times New Roman"/>
          <w:i/>
          <w:sz w:val="28"/>
          <w:szCs w:val="28"/>
          <w:lang w:val="ro-MD"/>
        </w:rPr>
        <w:t>enta</w:t>
      </w:r>
      <w:r w:rsidR="00074794" w:rsidRPr="00DC5522">
        <w:rPr>
          <w:rFonts w:ascii="Times New Roman" w:hAnsi="Times New Roman" w:cs="Times New Roman"/>
          <w:i/>
          <w:sz w:val="28"/>
          <w:szCs w:val="28"/>
          <w:lang w:val="ro-MD"/>
        </w:rPr>
        <w:t>tă în Tabelul nr.</w:t>
      </w:r>
      <w:r w:rsidR="00B26E20">
        <w:rPr>
          <w:rFonts w:ascii="Times New Roman" w:hAnsi="Times New Roman" w:cs="Times New Roman"/>
          <w:i/>
          <w:sz w:val="28"/>
          <w:szCs w:val="28"/>
          <w:lang w:val="ro-MD"/>
        </w:rPr>
        <w:t>7</w:t>
      </w:r>
      <w:r w:rsidR="00074794" w:rsidRPr="00DC5522">
        <w:rPr>
          <w:rFonts w:ascii="Times New Roman" w:hAnsi="Times New Roman" w:cs="Times New Roman"/>
          <w:i/>
          <w:sz w:val="28"/>
          <w:szCs w:val="28"/>
          <w:lang w:val="ro-MD"/>
        </w:rPr>
        <w:t xml:space="preserve"> din Anexa nr.</w:t>
      </w:r>
      <w:r w:rsidR="00B35FF4">
        <w:rPr>
          <w:rFonts w:ascii="Times New Roman" w:hAnsi="Times New Roman" w:cs="Times New Roman"/>
          <w:i/>
          <w:sz w:val="28"/>
          <w:szCs w:val="28"/>
          <w:lang w:val="ro-MD"/>
        </w:rPr>
        <w:t>3</w:t>
      </w:r>
      <w:r w:rsidR="00074794" w:rsidRPr="00DC5522">
        <w:rPr>
          <w:rFonts w:ascii="Times New Roman" w:hAnsi="Times New Roman" w:cs="Times New Roman"/>
          <w:i/>
          <w:sz w:val="28"/>
          <w:szCs w:val="28"/>
          <w:lang w:val="ro-MD"/>
        </w:rPr>
        <w:t xml:space="preserve"> la Raport</w:t>
      </w:r>
      <w:r w:rsidR="0027690B">
        <w:rPr>
          <w:rFonts w:ascii="Times New Roman" w:hAnsi="Times New Roman" w:cs="Times New Roman"/>
          <w:i/>
          <w:sz w:val="28"/>
          <w:szCs w:val="28"/>
          <w:lang w:val="ro-MD"/>
        </w:rPr>
        <w:t>ul</w:t>
      </w:r>
      <w:r w:rsidR="00074794" w:rsidRPr="00DC5522">
        <w:rPr>
          <w:rFonts w:ascii="Times New Roman" w:hAnsi="Times New Roman" w:cs="Times New Roman"/>
          <w:i/>
          <w:sz w:val="28"/>
          <w:szCs w:val="28"/>
          <w:lang w:val="ro-MD"/>
        </w:rPr>
        <w:t xml:space="preserve"> de audit.</w:t>
      </w:r>
    </w:p>
    <w:p w:rsidR="00EC4D50" w:rsidRPr="001D0846" w:rsidRDefault="00EC4D50" w:rsidP="00EC4D50">
      <w:pPr>
        <w:tabs>
          <w:tab w:val="left" w:pos="284"/>
          <w:tab w:val="left" w:pos="851"/>
          <w:tab w:val="left" w:pos="1134"/>
        </w:tabs>
        <w:spacing w:after="0" w:line="276" w:lineRule="auto"/>
        <w:ind w:right="-2"/>
        <w:jc w:val="both"/>
        <w:rPr>
          <w:rFonts w:ascii="Times New Roman" w:hAnsi="Times New Roman" w:cs="Times New Roman"/>
          <w:sz w:val="28"/>
          <w:szCs w:val="28"/>
          <w:lang w:val="ro-MD"/>
        </w:rPr>
      </w:pPr>
      <w:r w:rsidRPr="00EC4D50">
        <w:rPr>
          <w:rFonts w:ascii="Times New Roman" w:hAnsi="Times New Roman" w:cs="Times New Roman"/>
          <w:sz w:val="28"/>
          <w:szCs w:val="28"/>
          <w:lang w:val="ro-MD"/>
        </w:rPr>
        <w:tab/>
        <w:t xml:space="preserve">     </w:t>
      </w:r>
      <w:r>
        <w:rPr>
          <w:rFonts w:ascii="Times New Roman" w:hAnsi="Times New Roman" w:cs="Times New Roman"/>
          <w:sz w:val="28"/>
          <w:szCs w:val="28"/>
          <w:lang w:val="ro-MD"/>
        </w:rPr>
        <w:tab/>
      </w:r>
      <w:r w:rsidRPr="00EC4D50">
        <w:rPr>
          <w:rFonts w:ascii="Times New Roman" w:hAnsi="Times New Roman" w:cs="Times New Roman"/>
          <w:sz w:val="28"/>
          <w:szCs w:val="28"/>
          <w:lang w:val="ro-MD"/>
        </w:rPr>
        <w:t xml:space="preserve">Datele prezentate în </w:t>
      </w:r>
      <w:r w:rsidR="00FA59B0" w:rsidRPr="003C4B9E">
        <w:rPr>
          <w:rFonts w:ascii="Times New Roman" w:hAnsi="Times New Roman" w:cs="Times New Roman"/>
          <w:sz w:val="28"/>
          <w:szCs w:val="28"/>
          <w:lang w:val="ro-MD"/>
        </w:rPr>
        <w:t>t</w:t>
      </w:r>
      <w:r w:rsidRPr="00FA59B0">
        <w:rPr>
          <w:rFonts w:ascii="Times New Roman" w:hAnsi="Times New Roman" w:cs="Times New Roman"/>
          <w:sz w:val="28"/>
          <w:szCs w:val="28"/>
          <w:lang w:val="ro-MD"/>
        </w:rPr>
        <w:t>abel r</w:t>
      </w:r>
      <w:r w:rsidRPr="00EC4D50">
        <w:rPr>
          <w:rFonts w:ascii="Times New Roman" w:hAnsi="Times New Roman" w:cs="Times New Roman"/>
          <w:sz w:val="28"/>
          <w:szCs w:val="28"/>
          <w:lang w:val="ro-MD"/>
        </w:rPr>
        <w:t>elevă o dinamică ascendentă a sumelor calculate la impozitele și taxele care dețin o pondere semnificativă în totalul veniturilor colectate la BS (TVA, impozit</w:t>
      </w:r>
      <w:r w:rsidR="00FA59B0">
        <w:rPr>
          <w:rFonts w:ascii="Times New Roman" w:hAnsi="Times New Roman" w:cs="Times New Roman"/>
          <w:sz w:val="28"/>
          <w:szCs w:val="28"/>
          <w:lang w:val="ro-MD"/>
        </w:rPr>
        <w:t>ul</w:t>
      </w:r>
      <w:r w:rsidRPr="00EC4D50">
        <w:rPr>
          <w:rFonts w:ascii="Times New Roman" w:hAnsi="Times New Roman" w:cs="Times New Roman"/>
          <w:sz w:val="28"/>
          <w:szCs w:val="28"/>
          <w:lang w:val="ro-MD"/>
        </w:rPr>
        <w:t xml:space="preserve"> pe venit). Astfel, în anul 2017</w:t>
      </w:r>
      <w:r w:rsidR="00FA59B0">
        <w:rPr>
          <w:rFonts w:ascii="Times New Roman" w:hAnsi="Times New Roman" w:cs="Times New Roman"/>
          <w:sz w:val="28"/>
          <w:szCs w:val="28"/>
          <w:lang w:val="ro-MD"/>
        </w:rPr>
        <w:t>,</w:t>
      </w:r>
      <w:r w:rsidRPr="00EC4D50">
        <w:rPr>
          <w:rFonts w:ascii="Times New Roman" w:hAnsi="Times New Roman" w:cs="Times New Roman"/>
          <w:sz w:val="28"/>
          <w:szCs w:val="28"/>
          <w:lang w:val="ro-MD"/>
        </w:rPr>
        <w:t xml:space="preserve"> ritmul de creștere a sumelor calculate</w:t>
      </w:r>
      <w:r w:rsidR="00FA59B0">
        <w:rPr>
          <w:rFonts w:ascii="Times New Roman" w:hAnsi="Times New Roman" w:cs="Times New Roman"/>
          <w:sz w:val="28"/>
          <w:szCs w:val="28"/>
          <w:lang w:val="ro-MD"/>
        </w:rPr>
        <w:t>,</w:t>
      </w:r>
      <w:r w:rsidRPr="00EC4D50">
        <w:rPr>
          <w:rFonts w:ascii="Times New Roman" w:hAnsi="Times New Roman" w:cs="Times New Roman"/>
          <w:sz w:val="28"/>
          <w:szCs w:val="28"/>
          <w:lang w:val="ro-MD"/>
        </w:rPr>
        <w:t xml:space="preserve"> față de perioadele precedente</w:t>
      </w:r>
      <w:r w:rsidR="00FA59B0">
        <w:rPr>
          <w:rFonts w:ascii="Times New Roman" w:hAnsi="Times New Roman" w:cs="Times New Roman"/>
          <w:sz w:val="28"/>
          <w:szCs w:val="28"/>
          <w:lang w:val="ro-MD"/>
        </w:rPr>
        <w:t>,</w:t>
      </w:r>
      <w:r w:rsidRPr="00EC4D50">
        <w:rPr>
          <w:rFonts w:ascii="Times New Roman" w:hAnsi="Times New Roman" w:cs="Times New Roman"/>
          <w:sz w:val="28"/>
          <w:szCs w:val="28"/>
          <w:lang w:val="ro-MD"/>
        </w:rPr>
        <w:t xml:space="preserve"> s-a majorat cu 9,0% la TVA și </w:t>
      </w:r>
      <w:r w:rsidR="00FA59B0">
        <w:rPr>
          <w:rFonts w:ascii="Times New Roman" w:hAnsi="Times New Roman" w:cs="Times New Roman"/>
          <w:sz w:val="28"/>
          <w:szCs w:val="28"/>
          <w:lang w:val="ro-MD"/>
        </w:rPr>
        <w:t xml:space="preserve">cu </w:t>
      </w:r>
      <w:r w:rsidRPr="00EC4D50">
        <w:rPr>
          <w:rFonts w:ascii="Times New Roman" w:hAnsi="Times New Roman" w:cs="Times New Roman"/>
          <w:sz w:val="28"/>
          <w:szCs w:val="28"/>
          <w:lang w:val="ro-MD"/>
        </w:rPr>
        <w:t xml:space="preserve">3 % la impozitul pe venit. Concomitent, se </w:t>
      </w:r>
      <w:r w:rsidR="00FA59B0">
        <w:rPr>
          <w:rFonts w:ascii="Times New Roman" w:hAnsi="Times New Roman" w:cs="Times New Roman"/>
          <w:sz w:val="28"/>
          <w:szCs w:val="28"/>
          <w:lang w:val="ro-MD"/>
        </w:rPr>
        <w:t>constată</w:t>
      </w:r>
      <w:r w:rsidRPr="00EC4D50">
        <w:rPr>
          <w:rFonts w:ascii="Times New Roman" w:hAnsi="Times New Roman" w:cs="Times New Roman"/>
          <w:sz w:val="28"/>
          <w:szCs w:val="28"/>
          <w:lang w:val="ro-MD"/>
        </w:rPr>
        <w:t xml:space="preserve"> o descreștere a sumelor calculate la accize cu 3% și </w:t>
      </w:r>
      <w:r w:rsidR="00FA59B0">
        <w:rPr>
          <w:rFonts w:ascii="Times New Roman" w:hAnsi="Times New Roman" w:cs="Times New Roman"/>
          <w:sz w:val="28"/>
          <w:szCs w:val="28"/>
          <w:lang w:val="ro-MD"/>
        </w:rPr>
        <w:t>la t</w:t>
      </w:r>
      <w:r w:rsidRPr="00EC4D50">
        <w:rPr>
          <w:rFonts w:ascii="Times New Roman" w:hAnsi="Times New Roman" w:cs="Times New Roman"/>
          <w:sz w:val="28"/>
          <w:szCs w:val="28"/>
          <w:lang w:val="ro-MD"/>
        </w:rPr>
        <w:t>axa pentru folosirea drumurilor cu 50,6%.</w:t>
      </w:r>
      <w:r w:rsidRPr="001D0846">
        <w:rPr>
          <w:rFonts w:ascii="Times New Roman" w:hAnsi="Times New Roman" w:cs="Times New Roman"/>
          <w:sz w:val="28"/>
          <w:szCs w:val="28"/>
          <w:lang w:val="ro-MD"/>
        </w:rPr>
        <w:t xml:space="preserve"> </w:t>
      </w:r>
    </w:p>
    <w:p w:rsidR="00FD037B" w:rsidRDefault="00EC4D50" w:rsidP="00FD037B">
      <w:pPr>
        <w:tabs>
          <w:tab w:val="left" w:pos="284"/>
          <w:tab w:val="left" w:pos="851"/>
          <w:tab w:val="left" w:pos="1134"/>
        </w:tabs>
        <w:spacing w:after="0" w:line="276" w:lineRule="auto"/>
        <w:ind w:right="-2"/>
        <w:jc w:val="both"/>
        <w:rPr>
          <w:rFonts w:ascii="Times New Roman" w:hAnsi="Times New Roman" w:cs="Times New Roman"/>
          <w:i/>
          <w:sz w:val="28"/>
          <w:szCs w:val="28"/>
          <w:lang w:val="ro-MD"/>
        </w:rPr>
      </w:pPr>
      <w:r>
        <w:rPr>
          <w:rFonts w:ascii="Times New Roman" w:hAnsi="Times New Roman" w:cs="Times New Roman"/>
          <w:sz w:val="28"/>
          <w:szCs w:val="28"/>
          <w:lang w:val="ro-MD"/>
        </w:rPr>
        <w:tab/>
      </w:r>
      <w:r>
        <w:rPr>
          <w:rFonts w:ascii="Times New Roman" w:hAnsi="Times New Roman" w:cs="Times New Roman"/>
          <w:sz w:val="28"/>
          <w:szCs w:val="28"/>
          <w:lang w:val="ro-MD"/>
        </w:rPr>
        <w:tab/>
      </w:r>
      <w:r w:rsidRPr="00FD037B">
        <w:rPr>
          <w:rFonts w:ascii="Times New Roman" w:hAnsi="Times New Roman" w:cs="Times New Roman"/>
          <w:sz w:val="28"/>
          <w:szCs w:val="28"/>
          <w:lang w:val="ro-MD"/>
        </w:rPr>
        <w:t xml:space="preserve">În raport cu sumele calculate, se atestă neîncasarea </w:t>
      </w:r>
      <w:r w:rsidR="00FA59B0" w:rsidRPr="00FD037B">
        <w:rPr>
          <w:rFonts w:ascii="Times New Roman" w:hAnsi="Times New Roman" w:cs="Times New Roman"/>
          <w:sz w:val="28"/>
          <w:szCs w:val="28"/>
          <w:lang w:val="ro-MD"/>
        </w:rPr>
        <w:t xml:space="preserve">TVA </w:t>
      </w:r>
      <w:r w:rsidRPr="00FD037B">
        <w:rPr>
          <w:rFonts w:ascii="Times New Roman" w:hAnsi="Times New Roman" w:cs="Times New Roman"/>
          <w:sz w:val="28"/>
          <w:szCs w:val="28"/>
          <w:lang w:val="ro-MD"/>
        </w:rPr>
        <w:t xml:space="preserve">în anul 2017 cu 420,2 mil. lei, în anul 2016 </w:t>
      </w:r>
      <w:r w:rsidR="00FA59B0">
        <w:rPr>
          <w:rFonts w:ascii="Times New Roman" w:hAnsi="Times New Roman" w:cs="Times New Roman"/>
          <w:sz w:val="28"/>
          <w:szCs w:val="28"/>
          <w:lang w:val="ro-MD"/>
        </w:rPr>
        <w:t xml:space="preserve">- </w:t>
      </w:r>
      <w:r w:rsidRPr="00FD037B">
        <w:rPr>
          <w:rFonts w:ascii="Times New Roman" w:hAnsi="Times New Roman" w:cs="Times New Roman"/>
          <w:sz w:val="28"/>
          <w:szCs w:val="28"/>
          <w:lang w:val="ro-MD"/>
        </w:rPr>
        <w:t>cu 305,8 mil. lei</w:t>
      </w:r>
      <w:r w:rsidR="00FA59B0">
        <w:rPr>
          <w:rFonts w:ascii="Times New Roman" w:hAnsi="Times New Roman" w:cs="Times New Roman"/>
          <w:sz w:val="28"/>
          <w:szCs w:val="28"/>
          <w:lang w:val="ro-MD"/>
        </w:rPr>
        <w:t>,</w:t>
      </w:r>
      <w:r w:rsidRPr="00FD037B">
        <w:rPr>
          <w:rFonts w:ascii="Times New Roman" w:hAnsi="Times New Roman" w:cs="Times New Roman"/>
          <w:sz w:val="28"/>
          <w:szCs w:val="28"/>
          <w:lang w:val="ro-MD"/>
        </w:rPr>
        <w:t xml:space="preserve"> și în anul 2015</w:t>
      </w:r>
      <w:r w:rsidR="00FA59B0">
        <w:rPr>
          <w:rFonts w:ascii="Times New Roman" w:hAnsi="Times New Roman" w:cs="Times New Roman"/>
          <w:sz w:val="28"/>
          <w:szCs w:val="28"/>
          <w:lang w:val="ro-MD"/>
        </w:rPr>
        <w:t xml:space="preserve"> -</w:t>
      </w:r>
      <w:r w:rsidRPr="00FD037B">
        <w:rPr>
          <w:rFonts w:ascii="Times New Roman" w:hAnsi="Times New Roman" w:cs="Times New Roman"/>
          <w:sz w:val="28"/>
          <w:szCs w:val="28"/>
          <w:lang w:val="ro-MD"/>
        </w:rPr>
        <w:t xml:space="preserve"> cu 343,9 mil.lei.</w:t>
      </w:r>
      <w:r w:rsidR="00FD037B" w:rsidRPr="00FD037B">
        <w:rPr>
          <w:rFonts w:ascii="Times New Roman" w:hAnsi="Times New Roman" w:cs="Times New Roman"/>
          <w:sz w:val="28"/>
          <w:szCs w:val="28"/>
          <w:lang w:val="ro-MD"/>
        </w:rPr>
        <w:t xml:space="preserve"> O situație similară se </w:t>
      </w:r>
      <w:r w:rsidR="001B5725">
        <w:rPr>
          <w:rFonts w:ascii="Times New Roman" w:hAnsi="Times New Roman" w:cs="Times New Roman"/>
          <w:sz w:val="28"/>
          <w:szCs w:val="28"/>
          <w:lang w:val="ro-MD"/>
        </w:rPr>
        <w:t>înregistrează</w:t>
      </w:r>
      <w:r w:rsidR="00FD037B" w:rsidRPr="00FD037B">
        <w:rPr>
          <w:rFonts w:ascii="Times New Roman" w:hAnsi="Times New Roman" w:cs="Times New Roman"/>
          <w:sz w:val="28"/>
          <w:szCs w:val="28"/>
          <w:lang w:val="ro-MD"/>
        </w:rPr>
        <w:t xml:space="preserve"> și la încasarea sumelor calculate la accize, nefiind încasate accize în anul 2015 în sumă de 54,5 mil.lei, în anul 2016 </w:t>
      </w:r>
      <w:r w:rsidR="001B5725">
        <w:rPr>
          <w:rFonts w:ascii="Times New Roman" w:hAnsi="Times New Roman" w:cs="Times New Roman"/>
          <w:sz w:val="28"/>
          <w:szCs w:val="28"/>
          <w:lang w:val="ro-MD"/>
        </w:rPr>
        <w:t xml:space="preserve">- </w:t>
      </w:r>
      <w:r w:rsidR="00FD037B" w:rsidRPr="00FD037B">
        <w:rPr>
          <w:rFonts w:ascii="Times New Roman" w:hAnsi="Times New Roman" w:cs="Times New Roman"/>
          <w:sz w:val="28"/>
          <w:szCs w:val="28"/>
          <w:lang w:val="ro-MD"/>
        </w:rPr>
        <w:t>în sumă de 11,3 mil.lei</w:t>
      </w:r>
      <w:r w:rsidR="001B5725">
        <w:rPr>
          <w:rFonts w:ascii="Times New Roman" w:hAnsi="Times New Roman" w:cs="Times New Roman"/>
          <w:sz w:val="28"/>
          <w:szCs w:val="28"/>
          <w:lang w:val="ro-MD"/>
        </w:rPr>
        <w:t>,</w:t>
      </w:r>
      <w:r w:rsidR="00FD037B" w:rsidRPr="00FD037B">
        <w:rPr>
          <w:rFonts w:ascii="Times New Roman" w:hAnsi="Times New Roman" w:cs="Times New Roman"/>
          <w:sz w:val="28"/>
          <w:szCs w:val="28"/>
          <w:lang w:val="ro-MD"/>
        </w:rPr>
        <w:t xml:space="preserve"> și în anul 2017 </w:t>
      </w:r>
      <w:r w:rsidR="001B5725">
        <w:rPr>
          <w:rFonts w:ascii="Times New Roman" w:hAnsi="Times New Roman" w:cs="Times New Roman"/>
          <w:sz w:val="28"/>
          <w:szCs w:val="28"/>
          <w:lang w:val="ro-MD"/>
        </w:rPr>
        <w:t xml:space="preserve">- </w:t>
      </w:r>
      <w:r w:rsidR="00FD037B" w:rsidRPr="00FD037B">
        <w:rPr>
          <w:rFonts w:ascii="Times New Roman" w:hAnsi="Times New Roman" w:cs="Times New Roman"/>
          <w:sz w:val="28"/>
          <w:szCs w:val="28"/>
          <w:lang w:val="ro-MD"/>
        </w:rPr>
        <w:t>în sumă de 42,4 mil.lei.</w:t>
      </w:r>
      <w:r w:rsidR="00FD037B" w:rsidRPr="00FD037B">
        <w:rPr>
          <w:rFonts w:ascii="Times New Roman" w:hAnsi="Times New Roman" w:cs="Times New Roman"/>
          <w:i/>
          <w:sz w:val="28"/>
          <w:szCs w:val="28"/>
          <w:lang w:val="ro-MD"/>
        </w:rPr>
        <w:t xml:space="preserve"> </w:t>
      </w:r>
    </w:p>
    <w:p w:rsidR="00FD037B" w:rsidRDefault="00FD037B" w:rsidP="00FD037B">
      <w:pPr>
        <w:tabs>
          <w:tab w:val="left" w:pos="284"/>
          <w:tab w:val="left" w:pos="851"/>
          <w:tab w:val="left" w:pos="1134"/>
        </w:tabs>
        <w:spacing w:after="0" w:line="276" w:lineRule="auto"/>
        <w:ind w:right="-2"/>
        <w:jc w:val="both"/>
        <w:rPr>
          <w:rFonts w:ascii="Times New Roman" w:hAnsi="Times New Roman" w:cs="Times New Roman"/>
          <w:i/>
          <w:sz w:val="28"/>
          <w:szCs w:val="28"/>
          <w:lang w:val="ro-MD"/>
        </w:rPr>
      </w:pPr>
    </w:p>
    <w:p w:rsidR="009F449B" w:rsidRPr="001D0846" w:rsidRDefault="00FD037B" w:rsidP="00FD037B">
      <w:pPr>
        <w:tabs>
          <w:tab w:val="left" w:pos="284"/>
          <w:tab w:val="left" w:pos="851"/>
          <w:tab w:val="left" w:pos="1134"/>
        </w:tabs>
        <w:spacing w:after="0" w:line="276" w:lineRule="auto"/>
        <w:ind w:right="-2"/>
        <w:jc w:val="both"/>
        <w:rPr>
          <w:rFonts w:ascii="Times New Roman" w:hAnsi="Times New Roman" w:cs="Times New Roman"/>
          <w:i/>
          <w:sz w:val="28"/>
          <w:szCs w:val="28"/>
          <w:lang w:val="ro-MD" w:eastAsia="ru-RU"/>
        </w:rPr>
      </w:pPr>
      <w:r>
        <w:rPr>
          <w:rFonts w:ascii="Times New Roman" w:hAnsi="Times New Roman" w:cs="Times New Roman"/>
          <w:i/>
          <w:sz w:val="28"/>
          <w:szCs w:val="28"/>
          <w:lang w:val="it-IT" w:eastAsia="ru-RU"/>
        </w:rPr>
        <w:tab/>
        <w:t xml:space="preserve">       </w:t>
      </w:r>
      <w:r w:rsidRPr="00FD037B">
        <w:rPr>
          <w:rFonts w:ascii="Times New Roman" w:hAnsi="Times New Roman" w:cs="Times New Roman"/>
          <w:b/>
          <w:i/>
          <w:sz w:val="28"/>
          <w:szCs w:val="28"/>
          <w:lang w:val="ro-MD" w:eastAsia="ru-RU"/>
        </w:rPr>
        <w:t>3.3.2.</w:t>
      </w:r>
      <w:r>
        <w:rPr>
          <w:rFonts w:ascii="Times New Roman" w:hAnsi="Times New Roman" w:cs="Times New Roman"/>
          <w:i/>
          <w:sz w:val="28"/>
          <w:szCs w:val="28"/>
          <w:lang w:val="ro-MD" w:eastAsia="ru-RU"/>
        </w:rPr>
        <w:t xml:space="preserve"> </w:t>
      </w:r>
      <w:r w:rsidR="009F449B" w:rsidRPr="001D0846">
        <w:rPr>
          <w:rFonts w:ascii="Times New Roman" w:hAnsi="Times New Roman" w:cs="Times New Roman"/>
          <w:i/>
          <w:sz w:val="28"/>
          <w:szCs w:val="28"/>
          <w:lang w:val="ro-MD" w:eastAsia="ru-RU"/>
        </w:rPr>
        <w:t xml:space="preserve">SV este împuternicit să administreze veniturile provenite din impozite și taxe la BS, purtând responsabilitate pentru corectitudinea calculării și încasării drepturilor de import și export. </w:t>
      </w:r>
    </w:p>
    <w:p w:rsidR="008C1007" w:rsidRPr="001D0846" w:rsidRDefault="009F449B" w:rsidP="000A421F">
      <w:pPr>
        <w:spacing w:after="0" w:line="276" w:lineRule="auto"/>
        <w:ind w:right="-2"/>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ab/>
      </w:r>
      <w:r w:rsidR="008C1007" w:rsidRPr="001D0846">
        <w:rPr>
          <w:rFonts w:ascii="Times New Roman" w:hAnsi="Times New Roman" w:cs="Times New Roman"/>
          <w:sz w:val="28"/>
          <w:szCs w:val="28"/>
          <w:lang w:val="ro-MD"/>
        </w:rPr>
        <w:t xml:space="preserve">Potrivit Raportului privind încasările la BS pe anul 2017, veniturile colectate de SV au constituit 20,4 </w:t>
      </w:r>
      <w:proofErr w:type="spellStart"/>
      <w:r w:rsidR="008C1007" w:rsidRPr="001D0846">
        <w:rPr>
          <w:rFonts w:ascii="Times New Roman" w:hAnsi="Times New Roman" w:cs="Times New Roman"/>
          <w:sz w:val="28"/>
          <w:szCs w:val="28"/>
          <w:lang w:val="ro-MD"/>
        </w:rPr>
        <w:t>ml</w:t>
      </w:r>
      <w:r w:rsidR="001B5725">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fiind în creștere cu 3</w:t>
      </w:r>
      <w:r w:rsidR="00F77082">
        <w:rPr>
          <w:rFonts w:ascii="Times New Roman" w:hAnsi="Times New Roman" w:cs="Times New Roman"/>
          <w:sz w:val="28"/>
          <w:szCs w:val="28"/>
          <w:lang w:val="ro-MD"/>
        </w:rPr>
        <w:t>,0</w:t>
      </w:r>
      <w:r w:rsidR="008C1007" w:rsidRPr="001D0846">
        <w:rPr>
          <w:rFonts w:ascii="Times New Roman" w:hAnsi="Times New Roman" w:cs="Times New Roman"/>
          <w:sz w:val="28"/>
          <w:szCs w:val="28"/>
          <w:lang w:val="ro-MD"/>
        </w:rPr>
        <w:t xml:space="preserve"> </w:t>
      </w:r>
      <w:proofErr w:type="spellStart"/>
      <w:r w:rsidR="008C1007" w:rsidRPr="001D0846">
        <w:rPr>
          <w:rFonts w:ascii="Times New Roman" w:hAnsi="Times New Roman" w:cs="Times New Roman"/>
          <w:sz w:val="28"/>
          <w:szCs w:val="28"/>
          <w:lang w:val="ro-MD"/>
        </w:rPr>
        <w:t>ml</w:t>
      </w:r>
      <w:r w:rsidR="001B5725">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sau</w:t>
      </w:r>
      <w:r w:rsidR="001B5725">
        <w:rPr>
          <w:rFonts w:ascii="Times New Roman" w:hAnsi="Times New Roman" w:cs="Times New Roman"/>
          <w:sz w:val="28"/>
          <w:szCs w:val="28"/>
          <w:lang w:val="ro-MD"/>
        </w:rPr>
        <w:t xml:space="preserve"> </w:t>
      </w:r>
      <w:r w:rsidR="008C1007" w:rsidRPr="001D0846">
        <w:rPr>
          <w:rFonts w:ascii="Times New Roman" w:hAnsi="Times New Roman" w:cs="Times New Roman"/>
          <w:sz w:val="28"/>
          <w:szCs w:val="28"/>
          <w:lang w:val="ro-MD"/>
        </w:rPr>
        <w:t>1</w:t>
      </w:r>
      <w:r w:rsidR="00A416D1">
        <w:rPr>
          <w:rFonts w:ascii="Times New Roman" w:hAnsi="Times New Roman" w:cs="Times New Roman"/>
          <w:sz w:val="28"/>
          <w:szCs w:val="28"/>
          <w:lang w:val="ro-MD"/>
        </w:rPr>
        <w:t xml:space="preserve">7 </w:t>
      </w:r>
      <w:r w:rsidR="008C1007" w:rsidRPr="001D0846">
        <w:rPr>
          <w:rFonts w:ascii="Times New Roman" w:hAnsi="Times New Roman" w:cs="Times New Roman"/>
          <w:sz w:val="28"/>
          <w:szCs w:val="28"/>
          <w:lang w:val="ro-MD"/>
        </w:rPr>
        <w:t>%</w:t>
      </w:r>
      <w:r w:rsidR="001B5725">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față de anul 2016</w:t>
      </w:r>
      <w:r w:rsidR="00F77082">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și cu 4,6 </w:t>
      </w:r>
      <w:proofErr w:type="spellStart"/>
      <w:r w:rsidR="008C1007" w:rsidRPr="001D0846">
        <w:rPr>
          <w:rFonts w:ascii="Times New Roman" w:hAnsi="Times New Roman" w:cs="Times New Roman"/>
          <w:sz w:val="28"/>
          <w:szCs w:val="28"/>
          <w:lang w:val="ro-MD"/>
        </w:rPr>
        <w:t>ml</w:t>
      </w:r>
      <w:r w:rsidR="00F77082">
        <w:rPr>
          <w:rFonts w:ascii="Times New Roman" w:hAnsi="Times New Roman" w:cs="Times New Roman"/>
          <w:sz w:val="28"/>
          <w:szCs w:val="28"/>
          <w:lang w:val="ro-MD"/>
        </w:rPr>
        <w:t>r</w:t>
      </w:r>
      <w:r w:rsidR="008C1007" w:rsidRPr="001D0846">
        <w:rPr>
          <w:rFonts w:ascii="Times New Roman" w:hAnsi="Times New Roman" w:cs="Times New Roman"/>
          <w:sz w:val="28"/>
          <w:szCs w:val="28"/>
          <w:lang w:val="ro-MD"/>
        </w:rPr>
        <w:t>d.lei</w:t>
      </w:r>
      <w:proofErr w:type="spellEnd"/>
      <w:r w:rsidR="008C1007" w:rsidRPr="001D0846">
        <w:rPr>
          <w:rFonts w:ascii="Times New Roman" w:hAnsi="Times New Roman" w:cs="Times New Roman"/>
          <w:sz w:val="28"/>
          <w:szCs w:val="28"/>
          <w:lang w:val="ro-MD"/>
        </w:rPr>
        <w:t>, sau 2</w:t>
      </w:r>
      <w:r w:rsidR="00A416D1">
        <w:rPr>
          <w:rFonts w:ascii="Times New Roman" w:hAnsi="Times New Roman" w:cs="Times New Roman"/>
          <w:sz w:val="28"/>
          <w:szCs w:val="28"/>
          <w:lang w:val="ro-MD"/>
        </w:rPr>
        <w:t xml:space="preserve">9 </w:t>
      </w:r>
      <w:r w:rsidR="008C1007" w:rsidRPr="001D0846">
        <w:rPr>
          <w:rFonts w:ascii="Times New Roman" w:hAnsi="Times New Roman" w:cs="Times New Roman"/>
          <w:sz w:val="28"/>
          <w:szCs w:val="28"/>
          <w:lang w:val="ro-MD"/>
        </w:rPr>
        <w:t>%</w:t>
      </w:r>
      <w:r w:rsidR="00F77082">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 față de anul 2015. </w:t>
      </w:r>
    </w:p>
    <w:p w:rsidR="00FD037B" w:rsidRPr="001D0846" w:rsidRDefault="008C1007" w:rsidP="000A421F">
      <w:pPr>
        <w:spacing w:after="0" w:line="276" w:lineRule="auto"/>
        <w:ind w:right="-2" w:firstLine="720"/>
        <w:jc w:val="both"/>
        <w:rPr>
          <w:rFonts w:ascii="Times New Roman" w:hAnsi="Times New Roman" w:cs="Times New Roman"/>
          <w:i/>
          <w:sz w:val="28"/>
          <w:szCs w:val="28"/>
          <w:lang w:val="ro-MD"/>
        </w:rPr>
      </w:pPr>
      <w:r w:rsidRPr="001D0846">
        <w:rPr>
          <w:rFonts w:ascii="Times New Roman" w:hAnsi="Times New Roman" w:cs="Times New Roman"/>
          <w:sz w:val="28"/>
          <w:szCs w:val="28"/>
          <w:lang w:val="ro-MD"/>
        </w:rPr>
        <w:t xml:space="preserve">Analiza efectuată de audit </w:t>
      </w:r>
      <w:r w:rsidR="00F77082">
        <w:rPr>
          <w:rFonts w:ascii="Times New Roman" w:hAnsi="Times New Roman" w:cs="Times New Roman"/>
          <w:sz w:val="28"/>
          <w:szCs w:val="28"/>
          <w:lang w:val="ro-MD"/>
        </w:rPr>
        <w:t>denotă</w:t>
      </w:r>
      <w:r w:rsidRPr="001D0846">
        <w:rPr>
          <w:rFonts w:ascii="Times New Roman" w:hAnsi="Times New Roman" w:cs="Times New Roman"/>
          <w:sz w:val="28"/>
          <w:szCs w:val="28"/>
          <w:lang w:val="ro-MD"/>
        </w:rPr>
        <w:t xml:space="preserve"> o creștere a ponderii veniturilor administrate de SV în totalul veniturilor BS</w:t>
      </w:r>
      <w:r w:rsidR="00F77082">
        <w:rPr>
          <w:rFonts w:ascii="Times New Roman" w:hAnsi="Times New Roman" w:cs="Times New Roman"/>
          <w:sz w:val="28"/>
          <w:szCs w:val="28"/>
          <w:lang w:val="ro-MD"/>
        </w:rPr>
        <w:t xml:space="preserve"> (</w:t>
      </w:r>
      <w:r w:rsidR="0055119B" w:rsidRPr="001D0846">
        <w:rPr>
          <w:rFonts w:ascii="Times New Roman" w:hAnsi="Times New Roman" w:cs="Times New Roman"/>
          <w:sz w:val="28"/>
          <w:szCs w:val="28"/>
          <w:lang w:val="ro-MD" w:eastAsia="ru-RU"/>
        </w:rPr>
        <w:t>de la 56,2</w:t>
      </w:r>
      <w:r w:rsidRPr="001D0846">
        <w:rPr>
          <w:rFonts w:ascii="Times New Roman" w:hAnsi="Times New Roman" w:cs="Times New Roman"/>
          <w:sz w:val="28"/>
          <w:szCs w:val="28"/>
          <w:lang w:val="ro-MD" w:eastAsia="ru-RU"/>
        </w:rPr>
        <w:t>% în anul 2015 p</w:t>
      </w:r>
      <w:r w:rsidR="00F77082">
        <w:rPr>
          <w:rFonts w:ascii="Times New Roman" w:hAnsi="Times New Roman" w:cs="Times New Roman"/>
          <w:sz w:val="28"/>
          <w:szCs w:val="28"/>
          <w:lang w:val="ro-MD" w:eastAsia="ru-RU"/>
        </w:rPr>
        <w:t>â</w:t>
      </w:r>
      <w:r w:rsidRPr="001D0846">
        <w:rPr>
          <w:rFonts w:ascii="Times New Roman" w:hAnsi="Times New Roman" w:cs="Times New Roman"/>
          <w:sz w:val="28"/>
          <w:szCs w:val="28"/>
          <w:lang w:val="ro-MD" w:eastAsia="ru-RU"/>
        </w:rPr>
        <w:t xml:space="preserve">nă la 60,5 %, sau </w:t>
      </w:r>
      <w:r w:rsidR="00F77082" w:rsidRPr="001D0846">
        <w:rPr>
          <w:rFonts w:ascii="Times New Roman" w:hAnsi="Times New Roman" w:cs="Times New Roman"/>
          <w:sz w:val="28"/>
          <w:szCs w:val="28"/>
          <w:lang w:val="ro-MD" w:eastAsia="ru-RU"/>
        </w:rPr>
        <w:t xml:space="preserve">cu 4,3 </w:t>
      </w:r>
      <w:proofErr w:type="spellStart"/>
      <w:r w:rsidR="00F77082" w:rsidRPr="001D0846">
        <w:rPr>
          <w:rFonts w:ascii="Times New Roman" w:hAnsi="Times New Roman" w:cs="Times New Roman"/>
          <w:sz w:val="28"/>
          <w:szCs w:val="28"/>
          <w:lang w:val="ro-MD" w:eastAsia="ru-RU"/>
        </w:rPr>
        <w:t>p.p.</w:t>
      </w:r>
      <w:proofErr w:type="spellEnd"/>
      <w:r w:rsidR="00F77082" w:rsidRPr="001D0846">
        <w:rPr>
          <w:rFonts w:ascii="Times New Roman" w:hAnsi="Times New Roman" w:cs="Times New Roman"/>
          <w:sz w:val="28"/>
          <w:szCs w:val="28"/>
          <w:lang w:val="ro-MD" w:eastAsia="ru-RU"/>
        </w:rPr>
        <w:t xml:space="preserve"> </w:t>
      </w:r>
      <w:r w:rsidRPr="001D0846">
        <w:rPr>
          <w:rFonts w:ascii="Times New Roman" w:hAnsi="Times New Roman" w:cs="Times New Roman"/>
          <w:sz w:val="28"/>
          <w:szCs w:val="28"/>
          <w:lang w:val="ro-MD" w:eastAsia="ru-RU"/>
        </w:rPr>
        <w:t>mai mult</w:t>
      </w:r>
      <w:r w:rsidR="00F77082">
        <w:rPr>
          <w:rFonts w:ascii="Times New Roman" w:hAnsi="Times New Roman" w:cs="Times New Roman"/>
          <w:sz w:val="28"/>
          <w:szCs w:val="28"/>
          <w:lang w:val="ro-MD" w:eastAsia="ru-RU"/>
        </w:rPr>
        <w:t>,</w:t>
      </w:r>
      <w:r w:rsidRPr="001D0846">
        <w:rPr>
          <w:rFonts w:ascii="Times New Roman" w:hAnsi="Times New Roman" w:cs="Times New Roman"/>
          <w:sz w:val="28"/>
          <w:szCs w:val="28"/>
          <w:lang w:val="ro-MD" w:eastAsia="ru-RU"/>
        </w:rPr>
        <w:t xml:space="preserve"> în anul 2017</w:t>
      </w:r>
      <w:r w:rsidR="00F77082">
        <w:rPr>
          <w:rFonts w:ascii="Times New Roman" w:hAnsi="Times New Roman" w:cs="Times New Roman"/>
          <w:sz w:val="28"/>
          <w:szCs w:val="28"/>
          <w:lang w:val="ro-MD" w:eastAsia="ru-RU"/>
        </w:rPr>
        <w:t>)</w:t>
      </w:r>
      <w:r w:rsidRPr="001D0846">
        <w:rPr>
          <w:rFonts w:ascii="Times New Roman" w:hAnsi="Times New Roman" w:cs="Times New Roman"/>
          <w:sz w:val="28"/>
          <w:szCs w:val="28"/>
          <w:lang w:val="ro-MD" w:eastAsia="ru-RU"/>
        </w:rPr>
        <w:t xml:space="preserve">. </w:t>
      </w:r>
      <w:r w:rsidR="00F77082">
        <w:rPr>
          <w:rFonts w:ascii="Times New Roman" w:hAnsi="Times New Roman" w:cs="Times New Roman"/>
          <w:sz w:val="28"/>
          <w:szCs w:val="28"/>
          <w:lang w:val="it-IT"/>
        </w:rPr>
        <w:t>Totodată,</w:t>
      </w:r>
      <w:r w:rsidRPr="001D0846">
        <w:rPr>
          <w:rFonts w:ascii="Times New Roman" w:hAnsi="Times New Roman" w:cs="Times New Roman"/>
          <w:sz w:val="28"/>
          <w:szCs w:val="28"/>
          <w:lang w:val="ro-MD"/>
        </w:rPr>
        <w:t xml:space="preserve"> </w:t>
      </w:r>
      <w:r w:rsidR="00F77082">
        <w:rPr>
          <w:rFonts w:ascii="Times New Roman" w:hAnsi="Times New Roman" w:cs="Times New Roman"/>
          <w:sz w:val="28"/>
          <w:szCs w:val="28"/>
          <w:lang w:val="ro-MD"/>
        </w:rPr>
        <w:t xml:space="preserve">se </w:t>
      </w:r>
      <w:r w:rsidRPr="001D0846">
        <w:rPr>
          <w:rFonts w:ascii="Times New Roman" w:hAnsi="Times New Roman" w:cs="Times New Roman"/>
          <w:sz w:val="28"/>
          <w:szCs w:val="28"/>
          <w:lang w:val="ro-MD"/>
        </w:rPr>
        <w:t xml:space="preserve">relevă o creștere a ponderii veniturilor administrate de SV în raport cu PIB, </w:t>
      </w:r>
      <w:r w:rsidRPr="001D0846">
        <w:rPr>
          <w:rFonts w:ascii="Times New Roman" w:hAnsi="Times New Roman" w:cs="Times New Roman"/>
          <w:i/>
          <w:sz w:val="28"/>
          <w:szCs w:val="28"/>
          <w:lang w:val="ro-MD"/>
        </w:rPr>
        <w:t xml:space="preserve">situație care </w:t>
      </w:r>
      <w:r w:rsidR="00F77082">
        <w:rPr>
          <w:rFonts w:ascii="Times New Roman" w:hAnsi="Times New Roman" w:cs="Times New Roman"/>
          <w:i/>
          <w:sz w:val="28"/>
          <w:szCs w:val="28"/>
          <w:lang w:val="ro-MD"/>
        </w:rPr>
        <w:t>este</w:t>
      </w:r>
      <w:r w:rsidRPr="001D0846">
        <w:rPr>
          <w:rFonts w:ascii="Times New Roman" w:hAnsi="Times New Roman" w:cs="Times New Roman"/>
          <w:i/>
          <w:sz w:val="28"/>
          <w:szCs w:val="28"/>
          <w:lang w:val="ro-MD"/>
        </w:rPr>
        <w:t xml:space="preserve"> prez</w:t>
      </w:r>
      <w:r w:rsidR="00F77082">
        <w:rPr>
          <w:rFonts w:ascii="Times New Roman" w:hAnsi="Times New Roman" w:cs="Times New Roman"/>
          <w:i/>
          <w:sz w:val="28"/>
          <w:szCs w:val="28"/>
          <w:lang w:val="ro-MD"/>
        </w:rPr>
        <w:t>enta</w:t>
      </w:r>
      <w:r w:rsidRPr="001D0846">
        <w:rPr>
          <w:rFonts w:ascii="Times New Roman" w:hAnsi="Times New Roman" w:cs="Times New Roman"/>
          <w:i/>
          <w:sz w:val="28"/>
          <w:szCs w:val="28"/>
          <w:lang w:val="ro-MD"/>
        </w:rPr>
        <w:t>tă în detaliu în Diagrama</w:t>
      </w:r>
      <w:r w:rsidR="00FD037B">
        <w:rPr>
          <w:rFonts w:ascii="Times New Roman" w:hAnsi="Times New Roman" w:cs="Times New Roman"/>
          <w:i/>
          <w:sz w:val="28"/>
          <w:szCs w:val="28"/>
          <w:lang w:val="ro-MD"/>
        </w:rPr>
        <w:t xml:space="preserve"> nr.8</w:t>
      </w:r>
      <w:r w:rsidR="007E41C7" w:rsidRPr="001D0846">
        <w:rPr>
          <w:rFonts w:ascii="Times New Roman" w:hAnsi="Times New Roman" w:cs="Times New Roman"/>
          <w:i/>
          <w:sz w:val="28"/>
          <w:szCs w:val="28"/>
          <w:lang w:val="ro-MD"/>
        </w:rPr>
        <w:t xml:space="preserve"> din Anexa nr.4</w:t>
      </w:r>
      <w:r w:rsidR="009F449B" w:rsidRPr="001D0846">
        <w:rPr>
          <w:rFonts w:ascii="Times New Roman" w:hAnsi="Times New Roman" w:cs="Times New Roman"/>
          <w:i/>
          <w:sz w:val="28"/>
          <w:szCs w:val="28"/>
          <w:lang w:val="ro-MD"/>
        </w:rPr>
        <w:t xml:space="preserve"> la Raport</w:t>
      </w:r>
      <w:r w:rsidR="00F77082">
        <w:rPr>
          <w:rFonts w:ascii="Times New Roman" w:hAnsi="Times New Roman" w:cs="Times New Roman"/>
          <w:i/>
          <w:sz w:val="28"/>
          <w:szCs w:val="28"/>
          <w:lang w:val="ro-MD"/>
        </w:rPr>
        <w:t>ul</w:t>
      </w:r>
      <w:r w:rsidR="009F449B" w:rsidRPr="001D0846">
        <w:rPr>
          <w:rFonts w:ascii="Times New Roman" w:hAnsi="Times New Roman" w:cs="Times New Roman"/>
          <w:i/>
          <w:sz w:val="28"/>
          <w:szCs w:val="28"/>
          <w:lang w:val="ro-MD"/>
        </w:rPr>
        <w:t xml:space="preserve"> de audit</w:t>
      </w:r>
      <w:r w:rsidRPr="001D0846">
        <w:rPr>
          <w:rFonts w:ascii="Times New Roman" w:hAnsi="Times New Roman" w:cs="Times New Roman"/>
          <w:i/>
          <w:sz w:val="28"/>
          <w:szCs w:val="28"/>
          <w:lang w:val="ro-MD"/>
        </w:rPr>
        <w:t>.</w:t>
      </w:r>
    </w:p>
    <w:p w:rsidR="008C1007" w:rsidRPr="001D0846" w:rsidRDefault="00F77082" w:rsidP="000A421F">
      <w:pPr>
        <w:spacing w:after="0" w:line="276" w:lineRule="auto"/>
        <w:ind w:right="-2" w:firstLine="720"/>
        <w:jc w:val="both"/>
        <w:rPr>
          <w:rFonts w:ascii="Times New Roman" w:hAnsi="Times New Roman" w:cs="Times New Roman"/>
          <w:sz w:val="28"/>
          <w:szCs w:val="28"/>
          <w:lang w:val="ro-MD"/>
        </w:rPr>
      </w:pPr>
      <w:r>
        <w:rPr>
          <w:rFonts w:ascii="Times New Roman" w:hAnsi="Times New Roman" w:cs="Times New Roman"/>
          <w:sz w:val="28"/>
          <w:szCs w:val="28"/>
          <w:lang w:val="ro-MD"/>
        </w:rPr>
        <w:t>D</w:t>
      </w:r>
      <w:r w:rsidR="009F449B" w:rsidRPr="001D0846">
        <w:rPr>
          <w:rFonts w:ascii="Times New Roman" w:hAnsi="Times New Roman" w:cs="Times New Roman"/>
          <w:sz w:val="28"/>
          <w:szCs w:val="28"/>
          <w:lang w:val="ro-MD"/>
        </w:rPr>
        <w:t>ate</w:t>
      </w:r>
      <w:r w:rsidR="005B60A3" w:rsidRPr="001D0846">
        <w:rPr>
          <w:rFonts w:ascii="Times New Roman" w:hAnsi="Times New Roman" w:cs="Times New Roman"/>
          <w:sz w:val="28"/>
          <w:szCs w:val="28"/>
          <w:lang w:val="ro-MD"/>
        </w:rPr>
        <w:t>l</w:t>
      </w:r>
      <w:r>
        <w:rPr>
          <w:rFonts w:ascii="Times New Roman" w:hAnsi="Times New Roman" w:cs="Times New Roman"/>
          <w:sz w:val="28"/>
          <w:szCs w:val="28"/>
          <w:lang w:val="ro-MD"/>
        </w:rPr>
        <w:t>e</w:t>
      </w:r>
      <w:r w:rsidR="009F449B" w:rsidRPr="001D0846">
        <w:rPr>
          <w:rFonts w:ascii="Times New Roman" w:hAnsi="Times New Roman" w:cs="Times New Roman"/>
          <w:sz w:val="28"/>
          <w:szCs w:val="28"/>
          <w:lang w:val="ro-MD"/>
        </w:rPr>
        <w:t xml:space="preserve"> </w:t>
      </w:r>
      <w:r w:rsidR="008C1007" w:rsidRPr="001D0846">
        <w:rPr>
          <w:rFonts w:ascii="Times New Roman" w:hAnsi="Times New Roman" w:cs="Times New Roman"/>
          <w:sz w:val="28"/>
          <w:szCs w:val="28"/>
          <w:lang w:val="ro-MD"/>
        </w:rPr>
        <w:t xml:space="preserve">prezentate în Diagramă </w:t>
      </w:r>
      <w:r>
        <w:rPr>
          <w:rFonts w:ascii="Times New Roman" w:hAnsi="Times New Roman" w:cs="Times New Roman"/>
          <w:sz w:val="28"/>
          <w:szCs w:val="28"/>
          <w:lang w:val="ro-MD"/>
        </w:rPr>
        <w:t>indică</w:t>
      </w:r>
      <w:r w:rsidR="008C1007" w:rsidRPr="001D0846">
        <w:rPr>
          <w:rFonts w:ascii="Times New Roman" w:hAnsi="Times New Roman" w:cs="Times New Roman"/>
          <w:sz w:val="28"/>
          <w:szCs w:val="28"/>
          <w:lang w:val="ro-MD"/>
        </w:rPr>
        <w:t xml:space="preserve"> un ritm </w:t>
      </w:r>
      <w:r w:rsidR="00753789" w:rsidRPr="001D0846">
        <w:rPr>
          <w:rFonts w:ascii="Times New Roman" w:hAnsi="Times New Roman" w:cs="Times New Roman"/>
          <w:sz w:val="28"/>
          <w:szCs w:val="28"/>
          <w:lang w:val="ro-MD"/>
        </w:rPr>
        <w:t>încetinit</w:t>
      </w:r>
      <w:r w:rsidR="008C1007" w:rsidRPr="001D0846">
        <w:rPr>
          <w:rFonts w:ascii="Times New Roman" w:hAnsi="Times New Roman" w:cs="Times New Roman"/>
          <w:sz w:val="28"/>
          <w:szCs w:val="28"/>
          <w:lang w:val="ro-MD"/>
        </w:rPr>
        <w:t xml:space="preserve"> de creștere a ponderii veniturilor administrate de organele vamale în PIB </w:t>
      </w:r>
      <w:r>
        <w:rPr>
          <w:rFonts w:ascii="Times New Roman" w:hAnsi="Times New Roman" w:cs="Times New Roman"/>
          <w:sz w:val="28"/>
          <w:szCs w:val="28"/>
          <w:lang w:val="ro-MD"/>
        </w:rPr>
        <w:t>(</w:t>
      </w:r>
      <w:r w:rsidR="008C1007" w:rsidRPr="001D0846">
        <w:rPr>
          <w:rFonts w:ascii="Times New Roman" w:hAnsi="Times New Roman" w:cs="Times New Roman"/>
          <w:sz w:val="28"/>
          <w:szCs w:val="28"/>
          <w:lang w:val="ro-MD"/>
        </w:rPr>
        <w:t xml:space="preserve">de la 12,8 % în anul 2015 până la 13,7 %, sau </w:t>
      </w:r>
      <w:r w:rsidRPr="001D0846">
        <w:rPr>
          <w:rFonts w:ascii="Times New Roman" w:hAnsi="Times New Roman" w:cs="Times New Roman"/>
          <w:sz w:val="28"/>
          <w:szCs w:val="28"/>
          <w:lang w:val="ro-MD"/>
        </w:rPr>
        <w:t xml:space="preserve">cu 0,9 </w:t>
      </w:r>
      <w:proofErr w:type="spellStart"/>
      <w:r w:rsidRPr="001D0846">
        <w:rPr>
          <w:rFonts w:ascii="Times New Roman" w:hAnsi="Times New Roman" w:cs="Times New Roman"/>
          <w:sz w:val="28"/>
          <w:szCs w:val="28"/>
          <w:lang w:val="ro-MD"/>
        </w:rPr>
        <w:t>p.p.</w:t>
      </w:r>
      <w:proofErr w:type="spellEnd"/>
      <w:r w:rsidRPr="001D0846">
        <w:rPr>
          <w:rFonts w:ascii="Times New Roman" w:hAnsi="Times New Roman" w:cs="Times New Roman"/>
          <w:sz w:val="28"/>
          <w:szCs w:val="28"/>
          <w:lang w:val="ro-MD"/>
        </w:rPr>
        <w:t xml:space="preserve"> </w:t>
      </w:r>
      <w:r w:rsidR="008C1007" w:rsidRPr="001D0846">
        <w:rPr>
          <w:rFonts w:ascii="Times New Roman" w:hAnsi="Times New Roman" w:cs="Times New Roman"/>
          <w:sz w:val="28"/>
          <w:szCs w:val="28"/>
          <w:lang w:val="ro-MD"/>
        </w:rPr>
        <w:t>mai</w:t>
      </w:r>
      <w:r w:rsidR="008C1DF2" w:rsidRPr="001D0846">
        <w:rPr>
          <w:rFonts w:ascii="Times New Roman" w:hAnsi="Times New Roman" w:cs="Times New Roman"/>
          <w:sz w:val="28"/>
          <w:szCs w:val="28"/>
          <w:lang w:val="ro-MD"/>
        </w:rPr>
        <w:t xml:space="preserve"> mult</w:t>
      </w:r>
      <w:r>
        <w:rPr>
          <w:rFonts w:ascii="Times New Roman" w:hAnsi="Times New Roman" w:cs="Times New Roman"/>
          <w:sz w:val="28"/>
          <w:szCs w:val="28"/>
          <w:lang w:val="ro-MD"/>
        </w:rPr>
        <w:t>,</w:t>
      </w:r>
      <w:r w:rsidR="008C1DF2" w:rsidRPr="001D0846">
        <w:rPr>
          <w:rFonts w:ascii="Times New Roman" w:hAnsi="Times New Roman" w:cs="Times New Roman"/>
          <w:sz w:val="28"/>
          <w:szCs w:val="28"/>
          <w:lang w:val="ro-MD"/>
        </w:rPr>
        <w:t xml:space="preserve"> în anul 2017</w:t>
      </w:r>
      <w:r>
        <w:rPr>
          <w:rFonts w:ascii="Times New Roman" w:hAnsi="Times New Roman" w:cs="Times New Roman"/>
          <w:sz w:val="28"/>
          <w:szCs w:val="28"/>
          <w:lang w:val="ro-MD"/>
        </w:rPr>
        <w:t>)</w:t>
      </w:r>
      <w:r w:rsidR="008C1DF2" w:rsidRPr="001D0846">
        <w:rPr>
          <w:rFonts w:ascii="Times New Roman" w:hAnsi="Times New Roman" w:cs="Times New Roman"/>
          <w:sz w:val="28"/>
          <w:szCs w:val="28"/>
          <w:lang w:val="ro-MD"/>
        </w:rPr>
        <w:t>.</w:t>
      </w:r>
    </w:p>
    <w:p w:rsidR="003F6A2F" w:rsidRDefault="008C1007" w:rsidP="000A421F">
      <w:pPr>
        <w:spacing w:after="0" w:line="276" w:lineRule="auto"/>
        <w:ind w:right="-2" w:firstLine="72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În anul 2017, precum </w:t>
      </w:r>
      <w:proofErr w:type="spellStart"/>
      <w:r w:rsidRPr="001D0846">
        <w:rPr>
          <w:rFonts w:ascii="Times New Roman" w:hAnsi="Times New Roman" w:cs="Times New Roman"/>
          <w:sz w:val="28"/>
          <w:szCs w:val="28"/>
          <w:lang w:val="ro-MD"/>
        </w:rPr>
        <w:t>şi</w:t>
      </w:r>
      <w:proofErr w:type="spellEnd"/>
      <w:r w:rsidRPr="001D0846">
        <w:rPr>
          <w:rFonts w:ascii="Times New Roman" w:hAnsi="Times New Roman" w:cs="Times New Roman"/>
          <w:sz w:val="28"/>
          <w:szCs w:val="28"/>
          <w:lang w:val="ro-MD"/>
        </w:rPr>
        <w:t xml:space="preserve"> în perioadele pr</w:t>
      </w:r>
      <w:r w:rsidR="00194136" w:rsidRPr="001D0846">
        <w:rPr>
          <w:rFonts w:ascii="Times New Roman" w:hAnsi="Times New Roman" w:cs="Times New Roman"/>
          <w:sz w:val="28"/>
          <w:szCs w:val="28"/>
          <w:lang w:val="ro-MD"/>
        </w:rPr>
        <w:t>ecedente, unul din</w:t>
      </w:r>
      <w:r w:rsidR="00F77082">
        <w:rPr>
          <w:rFonts w:ascii="Times New Roman" w:hAnsi="Times New Roman" w:cs="Times New Roman"/>
          <w:sz w:val="28"/>
          <w:szCs w:val="28"/>
          <w:lang w:val="ro-MD"/>
        </w:rPr>
        <w:t>tre</w:t>
      </w:r>
      <w:r w:rsidR="00194136" w:rsidRPr="001D0846">
        <w:rPr>
          <w:rFonts w:ascii="Times New Roman" w:hAnsi="Times New Roman" w:cs="Times New Roman"/>
          <w:sz w:val="28"/>
          <w:szCs w:val="28"/>
          <w:lang w:val="ro-MD"/>
        </w:rPr>
        <w:t xml:space="preserve"> indicatorii de eficacitate</w:t>
      </w:r>
      <w:r w:rsidRPr="001D0846">
        <w:rPr>
          <w:rFonts w:ascii="Times New Roman" w:hAnsi="Times New Roman" w:cs="Times New Roman"/>
          <w:sz w:val="28"/>
          <w:szCs w:val="28"/>
          <w:lang w:val="ro-MD"/>
        </w:rPr>
        <w:t xml:space="preserve"> </w:t>
      </w:r>
      <w:proofErr w:type="spellStart"/>
      <w:r w:rsidRPr="001D0846">
        <w:rPr>
          <w:rFonts w:ascii="Times New Roman" w:hAnsi="Times New Roman" w:cs="Times New Roman"/>
          <w:sz w:val="28"/>
          <w:szCs w:val="28"/>
          <w:lang w:val="ro-MD"/>
        </w:rPr>
        <w:t>utilizaţi</w:t>
      </w:r>
      <w:proofErr w:type="spellEnd"/>
      <w:r w:rsidRPr="001D0846">
        <w:rPr>
          <w:rFonts w:ascii="Times New Roman" w:hAnsi="Times New Roman" w:cs="Times New Roman"/>
          <w:sz w:val="28"/>
          <w:szCs w:val="28"/>
          <w:lang w:val="ro-MD"/>
        </w:rPr>
        <w:t xml:space="preserve"> de SV la aprecierea rezultatelor </w:t>
      </w:r>
      <w:proofErr w:type="spellStart"/>
      <w:r w:rsidRPr="001D0846">
        <w:rPr>
          <w:rFonts w:ascii="Times New Roman" w:hAnsi="Times New Roman" w:cs="Times New Roman"/>
          <w:sz w:val="28"/>
          <w:szCs w:val="28"/>
          <w:lang w:val="ro-MD"/>
        </w:rPr>
        <w:t>activităţii</w:t>
      </w:r>
      <w:proofErr w:type="spellEnd"/>
      <w:r w:rsidRPr="001D0846">
        <w:rPr>
          <w:rFonts w:ascii="Times New Roman" w:hAnsi="Times New Roman" w:cs="Times New Roman"/>
          <w:sz w:val="28"/>
          <w:szCs w:val="28"/>
          <w:lang w:val="ro-MD"/>
        </w:rPr>
        <w:t xml:space="preserve"> de administrare a impozitelor și taxelor a fost</w:t>
      </w:r>
      <w:r w:rsidRPr="001D0846">
        <w:rPr>
          <w:rFonts w:ascii="Times New Roman" w:hAnsi="Times New Roman" w:cs="Times New Roman"/>
          <w:b/>
          <w:sz w:val="28"/>
          <w:szCs w:val="28"/>
          <w:lang w:val="ro-MD"/>
        </w:rPr>
        <w:t xml:space="preserve"> </w:t>
      </w:r>
      <w:r w:rsidRPr="001D0846">
        <w:rPr>
          <w:rFonts w:ascii="Times New Roman" w:hAnsi="Times New Roman" w:cs="Times New Roman"/>
          <w:sz w:val="28"/>
          <w:szCs w:val="28"/>
          <w:lang w:val="ro-MD"/>
        </w:rPr>
        <w:t xml:space="preserve">nivelul de realizare a sarcinii bugetare anuale privind colectarea veniturilor la </w:t>
      </w:r>
      <w:r w:rsidRPr="00EE570A">
        <w:rPr>
          <w:rFonts w:ascii="Times New Roman" w:hAnsi="Times New Roman" w:cs="Times New Roman"/>
          <w:sz w:val="28"/>
          <w:szCs w:val="28"/>
          <w:lang w:val="ro-MD"/>
        </w:rPr>
        <w:t xml:space="preserve">BS. </w:t>
      </w:r>
    </w:p>
    <w:p w:rsidR="003F6A2F" w:rsidRPr="003F6A2F" w:rsidRDefault="003F6A2F" w:rsidP="003F6A2F">
      <w:pPr>
        <w:spacing w:after="0" w:line="276" w:lineRule="auto"/>
        <w:ind w:right="-2" w:firstLine="720"/>
        <w:jc w:val="both"/>
        <w:rPr>
          <w:rFonts w:ascii="Times New Roman" w:hAnsi="Times New Roman" w:cs="Times New Roman"/>
          <w:i/>
          <w:color w:val="000000"/>
          <w:sz w:val="28"/>
          <w:szCs w:val="28"/>
          <w:lang w:val="ro-MD"/>
        </w:rPr>
      </w:pPr>
      <w:r>
        <w:rPr>
          <w:rFonts w:ascii="Times New Roman" w:eastAsia="Times New Roman" w:hAnsi="Times New Roman" w:cs="Times New Roman"/>
          <w:sz w:val="28"/>
          <w:szCs w:val="28"/>
          <w:lang w:val="ro-MD"/>
        </w:rPr>
        <w:lastRenderedPageBreak/>
        <w:t xml:space="preserve"> Analiza efectuată de audit </w:t>
      </w:r>
      <w:r w:rsidRPr="0001016B">
        <w:rPr>
          <w:rFonts w:ascii="Times New Roman" w:eastAsia="Times New Roman" w:hAnsi="Times New Roman" w:cs="Times New Roman"/>
          <w:sz w:val="28"/>
          <w:szCs w:val="28"/>
          <w:lang w:val="ro-MD"/>
        </w:rPr>
        <w:t xml:space="preserve">relevă că </w:t>
      </w:r>
      <w:r>
        <w:rPr>
          <w:rFonts w:ascii="Times New Roman" w:hAnsi="Times New Roman" w:cs="Times New Roman"/>
          <w:sz w:val="28"/>
          <w:szCs w:val="28"/>
          <w:lang w:val="ro-MD"/>
        </w:rPr>
        <w:t xml:space="preserve">în perioada </w:t>
      </w:r>
      <w:r w:rsidR="00F77082">
        <w:rPr>
          <w:rFonts w:ascii="Times New Roman" w:hAnsi="Times New Roman" w:cs="Times New Roman"/>
          <w:sz w:val="28"/>
          <w:szCs w:val="28"/>
          <w:lang w:val="ro-MD"/>
        </w:rPr>
        <w:t xml:space="preserve">anilor </w:t>
      </w:r>
      <w:r>
        <w:rPr>
          <w:rFonts w:ascii="Times New Roman" w:hAnsi="Times New Roman" w:cs="Times New Roman"/>
          <w:sz w:val="28"/>
          <w:szCs w:val="28"/>
          <w:lang w:val="ro-MD"/>
        </w:rPr>
        <w:t xml:space="preserve">2016-2017 </w:t>
      </w:r>
      <w:r w:rsidRPr="0001016B">
        <w:rPr>
          <w:rFonts w:ascii="Times New Roman" w:hAnsi="Times New Roman" w:cs="Times New Roman"/>
          <w:sz w:val="28"/>
          <w:szCs w:val="28"/>
          <w:lang w:val="ro-MD"/>
        </w:rPr>
        <w:t xml:space="preserve">sarcina bugetară anuală privind colectarea veniturilor </w:t>
      </w:r>
      <w:r>
        <w:rPr>
          <w:rFonts w:ascii="Times New Roman" w:hAnsi="Times New Roman" w:cs="Times New Roman"/>
          <w:sz w:val="28"/>
          <w:szCs w:val="28"/>
          <w:lang w:val="ro-MD"/>
        </w:rPr>
        <w:t>a suportat modificări</w:t>
      </w:r>
      <w:r>
        <w:rPr>
          <w:rFonts w:ascii="Times New Roman" w:hAnsi="Times New Roman" w:cs="Times New Roman"/>
          <w:color w:val="000000"/>
          <w:sz w:val="28"/>
          <w:szCs w:val="28"/>
          <w:lang w:val="ro-MD"/>
        </w:rPr>
        <w:t xml:space="preserve"> </w:t>
      </w:r>
      <w:r w:rsidR="00975002">
        <w:rPr>
          <w:rFonts w:ascii="Times New Roman" w:hAnsi="Times New Roman" w:cs="Times New Roman"/>
          <w:color w:val="000000"/>
          <w:sz w:val="28"/>
          <w:szCs w:val="28"/>
          <w:lang w:val="ro-MD"/>
        </w:rPr>
        <w:t>(micșorare/ majorare) a</w:t>
      </w:r>
      <w:r w:rsidRPr="00834875">
        <w:rPr>
          <w:rFonts w:ascii="Times New Roman" w:hAnsi="Times New Roman" w:cs="Times New Roman"/>
          <w:sz w:val="28"/>
          <w:szCs w:val="28"/>
          <w:lang w:val="ro-MD"/>
        </w:rPr>
        <w:t xml:space="preserve"> indicatorului planului de încasări, pentru a-l aduce la un nivel c</w:t>
      </w:r>
      <w:r w:rsidR="00050379">
        <w:rPr>
          <w:rFonts w:ascii="Times New Roman" w:hAnsi="Times New Roman" w:cs="Times New Roman"/>
          <w:sz w:val="28"/>
          <w:szCs w:val="28"/>
          <w:lang w:val="ro-MD"/>
        </w:rPr>
        <w:t>â</w:t>
      </w:r>
      <w:r w:rsidRPr="00834875">
        <w:rPr>
          <w:rFonts w:ascii="Times New Roman" w:hAnsi="Times New Roman" w:cs="Times New Roman"/>
          <w:sz w:val="28"/>
          <w:szCs w:val="28"/>
          <w:lang w:val="ro-MD"/>
        </w:rPr>
        <w:t xml:space="preserve">t mai apropiat de nivelul veniturilor efectiv </w:t>
      </w:r>
      <w:r w:rsidRPr="000B46ED">
        <w:rPr>
          <w:rFonts w:ascii="Times New Roman" w:hAnsi="Times New Roman" w:cs="Times New Roman"/>
          <w:sz w:val="28"/>
          <w:szCs w:val="28"/>
          <w:lang w:val="ro-MD"/>
        </w:rPr>
        <w:t>realizate</w:t>
      </w:r>
      <w:r w:rsidRPr="000B46ED">
        <w:rPr>
          <w:rFonts w:ascii="Times New Roman" w:hAnsi="Times New Roman" w:cs="Times New Roman"/>
          <w:color w:val="000000"/>
          <w:sz w:val="28"/>
          <w:szCs w:val="28"/>
          <w:lang w:val="ro-MD"/>
        </w:rPr>
        <w:t>, situație care a avut impact asupra echilibrului bugetar. Astfel, în anul 2015</w:t>
      </w:r>
      <w:r w:rsidR="00050379">
        <w:rPr>
          <w:rFonts w:ascii="Times New Roman" w:hAnsi="Times New Roman" w:cs="Times New Roman"/>
          <w:color w:val="000000"/>
          <w:sz w:val="28"/>
          <w:szCs w:val="28"/>
          <w:lang w:val="ro-MD"/>
        </w:rPr>
        <w:t>,</w:t>
      </w:r>
      <w:r w:rsidRPr="000B46ED">
        <w:rPr>
          <w:rFonts w:ascii="Times New Roman" w:hAnsi="Times New Roman" w:cs="Times New Roman"/>
          <w:color w:val="000000"/>
          <w:sz w:val="28"/>
          <w:szCs w:val="28"/>
          <w:lang w:val="ro-MD"/>
        </w:rPr>
        <w:t xml:space="preserve"> planul de încasări a fost micșorat cu 7,9 % (1,4 </w:t>
      </w:r>
      <w:proofErr w:type="spellStart"/>
      <w:r w:rsidRPr="000B46ED">
        <w:rPr>
          <w:rFonts w:ascii="Times New Roman" w:hAnsi="Times New Roman" w:cs="Times New Roman"/>
          <w:color w:val="000000"/>
          <w:sz w:val="28"/>
          <w:szCs w:val="28"/>
          <w:lang w:val="ro-MD"/>
        </w:rPr>
        <w:t>ml</w:t>
      </w:r>
      <w:r>
        <w:rPr>
          <w:rFonts w:ascii="Times New Roman" w:hAnsi="Times New Roman" w:cs="Times New Roman"/>
          <w:color w:val="000000"/>
          <w:sz w:val="28"/>
          <w:szCs w:val="28"/>
          <w:lang w:val="ro-MD"/>
        </w:rPr>
        <w:t>r</w:t>
      </w:r>
      <w:r w:rsidRPr="000B46ED">
        <w:rPr>
          <w:rFonts w:ascii="Times New Roman" w:hAnsi="Times New Roman" w:cs="Times New Roman"/>
          <w:color w:val="000000"/>
          <w:sz w:val="28"/>
          <w:szCs w:val="28"/>
          <w:lang w:val="ro-MD"/>
        </w:rPr>
        <w:t>d.lei</w:t>
      </w:r>
      <w:proofErr w:type="spellEnd"/>
      <w:r w:rsidRPr="000B46ED">
        <w:rPr>
          <w:rFonts w:ascii="Times New Roman" w:hAnsi="Times New Roman" w:cs="Times New Roman"/>
          <w:color w:val="000000"/>
          <w:sz w:val="28"/>
          <w:szCs w:val="28"/>
          <w:lang w:val="ro-MD"/>
        </w:rPr>
        <w:t>),</w:t>
      </w:r>
      <w:r>
        <w:rPr>
          <w:rFonts w:ascii="Times New Roman" w:hAnsi="Times New Roman" w:cs="Times New Roman"/>
          <w:color w:val="000000"/>
          <w:sz w:val="28"/>
          <w:szCs w:val="28"/>
          <w:lang w:val="ro-MD"/>
        </w:rPr>
        <w:t xml:space="preserve"> iar</w:t>
      </w:r>
      <w:r w:rsidRPr="000B46ED">
        <w:rPr>
          <w:rFonts w:ascii="Times New Roman" w:hAnsi="Times New Roman" w:cs="Times New Roman"/>
          <w:color w:val="000000"/>
          <w:sz w:val="28"/>
          <w:szCs w:val="28"/>
          <w:lang w:val="ro-MD"/>
        </w:rPr>
        <w:t xml:space="preserve"> în anul 2016 </w:t>
      </w:r>
      <w:r w:rsidR="00050379">
        <w:rPr>
          <w:rFonts w:ascii="Times New Roman" w:hAnsi="Times New Roman" w:cs="Times New Roman"/>
          <w:color w:val="000000"/>
          <w:sz w:val="28"/>
          <w:szCs w:val="28"/>
          <w:lang w:val="ro-MD"/>
        </w:rPr>
        <w:t>– respectiv,</w:t>
      </w:r>
      <w:r w:rsidRPr="000B46ED">
        <w:rPr>
          <w:rFonts w:ascii="Times New Roman" w:hAnsi="Times New Roman" w:cs="Times New Roman"/>
          <w:color w:val="000000"/>
          <w:sz w:val="28"/>
          <w:szCs w:val="28"/>
          <w:lang w:val="ro-MD"/>
        </w:rPr>
        <w:t xml:space="preserve"> cu 7,5</w:t>
      </w:r>
      <w:r>
        <w:rPr>
          <w:rFonts w:ascii="Times New Roman" w:hAnsi="Times New Roman" w:cs="Times New Roman"/>
          <w:color w:val="000000"/>
          <w:sz w:val="28"/>
          <w:szCs w:val="28"/>
          <w:lang w:val="ro-MD"/>
        </w:rPr>
        <w:t>6</w:t>
      </w:r>
      <w:r w:rsidRPr="000B46ED">
        <w:rPr>
          <w:rFonts w:ascii="Times New Roman" w:hAnsi="Times New Roman" w:cs="Times New Roman"/>
          <w:color w:val="000000"/>
          <w:sz w:val="28"/>
          <w:szCs w:val="28"/>
          <w:lang w:val="ro-MD"/>
        </w:rPr>
        <w:t xml:space="preserve">% (1,4 </w:t>
      </w:r>
      <w:proofErr w:type="spellStart"/>
      <w:r w:rsidRPr="000B46ED">
        <w:rPr>
          <w:rFonts w:ascii="Times New Roman" w:hAnsi="Times New Roman" w:cs="Times New Roman"/>
          <w:color w:val="000000"/>
          <w:sz w:val="28"/>
          <w:szCs w:val="28"/>
          <w:lang w:val="ro-MD"/>
        </w:rPr>
        <w:t>ml</w:t>
      </w:r>
      <w:r>
        <w:rPr>
          <w:rFonts w:ascii="Times New Roman" w:hAnsi="Times New Roman" w:cs="Times New Roman"/>
          <w:color w:val="000000"/>
          <w:sz w:val="28"/>
          <w:szCs w:val="28"/>
          <w:lang w:val="ro-MD"/>
        </w:rPr>
        <w:t>r</w:t>
      </w:r>
      <w:r w:rsidRPr="000B46ED">
        <w:rPr>
          <w:rFonts w:ascii="Times New Roman" w:hAnsi="Times New Roman" w:cs="Times New Roman"/>
          <w:color w:val="000000"/>
          <w:sz w:val="28"/>
          <w:szCs w:val="28"/>
          <w:lang w:val="ro-MD"/>
        </w:rPr>
        <w:t>d.lei</w:t>
      </w:r>
      <w:proofErr w:type="spellEnd"/>
      <w:r w:rsidRPr="000B46ED">
        <w:rPr>
          <w:rFonts w:ascii="Times New Roman" w:hAnsi="Times New Roman" w:cs="Times New Roman"/>
          <w:color w:val="000000"/>
          <w:sz w:val="28"/>
          <w:szCs w:val="28"/>
          <w:lang w:val="ro-MD"/>
        </w:rPr>
        <w:t>)</w:t>
      </w:r>
      <w:r>
        <w:rPr>
          <w:rFonts w:ascii="Times New Roman" w:hAnsi="Times New Roman" w:cs="Times New Roman"/>
          <w:color w:val="000000"/>
          <w:sz w:val="28"/>
          <w:szCs w:val="28"/>
          <w:lang w:val="ro-MD"/>
        </w:rPr>
        <w:t>.</w:t>
      </w:r>
      <w:r w:rsidRPr="000B46ED">
        <w:rPr>
          <w:rFonts w:ascii="Times New Roman" w:hAnsi="Times New Roman" w:cs="Times New Roman"/>
          <w:sz w:val="28"/>
          <w:szCs w:val="28"/>
          <w:lang w:val="ro-MD"/>
        </w:rPr>
        <w:t xml:space="preserve"> Modificările efectuate au generat majorarea gradului de realizare a planului de încasări în anul 2015 de la 90,9% </w:t>
      </w:r>
      <w:r w:rsidR="00050379">
        <w:rPr>
          <w:rFonts w:ascii="Times New Roman" w:hAnsi="Times New Roman" w:cs="Times New Roman"/>
          <w:sz w:val="28"/>
          <w:szCs w:val="28"/>
          <w:lang w:val="ro-MD"/>
        </w:rPr>
        <w:t xml:space="preserve">până </w:t>
      </w:r>
      <w:r w:rsidRPr="000B46ED">
        <w:rPr>
          <w:rFonts w:ascii="Times New Roman" w:hAnsi="Times New Roman" w:cs="Times New Roman"/>
          <w:sz w:val="28"/>
          <w:szCs w:val="28"/>
          <w:lang w:val="ro-MD"/>
        </w:rPr>
        <w:t xml:space="preserve">la 98,7%, iar în anul 2016 </w:t>
      </w:r>
      <w:r w:rsidR="00050379">
        <w:rPr>
          <w:rFonts w:ascii="Times New Roman" w:hAnsi="Times New Roman" w:cs="Times New Roman"/>
          <w:sz w:val="28"/>
          <w:szCs w:val="28"/>
          <w:lang w:val="ro-MD"/>
        </w:rPr>
        <w:t xml:space="preserve">- </w:t>
      </w:r>
      <w:r w:rsidRPr="000B46ED">
        <w:rPr>
          <w:rFonts w:ascii="Times New Roman" w:hAnsi="Times New Roman" w:cs="Times New Roman"/>
          <w:sz w:val="28"/>
          <w:szCs w:val="28"/>
          <w:lang w:val="ro-MD"/>
        </w:rPr>
        <w:t xml:space="preserve">de la 94,6% </w:t>
      </w:r>
      <w:r w:rsidR="00050379">
        <w:rPr>
          <w:rFonts w:ascii="Times New Roman" w:hAnsi="Times New Roman" w:cs="Times New Roman"/>
          <w:sz w:val="28"/>
          <w:szCs w:val="28"/>
          <w:lang w:val="ro-MD"/>
        </w:rPr>
        <w:t xml:space="preserve">până </w:t>
      </w:r>
      <w:r w:rsidRPr="000B46ED">
        <w:rPr>
          <w:rFonts w:ascii="Times New Roman" w:hAnsi="Times New Roman" w:cs="Times New Roman"/>
          <w:sz w:val="28"/>
          <w:szCs w:val="28"/>
          <w:lang w:val="ro-MD"/>
        </w:rPr>
        <w:t>la 102%.</w:t>
      </w:r>
      <w:r>
        <w:rPr>
          <w:rFonts w:ascii="Times New Roman" w:hAnsi="Times New Roman" w:cs="Times New Roman"/>
          <w:color w:val="000000"/>
          <w:sz w:val="28"/>
          <w:szCs w:val="28"/>
          <w:lang w:val="ro-MD"/>
        </w:rPr>
        <w:t xml:space="preserve"> În anul 2017 se atestă o situație inversă </w:t>
      </w:r>
      <w:r w:rsidR="00050379">
        <w:rPr>
          <w:rFonts w:ascii="Times New Roman" w:hAnsi="Times New Roman" w:cs="Times New Roman"/>
          <w:color w:val="000000"/>
          <w:sz w:val="28"/>
          <w:szCs w:val="28"/>
          <w:lang w:val="ro-MD"/>
        </w:rPr>
        <w:t xml:space="preserve">celei din </w:t>
      </w:r>
      <w:r>
        <w:rPr>
          <w:rFonts w:ascii="Times New Roman" w:hAnsi="Times New Roman" w:cs="Times New Roman"/>
          <w:color w:val="000000"/>
          <w:sz w:val="28"/>
          <w:szCs w:val="28"/>
          <w:lang w:val="ro-MD"/>
        </w:rPr>
        <w:t>ani</w:t>
      </w:r>
      <w:r w:rsidR="00050379">
        <w:rPr>
          <w:rFonts w:ascii="Times New Roman" w:hAnsi="Times New Roman" w:cs="Times New Roman"/>
          <w:color w:val="000000"/>
          <w:sz w:val="28"/>
          <w:szCs w:val="28"/>
          <w:lang w:val="ro-MD"/>
        </w:rPr>
        <w:t>i</w:t>
      </w:r>
      <w:r>
        <w:rPr>
          <w:rFonts w:ascii="Times New Roman" w:hAnsi="Times New Roman" w:cs="Times New Roman"/>
          <w:color w:val="000000"/>
          <w:sz w:val="28"/>
          <w:szCs w:val="28"/>
          <w:lang w:val="ro-MD"/>
        </w:rPr>
        <w:t xml:space="preserve"> precedenți, planul de încasări fiind majorat cu 7,98 % (1,4 </w:t>
      </w:r>
      <w:proofErr w:type="spellStart"/>
      <w:r>
        <w:rPr>
          <w:rFonts w:ascii="Times New Roman" w:hAnsi="Times New Roman" w:cs="Times New Roman"/>
          <w:color w:val="000000"/>
          <w:sz w:val="28"/>
          <w:szCs w:val="28"/>
          <w:lang w:val="ro-MD"/>
        </w:rPr>
        <w:t>mlrd.lei</w:t>
      </w:r>
      <w:proofErr w:type="spellEnd"/>
      <w:r>
        <w:rPr>
          <w:rFonts w:ascii="Times New Roman" w:hAnsi="Times New Roman" w:cs="Times New Roman"/>
          <w:color w:val="000000"/>
          <w:sz w:val="28"/>
          <w:szCs w:val="28"/>
          <w:lang w:val="ro-MD"/>
        </w:rPr>
        <w:t xml:space="preserve">), fapt care a generat micșorarea nivelului de realizare de la 109,7% </w:t>
      </w:r>
      <w:r w:rsidR="00050379">
        <w:rPr>
          <w:rFonts w:ascii="Times New Roman" w:hAnsi="Times New Roman" w:cs="Times New Roman"/>
          <w:color w:val="000000"/>
          <w:sz w:val="28"/>
          <w:szCs w:val="28"/>
          <w:lang w:val="ro-MD"/>
        </w:rPr>
        <w:t xml:space="preserve">până </w:t>
      </w:r>
      <w:r>
        <w:rPr>
          <w:rFonts w:ascii="Times New Roman" w:hAnsi="Times New Roman" w:cs="Times New Roman"/>
          <w:color w:val="000000"/>
          <w:sz w:val="28"/>
          <w:szCs w:val="28"/>
          <w:lang w:val="ro-MD"/>
        </w:rPr>
        <w:t xml:space="preserve">la 101,6 %. </w:t>
      </w:r>
      <w:r w:rsidRPr="001D0846">
        <w:rPr>
          <w:rFonts w:ascii="Times New Roman" w:eastAsia="Times New Roman" w:hAnsi="Times New Roman" w:cs="Times New Roman"/>
          <w:sz w:val="28"/>
          <w:szCs w:val="28"/>
          <w:lang w:val="ro-MD"/>
        </w:rPr>
        <w:t>Situațiile constatate de audit la stabilirea sarcinii de încasări au fost cauzate</w:t>
      </w:r>
      <w:r w:rsidR="00050379">
        <w:rPr>
          <w:rFonts w:ascii="Times New Roman" w:eastAsia="Times New Roman" w:hAnsi="Times New Roman" w:cs="Times New Roman"/>
          <w:sz w:val="28"/>
          <w:szCs w:val="28"/>
          <w:lang w:val="ro-MD"/>
        </w:rPr>
        <w:t>,</w:t>
      </w:r>
      <w:r w:rsidRPr="001D0846">
        <w:rPr>
          <w:rFonts w:ascii="Times New Roman" w:eastAsia="Times New Roman" w:hAnsi="Times New Roman" w:cs="Times New Roman"/>
          <w:sz w:val="28"/>
          <w:szCs w:val="28"/>
          <w:lang w:val="ro-MD"/>
        </w:rPr>
        <w:t xml:space="preserve"> în special</w:t>
      </w:r>
      <w:r w:rsidR="00050379">
        <w:rPr>
          <w:rFonts w:ascii="Times New Roman" w:eastAsia="Times New Roman" w:hAnsi="Times New Roman" w:cs="Times New Roman"/>
          <w:sz w:val="28"/>
          <w:szCs w:val="28"/>
          <w:lang w:val="ro-MD"/>
        </w:rPr>
        <w:t>,</w:t>
      </w:r>
      <w:r w:rsidRPr="001D0846">
        <w:rPr>
          <w:rFonts w:ascii="Times New Roman" w:eastAsia="Times New Roman" w:hAnsi="Times New Roman" w:cs="Times New Roman"/>
          <w:sz w:val="28"/>
          <w:szCs w:val="28"/>
          <w:lang w:val="ro-MD"/>
        </w:rPr>
        <w:t xml:space="preserve"> de rezervele privind</w:t>
      </w:r>
      <w:r w:rsidRPr="001D0846">
        <w:rPr>
          <w:rFonts w:ascii="Times New Roman" w:hAnsi="Times New Roman" w:cs="Times New Roman"/>
          <w:sz w:val="28"/>
          <w:szCs w:val="28"/>
          <w:lang w:val="ro-MD"/>
        </w:rPr>
        <w:t xml:space="preserve"> modalitatea de calcul </w:t>
      </w:r>
      <w:proofErr w:type="spellStart"/>
      <w:r w:rsidRPr="001D0846">
        <w:rPr>
          <w:rFonts w:ascii="Times New Roman" w:hAnsi="Times New Roman" w:cs="Times New Roman"/>
          <w:sz w:val="28"/>
          <w:szCs w:val="28"/>
          <w:lang w:val="ro-MD"/>
        </w:rPr>
        <w:t>şi</w:t>
      </w:r>
      <w:proofErr w:type="spellEnd"/>
      <w:r w:rsidRPr="001D0846">
        <w:rPr>
          <w:rFonts w:ascii="Times New Roman" w:hAnsi="Times New Roman" w:cs="Times New Roman"/>
          <w:sz w:val="28"/>
          <w:szCs w:val="28"/>
          <w:lang w:val="ro-MD"/>
        </w:rPr>
        <w:t xml:space="preserve"> </w:t>
      </w:r>
      <w:proofErr w:type="spellStart"/>
      <w:r w:rsidRPr="001D0846">
        <w:rPr>
          <w:rFonts w:ascii="Times New Roman" w:hAnsi="Times New Roman" w:cs="Times New Roman"/>
          <w:sz w:val="28"/>
          <w:szCs w:val="28"/>
          <w:lang w:val="ro-MD"/>
        </w:rPr>
        <w:t>acurateţea</w:t>
      </w:r>
      <w:proofErr w:type="spellEnd"/>
      <w:r w:rsidRPr="001D0846">
        <w:rPr>
          <w:rFonts w:ascii="Times New Roman" w:hAnsi="Times New Roman" w:cs="Times New Roman"/>
          <w:sz w:val="28"/>
          <w:szCs w:val="28"/>
          <w:lang w:val="ro-MD"/>
        </w:rPr>
        <w:t xml:space="preserve"> estimărilor</w:t>
      </w:r>
      <w:r w:rsidRPr="001D0846">
        <w:rPr>
          <w:rFonts w:ascii="Times New Roman" w:eastAsia="Times New Roman" w:hAnsi="Times New Roman" w:cs="Times New Roman"/>
          <w:sz w:val="28"/>
          <w:szCs w:val="28"/>
          <w:lang w:val="ro-MD"/>
        </w:rPr>
        <w:t>, precum și variația pe parcursul anului a indicatorilor macroeconomici</w:t>
      </w:r>
      <w:r w:rsidRPr="001D0846">
        <w:rPr>
          <w:rFonts w:ascii="Times New Roman" w:hAnsi="Times New Roman" w:cs="Times New Roman"/>
          <w:sz w:val="28"/>
          <w:szCs w:val="28"/>
          <w:lang w:val="ro-MD"/>
        </w:rPr>
        <w:t>.</w:t>
      </w:r>
    </w:p>
    <w:p w:rsidR="003F6A2F" w:rsidRPr="001D0846" w:rsidRDefault="003F6A2F" w:rsidP="003F6A2F">
      <w:pPr>
        <w:spacing w:after="0" w:line="276" w:lineRule="auto"/>
        <w:ind w:right="-2" w:firstLine="72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Comparând nivelul </w:t>
      </w:r>
      <w:r w:rsidR="00456909">
        <w:rPr>
          <w:rFonts w:ascii="Times New Roman" w:hAnsi="Times New Roman" w:cs="Times New Roman"/>
          <w:sz w:val="28"/>
          <w:szCs w:val="28"/>
          <w:lang w:val="ro-MD"/>
        </w:rPr>
        <w:t>aprobat</w:t>
      </w:r>
      <w:r w:rsidRPr="001D0846">
        <w:rPr>
          <w:rFonts w:ascii="Times New Roman" w:hAnsi="Times New Roman" w:cs="Times New Roman"/>
          <w:sz w:val="28"/>
          <w:szCs w:val="28"/>
          <w:lang w:val="ro-MD"/>
        </w:rPr>
        <w:t xml:space="preserve"> al veniturilor colectate (obiectiv propus de MF) </w:t>
      </w:r>
      <w:r w:rsidR="00050379">
        <w:rPr>
          <w:rFonts w:ascii="Times New Roman" w:hAnsi="Times New Roman" w:cs="Times New Roman"/>
          <w:sz w:val="28"/>
          <w:szCs w:val="28"/>
          <w:lang w:val="ro-MD"/>
        </w:rPr>
        <w:t>cu</w:t>
      </w:r>
      <w:r w:rsidRPr="001D0846">
        <w:rPr>
          <w:rFonts w:ascii="Times New Roman" w:hAnsi="Times New Roman" w:cs="Times New Roman"/>
          <w:sz w:val="28"/>
          <w:szCs w:val="28"/>
          <w:lang w:val="ro-MD"/>
        </w:rPr>
        <w:t xml:space="preserve"> încasările realizate în </w:t>
      </w:r>
      <w:r w:rsidR="00E26C8D">
        <w:rPr>
          <w:rFonts w:ascii="Times New Roman" w:hAnsi="Times New Roman" w:cs="Times New Roman"/>
          <w:sz w:val="28"/>
          <w:szCs w:val="28"/>
          <w:lang w:val="ro-MD"/>
        </w:rPr>
        <w:t>anul</w:t>
      </w:r>
      <w:r w:rsidRPr="001D0846">
        <w:rPr>
          <w:rFonts w:ascii="Times New Roman" w:hAnsi="Times New Roman" w:cs="Times New Roman"/>
          <w:sz w:val="28"/>
          <w:szCs w:val="28"/>
          <w:lang w:val="ro-MD"/>
        </w:rPr>
        <w:t xml:space="preserve"> 2017, se </w:t>
      </w:r>
      <w:r w:rsidR="00E10910">
        <w:rPr>
          <w:rFonts w:ascii="Times New Roman" w:hAnsi="Times New Roman" w:cs="Times New Roman"/>
          <w:sz w:val="28"/>
          <w:szCs w:val="28"/>
          <w:lang w:val="ro-MD"/>
        </w:rPr>
        <w:t>constată</w:t>
      </w:r>
      <w:r w:rsidRPr="001D0846">
        <w:rPr>
          <w:rFonts w:ascii="Times New Roman" w:hAnsi="Times New Roman" w:cs="Times New Roman"/>
          <w:sz w:val="28"/>
          <w:szCs w:val="28"/>
          <w:lang w:val="ro-MD"/>
        </w:rPr>
        <w:t xml:space="preserve"> că</w:t>
      </w:r>
      <w:r w:rsidR="00050379">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per ansamblu</w:t>
      </w:r>
      <w:r w:rsidR="00050379">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SV a îndeplinit obiectivele stabilite, fiind înregistrat un nivel de realizare a sarcinii de colectare a veniturilor la BS de 101,6%.</w:t>
      </w:r>
    </w:p>
    <w:p w:rsidR="003F6A2F" w:rsidRDefault="003F6A2F" w:rsidP="003F6A2F">
      <w:pPr>
        <w:spacing w:after="0" w:line="276" w:lineRule="auto"/>
        <w:ind w:right="-2" w:firstLine="720"/>
        <w:jc w:val="both"/>
        <w:rPr>
          <w:rFonts w:ascii="Times New Roman" w:hAnsi="Times New Roman" w:cs="Times New Roman"/>
          <w:i/>
          <w:sz w:val="28"/>
          <w:szCs w:val="28"/>
          <w:lang w:val="ro-MD"/>
        </w:rPr>
      </w:pPr>
      <w:r w:rsidRPr="003F6A2F">
        <w:rPr>
          <w:rFonts w:ascii="Times New Roman" w:hAnsi="Times New Roman" w:cs="Times New Roman"/>
          <w:sz w:val="28"/>
          <w:szCs w:val="28"/>
          <w:lang w:val="ro-MD"/>
        </w:rPr>
        <w:t>Analiza nivelul</w:t>
      </w:r>
      <w:r w:rsidR="00050379">
        <w:rPr>
          <w:rFonts w:ascii="Times New Roman" w:hAnsi="Times New Roman" w:cs="Times New Roman"/>
          <w:sz w:val="28"/>
          <w:szCs w:val="28"/>
          <w:lang w:val="ro-MD"/>
        </w:rPr>
        <w:t>ui</w:t>
      </w:r>
      <w:r w:rsidRPr="003F6A2F">
        <w:rPr>
          <w:rFonts w:ascii="Times New Roman" w:hAnsi="Times New Roman" w:cs="Times New Roman"/>
          <w:sz w:val="28"/>
          <w:szCs w:val="28"/>
          <w:lang w:val="ro-MD"/>
        </w:rPr>
        <w:t xml:space="preserve"> de realizare a sarcinii de colectare în aspectul tipurilor de impozite și taxe </w:t>
      </w:r>
      <w:r w:rsidR="00E10910">
        <w:rPr>
          <w:rFonts w:ascii="Times New Roman" w:hAnsi="Times New Roman" w:cs="Times New Roman"/>
          <w:sz w:val="28"/>
          <w:szCs w:val="28"/>
          <w:lang w:val="ro-MD"/>
        </w:rPr>
        <w:t>denotă</w:t>
      </w:r>
      <w:r w:rsidRPr="003F6A2F">
        <w:rPr>
          <w:rFonts w:ascii="Times New Roman" w:hAnsi="Times New Roman" w:cs="Times New Roman"/>
          <w:sz w:val="28"/>
          <w:szCs w:val="28"/>
          <w:lang w:val="ro-MD"/>
        </w:rPr>
        <w:t xml:space="preserve"> unele discrepanțe între nivelul </w:t>
      </w:r>
      <w:r w:rsidR="00456909">
        <w:rPr>
          <w:rFonts w:ascii="Times New Roman" w:hAnsi="Times New Roman" w:cs="Times New Roman"/>
          <w:sz w:val="28"/>
          <w:szCs w:val="28"/>
          <w:lang w:val="ro-MD"/>
        </w:rPr>
        <w:t>aprobat</w:t>
      </w:r>
      <w:r w:rsidRPr="003F6A2F">
        <w:rPr>
          <w:rFonts w:ascii="Times New Roman" w:hAnsi="Times New Roman" w:cs="Times New Roman"/>
          <w:sz w:val="28"/>
          <w:szCs w:val="28"/>
          <w:lang w:val="ro-MD"/>
        </w:rPr>
        <w:t xml:space="preserve"> al încasărilor și cel efectiv realizat, </w:t>
      </w:r>
      <w:r w:rsidRPr="003F6A2F">
        <w:rPr>
          <w:rFonts w:ascii="Times New Roman" w:hAnsi="Times New Roman" w:cs="Times New Roman"/>
          <w:i/>
          <w:sz w:val="28"/>
          <w:szCs w:val="28"/>
          <w:lang w:val="ro-MD"/>
        </w:rPr>
        <w:t xml:space="preserve">situație care </w:t>
      </w:r>
      <w:r w:rsidR="00E26C8D">
        <w:rPr>
          <w:rFonts w:ascii="Times New Roman" w:hAnsi="Times New Roman" w:cs="Times New Roman"/>
          <w:i/>
          <w:sz w:val="28"/>
          <w:szCs w:val="28"/>
          <w:lang w:val="ro-MD"/>
        </w:rPr>
        <w:t>este</w:t>
      </w:r>
      <w:r w:rsidRPr="003F6A2F">
        <w:rPr>
          <w:rFonts w:ascii="Times New Roman" w:hAnsi="Times New Roman" w:cs="Times New Roman"/>
          <w:i/>
          <w:sz w:val="28"/>
          <w:szCs w:val="28"/>
          <w:lang w:val="ro-MD"/>
        </w:rPr>
        <w:t xml:space="preserve"> prez</w:t>
      </w:r>
      <w:r w:rsidR="00E26C8D">
        <w:rPr>
          <w:rFonts w:ascii="Times New Roman" w:hAnsi="Times New Roman" w:cs="Times New Roman"/>
          <w:i/>
          <w:sz w:val="28"/>
          <w:szCs w:val="28"/>
          <w:lang w:val="ro-MD"/>
        </w:rPr>
        <w:t>enta</w:t>
      </w:r>
      <w:r w:rsidRPr="003F6A2F">
        <w:rPr>
          <w:rFonts w:ascii="Times New Roman" w:hAnsi="Times New Roman" w:cs="Times New Roman"/>
          <w:i/>
          <w:sz w:val="28"/>
          <w:szCs w:val="28"/>
          <w:lang w:val="ro-MD"/>
        </w:rPr>
        <w:t>tă în detaliu în Tabelul nr.</w:t>
      </w:r>
      <w:r>
        <w:rPr>
          <w:rFonts w:ascii="Times New Roman" w:hAnsi="Times New Roman" w:cs="Times New Roman"/>
          <w:i/>
          <w:sz w:val="28"/>
          <w:szCs w:val="28"/>
          <w:lang w:val="ro-MD"/>
        </w:rPr>
        <w:t>8</w:t>
      </w:r>
      <w:r w:rsidRPr="003F6A2F">
        <w:rPr>
          <w:rFonts w:ascii="Times New Roman" w:hAnsi="Times New Roman" w:cs="Times New Roman"/>
          <w:i/>
          <w:sz w:val="28"/>
          <w:szCs w:val="28"/>
          <w:lang w:val="ro-MD"/>
        </w:rPr>
        <w:t xml:space="preserve"> din Anexa nr.3 </w:t>
      </w:r>
      <w:r w:rsidR="00E26C8D">
        <w:rPr>
          <w:rFonts w:ascii="Times New Roman" w:hAnsi="Times New Roman" w:cs="Times New Roman"/>
          <w:i/>
          <w:sz w:val="28"/>
          <w:szCs w:val="28"/>
          <w:lang w:val="ro-MD"/>
        </w:rPr>
        <w:t>la</w:t>
      </w:r>
      <w:r w:rsidRPr="003F6A2F">
        <w:rPr>
          <w:rFonts w:ascii="Times New Roman" w:hAnsi="Times New Roman" w:cs="Times New Roman"/>
          <w:i/>
          <w:sz w:val="28"/>
          <w:szCs w:val="28"/>
          <w:lang w:val="ro-MD"/>
        </w:rPr>
        <w:t xml:space="preserve"> Raport</w:t>
      </w:r>
      <w:r w:rsidR="00E26C8D">
        <w:rPr>
          <w:rFonts w:ascii="Times New Roman" w:hAnsi="Times New Roman" w:cs="Times New Roman"/>
          <w:i/>
          <w:sz w:val="28"/>
          <w:szCs w:val="28"/>
          <w:lang w:val="ro-MD"/>
        </w:rPr>
        <w:t>ul</w:t>
      </w:r>
      <w:r w:rsidRPr="003F6A2F">
        <w:rPr>
          <w:rFonts w:ascii="Times New Roman" w:hAnsi="Times New Roman" w:cs="Times New Roman"/>
          <w:i/>
          <w:sz w:val="28"/>
          <w:szCs w:val="28"/>
          <w:lang w:val="ro-MD"/>
        </w:rPr>
        <w:t xml:space="preserve"> de audit.</w:t>
      </w:r>
    </w:p>
    <w:p w:rsidR="00E43F8F" w:rsidRDefault="00E26C8D" w:rsidP="00E43F8F">
      <w:pPr>
        <w:spacing w:after="0" w:line="276" w:lineRule="auto"/>
        <w:ind w:right="-2" w:firstLine="720"/>
        <w:jc w:val="both"/>
        <w:rPr>
          <w:rFonts w:ascii="Times New Roman" w:hAnsi="Times New Roman"/>
          <w:sz w:val="28"/>
          <w:szCs w:val="28"/>
          <w:lang w:val="ro-MD"/>
        </w:rPr>
      </w:pPr>
      <w:r>
        <w:rPr>
          <w:rFonts w:ascii="Times New Roman" w:hAnsi="Times New Roman" w:cs="Times New Roman"/>
          <w:sz w:val="28"/>
          <w:szCs w:val="28"/>
          <w:lang w:val="ro-MD"/>
        </w:rPr>
        <w:t>D</w:t>
      </w:r>
      <w:r w:rsidR="003F6A2F" w:rsidRPr="003F6A2F">
        <w:rPr>
          <w:rFonts w:ascii="Times New Roman" w:hAnsi="Times New Roman" w:cs="Times New Roman"/>
          <w:sz w:val="28"/>
          <w:szCs w:val="28"/>
          <w:lang w:val="ro-MD"/>
        </w:rPr>
        <w:t>atel</w:t>
      </w:r>
      <w:r>
        <w:rPr>
          <w:rFonts w:ascii="Times New Roman" w:hAnsi="Times New Roman" w:cs="Times New Roman"/>
          <w:sz w:val="28"/>
          <w:szCs w:val="28"/>
          <w:lang w:val="ro-MD"/>
        </w:rPr>
        <w:t>e</w:t>
      </w:r>
      <w:r w:rsidR="003F6A2F" w:rsidRPr="003F6A2F">
        <w:rPr>
          <w:rFonts w:ascii="Times New Roman" w:hAnsi="Times New Roman" w:cs="Times New Roman"/>
          <w:b/>
          <w:sz w:val="28"/>
          <w:szCs w:val="28"/>
          <w:lang w:val="ro-MD"/>
        </w:rPr>
        <w:t xml:space="preserve"> </w:t>
      </w:r>
      <w:r w:rsidR="003F6A2F" w:rsidRPr="003F6A2F">
        <w:rPr>
          <w:rFonts w:ascii="Times New Roman" w:hAnsi="Times New Roman" w:cs="Times New Roman"/>
          <w:sz w:val="28"/>
          <w:szCs w:val="28"/>
          <w:lang w:val="ro-MD"/>
        </w:rPr>
        <w:t xml:space="preserve">prezentate în </w:t>
      </w:r>
      <w:r w:rsidR="00E10910">
        <w:rPr>
          <w:rFonts w:ascii="Times New Roman" w:hAnsi="Times New Roman" w:cs="Times New Roman"/>
          <w:sz w:val="28"/>
          <w:szCs w:val="28"/>
          <w:lang w:val="ro-MD"/>
        </w:rPr>
        <w:t>t</w:t>
      </w:r>
      <w:r w:rsidR="003F6A2F" w:rsidRPr="003F6A2F">
        <w:rPr>
          <w:rFonts w:ascii="Times New Roman" w:hAnsi="Times New Roman" w:cs="Times New Roman"/>
          <w:sz w:val="28"/>
          <w:szCs w:val="28"/>
          <w:lang w:val="ro-MD"/>
        </w:rPr>
        <w:t xml:space="preserve">abel </w:t>
      </w:r>
      <w:r w:rsidR="003F6A2F" w:rsidRPr="00975002">
        <w:rPr>
          <w:rFonts w:ascii="Times New Roman" w:hAnsi="Times New Roman" w:cs="Times New Roman"/>
          <w:sz w:val="28"/>
          <w:szCs w:val="28"/>
          <w:lang w:val="ro-MD"/>
        </w:rPr>
        <w:t>relevă ne</w:t>
      </w:r>
      <w:r w:rsidR="008B7A4E" w:rsidRPr="00975002">
        <w:rPr>
          <w:rFonts w:ascii="Times New Roman" w:hAnsi="Times New Roman" w:cs="Times New Roman"/>
          <w:sz w:val="28"/>
          <w:szCs w:val="28"/>
          <w:lang w:val="ro-MD"/>
        </w:rPr>
        <w:t>încasarea</w:t>
      </w:r>
      <w:r w:rsidR="003F6A2F" w:rsidRPr="00975002">
        <w:rPr>
          <w:rFonts w:ascii="Times New Roman" w:hAnsi="Times New Roman" w:cs="Times New Roman"/>
          <w:sz w:val="28"/>
          <w:szCs w:val="28"/>
          <w:lang w:val="ro-MD"/>
        </w:rPr>
        <w:t xml:space="preserve"> de către SV </w:t>
      </w:r>
      <w:r w:rsidR="003F6A2F" w:rsidRPr="00975002">
        <w:rPr>
          <w:rFonts w:ascii="Times New Roman" w:eastAsiaTheme="minorEastAsia" w:hAnsi="Times New Roman" w:cs="Times New Roman"/>
          <w:sz w:val="28"/>
          <w:szCs w:val="28"/>
          <w:lang w:val="ro-MD"/>
        </w:rPr>
        <w:t>în an</w:t>
      </w:r>
      <w:r w:rsidR="00E10910" w:rsidRPr="00975002">
        <w:rPr>
          <w:rFonts w:ascii="Times New Roman" w:eastAsiaTheme="minorEastAsia" w:hAnsi="Times New Roman" w:cs="Times New Roman"/>
          <w:sz w:val="28"/>
          <w:szCs w:val="28"/>
          <w:lang w:val="ro-MD"/>
        </w:rPr>
        <w:t>ii</w:t>
      </w:r>
      <w:r w:rsidR="003F6A2F" w:rsidRPr="00975002">
        <w:rPr>
          <w:rFonts w:ascii="Times New Roman" w:eastAsiaTheme="minorEastAsia" w:hAnsi="Times New Roman" w:cs="Times New Roman"/>
          <w:sz w:val="28"/>
          <w:szCs w:val="28"/>
          <w:lang w:val="ro-MD"/>
        </w:rPr>
        <w:t xml:space="preserve"> 2015 și 2017</w:t>
      </w:r>
      <w:r w:rsidR="00145CD5" w:rsidRPr="00975002">
        <w:rPr>
          <w:rFonts w:ascii="Times New Roman" w:eastAsiaTheme="minorEastAsia" w:hAnsi="Times New Roman" w:cs="Times New Roman"/>
          <w:sz w:val="28"/>
          <w:szCs w:val="28"/>
          <w:lang w:val="ro-MD"/>
        </w:rPr>
        <w:t>,</w:t>
      </w:r>
      <w:r w:rsidR="003F6A2F" w:rsidRPr="00975002">
        <w:rPr>
          <w:rFonts w:ascii="Times New Roman" w:eastAsiaTheme="minorEastAsia" w:hAnsi="Times New Roman" w:cs="Times New Roman"/>
          <w:sz w:val="28"/>
          <w:szCs w:val="28"/>
          <w:lang w:val="ro-MD"/>
        </w:rPr>
        <w:t xml:space="preserve"> față de nivelul </w:t>
      </w:r>
      <w:r w:rsidR="00456909">
        <w:rPr>
          <w:rFonts w:ascii="Times New Roman" w:eastAsiaTheme="minorEastAsia" w:hAnsi="Times New Roman" w:cs="Times New Roman"/>
          <w:sz w:val="28"/>
          <w:szCs w:val="28"/>
          <w:lang w:val="ro-MD"/>
        </w:rPr>
        <w:t>aprobat,</w:t>
      </w:r>
      <w:r w:rsidR="003F6A2F" w:rsidRPr="00975002">
        <w:rPr>
          <w:rFonts w:ascii="Times New Roman" w:eastAsiaTheme="minorEastAsia" w:hAnsi="Times New Roman" w:cs="Times New Roman"/>
          <w:sz w:val="28"/>
          <w:szCs w:val="28"/>
          <w:lang w:val="ro-MD"/>
        </w:rPr>
        <w:t xml:space="preserve"> a TVA cu 387,1 mil.lei și</w:t>
      </w:r>
      <w:r w:rsidR="00145CD5" w:rsidRPr="00975002">
        <w:rPr>
          <w:rFonts w:ascii="Times New Roman" w:eastAsiaTheme="minorEastAsia" w:hAnsi="Times New Roman" w:cs="Times New Roman"/>
          <w:sz w:val="28"/>
          <w:szCs w:val="28"/>
          <w:lang w:val="ro-MD"/>
        </w:rPr>
        <w:t>,</w:t>
      </w:r>
      <w:r w:rsidR="003F6A2F" w:rsidRPr="00975002">
        <w:rPr>
          <w:rFonts w:ascii="Times New Roman" w:eastAsiaTheme="minorEastAsia" w:hAnsi="Times New Roman" w:cs="Times New Roman"/>
          <w:sz w:val="28"/>
          <w:szCs w:val="28"/>
          <w:lang w:val="ro-MD"/>
        </w:rPr>
        <w:t xml:space="preserve"> respectiv</w:t>
      </w:r>
      <w:r w:rsidR="00145CD5" w:rsidRPr="00975002">
        <w:rPr>
          <w:rFonts w:ascii="Times New Roman" w:eastAsiaTheme="minorEastAsia" w:hAnsi="Times New Roman" w:cs="Times New Roman"/>
          <w:sz w:val="28"/>
          <w:szCs w:val="28"/>
          <w:lang w:val="ro-MD"/>
        </w:rPr>
        <w:t xml:space="preserve">, cu </w:t>
      </w:r>
      <w:r w:rsidR="003F6A2F" w:rsidRPr="00975002">
        <w:rPr>
          <w:rFonts w:ascii="Times New Roman" w:eastAsiaTheme="minorEastAsia" w:hAnsi="Times New Roman" w:cs="Times New Roman"/>
          <w:sz w:val="28"/>
          <w:szCs w:val="28"/>
          <w:lang w:val="ro-MD"/>
        </w:rPr>
        <w:t xml:space="preserve">44,7 mil.lei, iar în anul 2016 </w:t>
      </w:r>
      <w:r w:rsidR="00145CD5" w:rsidRPr="00975002">
        <w:rPr>
          <w:rFonts w:ascii="Times New Roman" w:eastAsiaTheme="minorEastAsia" w:hAnsi="Times New Roman" w:cs="Times New Roman"/>
          <w:sz w:val="28"/>
          <w:szCs w:val="28"/>
          <w:lang w:val="ro-MD"/>
        </w:rPr>
        <w:t xml:space="preserve">- </w:t>
      </w:r>
      <w:r w:rsidR="003F6A2F" w:rsidRPr="00975002">
        <w:rPr>
          <w:rFonts w:ascii="Times New Roman" w:eastAsiaTheme="minorEastAsia" w:hAnsi="Times New Roman" w:cs="Times New Roman"/>
          <w:sz w:val="28"/>
          <w:szCs w:val="28"/>
          <w:lang w:val="ro-MD"/>
        </w:rPr>
        <w:t xml:space="preserve">a </w:t>
      </w:r>
      <w:r w:rsidR="008B7A4E" w:rsidRPr="00975002">
        <w:rPr>
          <w:rFonts w:ascii="Times New Roman" w:eastAsiaTheme="minorEastAsia" w:hAnsi="Times New Roman" w:cs="Times New Roman"/>
          <w:sz w:val="28"/>
          <w:szCs w:val="28"/>
          <w:lang w:val="ro-MD"/>
        </w:rPr>
        <w:t xml:space="preserve">taxei pentru </w:t>
      </w:r>
      <w:r w:rsidR="003F6A2F" w:rsidRPr="00975002">
        <w:rPr>
          <w:rFonts w:ascii="Times New Roman" w:eastAsiaTheme="minorEastAsia" w:hAnsi="Times New Roman" w:cs="Times New Roman"/>
          <w:sz w:val="28"/>
          <w:szCs w:val="28"/>
          <w:lang w:val="ro-MD"/>
        </w:rPr>
        <w:t>viniet</w:t>
      </w:r>
      <w:r w:rsidR="008B7A4E" w:rsidRPr="00975002">
        <w:rPr>
          <w:rFonts w:ascii="Times New Roman" w:eastAsiaTheme="minorEastAsia" w:hAnsi="Times New Roman" w:cs="Times New Roman"/>
          <w:sz w:val="28"/>
          <w:szCs w:val="28"/>
          <w:lang w:val="ro-MD"/>
        </w:rPr>
        <w:t>ă</w:t>
      </w:r>
      <w:r w:rsidR="003F6A2F" w:rsidRPr="00975002">
        <w:rPr>
          <w:rFonts w:ascii="Times New Roman" w:eastAsiaTheme="minorEastAsia" w:hAnsi="Times New Roman" w:cs="Times New Roman"/>
          <w:sz w:val="28"/>
          <w:szCs w:val="28"/>
          <w:lang w:val="ro-MD"/>
        </w:rPr>
        <w:t xml:space="preserve"> cu 3,7 mil.lei. </w:t>
      </w:r>
      <w:r w:rsidR="003F6A2F" w:rsidRPr="00975002">
        <w:rPr>
          <w:rFonts w:ascii="Times New Roman" w:hAnsi="Times New Roman"/>
          <w:sz w:val="28"/>
          <w:szCs w:val="28"/>
          <w:lang w:val="ro-MD"/>
        </w:rPr>
        <w:t>Potrivit motivației persoanelor responsabile din cadrul SV, unul din</w:t>
      </w:r>
      <w:r w:rsidR="00145CD5" w:rsidRPr="00975002">
        <w:rPr>
          <w:rFonts w:ascii="Times New Roman" w:hAnsi="Times New Roman"/>
          <w:sz w:val="28"/>
          <w:szCs w:val="28"/>
          <w:lang w:val="ro-MD"/>
        </w:rPr>
        <w:t>tre</w:t>
      </w:r>
      <w:r w:rsidR="003F6A2F" w:rsidRPr="00975002">
        <w:rPr>
          <w:rFonts w:ascii="Times New Roman" w:hAnsi="Times New Roman"/>
          <w:sz w:val="28"/>
          <w:szCs w:val="28"/>
          <w:lang w:val="ro-MD"/>
        </w:rPr>
        <w:t xml:space="preserve"> principalii factori care au dus la neexecutarea sarcinii stabilite </w:t>
      </w:r>
      <w:r w:rsidR="0019026C" w:rsidRPr="00975002">
        <w:rPr>
          <w:rFonts w:ascii="Times New Roman" w:hAnsi="Times New Roman"/>
          <w:sz w:val="28"/>
          <w:szCs w:val="28"/>
          <w:lang w:val="ro-MD"/>
        </w:rPr>
        <w:t>privind</w:t>
      </w:r>
      <w:r w:rsidR="003F6A2F" w:rsidRPr="00975002">
        <w:rPr>
          <w:rFonts w:ascii="Times New Roman" w:hAnsi="Times New Roman"/>
          <w:sz w:val="28"/>
          <w:szCs w:val="28"/>
          <w:lang w:val="ro-MD"/>
        </w:rPr>
        <w:t xml:space="preserve"> TVA a fost adoptarea Legii nr.50 din 03.04.2015</w:t>
      </w:r>
      <w:r w:rsidR="001F529E">
        <w:rPr>
          <w:rStyle w:val="a6"/>
          <w:rFonts w:ascii="Times New Roman" w:hAnsi="Times New Roman"/>
          <w:sz w:val="28"/>
          <w:szCs w:val="28"/>
          <w:lang w:val="ro-MD"/>
        </w:rPr>
        <w:footnoteReference w:id="13"/>
      </w:r>
      <w:r w:rsidR="00E43F8F">
        <w:rPr>
          <w:rFonts w:ascii="Times New Roman" w:hAnsi="Times New Roman"/>
          <w:sz w:val="28"/>
          <w:szCs w:val="28"/>
          <w:lang w:val="ro-MD"/>
        </w:rPr>
        <w:t xml:space="preserve">, </w:t>
      </w:r>
      <w:r w:rsidR="003F6A2F" w:rsidRPr="00975002">
        <w:rPr>
          <w:rFonts w:ascii="Times New Roman" w:hAnsi="Times New Roman"/>
          <w:sz w:val="28"/>
          <w:szCs w:val="28"/>
          <w:lang w:val="ro-MD"/>
        </w:rPr>
        <w:t>care p</w:t>
      </w:r>
      <w:r w:rsidR="00E43F8F">
        <w:rPr>
          <w:rFonts w:ascii="Times New Roman" w:hAnsi="Times New Roman"/>
          <w:sz w:val="28"/>
          <w:szCs w:val="28"/>
          <w:lang w:val="ro-MD"/>
        </w:rPr>
        <w:t>revede</w:t>
      </w:r>
      <w:r w:rsidR="003F6A2F" w:rsidRPr="00975002">
        <w:rPr>
          <w:rFonts w:ascii="Times New Roman" w:hAnsi="Times New Roman"/>
          <w:sz w:val="28"/>
          <w:szCs w:val="28"/>
          <w:lang w:val="ro-MD"/>
        </w:rPr>
        <w:t xml:space="preserve"> aplicarea cotei reduse a TVA în mărime de 8% la importul producției din fitotehnie și ho</w:t>
      </w:r>
      <w:r w:rsidR="0019026C" w:rsidRPr="00975002">
        <w:rPr>
          <w:rFonts w:ascii="Times New Roman" w:hAnsi="Times New Roman"/>
          <w:sz w:val="28"/>
          <w:szCs w:val="28"/>
          <w:lang w:val="ro-MD"/>
        </w:rPr>
        <w:t>rti</w:t>
      </w:r>
      <w:r w:rsidR="003F6A2F" w:rsidRPr="00975002">
        <w:rPr>
          <w:rFonts w:ascii="Times New Roman" w:hAnsi="Times New Roman"/>
          <w:sz w:val="28"/>
          <w:szCs w:val="28"/>
          <w:lang w:val="ro-MD"/>
        </w:rPr>
        <w:t xml:space="preserve">cultură. </w:t>
      </w:r>
      <w:r w:rsidR="00E43F8F">
        <w:rPr>
          <w:rFonts w:ascii="Times New Roman" w:hAnsi="Times New Roman"/>
          <w:sz w:val="28"/>
          <w:szCs w:val="28"/>
          <w:lang w:val="ro-MD"/>
        </w:rPr>
        <w:t>De asemenea</w:t>
      </w:r>
      <w:r w:rsidR="003F6A2F" w:rsidRPr="001D0846">
        <w:rPr>
          <w:rFonts w:ascii="Times New Roman" w:hAnsi="Times New Roman"/>
          <w:sz w:val="28"/>
          <w:szCs w:val="28"/>
          <w:lang w:val="ro-MD"/>
        </w:rPr>
        <w:t xml:space="preserve">, neîndeplinirea sarcinii bugetare la capitolul TVA a </w:t>
      </w:r>
      <w:r w:rsidR="0019026C">
        <w:rPr>
          <w:rFonts w:ascii="Times New Roman" w:hAnsi="Times New Roman"/>
          <w:sz w:val="28"/>
          <w:szCs w:val="28"/>
          <w:lang w:val="ro-MD"/>
        </w:rPr>
        <w:t xml:space="preserve">fost </w:t>
      </w:r>
      <w:r w:rsidR="003F6A2F" w:rsidRPr="001D0846">
        <w:rPr>
          <w:rFonts w:ascii="Times New Roman" w:hAnsi="Times New Roman"/>
          <w:sz w:val="28"/>
          <w:szCs w:val="28"/>
          <w:lang w:val="ro-MD"/>
        </w:rPr>
        <w:t>influențat</w:t>
      </w:r>
      <w:r w:rsidR="0019026C">
        <w:rPr>
          <w:rFonts w:ascii="Times New Roman" w:hAnsi="Times New Roman"/>
          <w:sz w:val="28"/>
          <w:szCs w:val="28"/>
          <w:lang w:val="ro-MD"/>
        </w:rPr>
        <w:t xml:space="preserve">ă </w:t>
      </w:r>
      <w:r w:rsidR="00E43F8F">
        <w:rPr>
          <w:rFonts w:ascii="Times New Roman" w:hAnsi="Times New Roman"/>
          <w:sz w:val="28"/>
          <w:szCs w:val="28"/>
          <w:lang w:val="ro-MD"/>
        </w:rPr>
        <w:t>de prevederile Acordului de Asociere</w:t>
      </w:r>
      <w:r w:rsidR="00E43F8F">
        <w:rPr>
          <w:rStyle w:val="a6"/>
          <w:rFonts w:ascii="Times New Roman" w:hAnsi="Times New Roman"/>
          <w:sz w:val="28"/>
          <w:szCs w:val="28"/>
          <w:lang w:val="ro-MD"/>
        </w:rPr>
        <w:footnoteReference w:id="14"/>
      </w:r>
      <w:r w:rsidR="00E43F8F">
        <w:rPr>
          <w:rFonts w:ascii="Times New Roman" w:hAnsi="Times New Roman"/>
          <w:sz w:val="28"/>
          <w:szCs w:val="28"/>
          <w:lang w:val="ro-MD"/>
        </w:rPr>
        <w:t xml:space="preserve"> cât și a facilităților acordate la import conform prevederilor CF</w:t>
      </w:r>
      <w:r w:rsidR="00E43F8F" w:rsidRPr="001D0846">
        <w:rPr>
          <w:rFonts w:ascii="Times New Roman" w:hAnsi="Times New Roman"/>
          <w:sz w:val="28"/>
          <w:szCs w:val="28"/>
          <w:lang w:val="ro-MD"/>
        </w:rPr>
        <w:t xml:space="preserve"> (art.103 și art.104).</w:t>
      </w:r>
    </w:p>
    <w:p w:rsidR="00322B0F" w:rsidRPr="00322B0F" w:rsidRDefault="00322B0F" w:rsidP="00322B0F">
      <w:pPr>
        <w:spacing w:after="0" w:line="276" w:lineRule="auto"/>
        <w:ind w:firstLine="720"/>
        <w:jc w:val="both"/>
        <w:rPr>
          <w:rFonts w:ascii="Times New Roman" w:hAnsi="Times New Roman" w:cs="Times New Roman"/>
          <w:sz w:val="28"/>
          <w:szCs w:val="28"/>
          <w:lang w:val="ro-MD"/>
        </w:rPr>
      </w:pPr>
      <w:r w:rsidRPr="00322B0F">
        <w:rPr>
          <w:rFonts w:ascii="Times New Roman" w:hAnsi="Times New Roman" w:cs="Times New Roman"/>
          <w:sz w:val="28"/>
          <w:szCs w:val="28"/>
          <w:lang w:val="ro-MD"/>
        </w:rPr>
        <w:t>Î</w:t>
      </w:r>
      <w:r w:rsidR="008C1007" w:rsidRPr="00322B0F">
        <w:rPr>
          <w:rFonts w:ascii="Times New Roman" w:hAnsi="Times New Roman" w:cs="Times New Roman"/>
          <w:sz w:val="28"/>
          <w:szCs w:val="28"/>
          <w:lang w:val="ro-MD"/>
        </w:rPr>
        <w:t xml:space="preserve">n totalul veniturilor colectate de SV </w:t>
      </w:r>
      <w:r w:rsidR="0095154E">
        <w:rPr>
          <w:rFonts w:ascii="Times New Roman" w:hAnsi="Times New Roman" w:cs="Times New Roman"/>
          <w:sz w:val="28"/>
          <w:szCs w:val="28"/>
          <w:lang w:val="ro-MD"/>
        </w:rPr>
        <w:t>la</w:t>
      </w:r>
      <w:r w:rsidR="008C1007" w:rsidRPr="00322B0F">
        <w:rPr>
          <w:rFonts w:ascii="Times New Roman" w:hAnsi="Times New Roman" w:cs="Times New Roman"/>
          <w:sz w:val="28"/>
          <w:szCs w:val="28"/>
          <w:lang w:val="ro-MD"/>
        </w:rPr>
        <w:t xml:space="preserve"> BS în anul 2017, ponderea majoră o d</w:t>
      </w:r>
      <w:r w:rsidRPr="00322B0F">
        <w:rPr>
          <w:rFonts w:ascii="Times New Roman" w:hAnsi="Times New Roman" w:cs="Times New Roman"/>
          <w:sz w:val="28"/>
          <w:szCs w:val="28"/>
          <w:lang w:val="ro-MD"/>
        </w:rPr>
        <w:t>ețin încasările de la TVA – 64,7</w:t>
      </w:r>
      <w:r w:rsidR="008C1007" w:rsidRPr="00322B0F">
        <w:rPr>
          <w:rFonts w:ascii="Times New Roman" w:hAnsi="Times New Roman" w:cs="Times New Roman"/>
          <w:sz w:val="28"/>
          <w:szCs w:val="28"/>
          <w:lang w:val="ro-MD"/>
        </w:rPr>
        <w:t>%, urmat</w:t>
      </w:r>
      <w:r w:rsidR="0095154E">
        <w:rPr>
          <w:rFonts w:ascii="Times New Roman" w:hAnsi="Times New Roman" w:cs="Times New Roman"/>
          <w:sz w:val="28"/>
          <w:szCs w:val="28"/>
          <w:lang w:val="ro-MD"/>
        </w:rPr>
        <w:t>e</w:t>
      </w:r>
      <w:r w:rsidR="008C1007" w:rsidRPr="00322B0F">
        <w:rPr>
          <w:rFonts w:ascii="Times New Roman" w:hAnsi="Times New Roman" w:cs="Times New Roman"/>
          <w:sz w:val="28"/>
          <w:szCs w:val="28"/>
          <w:lang w:val="ro-MD"/>
        </w:rPr>
        <w:t xml:space="preserve"> de accize – 2</w:t>
      </w:r>
      <w:r w:rsidRPr="00322B0F">
        <w:rPr>
          <w:rFonts w:ascii="Times New Roman" w:hAnsi="Times New Roman" w:cs="Times New Roman"/>
          <w:sz w:val="28"/>
          <w:szCs w:val="28"/>
          <w:lang w:val="ro-MD"/>
        </w:rPr>
        <w:t>7,5%</w:t>
      </w:r>
      <w:r w:rsidR="008C1007" w:rsidRPr="00322B0F">
        <w:rPr>
          <w:rFonts w:ascii="Times New Roman" w:hAnsi="Times New Roman" w:cs="Times New Roman"/>
          <w:sz w:val="28"/>
          <w:szCs w:val="28"/>
          <w:lang w:val="ro-MD"/>
        </w:rPr>
        <w:t>, taxe și proceduri vamale – 7,5%</w:t>
      </w:r>
      <w:r w:rsidR="0095154E">
        <w:rPr>
          <w:rFonts w:ascii="Times New Roman" w:hAnsi="Times New Roman" w:cs="Times New Roman"/>
          <w:sz w:val="28"/>
          <w:szCs w:val="28"/>
          <w:lang w:val="ro-MD"/>
        </w:rPr>
        <w:t>,</w:t>
      </w:r>
      <w:r w:rsidR="008C1007" w:rsidRPr="00322B0F">
        <w:rPr>
          <w:rFonts w:ascii="Times New Roman" w:hAnsi="Times New Roman" w:cs="Times New Roman"/>
          <w:sz w:val="28"/>
          <w:szCs w:val="28"/>
          <w:lang w:val="ro-MD"/>
        </w:rPr>
        <w:t xml:space="preserve"> </w:t>
      </w:r>
      <w:proofErr w:type="spellStart"/>
      <w:r w:rsidR="008C1007" w:rsidRPr="00322B0F">
        <w:rPr>
          <w:rFonts w:ascii="Times New Roman" w:hAnsi="Times New Roman" w:cs="Times New Roman"/>
          <w:sz w:val="28"/>
          <w:szCs w:val="28"/>
          <w:lang w:val="ro-MD"/>
        </w:rPr>
        <w:t>şi</w:t>
      </w:r>
      <w:proofErr w:type="spellEnd"/>
      <w:r w:rsidR="008C1007" w:rsidRPr="00322B0F">
        <w:rPr>
          <w:rFonts w:ascii="Times New Roman" w:hAnsi="Times New Roman" w:cs="Times New Roman"/>
          <w:sz w:val="28"/>
          <w:szCs w:val="28"/>
          <w:lang w:val="ro-MD"/>
        </w:rPr>
        <w:t xml:space="preserve"> alte venituri administrate – 0,1%. Analiza efectuată de audit relevă că</w:t>
      </w:r>
      <w:r w:rsidR="0095154E">
        <w:rPr>
          <w:rFonts w:ascii="Times New Roman" w:hAnsi="Times New Roman" w:cs="Times New Roman"/>
          <w:sz w:val="28"/>
          <w:szCs w:val="28"/>
          <w:lang w:val="ro-MD"/>
        </w:rPr>
        <w:t>,</w:t>
      </w:r>
      <w:r w:rsidR="008C1007" w:rsidRPr="00322B0F">
        <w:rPr>
          <w:rFonts w:ascii="Times New Roman" w:hAnsi="Times New Roman" w:cs="Times New Roman"/>
          <w:sz w:val="28"/>
          <w:szCs w:val="28"/>
          <w:lang w:val="ro-MD"/>
        </w:rPr>
        <w:t xml:space="preserve"> deși volumul încasărilor de la TVA în perioada </w:t>
      </w:r>
      <w:r w:rsidR="0095154E">
        <w:rPr>
          <w:rFonts w:ascii="Times New Roman" w:hAnsi="Times New Roman" w:cs="Times New Roman"/>
          <w:sz w:val="28"/>
          <w:szCs w:val="28"/>
          <w:lang w:val="ro-MD"/>
        </w:rPr>
        <w:t xml:space="preserve">anilor </w:t>
      </w:r>
      <w:r w:rsidR="008C1007" w:rsidRPr="00322B0F">
        <w:rPr>
          <w:rFonts w:ascii="Times New Roman" w:hAnsi="Times New Roman" w:cs="Times New Roman"/>
          <w:sz w:val="28"/>
          <w:szCs w:val="28"/>
          <w:lang w:val="ro-MD"/>
        </w:rPr>
        <w:t xml:space="preserve">2015-2017 este în creștere, </w:t>
      </w:r>
      <w:r w:rsidR="008C1007" w:rsidRPr="00322B0F">
        <w:rPr>
          <w:rFonts w:ascii="Times New Roman" w:hAnsi="Times New Roman" w:cs="Times New Roman"/>
          <w:sz w:val="28"/>
          <w:szCs w:val="28"/>
          <w:lang w:val="ro-MD"/>
        </w:rPr>
        <w:lastRenderedPageBreak/>
        <w:t>în totalul veniturilor acumulate în perioadele respective</w:t>
      </w:r>
      <w:r w:rsidR="0095154E">
        <w:rPr>
          <w:rFonts w:ascii="Times New Roman" w:hAnsi="Times New Roman" w:cs="Times New Roman"/>
          <w:sz w:val="28"/>
          <w:szCs w:val="28"/>
          <w:lang w:val="ro-MD"/>
        </w:rPr>
        <w:t>,</w:t>
      </w:r>
      <w:r w:rsidR="008C1007" w:rsidRPr="00322B0F">
        <w:rPr>
          <w:rFonts w:ascii="Times New Roman" w:hAnsi="Times New Roman" w:cs="Times New Roman"/>
          <w:sz w:val="28"/>
          <w:szCs w:val="28"/>
          <w:lang w:val="ro-MD"/>
        </w:rPr>
        <w:t xml:space="preserve"> ponderea TVA este în descreștere. Astfel, în </w:t>
      </w:r>
      <w:r w:rsidR="00134DFB">
        <w:rPr>
          <w:rFonts w:ascii="Times New Roman" w:hAnsi="Times New Roman" w:cs="Times New Roman"/>
          <w:sz w:val="28"/>
          <w:szCs w:val="28"/>
          <w:lang w:val="ro-MD"/>
        </w:rPr>
        <w:t>anul</w:t>
      </w:r>
      <w:r w:rsidR="008C1007" w:rsidRPr="00322B0F">
        <w:rPr>
          <w:rFonts w:ascii="Times New Roman" w:hAnsi="Times New Roman" w:cs="Times New Roman"/>
          <w:sz w:val="28"/>
          <w:szCs w:val="28"/>
          <w:lang w:val="ro-MD"/>
        </w:rPr>
        <w:t xml:space="preserve"> 2017 ponderea TVA s-a micșorat cu 2,7% față de anul 2016 și cu 4,9 % </w:t>
      </w:r>
      <w:r w:rsidR="00134DFB">
        <w:rPr>
          <w:rFonts w:ascii="Times New Roman" w:hAnsi="Times New Roman" w:cs="Times New Roman"/>
          <w:sz w:val="28"/>
          <w:szCs w:val="28"/>
          <w:lang w:val="ro-MD"/>
        </w:rPr>
        <w:t xml:space="preserve">- </w:t>
      </w:r>
      <w:r w:rsidR="008C1007" w:rsidRPr="00322B0F">
        <w:rPr>
          <w:rFonts w:ascii="Times New Roman" w:hAnsi="Times New Roman" w:cs="Times New Roman"/>
          <w:sz w:val="28"/>
          <w:szCs w:val="28"/>
          <w:lang w:val="ro-MD"/>
        </w:rPr>
        <w:t xml:space="preserve">față de anul 2015. O situație inversă se constată în cazul accizelor, </w:t>
      </w:r>
      <w:r w:rsidR="00134DFB" w:rsidRPr="00322B0F">
        <w:rPr>
          <w:rFonts w:ascii="Times New Roman" w:hAnsi="Times New Roman" w:cs="Times New Roman"/>
          <w:sz w:val="28"/>
          <w:szCs w:val="28"/>
          <w:lang w:val="ro-MD"/>
        </w:rPr>
        <w:t xml:space="preserve">a căror </w:t>
      </w:r>
      <w:r w:rsidR="008C1007" w:rsidRPr="00322B0F">
        <w:rPr>
          <w:rFonts w:ascii="Times New Roman" w:hAnsi="Times New Roman" w:cs="Times New Roman"/>
          <w:sz w:val="28"/>
          <w:szCs w:val="28"/>
          <w:lang w:val="ro-MD"/>
        </w:rPr>
        <w:t>pondere</w:t>
      </w:r>
      <w:r w:rsidR="00134DFB">
        <w:rPr>
          <w:rFonts w:ascii="Times New Roman" w:hAnsi="Times New Roman" w:cs="Times New Roman"/>
          <w:sz w:val="28"/>
          <w:szCs w:val="28"/>
          <w:lang w:val="ro-MD"/>
        </w:rPr>
        <w:t xml:space="preserve"> </w:t>
      </w:r>
      <w:r w:rsidR="008C1007" w:rsidRPr="00322B0F">
        <w:rPr>
          <w:rFonts w:ascii="Times New Roman" w:hAnsi="Times New Roman" w:cs="Times New Roman"/>
          <w:sz w:val="28"/>
          <w:szCs w:val="28"/>
          <w:lang w:val="ro-MD"/>
        </w:rPr>
        <w:t xml:space="preserve">în anul 2017 a crescut față de </w:t>
      </w:r>
      <w:r w:rsidR="00134DFB">
        <w:rPr>
          <w:rFonts w:ascii="Times New Roman" w:hAnsi="Times New Roman" w:cs="Times New Roman"/>
          <w:sz w:val="28"/>
          <w:szCs w:val="28"/>
          <w:lang w:val="ro-MD"/>
        </w:rPr>
        <w:t>anii</w:t>
      </w:r>
      <w:r w:rsidR="008C1007" w:rsidRPr="00322B0F">
        <w:rPr>
          <w:rFonts w:ascii="Times New Roman" w:hAnsi="Times New Roman" w:cs="Times New Roman"/>
          <w:sz w:val="28"/>
          <w:szCs w:val="28"/>
          <w:lang w:val="ro-MD"/>
        </w:rPr>
        <w:t xml:space="preserve"> 2015</w:t>
      </w:r>
      <w:r w:rsidR="00134DFB">
        <w:rPr>
          <w:rFonts w:ascii="Times New Roman" w:hAnsi="Times New Roman" w:cs="Times New Roman"/>
          <w:sz w:val="28"/>
          <w:szCs w:val="28"/>
          <w:lang w:val="ro-MD"/>
        </w:rPr>
        <w:t xml:space="preserve"> și </w:t>
      </w:r>
      <w:r w:rsidR="008C1007" w:rsidRPr="00322B0F">
        <w:rPr>
          <w:rFonts w:ascii="Times New Roman" w:hAnsi="Times New Roman" w:cs="Times New Roman"/>
          <w:sz w:val="28"/>
          <w:szCs w:val="28"/>
          <w:lang w:val="ro-MD"/>
        </w:rPr>
        <w:t>2016 cu 5,5 % și</w:t>
      </w:r>
      <w:r w:rsidR="00134DFB">
        <w:rPr>
          <w:rFonts w:ascii="Times New Roman" w:hAnsi="Times New Roman" w:cs="Times New Roman"/>
          <w:sz w:val="28"/>
          <w:szCs w:val="28"/>
          <w:lang w:val="ro-MD"/>
        </w:rPr>
        <w:t>,</w:t>
      </w:r>
      <w:r w:rsidR="008C1007" w:rsidRPr="00322B0F">
        <w:rPr>
          <w:rFonts w:ascii="Times New Roman" w:hAnsi="Times New Roman" w:cs="Times New Roman"/>
          <w:sz w:val="28"/>
          <w:szCs w:val="28"/>
          <w:lang w:val="ro-MD"/>
        </w:rPr>
        <w:t xml:space="preserve"> respectiv</w:t>
      </w:r>
      <w:r w:rsidR="00134DFB">
        <w:rPr>
          <w:rFonts w:ascii="Times New Roman" w:hAnsi="Times New Roman" w:cs="Times New Roman"/>
          <w:sz w:val="28"/>
          <w:szCs w:val="28"/>
          <w:lang w:val="ro-MD"/>
        </w:rPr>
        <w:t>, cu</w:t>
      </w:r>
      <w:r w:rsidR="008C1007" w:rsidRPr="00322B0F">
        <w:rPr>
          <w:rFonts w:ascii="Times New Roman" w:hAnsi="Times New Roman" w:cs="Times New Roman"/>
          <w:sz w:val="28"/>
          <w:szCs w:val="28"/>
          <w:lang w:val="ro-MD"/>
        </w:rPr>
        <w:t xml:space="preserve"> 3,5 %.</w:t>
      </w:r>
      <w:r>
        <w:rPr>
          <w:rFonts w:ascii="Times New Roman" w:hAnsi="Times New Roman" w:cs="Times New Roman"/>
          <w:sz w:val="28"/>
          <w:szCs w:val="28"/>
          <w:lang w:val="ro-MD"/>
        </w:rPr>
        <w:t xml:space="preserve"> </w:t>
      </w:r>
      <w:r w:rsidRPr="00322B0F">
        <w:rPr>
          <w:rFonts w:ascii="Times New Roman" w:hAnsi="Times New Roman" w:cs="Times New Roman"/>
          <w:i/>
          <w:sz w:val="28"/>
          <w:szCs w:val="28"/>
          <w:lang w:val="ro-MD"/>
        </w:rPr>
        <w:t xml:space="preserve">Analiza structurii veniturilor la BS administrate de către organele vamale pentru perioada </w:t>
      </w:r>
      <w:r w:rsidR="00134DFB">
        <w:rPr>
          <w:rFonts w:ascii="Times New Roman" w:hAnsi="Times New Roman" w:cs="Times New Roman"/>
          <w:i/>
          <w:sz w:val="28"/>
          <w:szCs w:val="28"/>
          <w:lang w:val="ro-MD"/>
        </w:rPr>
        <w:t xml:space="preserve">anilor </w:t>
      </w:r>
      <w:r w:rsidRPr="00322B0F">
        <w:rPr>
          <w:rFonts w:ascii="Times New Roman" w:hAnsi="Times New Roman" w:cs="Times New Roman"/>
          <w:i/>
          <w:sz w:val="28"/>
          <w:szCs w:val="28"/>
          <w:lang w:val="ro-MD"/>
        </w:rPr>
        <w:t xml:space="preserve">2015-2017 </w:t>
      </w:r>
      <w:r w:rsidR="00134DFB">
        <w:rPr>
          <w:rFonts w:ascii="Times New Roman" w:hAnsi="Times New Roman" w:cs="Times New Roman"/>
          <w:i/>
          <w:sz w:val="28"/>
          <w:szCs w:val="28"/>
          <w:lang w:val="ro-MD"/>
        </w:rPr>
        <w:t>este</w:t>
      </w:r>
      <w:r w:rsidRPr="00322B0F">
        <w:rPr>
          <w:rFonts w:ascii="Times New Roman" w:hAnsi="Times New Roman" w:cs="Times New Roman"/>
          <w:i/>
          <w:sz w:val="28"/>
          <w:szCs w:val="28"/>
          <w:lang w:val="ro-MD"/>
        </w:rPr>
        <w:t xml:space="preserve"> prez</w:t>
      </w:r>
      <w:r w:rsidR="00134DFB">
        <w:rPr>
          <w:rFonts w:ascii="Times New Roman" w:hAnsi="Times New Roman" w:cs="Times New Roman"/>
          <w:i/>
          <w:sz w:val="28"/>
          <w:szCs w:val="28"/>
          <w:lang w:val="ro-MD"/>
        </w:rPr>
        <w:t>enta</w:t>
      </w:r>
      <w:r w:rsidRPr="00322B0F">
        <w:rPr>
          <w:rFonts w:ascii="Times New Roman" w:hAnsi="Times New Roman" w:cs="Times New Roman"/>
          <w:i/>
          <w:sz w:val="28"/>
          <w:szCs w:val="28"/>
          <w:lang w:val="ro-MD"/>
        </w:rPr>
        <w:t xml:space="preserve">tă în Diagrama </w:t>
      </w:r>
      <w:r>
        <w:rPr>
          <w:rFonts w:ascii="Times New Roman" w:hAnsi="Times New Roman" w:cs="Times New Roman"/>
          <w:i/>
          <w:sz w:val="28"/>
          <w:szCs w:val="28"/>
          <w:lang w:val="ro-MD"/>
        </w:rPr>
        <w:t>nr.9</w:t>
      </w:r>
      <w:r w:rsidRPr="00322B0F">
        <w:rPr>
          <w:rFonts w:ascii="Times New Roman" w:hAnsi="Times New Roman" w:cs="Times New Roman"/>
          <w:i/>
          <w:sz w:val="28"/>
          <w:szCs w:val="28"/>
          <w:lang w:val="ro-MD"/>
        </w:rPr>
        <w:t xml:space="preserve"> din Anexa nr.4 la Raport</w:t>
      </w:r>
      <w:r w:rsidR="00134DFB">
        <w:rPr>
          <w:rFonts w:ascii="Times New Roman" w:hAnsi="Times New Roman" w:cs="Times New Roman"/>
          <w:i/>
          <w:sz w:val="28"/>
          <w:szCs w:val="28"/>
          <w:lang w:val="ro-MD"/>
        </w:rPr>
        <w:t>ul</w:t>
      </w:r>
      <w:r w:rsidRPr="00322B0F">
        <w:rPr>
          <w:rFonts w:ascii="Times New Roman" w:hAnsi="Times New Roman" w:cs="Times New Roman"/>
          <w:i/>
          <w:sz w:val="28"/>
          <w:szCs w:val="28"/>
          <w:lang w:val="ro-MD"/>
        </w:rPr>
        <w:t xml:space="preserve"> de audit.</w:t>
      </w:r>
    </w:p>
    <w:p w:rsidR="00322B0F" w:rsidRDefault="00322B0F" w:rsidP="00322B0F">
      <w:pPr>
        <w:pStyle w:val="1"/>
        <w:spacing w:before="0" w:line="276" w:lineRule="auto"/>
        <w:jc w:val="both"/>
        <w:rPr>
          <w:rFonts w:ascii="Times New Roman" w:hAnsi="Times New Roman" w:cs="Times New Roman"/>
          <w:b/>
          <w:color w:val="auto"/>
          <w:sz w:val="28"/>
          <w:szCs w:val="28"/>
        </w:rPr>
      </w:pPr>
    </w:p>
    <w:p w:rsidR="00B319DD" w:rsidRPr="00C77119" w:rsidRDefault="00BB34DC" w:rsidP="003C4B9E">
      <w:pPr>
        <w:pStyle w:val="1"/>
        <w:spacing w:before="0" w:line="276" w:lineRule="auto"/>
        <w:jc w:val="both"/>
        <w:rPr>
          <w:rFonts w:ascii="Times New Roman" w:hAnsi="Times New Roman" w:cs="Times New Roman"/>
          <w:b/>
          <w:color w:val="auto"/>
          <w:sz w:val="28"/>
          <w:szCs w:val="28"/>
        </w:rPr>
      </w:pPr>
      <w:bookmarkStart w:id="12" w:name="_Toc515894890"/>
      <w:r w:rsidRPr="00C77119">
        <w:rPr>
          <w:rFonts w:ascii="Times New Roman" w:hAnsi="Times New Roman" w:cs="Times New Roman"/>
          <w:b/>
          <w:color w:val="auto"/>
          <w:sz w:val="28"/>
          <w:szCs w:val="28"/>
        </w:rPr>
        <w:t>3</w:t>
      </w:r>
      <w:r w:rsidR="00C947DA" w:rsidRPr="00C77119">
        <w:rPr>
          <w:rFonts w:ascii="Times New Roman" w:hAnsi="Times New Roman" w:cs="Times New Roman"/>
          <w:b/>
          <w:color w:val="auto"/>
          <w:sz w:val="28"/>
          <w:szCs w:val="28"/>
        </w:rPr>
        <w:t>.4</w:t>
      </w:r>
      <w:r w:rsidR="00AE1F37" w:rsidRPr="00C77119">
        <w:rPr>
          <w:rFonts w:ascii="Times New Roman" w:hAnsi="Times New Roman" w:cs="Times New Roman"/>
          <w:b/>
          <w:color w:val="auto"/>
          <w:sz w:val="28"/>
          <w:szCs w:val="28"/>
        </w:rPr>
        <w:t xml:space="preserve">. </w:t>
      </w:r>
      <w:r w:rsidR="007B1415" w:rsidRPr="00C77119">
        <w:rPr>
          <w:rFonts w:ascii="Times New Roman" w:hAnsi="Times New Roman" w:cs="Times New Roman"/>
          <w:b/>
          <w:color w:val="auto"/>
          <w:sz w:val="28"/>
          <w:szCs w:val="28"/>
        </w:rPr>
        <w:t xml:space="preserve">Realizarea performanțelor </w:t>
      </w:r>
      <w:r w:rsidR="005477BB" w:rsidRPr="00C77119">
        <w:rPr>
          <w:rFonts w:ascii="Times New Roman" w:hAnsi="Times New Roman" w:cs="Times New Roman"/>
          <w:b/>
          <w:color w:val="auto"/>
          <w:sz w:val="28"/>
          <w:szCs w:val="28"/>
        </w:rPr>
        <w:t>în administrarea fiscală și vamală și dinamica</w:t>
      </w:r>
      <w:r w:rsidR="00BC3DD4" w:rsidRPr="00C77119">
        <w:rPr>
          <w:rFonts w:ascii="Times New Roman" w:hAnsi="Times New Roman" w:cs="Times New Roman"/>
          <w:b/>
          <w:color w:val="auto"/>
          <w:sz w:val="28"/>
          <w:szCs w:val="28"/>
        </w:rPr>
        <w:t xml:space="preserve"> costurilor </w:t>
      </w:r>
      <w:r w:rsidR="00B319DD" w:rsidRPr="00C77119">
        <w:rPr>
          <w:rFonts w:ascii="Times New Roman" w:hAnsi="Times New Roman" w:cs="Times New Roman"/>
          <w:b/>
          <w:color w:val="auto"/>
          <w:sz w:val="28"/>
          <w:szCs w:val="28"/>
        </w:rPr>
        <w:t>aferente</w:t>
      </w:r>
      <w:r w:rsidR="00812D86" w:rsidRPr="00C77119">
        <w:rPr>
          <w:rFonts w:ascii="Times New Roman" w:hAnsi="Times New Roman" w:cs="Times New Roman"/>
          <w:b/>
          <w:color w:val="auto"/>
          <w:sz w:val="28"/>
          <w:szCs w:val="28"/>
        </w:rPr>
        <w:t>.</w:t>
      </w:r>
      <w:bookmarkEnd w:id="12"/>
    </w:p>
    <w:p w:rsidR="00AE1F37" w:rsidRDefault="00AE1F37" w:rsidP="00322B0F">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i/>
          <w:sz w:val="28"/>
          <w:szCs w:val="28"/>
        </w:rPr>
        <w:t>Realizarea obiectivelor strategice în administrarea impozitelor și taxelor, prin atingerea performanțelor într-un mod mai eficient din punct</w:t>
      </w:r>
      <w:r w:rsidR="000A3203">
        <w:rPr>
          <w:rFonts w:ascii="Times New Roman" w:hAnsi="Times New Roman" w:cs="Times New Roman"/>
          <w:i/>
          <w:sz w:val="28"/>
          <w:szCs w:val="28"/>
        </w:rPr>
        <w:t>ul</w:t>
      </w:r>
      <w:r w:rsidRPr="001D0846">
        <w:rPr>
          <w:rFonts w:ascii="Times New Roman" w:hAnsi="Times New Roman" w:cs="Times New Roman"/>
          <w:i/>
          <w:sz w:val="28"/>
          <w:szCs w:val="28"/>
        </w:rPr>
        <w:t xml:space="preserve"> de vedere al costurilor</w:t>
      </w:r>
      <w:r w:rsidR="000A3203">
        <w:rPr>
          <w:rFonts w:ascii="Times New Roman" w:hAnsi="Times New Roman" w:cs="Times New Roman"/>
          <w:i/>
          <w:sz w:val="28"/>
          <w:szCs w:val="28"/>
        </w:rPr>
        <w:t>,</w:t>
      </w:r>
      <w:r w:rsidRPr="001D0846">
        <w:rPr>
          <w:rFonts w:ascii="Times New Roman" w:hAnsi="Times New Roman" w:cs="Times New Roman"/>
          <w:i/>
          <w:sz w:val="28"/>
          <w:szCs w:val="28"/>
        </w:rPr>
        <w:t xml:space="preserve"> reprezintă o prioritate în activitatea de colectare a veniturilor fiscale și vamale. Deși</w:t>
      </w:r>
      <w:r w:rsidR="000A3203">
        <w:rPr>
          <w:rFonts w:ascii="Times New Roman" w:hAnsi="Times New Roman" w:cs="Times New Roman"/>
          <w:i/>
          <w:sz w:val="28"/>
          <w:szCs w:val="28"/>
        </w:rPr>
        <w:t xml:space="preserve"> </w:t>
      </w:r>
      <w:r w:rsidRPr="001D0846">
        <w:rPr>
          <w:rFonts w:ascii="Times New Roman" w:hAnsi="Times New Roman" w:cs="Times New Roman"/>
          <w:i/>
          <w:sz w:val="28"/>
          <w:szCs w:val="28"/>
        </w:rPr>
        <w:t xml:space="preserve"> SFS și SV a</w:t>
      </w:r>
      <w:r w:rsidR="000A3203">
        <w:rPr>
          <w:rFonts w:ascii="Times New Roman" w:hAnsi="Times New Roman" w:cs="Times New Roman"/>
          <w:i/>
          <w:sz w:val="28"/>
          <w:szCs w:val="28"/>
        </w:rPr>
        <w:t>u</w:t>
      </w:r>
      <w:r w:rsidRPr="001D0846">
        <w:rPr>
          <w:rFonts w:ascii="Times New Roman" w:hAnsi="Times New Roman" w:cs="Times New Roman"/>
          <w:i/>
          <w:sz w:val="28"/>
          <w:szCs w:val="28"/>
        </w:rPr>
        <w:t xml:space="preserve"> depus</w:t>
      </w:r>
      <w:r w:rsidR="00825106" w:rsidRPr="001D0846">
        <w:rPr>
          <w:rFonts w:ascii="Times New Roman" w:hAnsi="Times New Roman" w:cs="Times New Roman"/>
          <w:i/>
          <w:sz w:val="28"/>
          <w:szCs w:val="28"/>
        </w:rPr>
        <w:t xml:space="preserve"> eforturi </w:t>
      </w:r>
      <w:r w:rsidR="000A3203">
        <w:rPr>
          <w:rFonts w:ascii="Times New Roman" w:hAnsi="Times New Roman" w:cs="Times New Roman"/>
          <w:i/>
          <w:sz w:val="28"/>
          <w:szCs w:val="28"/>
        </w:rPr>
        <w:t>pentru</w:t>
      </w:r>
      <w:r w:rsidR="00825106" w:rsidRPr="001D0846">
        <w:rPr>
          <w:rFonts w:ascii="Times New Roman" w:hAnsi="Times New Roman" w:cs="Times New Roman"/>
          <w:i/>
          <w:sz w:val="28"/>
          <w:szCs w:val="28"/>
        </w:rPr>
        <w:t xml:space="preserve"> a asigura eficiență</w:t>
      </w:r>
      <w:r w:rsidRPr="001D0846">
        <w:rPr>
          <w:rFonts w:ascii="Times New Roman" w:hAnsi="Times New Roman" w:cs="Times New Roman"/>
          <w:i/>
          <w:sz w:val="28"/>
          <w:szCs w:val="28"/>
        </w:rPr>
        <w:t xml:space="preserve"> maximă în colectarea veniturilor la costuri minime, auditul denotă că resursele utilizate pentru atingerea</w:t>
      </w:r>
      <w:r w:rsidR="00462050" w:rsidRPr="001D0846">
        <w:rPr>
          <w:rFonts w:ascii="Times New Roman" w:hAnsi="Times New Roman" w:cs="Times New Roman"/>
          <w:i/>
          <w:sz w:val="28"/>
          <w:szCs w:val="28"/>
        </w:rPr>
        <w:t xml:space="preserve"> obiectivelor sunt în creștere. </w:t>
      </w:r>
      <w:r w:rsidRPr="001D0846">
        <w:rPr>
          <w:rFonts w:ascii="Times New Roman" w:hAnsi="Times New Roman" w:cs="Times New Roman"/>
          <w:i/>
          <w:sz w:val="28"/>
          <w:szCs w:val="28"/>
        </w:rPr>
        <w:t>Cele menționate sunt cauzate</w:t>
      </w:r>
      <w:r w:rsidR="000A3203">
        <w:rPr>
          <w:rFonts w:ascii="Times New Roman" w:hAnsi="Times New Roman" w:cs="Times New Roman"/>
          <w:i/>
          <w:sz w:val="28"/>
          <w:szCs w:val="28"/>
        </w:rPr>
        <w:t>,</w:t>
      </w:r>
      <w:r w:rsidRPr="001D0846">
        <w:rPr>
          <w:rFonts w:ascii="Times New Roman" w:hAnsi="Times New Roman" w:cs="Times New Roman"/>
          <w:i/>
          <w:sz w:val="28"/>
          <w:szCs w:val="28"/>
        </w:rPr>
        <w:t xml:space="preserve"> în general</w:t>
      </w:r>
      <w:r w:rsidR="000A3203">
        <w:rPr>
          <w:rFonts w:ascii="Times New Roman" w:hAnsi="Times New Roman" w:cs="Times New Roman"/>
          <w:i/>
          <w:sz w:val="28"/>
          <w:szCs w:val="28"/>
        </w:rPr>
        <w:t>,</w:t>
      </w:r>
      <w:r w:rsidRPr="001D0846">
        <w:rPr>
          <w:rFonts w:ascii="Times New Roman" w:hAnsi="Times New Roman" w:cs="Times New Roman"/>
          <w:i/>
          <w:sz w:val="28"/>
          <w:szCs w:val="28"/>
        </w:rPr>
        <w:t xml:space="preserve"> de lipsa unei strategii a </w:t>
      </w:r>
      <w:r w:rsidRPr="004B0DE4">
        <w:rPr>
          <w:rFonts w:ascii="Times New Roman" w:hAnsi="Times New Roman" w:cs="Times New Roman"/>
          <w:i/>
          <w:sz w:val="28"/>
          <w:szCs w:val="28"/>
        </w:rPr>
        <w:t xml:space="preserve">managementului SFS și SV de a concentra eforturile de administrare în vederea creșterii eficienței utilizării resurselor în scopul încasării veniturilor la BPN prin </w:t>
      </w:r>
      <w:r w:rsidR="003E5046" w:rsidRPr="004B0DE4">
        <w:rPr>
          <w:rFonts w:ascii="Times New Roman" w:hAnsi="Times New Roman" w:cs="Times New Roman"/>
          <w:i/>
          <w:sz w:val="28"/>
          <w:szCs w:val="28"/>
        </w:rPr>
        <w:t>optimizarea</w:t>
      </w:r>
      <w:r w:rsidRPr="004B0DE4">
        <w:rPr>
          <w:rFonts w:ascii="Times New Roman" w:hAnsi="Times New Roman" w:cs="Times New Roman"/>
          <w:i/>
          <w:sz w:val="28"/>
          <w:szCs w:val="28"/>
        </w:rPr>
        <w:t xml:space="preserve"> costurilor</w:t>
      </w:r>
      <w:r w:rsidR="004B0DE4">
        <w:rPr>
          <w:rFonts w:ascii="Times New Roman" w:hAnsi="Times New Roman" w:cs="Times New Roman"/>
          <w:i/>
          <w:sz w:val="28"/>
          <w:szCs w:val="28"/>
        </w:rPr>
        <w:t xml:space="preserve">. </w:t>
      </w:r>
    </w:p>
    <w:p w:rsidR="00AE1F37" w:rsidRPr="003C4B9E" w:rsidRDefault="00D644C4" w:rsidP="00322B0F">
      <w:pPr>
        <w:pStyle w:val="a7"/>
        <w:tabs>
          <w:tab w:val="left" w:pos="0"/>
        </w:tabs>
        <w:spacing w:after="0" w:line="276" w:lineRule="auto"/>
        <w:ind w:left="0" w:right="-2"/>
        <w:jc w:val="both"/>
        <w:rPr>
          <w:rFonts w:ascii="Times New Roman" w:hAnsi="Times New Roman" w:cs="Times New Roman"/>
          <w:i/>
          <w:sz w:val="28"/>
          <w:szCs w:val="28"/>
        </w:rPr>
      </w:pPr>
      <w:r w:rsidRPr="001D0846">
        <w:rPr>
          <w:rFonts w:ascii="Times New Roman" w:hAnsi="Times New Roman" w:cs="Times New Roman"/>
          <w:b/>
          <w:i/>
          <w:sz w:val="28"/>
          <w:szCs w:val="28"/>
        </w:rPr>
        <w:tab/>
      </w:r>
      <w:r w:rsidR="00412223">
        <w:rPr>
          <w:rFonts w:ascii="Times New Roman" w:hAnsi="Times New Roman" w:cs="Times New Roman"/>
          <w:b/>
          <w:i/>
          <w:sz w:val="28"/>
          <w:szCs w:val="28"/>
        </w:rPr>
        <w:t>3.4.1</w:t>
      </w:r>
      <w:r w:rsidR="00412223" w:rsidRPr="008F67F8">
        <w:rPr>
          <w:rFonts w:ascii="Times New Roman" w:hAnsi="Times New Roman" w:cs="Times New Roman"/>
          <w:b/>
          <w:i/>
          <w:sz w:val="28"/>
          <w:szCs w:val="28"/>
        </w:rPr>
        <w:t xml:space="preserve">. </w:t>
      </w:r>
      <w:r w:rsidR="00AE1F37" w:rsidRPr="003C4B9E">
        <w:rPr>
          <w:rFonts w:ascii="Times New Roman" w:hAnsi="Times New Roman" w:cs="Times New Roman"/>
          <w:i/>
          <w:sz w:val="28"/>
          <w:szCs w:val="28"/>
        </w:rPr>
        <w:t xml:space="preserve">Informația privind încasările realizate și </w:t>
      </w:r>
      <w:r w:rsidR="00AE1F37" w:rsidRPr="00975002">
        <w:rPr>
          <w:rFonts w:ascii="Times New Roman" w:hAnsi="Times New Roman" w:cs="Times New Roman"/>
          <w:i/>
          <w:sz w:val="28"/>
          <w:szCs w:val="28"/>
        </w:rPr>
        <w:t>costurile suportate în perioada 2015-2017 de către SFS în activitatea de administrare, raportat</w:t>
      </w:r>
      <w:r w:rsidR="00975002">
        <w:rPr>
          <w:rFonts w:ascii="Times New Roman" w:hAnsi="Times New Roman" w:cs="Times New Roman"/>
          <w:i/>
          <w:sz w:val="28"/>
          <w:szCs w:val="28"/>
        </w:rPr>
        <w:t>e</w:t>
      </w:r>
      <w:r w:rsidR="00AE1F37" w:rsidRPr="003C4B9E">
        <w:rPr>
          <w:rFonts w:ascii="Times New Roman" w:hAnsi="Times New Roman" w:cs="Times New Roman"/>
          <w:i/>
          <w:sz w:val="28"/>
          <w:szCs w:val="28"/>
        </w:rPr>
        <w:t xml:space="preserve"> la numărul de personal și numărul de contribuabili administrați, </w:t>
      </w:r>
      <w:r w:rsidR="000A3203" w:rsidRPr="003C4B9E">
        <w:rPr>
          <w:rFonts w:ascii="Times New Roman" w:hAnsi="Times New Roman" w:cs="Times New Roman"/>
          <w:i/>
          <w:sz w:val="28"/>
          <w:szCs w:val="28"/>
        </w:rPr>
        <w:t>este</w:t>
      </w:r>
      <w:r w:rsidR="00AE1F37" w:rsidRPr="003C4B9E">
        <w:rPr>
          <w:rFonts w:ascii="Times New Roman" w:hAnsi="Times New Roman" w:cs="Times New Roman"/>
          <w:i/>
          <w:sz w:val="28"/>
          <w:szCs w:val="28"/>
        </w:rPr>
        <w:t xml:space="preserve"> prez</w:t>
      </w:r>
      <w:r w:rsidR="000A3203" w:rsidRPr="003C4B9E">
        <w:rPr>
          <w:rFonts w:ascii="Times New Roman" w:hAnsi="Times New Roman" w:cs="Times New Roman"/>
          <w:i/>
          <w:sz w:val="28"/>
          <w:szCs w:val="28"/>
        </w:rPr>
        <w:t>enta</w:t>
      </w:r>
      <w:r w:rsidR="00337117" w:rsidRPr="003C4B9E">
        <w:rPr>
          <w:rFonts w:ascii="Times New Roman" w:hAnsi="Times New Roman" w:cs="Times New Roman"/>
          <w:i/>
          <w:sz w:val="28"/>
          <w:szCs w:val="28"/>
        </w:rPr>
        <w:t>tă în detaliu în Tabelul nr.9 din Anexa nr.3</w:t>
      </w:r>
      <w:r w:rsidR="00AE1F37" w:rsidRPr="003C4B9E">
        <w:rPr>
          <w:rFonts w:ascii="Times New Roman" w:hAnsi="Times New Roman" w:cs="Times New Roman"/>
          <w:i/>
          <w:sz w:val="28"/>
          <w:szCs w:val="28"/>
        </w:rPr>
        <w:t xml:space="preserve"> la Raport</w:t>
      </w:r>
      <w:r w:rsidR="000A3203" w:rsidRPr="003C4B9E">
        <w:rPr>
          <w:rFonts w:ascii="Times New Roman" w:hAnsi="Times New Roman" w:cs="Times New Roman"/>
          <w:i/>
          <w:sz w:val="28"/>
          <w:szCs w:val="28"/>
        </w:rPr>
        <w:t>ul</w:t>
      </w:r>
      <w:r w:rsidR="00AE1F37" w:rsidRPr="003C4B9E">
        <w:rPr>
          <w:rFonts w:ascii="Times New Roman" w:hAnsi="Times New Roman" w:cs="Times New Roman"/>
          <w:i/>
          <w:sz w:val="28"/>
          <w:szCs w:val="28"/>
        </w:rPr>
        <w:t xml:space="preserve"> de audit. </w:t>
      </w:r>
    </w:p>
    <w:p w:rsidR="00CB49B1" w:rsidRPr="00412223" w:rsidRDefault="005D7E4B" w:rsidP="00412223">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sz w:val="28"/>
          <w:szCs w:val="28"/>
          <w:lang w:val="ro-MD"/>
        </w:rPr>
        <w:t>Astfel</w:t>
      </w:r>
      <w:r w:rsidR="00AE1F37" w:rsidRPr="001D0846">
        <w:rPr>
          <w:rFonts w:ascii="Times New Roman" w:hAnsi="Times New Roman" w:cs="Times New Roman"/>
          <w:sz w:val="28"/>
          <w:szCs w:val="28"/>
          <w:lang w:val="ro-MD"/>
        </w:rPr>
        <w:t>, pe fundalul creșterii veniturilor</w:t>
      </w:r>
      <w:r w:rsidR="000A3203">
        <w:rPr>
          <w:rFonts w:ascii="Times New Roman" w:hAnsi="Times New Roman" w:cs="Times New Roman"/>
          <w:sz w:val="28"/>
          <w:szCs w:val="28"/>
          <w:lang w:val="ro-MD"/>
        </w:rPr>
        <w:t>,</w:t>
      </w:r>
      <w:r w:rsidR="00AE1F37" w:rsidRPr="001D0846">
        <w:rPr>
          <w:rFonts w:ascii="Times New Roman" w:hAnsi="Times New Roman" w:cs="Times New Roman"/>
          <w:sz w:val="28"/>
          <w:szCs w:val="28"/>
          <w:lang w:val="ro-MD"/>
        </w:rPr>
        <w:t xml:space="preserve"> se atestă o dinamică ascendentă a costurilor (cheltuieli totale) suportate în activitatea de administrare, care în anul 2017 au atins plafonul maxim al perioadei analizate, însumând în total 442,3 mil.lei</w:t>
      </w:r>
      <w:r w:rsidR="008B7A4E">
        <w:rPr>
          <w:rFonts w:ascii="Times New Roman" w:hAnsi="Times New Roman" w:cs="Times New Roman"/>
          <w:sz w:val="28"/>
          <w:szCs w:val="28"/>
          <w:lang w:val="ro-MD"/>
        </w:rPr>
        <w:t xml:space="preserve"> și </w:t>
      </w:r>
      <w:r w:rsidR="00AE1F37" w:rsidRPr="001D0846">
        <w:rPr>
          <w:rFonts w:ascii="Times New Roman" w:hAnsi="Times New Roman" w:cs="Times New Roman"/>
          <w:sz w:val="28"/>
          <w:szCs w:val="28"/>
          <w:lang w:val="ro-MD"/>
        </w:rPr>
        <w:t>fiind în creștere față de anul 2016 cu 172,2 mil.lei, sau 38,9%</w:t>
      </w:r>
      <w:r w:rsidR="000A3203">
        <w:rPr>
          <w:rFonts w:ascii="Times New Roman" w:hAnsi="Times New Roman" w:cs="Times New Roman"/>
          <w:sz w:val="28"/>
          <w:szCs w:val="28"/>
          <w:lang w:val="ro-MD"/>
        </w:rPr>
        <w:t>,</w:t>
      </w:r>
      <w:r w:rsidR="00AE1F37" w:rsidRPr="001D0846">
        <w:rPr>
          <w:rFonts w:ascii="Times New Roman" w:hAnsi="Times New Roman" w:cs="Times New Roman"/>
          <w:sz w:val="28"/>
          <w:szCs w:val="28"/>
          <w:lang w:val="ro-MD"/>
        </w:rPr>
        <w:t xml:space="preserve"> și </w:t>
      </w:r>
      <w:r w:rsidR="000A3203" w:rsidRPr="001D0846">
        <w:rPr>
          <w:rFonts w:ascii="Times New Roman" w:hAnsi="Times New Roman" w:cs="Times New Roman"/>
          <w:sz w:val="28"/>
          <w:szCs w:val="28"/>
          <w:lang w:val="ro-MD"/>
        </w:rPr>
        <w:t>față de anul 2015</w:t>
      </w:r>
      <w:r w:rsidR="000A3203">
        <w:rPr>
          <w:rFonts w:ascii="Times New Roman" w:hAnsi="Times New Roman" w:cs="Times New Roman"/>
          <w:sz w:val="28"/>
          <w:szCs w:val="28"/>
          <w:lang w:val="ro-MD"/>
        </w:rPr>
        <w:t xml:space="preserve"> - </w:t>
      </w:r>
      <w:r w:rsidR="00AE1F37" w:rsidRPr="001D0846">
        <w:rPr>
          <w:rFonts w:ascii="Times New Roman" w:hAnsi="Times New Roman" w:cs="Times New Roman"/>
          <w:sz w:val="28"/>
          <w:szCs w:val="28"/>
          <w:lang w:val="ro-MD"/>
        </w:rPr>
        <w:t>cu 224</w:t>
      </w:r>
      <w:r w:rsidR="00DB1695">
        <w:rPr>
          <w:rFonts w:ascii="Times New Roman" w:hAnsi="Times New Roman" w:cs="Times New Roman"/>
          <w:sz w:val="28"/>
          <w:szCs w:val="28"/>
          <w:lang w:val="ro-MD"/>
        </w:rPr>
        <w:t>,0</w:t>
      </w:r>
      <w:r w:rsidR="00AE1F37" w:rsidRPr="001D0846">
        <w:rPr>
          <w:rFonts w:ascii="Times New Roman" w:hAnsi="Times New Roman" w:cs="Times New Roman"/>
          <w:sz w:val="28"/>
          <w:szCs w:val="28"/>
          <w:lang w:val="ro-MD"/>
        </w:rPr>
        <w:t xml:space="preserve"> mil.lei, sau 50,7 %. </w:t>
      </w:r>
      <w:r w:rsidR="00DB1695">
        <w:rPr>
          <w:rFonts w:ascii="Times New Roman" w:hAnsi="Times New Roman" w:cs="Times New Roman"/>
          <w:sz w:val="28"/>
          <w:szCs w:val="28"/>
          <w:lang w:val="ro-MD"/>
        </w:rPr>
        <w:t>D</w:t>
      </w:r>
      <w:r w:rsidR="00AE1F37" w:rsidRPr="001D0846">
        <w:rPr>
          <w:rFonts w:ascii="Times New Roman" w:hAnsi="Times New Roman" w:cs="Times New Roman"/>
          <w:sz w:val="28"/>
          <w:szCs w:val="28"/>
          <w:lang w:val="ro-MD"/>
        </w:rPr>
        <w:t>atele analizate relevă un ritm sporit de majorare a costurilor de colectare, care a depășit</w:t>
      </w:r>
      <w:r w:rsidR="00AE1F37" w:rsidRPr="001D0846">
        <w:rPr>
          <w:rFonts w:ascii="Times New Roman" w:hAnsi="Times New Roman" w:cs="Times New Roman"/>
          <w:sz w:val="28"/>
          <w:szCs w:val="28"/>
        </w:rPr>
        <w:t xml:space="preserve"> </w:t>
      </w:r>
      <w:r w:rsidR="00DB1695">
        <w:rPr>
          <w:rFonts w:ascii="Times New Roman" w:hAnsi="Times New Roman" w:cs="Times New Roman"/>
          <w:sz w:val="28"/>
          <w:szCs w:val="28"/>
        </w:rPr>
        <w:t>(</w:t>
      </w:r>
      <w:r w:rsidR="00AE1F37" w:rsidRPr="001D0846">
        <w:rPr>
          <w:rFonts w:ascii="Times New Roman" w:hAnsi="Times New Roman" w:cs="Times New Roman"/>
          <w:sz w:val="28"/>
          <w:szCs w:val="28"/>
        </w:rPr>
        <w:t>în cote procentuale</w:t>
      </w:r>
      <w:r w:rsidR="00DB1695">
        <w:rPr>
          <w:rFonts w:ascii="Times New Roman" w:hAnsi="Times New Roman" w:cs="Times New Roman"/>
          <w:sz w:val="28"/>
          <w:szCs w:val="28"/>
        </w:rPr>
        <w:t>)</w:t>
      </w:r>
      <w:r w:rsidR="00AE1F37" w:rsidRPr="001D0846">
        <w:rPr>
          <w:rFonts w:ascii="Times New Roman" w:hAnsi="Times New Roman" w:cs="Times New Roman"/>
          <w:sz w:val="28"/>
          <w:szCs w:val="28"/>
        </w:rPr>
        <w:t xml:space="preserve"> ritmul de creștere a veniturilor încasate în perioada 2015-2017. Analiza efectuată de audit relevă că în perioada 2015-2016 se atestă un ritm de creștere cu 9% a veniturilor încasate de SFS, pe când ritmul de creștere a costurilor în această perioad</w:t>
      </w:r>
      <w:r w:rsidR="008B7A4E">
        <w:rPr>
          <w:rFonts w:ascii="Times New Roman" w:hAnsi="Times New Roman" w:cs="Times New Roman"/>
          <w:sz w:val="28"/>
          <w:szCs w:val="28"/>
        </w:rPr>
        <w:t>ă</w:t>
      </w:r>
      <w:r w:rsidR="00AE1F37" w:rsidRPr="001D0846">
        <w:rPr>
          <w:rFonts w:ascii="Times New Roman" w:hAnsi="Times New Roman" w:cs="Times New Roman"/>
          <w:sz w:val="28"/>
          <w:szCs w:val="28"/>
        </w:rPr>
        <w:t xml:space="preserve"> a constituit 19,3%. În perioada 2016-2017 ritmul de creștere a veniturilor a constituit 15,6%, iar a costurilor – 38,9 %. Totodată, se menționează că, deși costurile administrării fiscale în perioada analizată au crescut, numărul mediu de personal și numărul </w:t>
      </w:r>
      <w:proofErr w:type="spellStart"/>
      <w:r w:rsidR="00AE1F37" w:rsidRPr="001D0846">
        <w:rPr>
          <w:rFonts w:ascii="Times New Roman" w:hAnsi="Times New Roman" w:cs="Times New Roman"/>
          <w:sz w:val="28"/>
          <w:szCs w:val="28"/>
        </w:rPr>
        <w:t>cotribuabililor</w:t>
      </w:r>
      <w:proofErr w:type="spellEnd"/>
      <w:r w:rsidR="00AE1F37" w:rsidRPr="001D0846">
        <w:rPr>
          <w:rFonts w:ascii="Times New Roman" w:hAnsi="Times New Roman" w:cs="Times New Roman"/>
          <w:sz w:val="28"/>
          <w:szCs w:val="28"/>
        </w:rPr>
        <w:t xml:space="preserve"> a</w:t>
      </w:r>
      <w:r w:rsidR="008B7A4E">
        <w:rPr>
          <w:rFonts w:ascii="Times New Roman" w:hAnsi="Times New Roman" w:cs="Times New Roman"/>
          <w:sz w:val="28"/>
          <w:szCs w:val="28"/>
        </w:rPr>
        <w:t>u</w:t>
      </w:r>
      <w:r w:rsidR="00AE1F37" w:rsidRPr="001D0846">
        <w:rPr>
          <w:rFonts w:ascii="Times New Roman" w:hAnsi="Times New Roman" w:cs="Times New Roman"/>
          <w:sz w:val="28"/>
          <w:szCs w:val="28"/>
        </w:rPr>
        <w:t xml:space="preserve"> scăzut.</w:t>
      </w:r>
      <w:r w:rsidR="00E34020">
        <w:rPr>
          <w:rFonts w:ascii="Times New Roman" w:hAnsi="Times New Roman" w:cs="Times New Roman"/>
          <w:sz w:val="28"/>
          <w:szCs w:val="28"/>
        </w:rPr>
        <w:t xml:space="preserve"> </w:t>
      </w:r>
      <w:r w:rsidR="00AE1F37" w:rsidRPr="001D0846">
        <w:rPr>
          <w:rFonts w:ascii="Times New Roman" w:hAnsi="Times New Roman" w:cs="Times New Roman"/>
          <w:sz w:val="28"/>
          <w:szCs w:val="28"/>
        </w:rPr>
        <w:t xml:space="preserve">Astfel, se atestă o micșorare a numărului de personal de la 1774 </w:t>
      </w:r>
      <w:r w:rsidR="008B7A4E">
        <w:rPr>
          <w:rFonts w:ascii="Times New Roman" w:hAnsi="Times New Roman" w:cs="Times New Roman"/>
          <w:sz w:val="28"/>
          <w:szCs w:val="28"/>
        </w:rPr>
        <w:t xml:space="preserve">de </w:t>
      </w:r>
      <w:r w:rsidR="00AE1F37" w:rsidRPr="001D0846">
        <w:rPr>
          <w:rFonts w:ascii="Times New Roman" w:hAnsi="Times New Roman" w:cs="Times New Roman"/>
          <w:sz w:val="28"/>
          <w:szCs w:val="28"/>
        </w:rPr>
        <w:t xml:space="preserve">persoane </w:t>
      </w:r>
      <w:r w:rsidR="008B7A4E">
        <w:rPr>
          <w:rFonts w:ascii="Times New Roman" w:hAnsi="Times New Roman" w:cs="Times New Roman"/>
          <w:sz w:val="28"/>
          <w:szCs w:val="28"/>
        </w:rPr>
        <w:t xml:space="preserve">- </w:t>
      </w:r>
      <w:r w:rsidR="00AE1F37" w:rsidRPr="001D0846">
        <w:rPr>
          <w:rFonts w:ascii="Times New Roman" w:hAnsi="Times New Roman" w:cs="Times New Roman"/>
          <w:sz w:val="28"/>
          <w:szCs w:val="28"/>
        </w:rPr>
        <w:t>în anul 2015</w:t>
      </w:r>
      <w:r w:rsidR="008B7A4E">
        <w:rPr>
          <w:rFonts w:ascii="Times New Roman" w:hAnsi="Times New Roman" w:cs="Times New Roman"/>
          <w:sz w:val="28"/>
          <w:szCs w:val="28"/>
        </w:rPr>
        <w:t>, până</w:t>
      </w:r>
      <w:r w:rsidR="00AE1F37" w:rsidRPr="001D0846">
        <w:rPr>
          <w:rFonts w:ascii="Times New Roman" w:hAnsi="Times New Roman" w:cs="Times New Roman"/>
          <w:sz w:val="28"/>
          <w:szCs w:val="28"/>
        </w:rPr>
        <w:t xml:space="preserve"> la 1666</w:t>
      </w:r>
      <w:r w:rsidR="008B7A4E">
        <w:rPr>
          <w:rFonts w:ascii="Times New Roman" w:hAnsi="Times New Roman" w:cs="Times New Roman"/>
          <w:sz w:val="28"/>
          <w:szCs w:val="28"/>
        </w:rPr>
        <w:t xml:space="preserve"> de</w:t>
      </w:r>
      <w:r w:rsidR="00AE1F37" w:rsidRPr="001D0846">
        <w:rPr>
          <w:rFonts w:ascii="Times New Roman" w:hAnsi="Times New Roman" w:cs="Times New Roman"/>
          <w:sz w:val="28"/>
          <w:szCs w:val="28"/>
        </w:rPr>
        <w:t xml:space="preserve"> persoane </w:t>
      </w:r>
      <w:r w:rsidR="008B7A4E">
        <w:rPr>
          <w:rFonts w:ascii="Times New Roman" w:hAnsi="Times New Roman" w:cs="Times New Roman"/>
          <w:sz w:val="28"/>
          <w:szCs w:val="28"/>
        </w:rPr>
        <w:t xml:space="preserve">- </w:t>
      </w:r>
      <w:r w:rsidR="00AE1F37" w:rsidRPr="001D0846">
        <w:rPr>
          <w:rFonts w:ascii="Times New Roman" w:hAnsi="Times New Roman" w:cs="Times New Roman"/>
          <w:sz w:val="28"/>
          <w:szCs w:val="28"/>
        </w:rPr>
        <w:t>în anul 2017, sau</w:t>
      </w:r>
      <w:r w:rsidR="008B7A4E" w:rsidRPr="008B7A4E">
        <w:rPr>
          <w:rFonts w:ascii="Times New Roman" w:hAnsi="Times New Roman" w:cs="Times New Roman"/>
          <w:sz w:val="28"/>
          <w:szCs w:val="28"/>
        </w:rPr>
        <w:t xml:space="preserve"> </w:t>
      </w:r>
      <w:r w:rsidR="008B7A4E">
        <w:rPr>
          <w:rFonts w:ascii="Times New Roman" w:hAnsi="Times New Roman" w:cs="Times New Roman"/>
          <w:sz w:val="28"/>
          <w:szCs w:val="28"/>
        </w:rPr>
        <w:t>cu 108 persoane (circa 6%)</w:t>
      </w:r>
      <w:r w:rsidR="00AE1F37" w:rsidRPr="001D0846">
        <w:rPr>
          <w:rFonts w:ascii="Times New Roman" w:hAnsi="Times New Roman" w:cs="Times New Roman"/>
          <w:sz w:val="28"/>
          <w:szCs w:val="28"/>
        </w:rPr>
        <w:t xml:space="preserve"> mai puț</w:t>
      </w:r>
      <w:r w:rsidR="00412223">
        <w:rPr>
          <w:rFonts w:ascii="Times New Roman" w:hAnsi="Times New Roman" w:cs="Times New Roman"/>
          <w:sz w:val="28"/>
          <w:szCs w:val="28"/>
        </w:rPr>
        <w:t xml:space="preserve">in. </w:t>
      </w:r>
      <w:r w:rsidR="00AE1F37" w:rsidRPr="001D0846">
        <w:rPr>
          <w:rFonts w:ascii="Times New Roman" w:hAnsi="Times New Roman" w:cs="Times New Roman"/>
          <w:sz w:val="28"/>
          <w:szCs w:val="28"/>
        </w:rPr>
        <w:t xml:space="preserve">Concomitent, se relevă și o scădere a numărului </w:t>
      </w:r>
      <w:r w:rsidR="00AE1F37" w:rsidRPr="001D0846">
        <w:rPr>
          <w:rFonts w:ascii="Times New Roman" w:hAnsi="Times New Roman" w:cs="Times New Roman"/>
          <w:sz w:val="28"/>
          <w:szCs w:val="28"/>
        </w:rPr>
        <w:lastRenderedPageBreak/>
        <w:t xml:space="preserve">contribuabililor administrați </w:t>
      </w:r>
      <w:r w:rsidR="008B7A4E">
        <w:rPr>
          <w:rFonts w:ascii="Times New Roman" w:hAnsi="Times New Roman" w:cs="Times New Roman"/>
          <w:sz w:val="28"/>
          <w:szCs w:val="28"/>
        </w:rPr>
        <w:t>(</w:t>
      </w:r>
      <w:r w:rsidR="00AE1F37" w:rsidRPr="001D0846">
        <w:rPr>
          <w:rFonts w:ascii="Times New Roman" w:hAnsi="Times New Roman" w:cs="Times New Roman"/>
          <w:sz w:val="28"/>
          <w:szCs w:val="28"/>
        </w:rPr>
        <w:t xml:space="preserve">de la 457097 în anul 2015 până la 351110 în anul 2017, sau </w:t>
      </w:r>
      <w:r w:rsidR="008B7A4E" w:rsidRPr="001D0846">
        <w:rPr>
          <w:rFonts w:ascii="Times New Roman" w:hAnsi="Times New Roman" w:cs="Times New Roman"/>
          <w:sz w:val="28"/>
          <w:szCs w:val="28"/>
        </w:rPr>
        <w:t>cu 105987 contribuabili (circa 23%)</w:t>
      </w:r>
      <w:r w:rsidR="008B7A4E">
        <w:rPr>
          <w:rFonts w:ascii="Times New Roman" w:hAnsi="Times New Roman" w:cs="Times New Roman"/>
          <w:sz w:val="28"/>
          <w:szCs w:val="28"/>
        </w:rPr>
        <w:t xml:space="preserve"> </w:t>
      </w:r>
      <w:r w:rsidR="00AE1F37" w:rsidRPr="001D0846">
        <w:rPr>
          <w:rFonts w:ascii="Times New Roman" w:hAnsi="Times New Roman" w:cs="Times New Roman"/>
          <w:sz w:val="28"/>
          <w:szCs w:val="28"/>
        </w:rPr>
        <w:t>mai puțin</w:t>
      </w:r>
      <w:r w:rsidR="008B7A4E">
        <w:rPr>
          <w:rFonts w:ascii="Times New Roman" w:hAnsi="Times New Roman" w:cs="Times New Roman"/>
          <w:sz w:val="28"/>
          <w:szCs w:val="28"/>
        </w:rPr>
        <w:t>)</w:t>
      </w:r>
      <w:r w:rsidR="00AE1F37" w:rsidRPr="001D0846">
        <w:rPr>
          <w:rFonts w:ascii="Times New Roman" w:hAnsi="Times New Roman" w:cs="Times New Roman"/>
          <w:sz w:val="28"/>
          <w:szCs w:val="28"/>
        </w:rPr>
        <w:t>.</w:t>
      </w:r>
      <w:r w:rsidR="001F7976" w:rsidRPr="001D0846">
        <w:rPr>
          <w:rFonts w:ascii="Times New Roman" w:hAnsi="Times New Roman" w:cs="Times New Roman"/>
          <w:sz w:val="28"/>
          <w:szCs w:val="28"/>
        </w:rPr>
        <w:t xml:space="preserve"> </w:t>
      </w:r>
      <w:r w:rsidR="001F7976" w:rsidRPr="001D0846">
        <w:rPr>
          <w:rFonts w:ascii="Times New Roman" w:eastAsia="Calibri" w:hAnsi="Times New Roman" w:cs="Times New Roman"/>
          <w:sz w:val="28"/>
          <w:szCs w:val="28"/>
          <w:lang w:val="ro-MD"/>
        </w:rPr>
        <w:t xml:space="preserve">Potrivit </w:t>
      </w:r>
      <w:r w:rsidR="00F70435" w:rsidRPr="001D0846">
        <w:rPr>
          <w:rFonts w:ascii="Times New Roman" w:eastAsia="Calibri" w:hAnsi="Times New Roman" w:cs="Times New Roman"/>
          <w:sz w:val="28"/>
          <w:szCs w:val="28"/>
          <w:lang w:val="ro-MD"/>
        </w:rPr>
        <w:t xml:space="preserve">motivației </w:t>
      </w:r>
      <w:r w:rsidR="001F7976" w:rsidRPr="001D0846">
        <w:rPr>
          <w:rFonts w:ascii="Times New Roman" w:eastAsia="Calibri" w:hAnsi="Times New Roman" w:cs="Times New Roman"/>
          <w:sz w:val="28"/>
          <w:szCs w:val="28"/>
          <w:lang w:val="ro-MD"/>
        </w:rPr>
        <w:t xml:space="preserve">persoanelor responsabile din cadrul SFS, acest fapt se datorează acțiunilor întreprinse </w:t>
      </w:r>
      <w:r w:rsidR="00412223">
        <w:rPr>
          <w:rFonts w:ascii="Times New Roman" w:eastAsia="Calibri" w:hAnsi="Times New Roman" w:cs="Times New Roman"/>
          <w:sz w:val="28"/>
          <w:szCs w:val="28"/>
          <w:lang w:val="ro-MD"/>
        </w:rPr>
        <w:t xml:space="preserve">conform </w:t>
      </w:r>
      <w:r w:rsidR="00E34020">
        <w:rPr>
          <w:rFonts w:ascii="Times New Roman" w:eastAsia="Calibri" w:hAnsi="Times New Roman" w:cs="Times New Roman"/>
          <w:sz w:val="28"/>
          <w:szCs w:val="28"/>
          <w:lang w:val="ro-MD"/>
        </w:rPr>
        <w:t>normelor legale</w:t>
      </w:r>
      <w:r w:rsidR="00412223" w:rsidRPr="001D0846">
        <w:rPr>
          <w:rFonts w:ascii="Times New Roman" w:eastAsia="Calibri" w:hAnsi="Times New Roman" w:cs="Times New Roman"/>
          <w:sz w:val="28"/>
          <w:szCs w:val="28"/>
          <w:vertAlign w:val="superscript"/>
          <w:lang w:val="ro-MD"/>
        </w:rPr>
        <w:footnoteReference w:id="15"/>
      </w:r>
      <w:r w:rsidR="00412223" w:rsidRPr="001D0846">
        <w:rPr>
          <w:rFonts w:ascii="Times New Roman" w:eastAsia="Calibri" w:hAnsi="Times New Roman" w:cs="Times New Roman"/>
          <w:sz w:val="28"/>
          <w:szCs w:val="28"/>
          <w:lang w:val="ro-MD"/>
        </w:rPr>
        <w:t xml:space="preserve">, </w:t>
      </w:r>
      <w:r w:rsidR="001F7976" w:rsidRPr="001D0846">
        <w:rPr>
          <w:rFonts w:ascii="Times New Roman" w:eastAsia="Calibri" w:hAnsi="Times New Roman" w:cs="Times New Roman"/>
          <w:sz w:val="28"/>
          <w:szCs w:val="28"/>
          <w:lang w:val="ro-MD"/>
        </w:rPr>
        <w:t>în vederea identificării și radierii din R</w:t>
      </w:r>
      <w:r w:rsidR="00412223">
        <w:rPr>
          <w:rFonts w:ascii="Times New Roman" w:eastAsia="Calibri" w:hAnsi="Times New Roman" w:cs="Times New Roman"/>
          <w:sz w:val="28"/>
          <w:szCs w:val="28"/>
          <w:lang w:val="ro-MD"/>
        </w:rPr>
        <w:t>FS</w:t>
      </w:r>
      <w:r w:rsidR="001F7976" w:rsidRPr="001D0846">
        <w:rPr>
          <w:rFonts w:ascii="Times New Roman" w:eastAsia="Calibri" w:hAnsi="Times New Roman" w:cs="Times New Roman"/>
          <w:sz w:val="28"/>
          <w:szCs w:val="28"/>
          <w:lang w:val="ro-MD"/>
        </w:rPr>
        <w:t xml:space="preserve"> a contribuabililor inactivi</w:t>
      </w:r>
      <w:r w:rsidR="00A43727">
        <w:rPr>
          <w:rFonts w:ascii="Times New Roman" w:eastAsia="Calibri" w:hAnsi="Times New Roman" w:cs="Times New Roman"/>
          <w:sz w:val="28"/>
          <w:szCs w:val="28"/>
          <w:lang w:val="ro-MD"/>
        </w:rPr>
        <w:t xml:space="preserve">, </w:t>
      </w:r>
      <w:r w:rsidR="00412223">
        <w:rPr>
          <w:rFonts w:ascii="Times New Roman" w:eastAsia="Calibri" w:hAnsi="Times New Roman" w:cs="Times New Roman"/>
          <w:sz w:val="28"/>
          <w:szCs w:val="28"/>
          <w:lang w:val="ro-MD"/>
        </w:rPr>
        <w:t xml:space="preserve"> </w:t>
      </w:r>
      <w:r w:rsidR="001F7976" w:rsidRPr="001D0846">
        <w:rPr>
          <w:rFonts w:ascii="Times New Roman" w:eastAsia="Calibri" w:hAnsi="Times New Roman" w:cs="Times New Roman"/>
          <w:sz w:val="28"/>
          <w:szCs w:val="28"/>
          <w:lang w:val="ro-MD"/>
        </w:rPr>
        <w:t>c</w:t>
      </w:r>
      <w:r w:rsidR="00412223">
        <w:rPr>
          <w:rFonts w:ascii="Times New Roman" w:eastAsia="Calibri" w:hAnsi="Times New Roman" w:cs="Times New Roman"/>
          <w:sz w:val="28"/>
          <w:szCs w:val="28"/>
          <w:lang w:val="ro-MD"/>
        </w:rPr>
        <w:t xml:space="preserve">are </w:t>
      </w:r>
      <w:r w:rsidR="001F7976" w:rsidRPr="001D0846">
        <w:rPr>
          <w:rFonts w:ascii="Times New Roman" w:eastAsia="Calibri" w:hAnsi="Times New Roman" w:cs="Times New Roman"/>
          <w:sz w:val="28"/>
          <w:szCs w:val="28"/>
          <w:lang w:val="ro-MD"/>
        </w:rPr>
        <w:t xml:space="preserve">nu au prezentat dările de seamă fiscale prevăzute de legislație, nu au efectuat operațiuni </w:t>
      </w:r>
      <w:r w:rsidR="00412223">
        <w:rPr>
          <w:rFonts w:ascii="Times New Roman" w:eastAsia="Calibri" w:hAnsi="Times New Roman" w:cs="Times New Roman"/>
          <w:sz w:val="28"/>
          <w:szCs w:val="28"/>
          <w:lang w:val="ro-MD"/>
        </w:rPr>
        <w:t>la conturile bancare</w:t>
      </w:r>
      <w:r w:rsidR="001F7976" w:rsidRPr="001D0846">
        <w:rPr>
          <w:rFonts w:ascii="Times New Roman" w:eastAsia="Calibri" w:hAnsi="Times New Roman" w:cs="Times New Roman"/>
          <w:sz w:val="28"/>
          <w:szCs w:val="28"/>
          <w:lang w:val="ro-MD"/>
        </w:rPr>
        <w:t>, nu au datorii la BPN, nu sunt înregistrați în calitate de contribuabil</w:t>
      </w:r>
      <w:r w:rsidR="00A43727">
        <w:rPr>
          <w:rFonts w:ascii="Times New Roman" w:eastAsia="Calibri" w:hAnsi="Times New Roman" w:cs="Times New Roman"/>
          <w:sz w:val="28"/>
          <w:szCs w:val="28"/>
          <w:lang w:val="ro-MD"/>
        </w:rPr>
        <w:t>i</w:t>
      </w:r>
      <w:r w:rsidR="001F7976" w:rsidRPr="001D0846">
        <w:rPr>
          <w:rFonts w:ascii="Times New Roman" w:eastAsia="Calibri" w:hAnsi="Times New Roman" w:cs="Times New Roman"/>
          <w:sz w:val="28"/>
          <w:szCs w:val="28"/>
          <w:lang w:val="ro-MD"/>
        </w:rPr>
        <w:t xml:space="preserve"> a</w:t>
      </w:r>
      <w:r w:rsidR="00A43727">
        <w:rPr>
          <w:rFonts w:ascii="Times New Roman" w:eastAsia="Calibri" w:hAnsi="Times New Roman" w:cs="Times New Roman"/>
          <w:sz w:val="28"/>
          <w:szCs w:val="28"/>
          <w:lang w:val="ro-MD"/>
        </w:rPr>
        <w:t>i</w:t>
      </w:r>
      <w:r w:rsidR="001F7976" w:rsidRPr="001D0846">
        <w:rPr>
          <w:rFonts w:ascii="Times New Roman" w:eastAsia="Calibri" w:hAnsi="Times New Roman" w:cs="Times New Roman"/>
          <w:sz w:val="28"/>
          <w:szCs w:val="28"/>
          <w:lang w:val="ro-MD"/>
        </w:rPr>
        <w:t xml:space="preserve"> TVA și nu au înregistrate la SFS mașini de casă și de control cu memorie fiscală. În acest sens, pe parcursul anului 2016</w:t>
      </w:r>
      <w:r w:rsidR="00A43727">
        <w:rPr>
          <w:rFonts w:ascii="Times New Roman" w:eastAsia="Calibri" w:hAnsi="Times New Roman" w:cs="Times New Roman"/>
          <w:sz w:val="28"/>
          <w:szCs w:val="28"/>
          <w:lang w:val="ro-MD"/>
        </w:rPr>
        <w:t>,</w:t>
      </w:r>
      <w:r w:rsidR="001F7976" w:rsidRPr="001D0846">
        <w:rPr>
          <w:rFonts w:ascii="Times New Roman" w:eastAsia="Calibri" w:hAnsi="Times New Roman" w:cs="Times New Roman"/>
          <w:sz w:val="28"/>
          <w:szCs w:val="28"/>
          <w:lang w:val="ro-MD"/>
        </w:rPr>
        <w:t xml:space="preserve"> au fost radiate din R</w:t>
      </w:r>
      <w:r w:rsidR="00412223">
        <w:rPr>
          <w:rFonts w:ascii="Times New Roman" w:eastAsia="Calibri" w:hAnsi="Times New Roman" w:cs="Times New Roman"/>
          <w:sz w:val="28"/>
          <w:szCs w:val="28"/>
          <w:lang w:val="ro-MD"/>
        </w:rPr>
        <w:t>FS</w:t>
      </w:r>
      <w:r w:rsidR="001F7976" w:rsidRPr="001D0846">
        <w:rPr>
          <w:rFonts w:ascii="Times New Roman" w:eastAsia="Calibri" w:hAnsi="Times New Roman" w:cs="Times New Roman"/>
          <w:sz w:val="28"/>
          <w:szCs w:val="28"/>
          <w:lang w:val="ro-MD"/>
        </w:rPr>
        <w:t xml:space="preserve"> 84255</w:t>
      </w:r>
      <w:r w:rsidR="00412223" w:rsidRPr="00412223">
        <w:rPr>
          <w:rFonts w:ascii="Times New Roman" w:eastAsia="Calibri" w:hAnsi="Times New Roman" w:cs="Times New Roman"/>
          <w:sz w:val="28"/>
          <w:szCs w:val="28"/>
          <w:lang w:val="ro-MD"/>
        </w:rPr>
        <w:t xml:space="preserve"> </w:t>
      </w:r>
      <w:r w:rsidR="00412223" w:rsidRPr="001D0846">
        <w:rPr>
          <w:rFonts w:ascii="Times New Roman" w:eastAsia="Calibri" w:hAnsi="Times New Roman" w:cs="Times New Roman"/>
          <w:sz w:val="28"/>
          <w:szCs w:val="28"/>
          <w:lang w:val="ro-MD"/>
        </w:rPr>
        <w:t>gospodării țărănești inactive</w:t>
      </w:r>
      <w:r w:rsidR="001F7976" w:rsidRPr="001D0846">
        <w:rPr>
          <w:rFonts w:ascii="Times New Roman" w:eastAsia="Calibri" w:hAnsi="Times New Roman" w:cs="Times New Roman"/>
          <w:sz w:val="28"/>
          <w:szCs w:val="28"/>
          <w:lang w:val="ro-MD"/>
        </w:rPr>
        <w:t>, iar în anul 2017 – 14729. De asemenea, au fost îna</w:t>
      </w:r>
      <w:r w:rsidR="001F7976" w:rsidRPr="00E34020">
        <w:rPr>
          <w:rFonts w:ascii="Times New Roman" w:eastAsia="Calibri" w:hAnsi="Times New Roman" w:cs="Times New Roman"/>
          <w:sz w:val="28"/>
          <w:szCs w:val="28"/>
          <w:lang w:val="ro-MD"/>
        </w:rPr>
        <w:t>inta</w:t>
      </w:r>
      <w:r w:rsidR="00A43727" w:rsidRPr="00E34020">
        <w:rPr>
          <w:rFonts w:ascii="Times New Roman" w:eastAsia="Calibri" w:hAnsi="Times New Roman" w:cs="Times New Roman"/>
          <w:sz w:val="28"/>
          <w:szCs w:val="28"/>
          <w:lang w:val="ro-MD"/>
        </w:rPr>
        <w:t>ți</w:t>
      </w:r>
      <w:r w:rsidR="001F7976" w:rsidRPr="001D0846">
        <w:rPr>
          <w:rFonts w:ascii="Times New Roman" w:eastAsia="Calibri" w:hAnsi="Times New Roman" w:cs="Times New Roman"/>
          <w:sz w:val="28"/>
          <w:szCs w:val="28"/>
          <w:lang w:val="ro-MD"/>
        </w:rPr>
        <w:t xml:space="preserve"> către A</w:t>
      </w:r>
      <w:r w:rsidR="00412223">
        <w:rPr>
          <w:rFonts w:ascii="Times New Roman" w:eastAsia="Calibri" w:hAnsi="Times New Roman" w:cs="Times New Roman"/>
          <w:sz w:val="28"/>
          <w:szCs w:val="28"/>
          <w:lang w:val="ro-MD"/>
        </w:rPr>
        <w:t>SP</w:t>
      </w:r>
      <w:r w:rsidR="00A43727">
        <w:rPr>
          <w:rFonts w:ascii="Times New Roman" w:eastAsia="Calibri" w:hAnsi="Times New Roman" w:cs="Times New Roman"/>
          <w:sz w:val="28"/>
          <w:szCs w:val="28"/>
          <w:lang w:val="ro-MD"/>
        </w:rPr>
        <w:t>,</w:t>
      </w:r>
      <w:r w:rsidR="001F7976" w:rsidRPr="001D0846">
        <w:rPr>
          <w:rFonts w:ascii="Times New Roman" w:eastAsia="Calibri" w:hAnsi="Times New Roman" w:cs="Times New Roman"/>
          <w:sz w:val="28"/>
          <w:szCs w:val="28"/>
          <w:lang w:val="ro-MD"/>
        </w:rPr>
        <w:t xml:space="preserve"> pentru a decide asupra radierii din R</w:t>
      </w:r>
      <w:r w:rsidR="00412223">
        <w:rPr>
          <w:rFonts w:ascii="Times New Roman" w:eastAsia="Calibri" w:hAnsi="Times New Roman" w:cs="Times New Roman"/>
          <w:sz w:val="28"/>
          <w:szCs w:val="28"/>
          <w:lang w:val="ro-MD"/>
        </w:rPr>
        <w:t>S</w:t>
      </w:r>
      <w:r w:rsidR="00A43727">
        <w:rPr>
          <w:rFonts w:ascii="Times New Roman" w:eastAsia="Calibri" w:hAnsi="Times New Roman" w:cs="Times New Roman"/>
          <w:sz w:val="28"/>
          <w:szCs w:val="28"/>
          <w:lang w:val="ro-MD"/>
        </w:rPr>
        <w:t>,</w:t>
      </w:r>
      <w:r w:rsidR="001F7976" w:rsidRPr="001D0846">
        <w:rPr>
          <w:rFonts w:ascii="Times New Roman" w:eastAsia="Calibri" w:hAnsi="Times New Roman" w:cs="Times New Roman"/>
          <w:sz w:val="28"/>
          <w:szCs w:val="28"/>
          <w:lang w:val="ro-MD"/>
        </w:rPr>
        <w:t xml:space="preserve"> în anul 2016 – 19202</w:t>
      </w:r>
      <w:r w:rsidR="00A43727">
        <w:rPr>
          <w:rFonts w:ascii="Times New Roman" w:eastAsia="Calibri" w:hAnsi="Times New Roman" w:cs="Times New Roman"/>
          <w:sz w:val="28"/>
          <w:szCs w:val="28"/>
          <w:lang w:val="ro-MD"/>
        </w:rPr>
        <w:t xml:space="preserve"> contribuabili</w:t>
      </w:r>
      <w:r w:rsidR="001F7976" w:rsidRPr="001D0846">
        <w:rPr>
          <w:rFonts w:ascii="Times New Roman" w:eastAsia="Calibri" w:hAnsi="Times New Roman" w:cs="Times New Roman"/>
          <w:sz w:val="28"/>
          <w:szCs w:val="28"/>
          <w:lang w:val="ro-MD"/>
        </w:rPr>
        <w:t xml:space="preserve">, iar </w:t>
      </w:r>
      <w:r w:rsidR="00A43727">
        <w:rPr>
          <w:rFonts w:ascii="Times New Roman" w:eastAsia="Calibri" w:hAnsi="Times New Roman" w:cs="Times New Roman"/>
          <w:sz w:val="28"/>
          <w:szCs w:val="28"/>
          <w:lang w:val="ro-MD"/>
        </w:rPr>
        <w:t xml:space="preserve">în </w:t>
      </w:r>
      <w:r w:rsidR="001F7976" w:rsidRPr="001D0846">
        <w:rPr>
          <w:rFonts w:ascii="Times New Roman" w:eastAsia="Calibri" w:hAnsi="Times New Roman" w:cs="Times New Roman"/>
          <w:sz w:val="28"/>
          <w:szCs w:val="28"/>
          <w:lang w:val="ro-MD"/>
        </w:rPr>
        <w:t>anul 2017 – 6001 contribuabili.</w:t>
      </w:r>
    </w:p>
    <w:p w:rsidR="00AE1F37" w:rsidRPr="001D0846" w:rsidRDefault="00AE1F37" w:rsidP="000A421F">
      <w:pPr>
        <w:spacing w:after="0" w:line="276" w:lineRule="auto"/>
        <w:ind w:right="-2"/>
        <w:jc w:val="both"/>
        <w:rPr>
          <w:rFonts w:ascii="Times New Roman" w:hAnsi="Times New Roman" w:cs="Times New Roman"/>
          <w:sz w:val="28"/>
          <w:szCs w:val="28"/>
          <w:lang w:val="ro-MD"/>
        </w:rPr>
      </w:pPr>
      <w:r w:rsidRPr="001D0846">
        <w:rPr>
          <w:rFonts w:ascii="Times New Roman" w:hAnsi="Times New Roman" w:cs="Times New Roman"/>
          <w:sz w:val="28"/>
          <w:szCs w:val="28"/>
        </w:rPr>
        <w:tab/>
      </w:r>
      <w:r w:rsidRPr="001D0846">
        <w:rPr>
          <w:rFonts w:ascii="Times New Roman" w:hAnsi="Times New Roman" w:cs="Times New Roman"/>
          <w:sz w:val="28"/>
          <w:szCs w:val="28"/>
          <w:lang w:val="ro-MD"/>
        </w:rPr>
        <w:t>În scopul evaluării eficienței, eficacității și economicității în activitatea de administrare a impozitelor și taxelor</w:t>
      </w:r>
      <w:r w:rsidR="00A43727">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realizată de către SFS, auditul a analizat următorii indicatori c</w:t>
      </w:r>
      <w:r w:rsidR="00A43727">
        <w:rPr>
          <w:rFonts w:ascii="Times New Roman" w:hAnsi="Times New Roman" w:cs="Times New Roman"/>
          <w:sz w:val="28"/>
          <w:szCs w:val="28"/>
          <w:lang w:val="ro-MD"/>
        </w:rPr>
        <w:t>ar</w:t>
      </w:r>
      <w:r w:rsidRPr="001D0846">
        <w:rPr>
          <w:rFonts w:ascii="Times New Roman" w:hAnsi="Times New Roman" w:cs="Times New Roman"/>
          <w:sz w:val="28"/>
          <w:szCs w:val="28"/>
          <w:lang w:val="ro-MD"/>
        </w:rPr>
        <w:t xml:space="preserve">e caracterizează nivelul de atingere a performanțelor stabilite: (1) Mii lei cheltuiți la 1 milion lei de venituri colectate; (2) Mii lei cheltuieli de personal la 1 milion lei de venituri colectate; (3) Venituri bugetare colectate la numărul mediu de personal; (4) Venituri bugetare colectate la numărul mediu de contribuabili.   </w:t>
      </w:r>
    </w:p>
    <w:p w:rsidR="00AE1F37" w:rsidRPr="001D0846" w:rsidRDefault="00AE1F37" w:rsidP="006358AD">
      <w:pPr>
        <w:spacing w:after="0" w:line="276" w:lineRule="auto"/>
        <w:ind w:right="-334" w:firstLine="720"/>
        <w:jc w:val="both"/>
        <w:rPr>
          <w:rFonts w:ascii="Times New Roman" w:hAnsi="Times New Roman" w:cs="Times New Roman"/>
          <w:sz w:val="28"/>
          <w:szCs w:val="28"/>
        </w:rPr>
      </w:pPr>
      <w:r w:rsidRPr="001D0846">
        <w:rPr>
          <w:rFonts w:ascii="Times New Roman" w:hAnsi="Times New Roman" w:cs="Times New Roman"/>
          <w:sz w:val="28"/>
          <w:szCs w:val="28"/>
        </w:rPr>
        <w:t>Astfel, analiza efectuată de audit asupra indicatorilor menționați relevă:</w:t>
      </w:r>
    </w:p>
    <w:p w:rsid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 </w:t>
      </w:r>
      <w:r w:rsidR="00AE1F37" w:rsidRPr="00C31FCA">
        <w:rPr>
          <w:rFonts w:ascii="Times New Roman" w:hAnsi="Times New Roman" w:cs="Times New Roman"/>
          <w:sz w:val="28"/>
          <w:szCs w:val="28"/>
        </w:rPr>
        <w:t>creșterea în dinamică a cheltuielilor la 1 milion lei de venituri colectate</w:t>
      </w:r>
      <w:r w:rsidR="00A43727"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de la</w:t>
      </w:r>
      <w:r w:rsidR="00F92DF9" w:rsidRPr="00C31FCA">
        <w:rPr>
          <w:rFonts w:ascii="Times New Roman" w:hAnsi="Times New Roman" w:cs="Times New Roman"/>
          <w:sz w:val="28"/>
          <w:szCs w:val="28"/>
        </w:rPr>
        <w:t xml:space="preserve"> 8,8 mii lei în anul 2015 până </w:t>
      </w:r>
      <w:r w:rsidR="00A43727" w:rsidRPr="00C31FCA">
        <w:rPr>
          <w:rFonts w:ascii="Times New Roman" w:hAnsi="Times New Roman" w:cs="Times New Roman"/>
          <w:sz w:val="28"/>
          <w:szCs w:val="28"/>
        </w:rPr>
        <w:t xml:space="preserve">la </w:t>
      </w:r>
      <w:r w:rsidR="00AE1F37" w:rsidRPr="00C31FCA">
        <w:rPr>
          <w:rFonts w:ascii="Times New Roman" w:hAnsi="Times New Roman" w:cs="Times New Roman"/>
          <w:sz w:val="28"/>
          <w:szCs w:val="28"/>
        </w:rPr>
        <w:t>13,5 mii lei în anul 2017</w:t>
      </w:r>
      <w:r w:rsidR="00A43727" w:rsidRPr="00C31FCA">
        <w:rPr>
          <w:rFonts w:ascii="Times New Roman" w:hAnsi="Times New Roman" w:cs="Times New Roman"/>
          <w:sz w:val="28"/>
          <w:szCs w:val="28"/>
        </w:rPr>
        <w:t>)</w:t>
      </w:r>
      <w:r>
        <w:rPr>
          <w:rFonts w:ascii="Times New Roman" w:hAnsi="Times New Roman" w:cs="Times New Roman"/>
          <w:sz w:val="28"/>
          <w:szCs w:val="28"/>
        </w:rPr>
        <w:t>;</w:t>
      </w:r>
    </w:p>
    <w:p w:rsid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 </w:t>
      </w:r>
      <w:r w:rsidR="009B3CC8" w:rsidRPr="00C31FCA">
        <w:rPr>
          <w:rFonts w:ascii="Times New Roman" w:hAnsi="Times New Roman" w:cs="Times New Roman"/>
          <w:sz w:val="28"/>
          <w:szCs w:val="28"/>
        </w:rPr>
        <w:t>evoluția</w:t>
      </w:r>
      <w:r w:rsidR="00AE1F37" w:rsidRPr="00C31FCA">
        <w:rPr>
          <w:rFonts w:ascii="Times New Roman" w:hAnsi="Times New Roman" w:cs="Times New Roman"/>
          <w:sz w:val="28"/>
          <w:szCs w:val="28"/>
        </w:rPr>
        <w:t xml:space="preserve"> în dinamică a cheltuielilor de personal la 1 milion de venituri colectate</w:t>
      </w:r>
      <w:r w:rsidR="00A43727"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 xml:space="preserve">de la 6,2 mii lei în anul 2015 </w:t>
      </w:r>
      <w:r w:rsidR="00A43727" w:rsidRPr="00C31FCA">
        <w:rPr>
          <w:rFonts w:ascii="Times New Roman" w:hAnsi="Times New Roman" w:cs="Times New Roman"/>
          <w:sz w:val="28"/>
          <w:szCs w:val="28"/>
        </w:rPr>
        <w:t xml:space="preserve">până </w:t>
      </w:r>
      <w:r w:rsidR="00AE1F37" w:rsidRPr="00C31FCA">
        <w:rPr>
          <w:rFonts w:ascii="Times New Roman" w:hAnsi="Times New Roman" w:cs="Times New Roman"/>
          <w:sz w:val="28"/>
          <w:szCs w:val="28"/>
        </w:rPr>
        <w:t>la 10</w:t>
      </w:r>
      <w:r w:rsidR="00A43727" w:rsidRPr="00C31FCA">
        <w:rPr>
          <w:rFonts w:ascii="Times New Roman" w:hAnsi="Times New Roman" w:cs="Times New Roman"/>
          <w:sz w:val="28"/>
          <w:szCs w:val="28"/>
        </w:rPr>
        <w:t>,0</w:t>
      </w:r>
      <w:r w:rsidR="00AE1F37" w:rsidRPr="00C31FCA">
        <w:rPr>
          <w:rFonts w:ascii="Times New Roman" w:hAnsi="Times New Roman" w:cs="Times New Roman"/>
          <w:sz w:val="28"/>
          <w:szCs w:val="28"/>
        </w:rPr>
        <w:t xml:space="preserve"> mii lei în anul 2017</w:t>
      </w:r>
      <w:r w:rsidR="00A43727" w:rsidRPr="00C31FCA">
        <w:rPr>
          <w:rFonts w:ascii="Times New Roman" w:hAnsi="Times New Roman" w:cs="Times New Roman"/>
          <w:sz w:val="28"/>
          <w:szCs w:val="28"/>
        </w:rPr>
        <w:t>)</w:t>
      </w:r>
      <w:r w:rsidR="00AE1F37" w:rsidRPr="00C31FCA">
        <w:rPr>
          <w:rFonts w:ascii="Times New Roman" w:hAnsi="Times New Roman" w:cs="Times New Roman"/>
          <w:sz w:val="28"/>
          <w:szCs w:val="28"/>
        </w:rPr>
        <w:t>;</w:t>
      </w:r>
    </w:p>
    <w:p w:rsidR="00AE1F37"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(iii) </w:t>
      </w:r>
      <w:r w:rsidR="00AE1F37" w:rsidRPr="00C31FCA">
        <w:rPr>
          <w:rFonts w:ascii="Times New Roman" w:hAnsi="Times New Roman" w:cs="Times New Roman"/>
          <w:sz w:val="28"/>
          <w:szCs w:val="28"/>
        </w:rPr>
        <w:t>trend</w:t>
      </w:r>
      <w:r w:rsidR="009B3CC8" w:rsidRPr="00C31FCA">
        <w:rPr>
          <w:rFonts w:ascii="Times New Roman" w:hAnsi="Times New Roman" w:cs="Times New Roman"/>
          <w:sz w:val="28"/>
          <w:szCs w:val="28"/>
        </w:rPr>
        <w:t>ul</w:t>
      </w:r>
      <w:r w:rsidR="00AE1F37" w:rsidRPr="00C31FCA">
        <w:rPr>
          <w:rFonts w:ascii="Times New Roman" w:hAnsi="Times New Roman" w:cs="Times New Roman"/>
          <w:sz w:val="28"/>
          <w:szCs w:val="28"/>
        </w:rPr>
        <w:t xml:space="preserve"> ascendent a</w:t>
      </w:r>
      <w:r w:rsidR="00A43727" w:rsidRPr="00C31FCA">
        <w:rPr>
          <w:rFonts w:ascii="Times New Roman" w:hAnsi="Times New Roman" w:cs="Times New Roman"/>
          <w:sz w:val="28"/>
          <w:szCs w:val="28"/>
        </w:rPr>
        <w:t>l</w:t>
      </w:r>
      <w:r w:rsidR="00AE1F37" w:rsidRPr="00C31FCA">
        <w:rPr>
          <w:rFonts w:ascii="Times New Roman" w:hAnsi="Times New Roman" w:cs="Times New Roman"/>
          <w:sz w:val="28"/>
          <w:szCs w:val="28"/>
        </w:rPr>
        <w:t xml:space="preserve"> veniturilor bugetare colectate la numărul mediu de personal</w:t>
      </w:r>
      <w:r w:rsidR="00A43727"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de la 14,1 mil.lei în anul 2015 până la 19,6 mil.lei în anul 2017</w:t>
      </w:r>
      <w:r w:rsidR="00A43727" w:rsidRPr="00C31FCA">
        <w:rPr>
          <w:rFonts w:ascii="Times New Roman" w:hAnsi="Times New Roman" w:cs="Times New Roman"/>
          <w:sz w:val="28"/>
          <w:szCs w:val="28"/>
        </w:rPr>
        <w:t>)</w:t>
      </w:r>
      <w:r w:rsidR="00AE1F37" w:rsidRPr="00C31FCA">
        <w:rPr>
          <w:rFonts w:ascii="Times New Roman" w:hAnsi="Times New Roman" w:cs="Times New Roman"/>
          <w:sz w:val="28"/>
          <w:szCs w:val="28"/>
        </w:rPr>
        <w:t>, pe fundalul micșorării numărului de personal cu circa 6%;</w:t>
      </w:r>
    </w:p>
    <w:p w:rsidR="00AE1F37"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(iv) </w:t>
      </w:r>
      <w:r w:rsidR="009B3CC8" w:rsidRPr="00C31FCA">
        <w:rPr>
          <w:rFonts w:ascii="Times New Roman" w:hAnsi="Times New Roman" w:cs="Times New Roman"/>
          <w:sz w:val="28"/>
          <w:szCs w:val="28"/>
        </w:rPr>
        <w:t>evoluția</w:t>
      </w:r>
      <w:r w:rsidR="00AE1F37" w:rsidRPr="00C31FCA">
        <w:rPr>
          <w:rFonts w:ascii="Times New Roman" w:hAnsi="Times New Roman" w:cs="Times New Roman"/>
          <w:sz w:val="28"/>
          <w:szCs w:val="28"/>
        </w:rPr>
        <w:t xml:space="preserve"> ascendentă a veniturilor bugetare colectate la numărul mediu de contribuabili</w:t>
      </w:r>
      <w:r w:rsidR="009309F9"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de la 0,05 mil.lei în anul 2015 până la 0,09 mil.lei în anul 2017</w:t>
      </w:r>
      <w:r w:rsidR="009309F9" w:rsidRPr="00C31FCA">
        <w:rPr>
          <w:rFonts w:ascii="Times New Roman" w:hAnsi="Times New Roman" w:cs="Times New Roman"/>
          <w:sz w:val="28"/>
          <w:szCs w:val="28"/>
        </w:rPr>
        <w:t>)</w:t>
      </w:r>
      <w:r w:rsidR="00AE1F37" w:rsidRPr="00C31FCA">
        <w:rPr>
          <w:rFonts w:ascii="Times New Roman" w:hAnsi="Times New Roman" w:cs="Times New Roman"/>
          <w:sz w:val="28"/>
          <w:szCs w:val="28"/>
        </w:rPr>
        <w:t>, pe fundalul scăderii numărului de contribuabili administrați cu circa 23%.</w:t>
      </w:r>
    </w:p>
    <w:p w:rsidR="00662C9F" w:rsidRPr="001D0846" w:rsidRDefault="00662C9F" w:rsidP="00662C9F">
      <w:pPr>
        <w:pStyle w:val="a7"/>
        <w:tabs>
          <w:tab w:val="left" w:pos="630"/>
        </w:tabs>
        <w:spacing w:after="0" w:line="276" w:lineRule="auto"/>
        <w:ind w:left="270" w:right="-334"/>
        <w:jc w:val="both"/>
        <w:rPr>
          <w:rFonts w:ascii="Times New Roman" w:hAnsi="Times New Roman" w:cs="Times New Roman"/>
          <w:sz w:val="28"/>
          <w:szCs w:val="28"/>
        </w:rPr>
      </w:pPr>
    </w:p>
    <w:p w:rsidR="00AE1F37" w:rsidRPr="001D0846" w:rsidRDefault="00412223" w:rsidP="00412223">
      <w:pPr>
        <w:spacing w:after="0" w:line="276" w:lineRule="auto"/>
        <w:ind w:right="-2" w:firstLine="720"/>
        <w:jc w:val="both"/>
        <w:rPr>
          <w:rFonts w:ascii="Times New Roman" w:hAnsi="Times New Roman" w:cs="Times New Roman"/>
          <w:b/>
          <w:i/>
          <w:sz w:val="28"/>
          <w:szCs w:val="28"/>
        </w:rPr>
      </w:pPr>
      <w:r w:rsidRPr="00412223">
        <w:rPr>
          <w:rFonts w:ascii="Times New Roman" w:hAnsi="Times New Roman" w:cs="Times New Roman"/>
          <w:b/>
          <w:i/>
          <w:sz w:val="28"/>
          <w:szCs w:val="28"/>
        </w:rPr>
        <w:t>3.4.2</w:t>
      </w:r>
      <w:r w:rsidRPr="009309F9">
        <w:rPr>
          <w:rFonts w:ascii="Times New Roman" w:hAnsi="Times New Roman" w:cs="Times New Roman"/>
          <w:b/>
          <w:i/>
          <w:sz w:val="28"/>
          <w:szCs w:val="28"/>
        </w:rPr>
        <w:t>.</w:t>
      </w:r>
      <w:r w:rsidRPr="009309F9">
        <w:rPr>
          <w:rFonts w:ascii="Times New Roman" w:hAnsi="Times New Roman" w:cs="Times New Roman"/>
          <w:i/>
          <w:sz w:val="28"/>
          <w:szCs w:val="28"/>
        </w:rPr>
        <w:t xml:space="preserve"> </w:t>
      </w:r>
      <w:r w:rsidR="00AE1F37" w:rsidRPr="003C4B9E">
        <w:rPr>
          <w:rFonts w:ascii="Times New Roman" w:hAnsi="Times New Roman" w:cs="Times New Roman"/>
          <w:i/>
          <w:sz w:val="28"/>
          <w:szCs w:val="28"/>
        </w:rPr>
        <w:t xml:space="preserve">Informația privind încasările realizate și </w:t>
      </w:r>
      <w:r w:rsidR="00AE1F37" w:rsidRPr="00E34020">
        <w:rPr>
          <w:rFonts w:ascii="Times New Roman" w:hAnsi="Times New Roman" w:cs="Times New Roman"/>
          <w:i/>
          <w:sz w:val="28"/>
          <w:szCs w:val="28"/>
        </w:rPr>
        <w:t>costurile suportate în perioada 2015-2017 de către SV în activitatea de administrare, raportat</w:t>
      </w:r>
      <w:r w:rsidR="009309F9" w:rsidRPr="00E34020">
        <w:rPr>
          <w:rFonts w:ascii="Times New Roman" w:hAnsi="Times New Roman" w:cs="Times New Roman"/>
          <w:i/>
          <w:sz w:val="28"/>
          <w:szCs w:val="28"/>
        </w:rPr>
        <w:t>e</w:t>
      </w:r>
      <w:r w:rsidR="00AE1F37" w:rsidRPr="00E34020">
        <w:rPr>
          <w:rFonts w:ascii="Times New Roman" w:hAnsi="Times New Roman" w:cs="Times New Roman"/>
          <w:i/>
          <w:sz w:val="28"/>
          <w:szCs w:val="28"/>
        </w:rPr>
        <w:t xml:space="preserve"> la numărul de personal și numărul de plătitori administrați, </w:t>
      </w:r>
      <w:r w:rsidR="009309F9" w:rsidRPr="00E34020">
        <w:rPr>
          <w:rFonts w:ascii="Times New Roman" w:hAnsi="Times New Roman" w:cs="Times New Roman"/>
          <w:i/>
          <w:sz w:val="28"/>
          <w:szCs w:val="28"/>
        </w:rPr>
        <w:t>este</w:t>
      </w:r>
      <w:r w:rsidR="00AE1F37" w:rsidRPr="00E34020">
        <w:rPr>
          <w:rFonts w:ascii="Times New Roman" w:hAnsi="Times New Roman" w:cs="Times New Roman"/>
          <w:i/>
          <w:sz w:val="28"/>
          <w:szCs w:val="28"/>
        </w:rPr>
        <w:t xml:space="preserve"> prez</w:t>
      </w:r>
      <w:r w:rsidR="009309F9" w:rsidRPr="00E34020">
        <w:rPr>
          <w:rFonts w:ascii="Times New Roman" w:hAnsi="Times New Roman" w:cs="Times New Roman"/>
          <w:i/>
          <w:sz w:val="28"/>
          <w:szCs w:val="28"/>
        </w:rPr>
        <w:t>enta</w:t>
      </w:r>
      <w:r w:rsidR="00AE1F37" w:rsidRPr="00E34020">
        <w:rPr>
          <w:rFonts w:ascii="Times New Roman" w:hAnsi="Times New Roman" w:cs="Times New Roman"/>
          <w:i/>
          <w:sz w:val="28"/>
          <w:szCs w:val="28"/>
        </w:rPr>
        <w:t>tă în</w:t>
      </w:r>
      <w:r w:rsidR="00AE1F37" w:rsidRPr="003C4B9E">
        <w:rPr>
          <w:rFonts w:ascii="Times New Roman" w:hAnsi="Times New Roman" w:cs="Times New Roman"/>
          <w:i/>
          <w:sz w:val="28"/>
          <w:szCs w:val="28"/>
        </w:rPr>
        <w:t xml:space="preserve"> detaliu în Tabelul</w:t>
      </w:r>
      <w:r w:rsidR="003D035D" w:rsidRPr="003C4B9E">
        <w:rPr>
          <w:rFonts w:ascii="Times New Roman" w:hAnsi="Times New Roman" w:cs="Times New Roman"/>
          <w:i/>
          <w:sz w:val="28"/>
          <w:szCs w:val="28"/>
        </w:rPr>
        <w:t xml:space="preserve"> nr.10 din Anexa nr.3</w:t>
      </w:r>
      <w:r w:rsidR="00C26C38" w:rsidRPr="003C4B9E">
        <w:rPr>
          <w:rFonts w:ascii="Times New Roman" w:hAnsi="Times New Roman" w:cs="Times New Roman"/>
          <w:i/>
          <w:sz w:val="28"/>
          <w:szCs w:val="28"/>
        </w:rPr>
        <w:t xml:space="preserve"> la Raport</w:t>
      </w:r>
      <w:r w:rsidR="009309F9">
        <w:rPr>
          <w:rFonts w:ascii="Times New Roman" w:hAnsi="Times New Roman" w:cs="Times New Roman"/>
          <w:i/>
          <w:sz w:val="28"/>
          <w:szCs w:val="28"/>
        </w:rPr>
        <w:t>ul</w:t>
      </w:r>
      <w:r w:rsidR="00C26C38" w:rsidRPr="003C4B9E">
        <w:rPr>
          <w:rFonts w:ascii="Times New Roman" w:hAnsi="Times New Roman" w:cs="Times New Roman"/>
          <w:i/>
          <w:sz w:val="28"/>
          <w:szCs w:val="28"/>
        </w:rPr>
        <w:t xml:space="preserve"> de audit.</w:t>
      </w:r>
      <w:r w:rsidR="00AE1F37" w:rsidRPr="001D0846">
        <w:rPr>
          <w:rFonts w:ascii="Times New Roman" w:hAnsi="Times New Roman" w:cs="Times New Roman"/>
          <w:i/>
          <w:sz w:val="28"/>
          <w:szCs w:val="28"/>
        </w:rPr>
        <w:t xml:space="preserve">    </w:t>
      </w:r>
    </w:p>
    <w:p w:rsidR="00AE1F37" w:rsidRPr="001D0846" w:rsidRDefault="00AE1F37" w:rsidP="000A421F">
      <w:pPr>
        <w:spacing w:after="0" w:line="276" w:lineRule="auto"/>
        <w:ind w:right="-2" w:firstLine="72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Analiza datelor prezentate în </w:t>
      </w:r>
      <w:r w:rsidR="009309F9">
        <w:rPr>
          <w:rFonts w:ascii="Times New Roman" w:hAnsi="Times New Roman" w:cs="Times New Roman"/>
          <w:sz w:val="28"/>
          <w:szCs w:val="28"/>
          <w:lang w:val="ro-MD"/>
        </w:rPr>
        <w:t>t</w:t>
      </w:r>
      <w:r w:rsidRPr="001D0846">
        <w:rPr>
          <w:rFonts w:ascii="Times New Roman" w:hAnsi="Times New Roman" w:cs="Times New Roman"/>
          <w:sz w:val="28"/>
          <w:szCs w:val="28"/>
          <w:lang w:val="ro-MD"/>
        </w:rPr>
        <w:t xml:space="preserve">abel relevă un trend ascendent al veniturilor bugetare </w:t>
      </w:r>
      <w:r w:rsidRPr="00E34020">
        <w:rPr>
          <w:rFonts w:ascii="Times New Roman" w:hAnsi="Times New Roman" w:cs="Times New Roman"/>
          <w:sz w:val="28"/>
          <w:szCs w:val="28"/>
          <w:lang w:val="ro-MD"/>
        </w:rPr>
        <w:t>încasate la BS</w:t>
      </w:r>
      <w:r w:rsidR="009309F9" w:rsidRPr="00E34020">
        <w:rPr>
          <w:rFonts w:ascii="Times New Roman" w:hAnsi="Times New Roman" w:cs="Times New Roman"/>
          <w:sz w:val="28"/>
          <w:szCs w:val="28"/>
          <w:lang w:val="ro-MD"/>
        </w:rPr>
        <w:t xml:space="preserve"> (</w:t>
      </w:r>
      <w:r w:rsidRPr="00E34020">
        <w:rPr>
          <w:rFonts w:ascii="Times New Roman" w:hAnsi="Times New Roman" w:cs="Times New Roman"/>
          <w:sz w:val="28"/>
          <w:szCs w:val="28"/>
          <w:lang w:val="ro-MD"/>
        </w:rPr>
        <w:t xml:space="preserve">de la 15,8 </w:t>
      </w:r>
      <w:proofErr w:type="spellStart"/>
      <w:r w:rsidRPr="00E34020">
        <w:rPr>
          <w:rFonts w:ascii="Times New Roman" w:hAnsi="Times New Roman" w:cs="Times New Roman"/>
          <w:sz w:val="28"/>
          <w:szCs w:val="28"/>
          <w:lang w:val="ro-MD"/>
        </w:rPr>
        <w:t>ml</w:t>
      </w:r>
      <w:r w:rsidR="00E34020" w:rsidRPr="00E34020">
        <w:rPr>
          <w:rFonts w:ascii="Times New Roman" w:hAnsi="Times New Roman" w:cs="Times New Roman"/>
          <w:sz w:val="28"/>
          <w:szCs w:val="28"/>
          <w:lang w:val="ro-MD"/>
        </w:rPr>
        <w:t>r</w:t>
      </w:r>
      <w:r w:rsidRPr="00E34020">
        <w:rPr>
          <w:rFonts w:ascii="Times New Roman" w:hAnsi="Times New Roman" w:cs="Times New Roman"/>
          <w:sz w:val="28"/>
          <w:szCs w:val="28"/>
          <w:lang w:val="ro-MD"/>
        </w:rPr>
        <w:t>d.lei</w:t>
      </w:r>
      <w:proofErr w:type="spellEnd"/>
      <w:r w:rsidRPr="00E34020">
        <w:rPr>
          <w:rFonts w:ascii="Times New Roman" w:hAnsi="Times New Roman" w:cs="Times New Roman"/>
          <w:sz w:val="28"/>
          <w:szCs w:val="28"/>
          <w:lang w:val="ro-MD"/>
        </w:rPr>
        <w:t xml:space="preserve"> în anul 2015 până la 20,4 </w:t>
      </w:r>
      <w:proofErr w:type="spellStart"/>
      <w:r w:rsidRPr="00E34020">
        <w:rPr>
          <w:rFonts w:ascii="Times New Roman" w:hAnsi="Times New Roman" w:cs="Times New Roman"/>
          <w:sz w:val="28"/>
          <w:szCs w:val="28"/>
          <w:lang w:val="ro-MD"/>
        </w:rPr>
        <w:t>m</w:t>
      </w:r>
      <w:r w:rsidR="00E34020" w:rsidRPr="00E34020">
        <w:rPr>
          <w:rFonts w:ascii="Times New Roman" w:hAnsi="Times New Roman" w:cs="Times New Roman"/>
          <w:sz w:val="28"/>
          <w:szCs w:val="28"/>
          <w:lang w:val="ro-MD"/>
        </w:rPr>
        <w:t>lrd</w:t>
      </w:r>
      <w:r w:rsidRPr="00E34020">
        <w:rPr>
          <w:rFonts w:ascii="Times New Roman" w:hAnsi="Times New Roman" w:cs="Times New Roman"/>
          <w:sz w:val="28"/>
          <w:szCs w:val="28"/>
          <w:lang w:val="ro-MD"/>
        </w:rPr>
        <w:t>.lei</w:t>
      </w:r>
      <w:proofErr w:type="spellEnd"/>
      <w:r w:rsidRPr="00E34020">
        <w:rPr>
          <w:rFonts w:ascii="Times New Roman" w:hAnsi="Times New Roman" w:cs="Times New Roman"/>
          <w:sz w:val="28"/>
          <w:szCs w:val="28"/>
          <w:lang w:val="ro-MD"/>
        </w:rPr>
        <w:t xml:space="preserve"> în anul </w:t>
      </w:r>
      <w:r w:rsidRPr="00E34020">
        <w:rPr>
          <w:rFonts w:ascii="Times New Roman" w:hAnsi="Times New Roman" w:cs="Times New Roman"/>
          <w:sz w:val="28"/>
          <w:szCs w:val="28"/>
          <w:lang w:val="ro-MD"/>
        </w:rPr>
        <w:lastRenderedPageBreak/>
        <w:t>2017</w:t>
      </w:r>
      <w:r w:rsidR="009309F9" w:rsidRPr="00E34020">
        <w:rPr>
          <w:rFonts w:ascii="Times New Roman" w:hAnsi="Times New Roman" w:cs="Times New Roman"/>
          <w:sz w:val="28"/>
          <w:szCs w:val="28"/>
          <w:lang w:val="ro-MD"/>
        </w:rPr>
        <w:t>)</w:t>
      </w:r>
      <w:r w:rsidR="00E34020" w:rsidRPr="00E34020">
        <w:rPr>
          <w:rFonts w:ascii="Times New Roman" w:hAnsi="Times New Roman" w:cs="Times New Roman"/>
          <w:sz w:val="28"/>
          <w:szCs w:val="28"/>
          <w:lang w:val="ro-MD"/>
        </w:rPr>
        <w:t>.</w:t>
      </w:r>
      <w:r w:rsidRPr="00E34020">
        <w:rPr>
          <w:rFonts w:ascii="Times New Roman" w:hAnsi="Times New Roman" w:cs="Times New Roman"/>
          <w:sz w:val="28"/>
          <w:szCs w:val="28"/>
          <w:lang w:val="ro-MD"/>
        </w:rPr>
        <w:t>Concomitent, pe fundalul creșterii veniturilor</w:t>
      </w:r>
      <w:r w:rsidR="009309F9">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se atestă o dinamică ascendentă a costurilor (cheltuieli totale) suportate în activitatea de administrare, care în anul 2017 au atins plafonul maxim al perioadei analizate, însumând în total 445,4 mil.lei</w:t>
      </w:r>
      <w:r w:rsidR="009309F9">
        <w:rPr>
          <w:rFonts w:ascii="Times New Roman" w:hAnsi="Times New Roman" w:cs="Times New Roman"/>
          <w:sz w:val="28"/>
          <w:szCs w:val="28"/>
          <w:lang w:val="ro-MD"/>
        </w:rPr>
        <w:t xml:space="preserve"> și</w:t>
      </w:r>
      <w:r w:rsidRPr="001D0846">
        <w:rPr>
          <w:rFonts w:ascii="Times New Roman" w:hAnsi="Times New Roman" w:cs="Times New Roman"/>
          <w:sz w:val="28"/>
          <w:szCs w:val="28"/>
          <w:lang w:val="ro-MD"/>
        </w:rPr>
        <w:t xml:space="preserve"> fiind în creștere față de anul 2015 cu 112,9 mil.lei, sau 25,3%</w:t>
      </w:r>
      <w:r w:rsidR="009309F9">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și </w:t>
      </w:r>
      <w:r w:rsidR="009309F9" w:rsidRPr="001D0846">
        <w:rPr>
          <w:rFonts w:ascii="Times New Roman" w:hAnsi="Times New Roman" w:cs="Times New Roman"/>
          <w:sz w:val="28"/>
          <w:szCs w:val="28"/>
          <w:lang w:val="ro-MD"/>
        </w:rPr>
        <w:t>față de anul 2016</w:t>
      </w:r>
      <w:r w:rsidR="009309F9">
        <w:rPr>
          <w:rFonts w:ascii="Times New Roman" w:hAnsi="Times New Roman" w:cs="Times New Roman"/>
          <w:sz w:val="28"/>
          <w:szCs w:val="28"/>
          <w:lang w:val="ro-MD"/>
        </w:rPr>
        <w:t xml:space="preserve"> - </w:t>
      </w:r>
      <w:r w:rsidRPr="001D0846">
        <w:rPr>
          <w:rFonts w:ascii="Times New Roman" w:hAnsi="Times New Roman" w:cs="Times New Roman"/>
          <w:sz w:val="28"/>
          <w:szCs w:val="28"/>
          <w:lang w:val="ro-MD"/>
        </w:rPr>
        <w:t>cu 147,3 mil.lei, sau 33,1%.</w:t>
      </w:r>
    </w:p>
    <w:p w:rsidR="00AE1F37" w:rsidRPr="001D0846" w:rsidRDefault="00AE1F37" w:rsidP="000A421F">
      <w:pPr>
        <w:spacing w:after="0" w:line="276" w:lineRule="auto"/>
        <w:ind w:right="-2" w:firstLine="720"/>
        <w:jc w:val="both"/>
      </w:pPr>
      <w:r w:rsidRPr="001D0846">
        <w:rPr>
          <w:rFonts w:ascii="Times New Roman" w:hAnsi="Times New Roman" w:cs="Times New Roman"/>
          <w:sz w:val="28"/>
          <w:szCs w:val="28"/>
          <w:lang w:val="ro-MD"/>
        </w:rPr>
        <w:t>Astfel, datele analizate</w:t>
      </w:r>
      <w:r w:rsidRPr="001D0846">
        <w:rPr>
          <w:rFonts w:ascii="Times New Roman" w:hAnsi="Times New Roman" w:cs="Times New Roman"/>
          <w:sz w:val="28"/>
          <w:szCs w:val="28"/>
        </w:rPr>
        <w:t xml:space="preserve"> </w:t>
      </w:r>
      <w:r w:rsidR="009309F9">
        <w:rPr>
          <w:rFonts w:ascii="Times New Roman" w:hAnsi="Times New Roman" w:cs="Times New Roman"/>
          <w:sz w:val="28"/>
          <w:szCs w:val="28"/>
        </w:rPr>
        <w:t>indică</w:t>
      </w:r>
      <w:r w:rsidRPr="001D0846">
        <w:rPr>
          <w:rFonts w:ascii="Times New Roman" w:hAnsi="Times New Roman" w:cs="Times New Roman"/>
          <w:sz w:val="28"/>
          <w:szCs w:val="28"/>
        </w:rPr>
        <w:t xml:space="preserve"> un ritm de majorare a costurilor de colectare, care a depășit </w:t>
      </w:r>
      <w:r w:rsidR="009309F9">
        <w:rPr>
          <w:rFonts w:ascii="Times New Roman" w:hAnsi="Times New Roman" w:cs="Times New Roman"/>
          <w:sz w:val="28"/>
          <w:szCs w:val="28"/>
        </w:rPr>
        <w:t>(</w:t>
      </w:r>
      <w:r w:rsidRPr="001D0846">
        <w:rPr>
          <w:rFonts w:ascii="Times New Roman" w:hAnsi="Times New Roman" w:cs="Times New Roman"/>
          <w:sz w:val="28"/>
          <w:szCs w:val="28"/>
        </w:rPr>
        <w:t>în cote procentuale</w:t>
      </w:r>
      <w:r w:rsidR="009309F9">
        <w:rPr>
          <w:rFonts w:ascii="Times New Roman" w:hAnsi="Times New Roman" w:cs="Times New Roman"/>
          <w:sz w:val="28"/>
          <w:szCs w:val="28"/>
        </w:rPr>
        <w:t>)</w:t>
      </w:r>
      <w:r w:rsidRPr="001D0846">
        <w:rPr>
          <w:rFonts w:ascii="Times New Roman" w:hAnsi="Times New Roman" w:cs="Times New Roman"/>
          <w:sz w:val="28"/>
          <w:szCs w:val="28"/>
        </w:rPr>
        <w:t xml:space="preserve"> ritmul de creștere a veniturilor încasate în </w:t>
      </w:r>
      <w:r w:rsidR="009309F9">
        <w:rPr>
          <w:rFonts w:ascii="Times New Roman" w:hAnsi="Times New Roman" w:cs="Times New Roman"/>
          <w:sz w:val="28"/>
          <w:szCs w:val="28"/>
        </w:rPr>
        <w:t xml:space="preserve">anul </w:t>
      </w:r>
      <w:r w:rsidRPr="001D0846">
        <w:rPr>
          <w:rFonts w:ascii="Times New Roman" w:hAnsi="Times New Roman" w:cs="Times New Roman"/>
          <w:sz w:val="28"/>
          <w:szCs w:val="28"/>
        </w:rPr>
        <w:t xml:space="preserve"> 2017, deși în </w:t>
      </w:r>
      <w:r w:rsidR="009309F9">
        <w:rPr>
          <w:rFonts w:ascii="Times New Roman" w:hAnsi="Times New Roman" w:cs="Times New Roman"/>
          <w:sz w:val="28"/>
          <w:szCs w:val="28"/>
        </w:rPr>
        <w:t>anul</w:t>
      </w:r>
      <w:r w:rsidRPr="001D0846">
        <w:rPr>
          <w:rFonts w:ascii="Times New Roman" w:hAnsi="Times New Roman" w:cs="Times New Roman"/>
          <w:sz w:val="28"/>
          <w:szCs w:val="28"/>
        </w:rPr>
        <w:t xml:space="preserve"> 2016 s-a </w:t>
      </w:r>
      <w:r w:rsidR="009309F9">
        <w:rPr>
          <w:rFonts w:ascii="Times New Roman" w:hAnsi="Times New Roman" w:cs="Times New Roman"/>
          <w:sz w:val="28"/>
          <w:szCs w:val="28"/>
        </w:rPr>
        <w:t>atestat</w:t>
      </w:r>
      <w:r w:rsidRPr="001D0846">
        <w:rPr>
          <w:rFonts w:ascii="Times New Roman" w:hAnsi="Times New Roman" w:cs="Times New Roman"/>
          <w:sz w:val="28"/>
          <w:szCs w:val="28"/>
        </w:rPr>
        <w:t xml:space="preserve"> un ritm de micșorare a costurilor de colectare</w:t>
      </w:r>
      <w:r w:rsidR="00C26C38" w:rsidRPr="001D0846">
        <w:rPr>
          <w:rFonts w:ascii="Times New Roman" w:hAnsi="Times New Roman" w:cs="Times New Roman"/>
          <w:sz w:val="28"/>
          <w:szCs w:val="28"/>
        </w:rPr>
        <w:t>.</w:t>
      </w:r>
      <w:r w:rsidRPr="001D0846">
        <w:rPr>
          <w:rFonts w:ascii="Times New Roman" w:hAnsi="Times New Roman" w:cs="Times New Roman"/>
          <w:sz w:val="28"/>
          <w:szCs w:val="28"/>
        </w:rPr>
        <w:t xml:space="preserve"> </w:t>
      </w:r>
    </w:p>
    <w:p w:rsidR="00AE1F37" w:rsidRPr="001D0846" w:rsidRDefault="00ED4AA3" w:rsidP="000A421F">
      <w:pPr>
        <w:spacing w:after="0" w:line="276" w:lineRule="auto"/>
        <w:ind w:right="-2" w:firstLine="720"/>
        <w:jc w:val="both"/>
        <w:rPr>
          <w:rFonts w:ascii="Times New Roman" w:hAnsi="Times New Roman" w:cs="Times New Roman"/>
          <w:sz w:val="28"/>
          <w:szCs w:val="28"/>
        </w:rPr>
      </w:pPr>
      <w:r w:rsidRPr="001D0846">
        <w:rPr>
          <w:rFonts w:ascii="Times New Roman" w:hAnsi="Times New Roman" w:cs="Times New Roman"/>
          <w:sz w:val="28"/>
          <w:szCs w:val="28"/>
        </w:rPr>
        <w:t>A</w:t>
      </w:r>
      <w:r w:rsidR="00C26C38" w:rsidRPr="001D0846">
        <w:rPr>
          <w:rFonts w:ascii="Times New Roman" w:hAnsi="Times New Roman" w:cs="Times New Roman"/>
          <w:sz w:val="28"/>
          <w:szCs w:val="28"/>
        </w:rPr>
        <w:t>naliza efectuată de audit</w:t>
      </w:r>
      <w:r w:rsidR="00AE1F37" w:rsidRPr="001D0846">
        <w:rPr>
          <w:rFonts w:ascii="Times New Roman" w:hAnsi="Times New Roman" w:cs="Times New Roman"/>
          <w:sz w:val="28"/>
          <w:szCs w:val="28"/>
        </w:rPr>
        <w:t xml:space="preserve"> relevă că, în </w:t>
      </w:r>
      <w:r w:rsidR="00E205C4">
        <w:rPr>
          <w:rFonts w:ascii="Times New Roman" w:hAnsi="Times New Roman" w:cs="Times New Roman"/>
          <w:sz w:val="28"/>
          <w:szCs w:val="28"/>
        </w:rPr>
        <w:t>anul</w:t>
      </w:r>
      <w:r w:rsidR="00AE1F37" w:rsidRPr="001D0846">
        <w:rPr>
          <w:rFonts w:ascii="Times New Roman" w:hAnsi="Times New Roman" w:cs="Times New Roman"/>
          <w:sz w:val="28"/>
          <w:szCs w:val="28"/>
        </w:rPr>
        <w:t xml:space="preserve"> 2017 s</w:t>
      </w:r>
      <w:r w:rsidR="00E205C4">
        <w:rPr>
          <w:rFonts w:ascii="Times New Roman" w:hAnsi="Times New Roman" w:cs="Times New Roman"/>
          <w:sz w:val="28"/>
          <w:szCs w:val="28"/>
        </w:rPr>
        <w:t>-a înregistrat</w:t>
      </w:r>
      <w:r w:rsidR="00AE1F37" w:rsidRPr="001D0846">
        <w:rPr>
          <w:rFonts w:ascii="Times New Roman" w:hAnsi="Times New Roman" w:cs="Times New Roman"/>
          <w:sz w:val="28"/>
          <w:szCs w:val="28"/>
        </w:rPr>
        <w:t xml:space="preserve"> un ritm de creștere cu 14,2% a veniturilor încasate de SV, pe când ritmul de creștere a costurilor în această perioad</w:t>
      </w:r>
      <w:r w:rsidR="00E205C4">
        <w:rPr>
          <w:rFonts w:ascii="Times New Roman" w:hAnsi="Times New Roman" w:cs="Times New Roman"/>
          <w:sz w:val="28"/>
          <w:szCs w:val="28"/>
        </w:rPr>
        <w:t>ă</w:t>
      </w:r>
      <w:r w:rsidR="00AE1F37" w:rsidRPr="001D0846">
        <w:rPr>
          <w:rFonts w:ascii="Times New Roman" w:hAnsi="Times New Roman" w:cs="Times New Roman"/>
          <w:sz w:val="28"/>
          <w:szCs w:val="28"/>
        </w:rPr>
        <w:t xml:space="preserve"> a constituit 33,1%. În perioada </w:t>
      </w:r>
      <w:r w:rsidR="00E205C4">
        <w:rPr>
          <w:rFonts w:ascii="Times New Roman" w:hAnsi="Times New Roman" w:cs="Times New Roman"/>
          <w:sz w:val="28"/>
          <w:szCs w:val="28"/>
        </w:rPr>
        <w:t xml:space="preserve">anilor </w:t>
      </w:r>
      <w:r w:rsidR="00AE1F37" w:rsidRPr="001D0846">
        <w:rPr>
          <w:rFonts w:ascii="Times New Roman" w:hAnsi="Times New Roman" w:cs="Times New Roman"/>
          <w:sz w:val="28"/>
          <w:szCs w:val="28"/>
        </w:rPr>
        <w:t>2015-2016 ritmul de creștere a veniturilor a constituit 9,4%, iar ritmul costurilor a înregistr</w:t>
      </w:r>
      <w:r w:rsidRPr="001D0846">
        <w:rPr>
          <w:rFonts w:ascii="Times New Roman" w:hAnsi="Times New Roman" w:cs="Times New Roman"/>
          <w:sz w:val="28"/>
          <w:szCs w:val="28"/>
        </w:rPr>
        <w:t xml:space="preserve">at o descreștere cu 10,3%, ceea </w:t>
      </w:r>
      <w:r w:rsidR="00AE1F37" w:rsidRPr="001D0846">
        <w:rPr>
          <w:rFonts w:ascii="Times New Roman" w:hAnsi="Times New Roman" w:cs="Times New Roman"/>
          <w:sz w:val="28"/>
          <w:szCs w:val="28"/>
        </w:rPr>
        <w:t xml:space="preserve">ce reprezintă o tendință pozitivă de majorare a </w:t>
      </w:r>
      <w:proofErr w:type="spellStart"/>
      <w:r w:rsidR="00AE1F37" w:rsidRPr="001D0846">
        <w:rPr>
          <w:rFonts w:ascii="Times New Roman" w:hAnsi="Times New Roman" w:cs="Times New Roman"/>
          <w:sz w:val="28"/>
          <w:szCs w:val="28"/>
        </w:rPr>
        <w:t>venturilor</w:t>
      </w:r>
      <w:proofErr w:type="spellEnd"/>
      <w:r w:rsidR="00AE1F37" w:rsidRPr="001D0846">
        <w:rPr>
          <w:rFonts w:ascii="Times New Roman" w:hAnsi="Times New Roman" w:cs="Times New Roman"/>
          <w:sz w:val="28"/>
          <w:szCs w:val="28"/>
        </w:rPr>
        <w:t xml:space="preserve"> bugetare prin minimizarea costurilor. </w:t>
      </w:r>
    </w:p>
    <w:p w:rsidR="00AE1F37" w:rsidRPr="001D0846" w:rsidRDefault="00AE1F37" w:rsidP="000A421F">
      <w:pPr>
        <w:spacing w:after="0" w:line="276" w:lineRule="auto"/>
        <w:ind w:right="-2" w:firstLine="720"/>
        <w:jc w:val="both"/>
      </w:pPr>
      <w:r w:rsidRPr="001D0846">
        <w:rPr>
          <w:rFonts w:ascii="Times New Roman" w:hAnsi="Times New Roman" w:cs="Times New Roman"/>
          <w:sz w:val="28"/>
          <w:szCs w:val="28"/>
        </w:rPr>
        <w:t xml:space="preserve">Totodată, se menționează că, deși costurile administrării </w:t>
      </w:r>
      <w:r w:rsidR="0044065A" w:rsidRPr="001D0846">
        <w:rPr>
          <w:rFonts w:ascii="Times New Roman" w:hAnsi="Times New Roman" w:cs="Times New Roman"/>
          <w:sz w:val="28"/>
          <w:szCs w:val="28"/>
        </w:rPr>
        <w:t>vamale</w:t>
      </w:r>
      <w:r w:rsidRPr="001D0846">
        <w:rPr>
          <w:rFonts w:ascii="Times New Roman" w:hAnsi="Times New Roman" w:cs="Times New Roman"/>
          <w:sz w:val="28"/>
          <w:szCs w:val="28"/>
        </w:rPr>
        <w:t xml:space="preserve"> în </w:t>
      </w:r>
      <w:r w:rsidR="00E205C4">
        <w:rPr>
          <w:rFonts w:ascii="Times New Roman" w:hAnsi="Times New Roman" w:cs="Times New Roman"/>
          <w:sz w:val="28"/>
          <w:szCs w:val="28"/>
        </w:rPr>
        <w:t>anul</w:t>
      </w:r>
      <w:r w:rsidRPr="001D0846">
        <w:rPr>
          <w:rFonts w:ascii="Times New Roman" w:hAnsi="Times New Roman" w:cs="Times New Roman"/>
          <w:sz w:val="28"/>
          <w:szCs w:val="28"/>
        </w:rPr>
        <w:t xml:space="preserve"> 2017 au crescut, numărul mediu de personal în această perioadă este în scădere cu 138 </w:t>
      </w:r>
      <w:r w:rsidR="00E205C4">
        <w:rPr>
          <w:rFonts w:ascii="Times New Roman" w:hAnsi="Times New Roman" w:cs="Times New Roman"/>
          <w:sz w:val="28"/>
          <w:szCs w:val="28"/>
        </w:rPr>
        <w:t xml:space="preserve">de </w:t>
      </w:r>
      <w:r w:rsidRPr="001D0846">
        <w:rPr>
          <w:rFonts w:ascii="Times New Roman" w:hAnsi="Times New Roman" w:cs="Times New Roman"/>
          <w:sz w:val="28"/>
          <w:szCs w:val="28"/>
        </w:rPr>
        <w:t xml:space="preserve">persoane, sau </w:t>
      </w:r>
      <w:r w:rsidR="00E205C4">
        <w:rPr>
          <w:rFonts w:ascii="Times New Roman" w:hAnsi="Times New Roman" w:cs="Times New Roman"/>
          <w:sz w:val="28"/>
          <w:szCs w:val="28"/>
        </w:rPr>
        <w:t xml:space="preserve">cu </w:t>
      </w:r>
      <w:r w:rsidRPr="001D0846">
        <w:rPr>
          <w:rFonts w:ascii="Times New Roman" w:hAnsi="Times New Roman" w:cs="Times New Roman"/>
          <w:sz w:val="28"/>
          <w:szCs w:val="28"/>
        </w:rPr>
        <w:t xml:space="preserve">circa 8% față de </w:t>
      </w:r>
      <w:r w:rsidR="00E205C4">
        <w:rPr>
          <w:rFonts w:ascii="Times New Roman" w:hAnsi="Times New Roman" w:cs="Times New Roman"/>
          <w:sz w:val="28"/>
          <w:szCs w:val="28"/>
        </w:rPr>
        <w:t>anii</w:t>
      </w:r>
      <w:r w:rsidRPr="001D0846">
        <w:rPr>
          <w:rFonts w:ascii="Times New Roman" w:hAnsi="Times New Roman" w:cs="Times New Roman"/>
          <w:sz w:val="28"/>
          <w:szCs w:val="28"/>
        </w:rPr>
        <w:t xml:space="preserve"> 2015-2016, iar numărul plătitorilor este în creștere de la 403758 plătitori în anul 2015 până la 515536 plătitori, sau circa 21%</w:t>
      </w:r>
      <w:r w:rsidR="00E205C4">
        <w:rPr>
          <w:rFonts w:ascii="Times New Roman" w:hAnsi="Times New Roman" w:cs="Times New Roman"/>
          <w:sz w:val="28"/>
          <w:szCs w:val="28"/>
        </w:rPr>
        <w:t xml:space="preserve">, </w:t>
      </w:r>
      <w:r w:rsidRPr="001D0846">
        <w:rPr>
          <w:rFonts w:ascii="Times New Roman" w:hAnsi="Times New Roman" w:cs="Times New Roman"/>
          <w:sz w:val="28"/>
          <w:szCs w:val="28"/>
        </w:rPr>
        <w:t xml:space="preserve"> în anul 2017.</w:t>
      </w:r>
    </w:p>
    <w:p w:rsidR="00AE1F37" w:rsidRPr="001D0846" w:rsidRDefault="00AE1F37" w:rsidP="000A421F">
      <w:pPr>
        <w:spacing w:after="0" w:line="276" w:lineRule="auto"/>
        <w:ind w:right="-2" w:firstLine="72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În scopul evaluării eficienței, eficacității și economicității în activitatea de administrare a impozitelor și taxelor realizată de către SV, auditul a analizat următorii indicatori ce caracterizează nivelul de atingere a performanțelor stabilite: (1) Mii lei cheltuiți la 1 milion lei de venituri colectate; (2) Mii lei cheltuieli de personal la 1 milion lei de venituri colectate; (3) Venituri bugetare colectate la numărul mediu de personal; (4) Venituri bugetare colectate la numărul mediu de contribuabili.   </w:t>
      </w:r>
    </w:p>
    <w:p w:rsidR="00AE1F37" w:rsidRPr="001D0846" w:rsidRDefault="00AE1F37" w:rsidP="006358AD">
      <w:pPr>
        <w:spacing w:after="0" w:line="276" w:lineRule="auto"/>
        <w:ind w:right="-334" w:firstLine="720"/>
        <w:jc w:val="both"/>
        <w:rPr>
          <w:rFonts w:ascii="Times New Roman" w:hAnsi="Times New Roman" w:cs="Times New Roman"/>
          <w:sz w:val="28"/>
          <w:szCs w:val="28"/>
        </w:rPr>
      </w:pPr>
      <w:r w:rsidRPr="001D0846">
        <w:rPr>
          <w:rFonts w:ascii="Times New Roman" w:hAnsi="Times New Roman" w:cs="Times New Roman"/>
          <w:sz w:val="28"/>
          <w:szCs w:val="28"/>
          <w:lang w:val="ro-MD"/>
        </w:rPr>
        <w:t>Astfel, analiza efectuată de audit asupra indicatorilor menționați relevă</w:t>
      </w:r>
      <w:r w:rsidRPr="001D0846">
        <w:rPr>
          <w:rFonts w:ascii="Times New Roman" w:hAnsi="Times New Roman" w:cs="Times New Roman"/>
          <w:sz w:val="28"/>
          <w:szCs w:val="28"/>
        </w:rPr>
        <w:t>:</w:t>
      </w:r>
    </w:p>
    <w:p w:rsidR="00AE1F37"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 </w:t>
      </w:r>
      <w:r w:rsidR="00AE1F37" w:rsidRPr="00C31FCA">
        <w:rPr>
          <w:rFonts w:ascii="Times New Roman" w:hAnsi="Times New Roman" w:cs="Times New Roman"/>
          <w:sz w:val="28"/>
          <w:szCs w:val="28"/>
        </w:rPr>
        <w:t>creșterea în dinamică a cheltuielilor la 1 milion lei de venituri colectate</w:t>
      </w:r>
      <w:r w:rsidR="00E205C4"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 xml:space="preserve"> de la 21</w:t>
      </w:r>
      <w:r w:rsidR="00E205C4" w:rsidRPr="00C31FCA">
        <w:rPr>
          <w:rFonts w:ascii="Times New Roman" w:hAnsi="Times New Roman" w:cs="Times New Roman"/>
          <w:sz w:val="28"/>
          <w:szCs w:val="28"/>
        </w:rPr>
        <w:t>,0</w:t>
      </w:r>
      <w:r w:rsidR="00AE1F37" w:rsidRPr="00C31FCA">
        <w:rPr>
          <w:rFonts w:ascii="Times New Roman" w:hAnsi="Times New Roman" w:cs="Times New Roman"/>
          <w:sz w:val="28"/>
          <w:szCs w:val="28"/>
        </w:rPr>
        <w:t xml:space="preserve"> mii lei în anul 2015 până la 22</w:t>
      </w:r>
      <w:r w:rsidR="00E205C4" w:rsidRPr="00C31FCA">
        <w:rPr>
          <w:rFonts w:ascii="Times New Roman" w:hAnsi="Times New Roman" w:cs="Times New Roman"/>
          <w:sz w:val="28"/>
          <w:szCs w:val="28"/>
        </w:rPr>
        <w:t>,0</w:t>
      </w:r>
      <w:r w:rsidR="00AE1F37" w:rsidRPr="00C31FCA">
        <w:rPr>
          <w:rFonts w:ascii="Times New Roman" w:hAnsi="Times New Roman" w:cs="Times New Roman"/>
          <w:sz w:val="28"/>
          <w:szCs w:val="28"/>
        </w:rPr>
        <w:t xml:space="preserve"> mii lei în anul 2017</w:t>
      </w:r>
      <w:r w:rsidR="00E205C4" w:rsidRPr="00C31FCA">
        <w:rPr>
          <w:rFonts w:ascii="Times New Roman" w:hAnsi="Times New Roman" w:cs="Times New Roman"/>
          <w:sz w:val="28"/>
          <w:szCs w:val="28"/>
        </w:rPr>
        <w:t>)</w:t>
      </w:r>
      <w:r w:rsidR="00AE1F37" w:rsidRPr="00C31FCA">
        <w:rPr>
          <w:rFonts w:ascii="Times New Roman" w:hAnsi="Times New Roman" w:cs="Times New Roman"/>
          <w:sz w:val="28"/>
          <w:szCs w:val="28"/>
        </w:rPr>
        <w:t>, cu o descreștere în anul 2016 până la 17,1 mii lei;</w:t>
      </w:r>
    </w:p>
    <w:p w:rsidR="00AE1F37"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 </w:t>
      </w:r>
      <w:r w:rsidR="00BD4258" w:rsidRPr="00C31FCA">
        <w:rPr>
          <w:rFonts w:ascii="Times New Roman" w:hAnsi="Times New Roman" w:cs="Times New Roman"/>
          <w:sz w:val="28"/>
          <w:szCs w:val="28"/>
        </w:rPr>
        <w:t>evoluția</w:t>
      </w:r>
      <w:r w:rsidR="00AE1F37" w:rsidRPr="00C31FCA">
        <w:rPr>
          <w:rFonts w:ascii="Times New Roman" w:hAnsi="Times New Roman" w:cs="Times New Roman"/>
          <w:sz w:val="28"/>
          <w:szCs w:val="28"/>
        </w:rPr>
        <w:t xml:space="preserve"> în dinamică a cheltuielilor de personal la 1 milion de venituri colectate</w:t>
      </w:r>
      <w:r w:rsidR="00E205C4"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 xml:space="preserve"> de la 10,1 mii lei în anul 2015 </w:t>
      </w:r>
      <w:r w:rsidR="00E205C4" w:rsidRPr="00C31FCA">
        <w:rPr>
          <w:rFonts w:ascii="Times New Roman" w:hAnsi="Times New Roman" w:cs="Times New Roman"/>
          <w:sz w:val="28"/>
          <w:szCs w:val="28"/>
        </w:rPr>
        <w:t xml:space="preserve">până </w:t>
      </w:r>
      <w:r w:rsidR="00AE1F37" w:rsidRPr="00C31FCA">
        <w:rPr>
          <w:rFonts w:ascii="Times New Roman" w:hAnsi="Times New Roman" w:cs="Times New Roman"/>
          <w:sz w:val="28"/>
          <w:szCs w:val="28"/>
        </w:rPr>
        <w:t>la 14,8 mii lei în anul 2017</w:t>
      </w:r>
      <w:r w:rsidR="00E205C4" w:rsidRPr="00C31FCA">
        <w:rPr>
          <w:rFonts w:ascii="Times New Roman" w:hAnsi="Times New Roman" w:cs="Times New Roman"/>
          <w:sz w:val="28"/>
          <w:szCs w:val="28"/>
        </w:rPr>
        <w:t>)</w:t>
      </w:r>
      <w:r w:rsidR="00AE1F37" w:rsidRPr="00C31FCA">
        <w:rPr>
          <w:rFonts w:ascii="Times New Roman" w:hAnsi="Times New Roman" w:cs="Times New Roman"/>
          <w:sz w:val="28"/>
          <w:szCs w:val="28"/>
        </w:rPr>
        <w:t>;</w:t>
      </w:r>
    </w:p>
    <w:p w:rsidR="00AE1F37"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(iii) </w:t>
      </w:r>
      <w:r w:rsidR="00AE1F37" w:rsidRPr="00C31FCA">
        <w:rPr>
          <w:rFonts w:ascii="Times New Roman" w:hAnsi="Times New Roman" w:cs="Times New Roman"/>
          <w:sz w:val="28"/>
          <w:szCs w:val="28"/>
        </w:rPr>
        <w:t>trend</w:t>
      </w:r>
      <w:r w:rsidR="00BD4258" w:rsidRPr="00C31FCA">
        <w:rPr>
          <w:rFonts w:ascii="Times New Roman" w:hAnsi="Times New Roman" w:cs="Times New Roman"/>
          <w:sz w:val="28"/>
          <w:szCs w:val="28"/>
        </w:rPr>
        <w:t>ul</w:t>
      </w:r>
      <w:r w:rsidR="00AE1F37" w:rsidRPr="00C31FCA">
        <w:rPr>
          <w:rFonts w:ascii="Times New Roman" w:hAnsi="Times New Roman" w:cs="Times New Roman"/>
          <w:sz w:val="28"/>
          <w:szCs w:val="28"/>
        </w:rPr>
        <w:t xml:space="preserve"> ascendent a</w:t>
      </w:r>
      <w:r w:rsidR="00E205C4" w:rsidRPr="00C31FCA">
        <w:rPr>
          <w:rFonts w:ascii="Times New Roman" w:hAnsi="Times New Roman" w:cs="Times New Roman"/>
          <w:sz w:val="28"/>
          <w:szCs w:val="28"/>
        </w:rPr>
        <w:t>l</w:t>
      </w:r>
      <w:r w:rsidR="00AE1F37" w:rsidRPr="00C31FCA">
        <w:rPr>
          <w:rFonts w:ascii="Times New Roman" w:hAnsi="Times New Roman" w:cs="Times New Roman"/>
          <w:sz w:val="28"/>
          <w:szCs w:val="28"/>
        </w:rPr>
        <w:t xml:space="preserve"> veniturilor bugetare colectate la numărul mediu de personal</w:t>
      </w:r>
      <w:r w:rsidR="00E205C4"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de la 9160,9 mii lei în anul 2015 până la 12813 mii lei în anul 2017</w:t>
      </w:r>
      <w:r w:rsidR="00E205C4" w:rsidRPr="00C31FCA">
        <w:rPr>
          <w:rFonts w:ascii="Times New Roman" w:hAnsi="Times New Roman" w:cs="Times New Roman"/>
          <w:sz w:val="28"/>
          <w:szCs w:val="28"/>
        </w:rPr>
        <w:t>)</w:t>
      </w:r>
      <w:r w:rsidR="00AE1F37" w:rsidRPr="00C31FCA">
        <w:rPr>
          <w:rFonts w:ascii="Times New Roman" w:hAnsi="Times New Roman" w:cs="Times New Roman"/>
          <w:sz w:val="28"/>
          <w:szCs w:val="28"/>
        </w:rPr>
        <w:t>, pe fundalul micșorării numărului de personal cu circa 8%;</w:t>
      </w:r>
    </w:p>
    <w:p w:rsidR="009040FF" w:rsidRPr="00C31FCA" w:rsidRDefault="00C31FCA" w:rsidP="00C31FCA">
      <w:pPr>
        <w:tabs>
          <w:tab w:val="left" w:pos="630"/>
        </w:tabs>
        <w:spacing w:after="0" w:line="276"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(iv) </w:t>
      </w:r>
      <w:r w:rsidR="00BD4258" w:rsidRPr="00C31FCA">
        <w:rPr>
          <w:rFonts w:ascii="Times New Roman" w:hAnsi="Times New Roman" w:cs="Times New Roman"/>
          <w:sz w:val="28"/>
          <w:szCs w:val="28"/>
        </w:rPr>
        <w:t>evoluția</w:t>
      </w:r>
      <w:r w:rsidR="00AE1F37" w:rsidRPr="00C31FCA">
        <w:rPr>
          <w:rFonts w:ascii="Times New Roman" w:hAnsi="Times New Roman" w:cs="Times New Roman"/>
          <w:sz w:val="28"/>
          <w:szCs w:val="28"/>
        </w:rPr>
        <w:t xml:space="preserve"> ascendentă a veniturilor bugetare colectate la numărul mediu de contribuabili</w:t>
      </w:r>
      <w:r w:rsidR="00E205C4" w:rsidRPr="00C31FCA">
        <w:rPr>
          <w:rFonts w:ascii="Times New Roman" w:hAnsi="Times New Roman" w:cs="Times New Roman"/>
          <w:sz w:val="28"/>
          <w:szCs w:val="28"/>
        </w:rPr>
        <w:t xml:space="preserve"> (</w:t>
      </w:r>
      <w:r w:rsidR="00AE1F37" w:rsidRPr="00C31FCA">
        <w:rPr>
          <w:rFonts w:ascii="Times New Roman" w:hAnsi="Times New Roman" w:cs="Times New Roman"/>
          <w:sz w:val="28"/>
          <w:szCs w:val="28"/>
        </w:rPr>
        <w:t xml:space="preserve"> de la 39,2 mii lei în anul 2015 până la 39,5 mii lei în anul 2017</w:t>
      </w:r>
      <w:r w:rsidR="00E205C4" w:rsidRPr="00C31FCA">
        <w:rPr>
          <w:rFonts w:ascii="Times New Roman" w:hAnsi="Times New Roman" w:cs="Times New Roman"/>
          <w:sz w:val="28"/>
          <w:szCs w:val="28"/>
        </w:rPr>
        <w:t>)</w:t>
      </w:r>
      <w:r w:rsidR="00AE1F37" w:rsidRPr="00C31FCA">
        <w:rPr>
          <w:rFonts w:ascii="Times New Roman" w:hAnsi="Times New Roman" w:cs="Times New Roman"/>
          <w:sz w:val="28"/>
          <w:szCs w:val="28"/>
        </w:rPr>
        <w:t>, pe fundalul scăderii numărului de contribuabili administrați cu circa 21%.</w:t>
      </w:r>
    </w:p>
    <w:p w:rsidR="007A091A" w:rsidRPr="001D0846" w:rsidRDefault="007A091A" w:rsidP="009A55F2">
      <w:pPr>
        <w:spacing w:after="0" w:line="276" w:lineRule="auto"/>
        <w:ind w:right="-6" w:firstLine="72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lastRenderedPageBreak/>
        <w:t>Potrivit motivației persoanelor responsabile din cadrul SV, t</w:t>
      </w:r>
      <w:proofErr w:type="spellStart"/>
      <w:r w:rsidRPr="001D0846">
        <w:rPr>
          <w:rFonts w:ascii="Times New Roman" w:hAnsi="Times New Roman" w:cs="Times New Roman"/>
          <w:sz w:val="28"/>
          <w:szCs w:val="28"/>
        </w:rPr>
        <w:t>endința</w:t>
      </w:r>
      <w:proofErr w:type="spellEnd"/>
      <w:r w:rsidRPr="001D0846">
        <w:rPr>
          <w:rFonts w:ascii="Times New Roman" w:hAnsi="Times New Roman" w:cs="Times New Roman"/>
          <w:sz w:val="28"/>
          <w:szCs w:val="28"/>
        </w:rPr>
        <w:t xml:space="preserve"> de creștere a costurilor aferente administrării vamale, care în anul 2017 </w:t>
      </w:r>
      <w:r w:rsidRPr="00C31FCA">
        <w:rPr>
          <w:rFonts w:ascii="Times New Roman" w:hAnsi="Times New Roman" w:cs="Times New Roman"/>
          <w:sz w:val="28"/>
          <w:szCs w:val="28"/>
        </w:rPr>
        <w:t>a</w:t>
      </w:r>
      <w:r w:rsidR="00D14ED4" w:rsidRPr="00C31FCA">
        <w:rPr>
          <w:rFonts w:ascii="Times New Roman" w:hAnsi="Times New Roman" w:cs="Times New Roman"/>
          <w:sz w:val="28"/>
          <w:szCs w:val="28"/>
        </w:rPr>
        <w:t>u</w:t>
      </w:r>
      <w:r w:rsidRPr="001D0846">
        <w:rPr>
          <w:rFonts w:ascii="Times New Roman" w:hAnsi="Times New Roman" w:cs="Times New Roman"/>
          <w:sz w:val="28"/>
          <w:szCs w:val="28"/>
        </w:rPr>
        <w:t xml:space="preserve"> atins plafonul maxim, se explică prin faptul că SV</w:t>
      </w:r>
      <w:r w:rsidR="00E205C4">
        <w:rPr>
          <w:rFonts w:ascii="Times New Roman" w:hAnsi="Times New Roman" w:cs="Times New Roman"/>
          <w:sz w:val="28"/>
          <w:szCs w:val="28"/>
        </w:rPr>
        <w:t>,</w:t>
      </w:r>
      <w:r w:rsidRPr="001D0846">
        <w:rPr>
          <w:rFonts w:ascii="Times New Roman" w:hAnsi="Times New Roman" w:cs="Times New Roman"/>
          <w:sz w:val="28"/>
          <w:szCs w:val="28"/>
        </w:rPr>
        <w:t xml:space="preserve"> asum</w:t>
      </w:r>
      <w:r w:rsidR="00E205C4">
        <w:rPr>
          <w:rFonts w:ascii="Times New Roman" w:hAnsi="Times New Roman" w:cs="Times New Roman"/>
          <w:sz w:val="28"/>
          <w:szCs w:val="28"/>
        </w:rPr>
        <w:t>â</w:t>
      </w:r>
      <w:r w:rsidRPr="001D0846">
        <w:rPr>
          <w:rFonts w:ascii="Times New Roman" w:hAnsi="Times New Roman" w:cs="Times New Roman"/>
          <w:sz w:val="28"/>
          <w:szCs w:val="28"/>
        </w:rPr>
        <w:t>ndu-și obligativitatea de implementare</w:t>
      </w:r>
      <w:r w:rsidR="00E205C4">
        <w:rPr>
          <w:rFonts w:ascii="Times New Roman" w:hAnsi="Times New Roman" w:cs="Times New Roman"/>
          <w:sz w:val="28"/>
          <w:szCs w:val="28"/>
        </w:rPr>
        <w:t>,</w:t>
      </w:r>
      <w:r w:rsidRPr="001D0846">
        <w:rPr>
          <w:rFonts w:ascii="Times New Roman" w:hAnsi="Times New Roman" w:cs="Times New Roman"/>
          <w:sz w:val="28"/>
          <w:szCs w:val="28"/>
        </w:rPr>
        <w:t xml:space="preserve"> </w:t>
      </w:r>
      <w:r w:rsidR="001B0FE3" w:rsidRPr="001D0846">
        <w:rPr>
          <w:rFonts w:ascii="Times New Roman" w:hAnsi="Times New Roman" w:cs="Times New Roman"/>
          <w:sz w:val="28"/>
          <w:szCs w:val="28"/>
        </w:rPr>
        <w:t>inclusiv</w:t>
      </w:r>
      <w:r w:rsidRPr="001D0846">
        <w:rPr>
          <w:rFonts w:ascii="Times New Roman" w:hAnsi="Times New Roman" w:cs="Times New Roman"/>
          <w:sz w:val="28"/>
          <w:szCs w:val="28"/>
        </w:rPr>
        <w:t xml:space="preserve"> a Acordului de asociere RM-UE, se obligă să implementeze instrumente noi de administrare vamală. Astfel, SV a suportat cheltuieli </w:t>
      </w:r>
      <w:r w:rsidR="00E205C4">
        <w:rPr>
          <w:rFonts w:ascii="Times New Roman" w:hAnsi="Times New Roman" w:cs="Times New Roman"/>
          <w:sz w:val="28"/>
          <w:szCs w:val="28"/>
        </w:rPr>
        <w:t>legate de</w:t>
      </w:r>
      <w:r w:rsidRPr="001D0846">
        <w:rPr>
          <w:rFonts w:ascii="Times New Roman" w:hAnsi="Times New Roman" w:cs="Times New Roman"/>
          <w:sz w:val="28"/>
          <w:szCs w:val="28"/>
        </w:rPr>
        <w:t xml:space="preserve"> moderniz</w:t>
      </w:r>
      <w:r w:rsidR="00E205C4">
        <w:rPr>
          <w:rFonts w:ascii="Times New Roman" w:hAnsi="Times New Roman" w:cs="Times New Roman"/>
          <w:sz w:val="28"/>
          <w:szCs w:val="28"/>
        </w:rPr>
        <w:t xml:space="preserve">area </w:t>
      </w:r>
      <w:r w:rsidRPr="001D0846">
        <w:rPr>
          <w:rFonts w:ascii="Times New Roman" w:hAnsi="Times New Roman" w:cs="Times New Roman"/>
          <w:sz w:val="28"/>
          <w:szCs w:val="28"/>
        </w:rPr>
        <w:t xml:space="preserve"> infrastructurii vamale, dotarea SV cu echipament special de control, investiții în SI, achiziționarea automobilelor, dezvoltarea sistemului de video monitorizare, instruiri, schimb de bune practice</w:t>
      </w:r>
      <w:r w:rsidR="00D14ED4">
        <w:rPr>
          <w:rFonts w:ascii="Times New Roman" w:hAnsi="Times New Roman" w:cs="Times New Roman"/>
          <w:sz w:val="28"/>
          <w:szCs w:val="28"/>
        </w:rPr>
        <w:t xml:space="preserve"> etc.</w:t>
      </w:r>
      <w:r w:rsidRPr="001D0846">
        <w:rPr>
          <w:rFonts w:ascii="Times New Roman" w:hAnsi="Times New Roman" w:cs="Times New Roman"/>
          <w:sz w:val="28"/>
          <w:szCs w:val="28"/>
        </w:rPr>
        <w:t xml:space="preserve"> , toate acestea contribui</w:t>
      </w:r>
      <w:r w:rsidR="00D14ED4">
        <w:rPr>
          <w:rFonts w:ascii="Times New Roman" w:hAnsi="Times New Roman" w:cs="Times New Roman"/>
          <w:sz w:val="28"/>
          <w:szCs w:val="28"/>
        </w:rPr>
        <w:t>nd,</w:t>
      </w:r>
      <w:r w:rsidRPr="001D0846">
        <w:rPr>
          <w:rFonts w:ascii="Times New Roman" w:hAnsi="Times New Roman" w:cs="Times New Roman"/>
          <w:sz w:val="28"/>
          <w:szCs w:val="28"/>
        </w:rPr>
        <w:t xml:space="preserve"> pe de o parte</w:t>
      </w:r>
      <w:r w:rsidR="00D14ED4">
        <w:rPr>
          <w:rFonts w:ascii="Times New Roman" w:hAnsi="Times New Roman" w:cs="Times New Roman"/>
          <w:sz w:val="28"/>
          <w:szCs w:val="28"/>
        </w:rPr>
        <w:t>,</w:t>
      </w:r>
      <w:r w:rsidRPr="001D0846">
        <w:rPr>
          <w:rFonts w:ascii="Times New Roman" w:hAnsi="Times New Roman" w:cs="Times New Roman"/>
          <w:sz w:val="28"/>
          <w:szCs w:val="28"/>
        </w:rPr>
        <w:t xml:space="preserve"> la majorarea costurilor, iar pe de altă parte </w:t>
      </w:r>
      <w:r w:rsidR="00D14ED4">
        <w:rPr>
          <w:rFonts w:ascii="Times New Roman" w:hAnsi="Times New Roman" w:cs="Times New Roman"/>
          <w:sz w:val="28"/>
          <w:szCs w:val="28"/>
        </w:rPr>
        <w:t xml:space="preserve">- </w:t>
      </w:r>
      <w:r w:rsidRPr="001D0846">
        <w:rPr>
          <w:rFonts w:ascii="Times New Roman" w:hAnsi="Times New Roman" w:cs="Times New Roman"/>
          <w:sz w:val="28"/>
          <w:szCs w:val="28"/>
        </w:rPr>
        <w:t>la majorarea veniturilor vamale.</w:t>
      </w:r>
    </w:p>
    <w:p w:rsidR="007A091A" w:rsidRPr="001D0846" w:rsidRDefault="009040FF" w:rsidP="009A55F2">
      <w:pPr>
        <w:spacing w:after="0" w:line="276" w:lineRule="auto"/>
        <w:ind w:right="-6" w:firstLine="720"/>
        <w:jc w:val="both"/>
        <w:rPr>
          <w:rFonts w:ascii="Times New Roman" w:hAnsi="Times New Roman" w:cs="Times New Roman"/>
          <w:sz w:val="28"/>
          <w:szCs w:val="28"/>
        </w:rPr>
      </w:pPr>
      <w:r w:rsidRPr="001D0846">
        <w:rPr>
          <w:rFonts w:ascii="Times New Roman" w:hAnsi="Times New Roman" w:cs="Times New Roman"/>
          <w:sz w:val="28"/>
          <w:szCs w:val="28"/>
        </w:rPr>
        <w:t>Auditul relevă că,</w:t>
      </w:r>
      <w:r w:rsidR="005F3A88" w:rsidRPr="001D0846">
        <w:rPr>
          <w:rFonts w:ascii="Times New Roman" w:hAnsi="Times New Roman" w:cs="Times New Roman"/>
          <w:sz w:val="28"/>
          <w:szCs w:val="28"/>
        </w:rPr>
        <w:t xml:space="preserve"> pe fundalul majorării veniturilor</w:t>
      </w:r>
      <w:r w:rsidRPr="001D0846">
        <w:rPr>
          <w:rFonts w:ascii="Times New Roman" w:hAnsi="Times New Roman" w:cs="Times New Roman"/>
          <w:sz w:val="28"/>
          <w:szCs w:val="28"/>
        </w:rPr>
        <w:t xml:space="preserve"> </w:t>
      </w:r>
      <w:r w:rsidR="005F3A88" w:rsidRPr="001D0846">
        <w:rPr>
          <w:rFonts w:ascii="Times New Roman" w:hAnsi="Times New Roman" w:cs="Times New Roman"/>
          <w:sz w:val="28"/>
          <w:szCs w:val="28"/>
        </w:rPr>
        <w:t xml:space="preserve">în buget </w:t>
      </w:r>
      <w:r w:rsidRPr="001D0846">
        <w:rPr>
          <w:rFonts w:ascii="Times New Roman" w:hAnsi="Times New Roman" w:cs="Times New Roman"/>
          <w:sz w:val="28"/>
          <w:szCs w:val="28"/>
        </w:rPr>
        <w:t>în anul 2017</w:t>
      </w:r>
      <w:r w:rsidR="005F3A88" w:rsidRPr="001D0846">
        <w:rPr>
          <w:rFonts w:ascii="Times New Roman" w:hAnsi="Times New Roman" w:cs="Times New Roman"/>
          <w:sz w:val="28"/>
          <w:szCs w:val="28"/>
        </w:rPr>
        <w:t>,</w:t>
      </w:r>
      <w:r w:rsidRPr="001D0846">
        <w:rPr>
          <w:rFonts w:ascii="Times New Roman" w:hAnsi="Times New Roman" w:cs="Times New Roman"/>
          <w:sz w:val="28"/>
          <w:szCs w:val="28"/>
        </w:rPr>
        <w:t xml:space="preserve"> creșterea costurilor aferente activității de administrare fiscală și vamală a fost influențată și de creșterea salariilor angajaților SFS și SV</w:t>
      </w:r>
      <w:r w:rsidR="00D14ED4">
        <w:rPr>
          <w:rFonts w:ascii="Times New Roman" w:hAnsi="Times New Roman" w:cs="Times New Roman"/>
          <w:sz w:val="28"/>
          <w:szCs w:val="28"/>
        </w:rPr>
        <w:t>, ca</w:t>
      </w:r>
      <w:r w:rsidRPr="001D0846">
        <w:rPr>
          <w:rFonts w:ascii="Times New Roman" w:hAnsi="Times New Roman" w:cs="Times New Roman"/>
          <w:sz w:val="28"/>
          <w:szCs w:val="28"/>
        </w:rPr>
        <w:t xml:space="preserve"> urmare </w:t>
      </w:r>
      <w:r w:rsidR="00D14ED4">
        <w:rPr>
          <w:rFonts w:ascii="Times New Roman" w:hAnsi="Times New Roman" w:cs="Times New Roman"/>
          <w:sz w:val="28"/>
          <w:szCs w:val="28"/>
        </w:rPr>
        <w:t xml:space="preserve">a </w:t>
      </w:r>
      <w:r w:rsidR="00456909">
        <w:rPr>
          <w:rFonts w:ascii="Times New Roman" w:hAnsi="Times New Roman" w:cs="Times New Roman"/>
          <w:sz w:val="28"/>
          <w:szCs w:val="28"/>
        </w:rPr>
        <w:t xml:space="preserve">modificărilor legale și a </w:t>
      </w:r>
      <w:r w:rsidRPr="001D0846">
        <w:rPr>
          <w:rFonts w:ascii="Times New Roman" w:hAnsi="Times New Roman" w:cs="Times New Roman"/>
          <w:sz w:val="28"/>
          <w:szCs w:val="28"/>
        </w:rPr>
        <w:t>procesului de reorganizare instituțională.</w:t>
      </w:r>
    </w:p>
    <w:p w:rsidR="00412223" w:rsidRDefault="00412223" w:rsidP="00412223">
      <w:pPr>
        <w:pStyle w:val="1"/>
        <w:spacing w:before="0" w:line="276" w:lineRule="auto"/>
        <w:rPr>
          <w:rFonts w:ascii="Times New Roman" w:hAnsi="Times New Roman" w:cs="Times New Roman"/>
          <w:b/>
          <w:color w:val="auto"/>
          <w:sz w:val="28"/>
          <w:szCs w:val="28"/>
        </w:rPr>
      </w:pPr>
    </w:p>
    <w:p w:rsidR="009D7FCE" w:rsidRPr="00C77119" w:rsidRDefault="00D80449" w:rsidP="003C4B9E">
      <w:pPr>
        <w:pStyle w:val="1"/>
        <w:spacing w:before="0" w:line="276" w:lineRule="auto"/>
        <w:jc w:val="both"/>
        <w:rPr>
          <w:rFonts w:ascii="Times New Roman" w:hAnsi="Times New Roman" w:cs="Times New Roman"/>
          <w:b/>
          <w:color w:val="auto"/>
          <w:sz w:val="28"/>
          <w:szCs w:val="28"/>
        </w:rPr>
      </w:pPr>
      <w:bookmarkStart w:id="13" w:name="_Toc515894891"/>
      <w:r w:rsidRPr="00C77119">
        <w:rPr>
          <w:rFonts w:ascii="Times New Roman" w:hAnsi="Times New Roman" w:cs="Times New Roman"/>
          <w:b/>
          <w:color w:val="auto"/>
          <w:sz w:val="28"/>
          <w:szCs w:val="28"/>
        </w:rPr>
        <w:t>3</w:t>
      </w:r>
      <w:r w:rsidR="00C947DA" w:rsidRPr="00C77119">
        <w:rPr>
          <w:rFonts w:ascii="Times New Roman" w:hAnsi="Times New Roman" w:cs="Times New Roman"/>
          <w:b/>
          <w:color w:val="auto"/>
          <w:sz w:val="28"/>
          <w:szCs w:val="28"/>
        </w:rPr>
        <w:t>.5</w:t>
      </w:r>
      <w:r w:rsidR="00C26C38" w:rsidRPr="00C77119">
        <w:rPr>
          <w:rFonts w:ascii="Times New Roman" w:hAnsi="Times New Roman" w:cs="Times New Roman"/>
          <w:b/>
          <w:color w:val="auto"/>
          <w:sz w:val="28"/>
          <w:szCs w:val="28"/>
        </w:rPr>
        <w:t xml:space="preserve">. </w:t>
      </w:r>
      <w:r w:rsidR="005477BB" w:rsidRPr="00C77119">
        <w:rPr>
          <w:rFonts w:ascii="Times New Roman" w:hAnsi="Times New Roman" w:cs="Times New Roman"/>
          <w:b/>
          <w:color w:val="auto"/>
          <w:sz w:val="28"/>
          <w:szCs w:val="28"/>
        </w:rPr>
        <w:t>Administrarea</w:t>
      </w:r>
      <w:r w:rsidR="007E56FE" w:rsidRPr="00C77119">
        <w:rPr>
          <w:rFonts w:ascii="Times New Roman" w:hAnsi="Times New Roman" w:cs="Times New Roman"/>
          <w:b/>
          <w:color w:val="auto"/>
          <w:sz w:val="28"/>
          <w:szCs w:val="28"/>
        </w:rPr>
        <w:t xml:space="preserve"> restanțelor la BPN </w:t>
      </w:r>
      <w:r w:rsidR="001A2AFC" w:rsidRPr="00C77119">
        <w:rPr>
          <w:rFonts w:ascii="Times New Roman" w:hAnsi="Times New Roman" w:cs="Times New Roman"/>
          <w:b/>
          <w:color w:val="auto"/>
          <w:sz w:val="28"/>
          <w:szCs w:val="28"/>
        </w:rPr>
        <w:t>de către organele fiscale și vamale</w:t>
      </w:r>
      <w:r w:rsidR="00D86926" w:rsidRPr="00C77119">
        <w:rPr>
          <w:rFonts w:ascii="Times New Roman" w:hAnsi="Times New Roman" w:cs="Times New Roman"/>
          <w:b/>
          <w:color w:val="auto"/>
          <w:sz w:val="28"/>
          <w:szCs w:val="28"/>
        </w:rPr>
        <w:t>.</w:t>
      </w:r>
      <w:bookmarkEnd w:id="13"/>
    </w:p>
    <w:p w:rsidR="00C26C38" w:rsidRPr="001D0846" w:rsidRDefault="00C26C38" w:rsidP="004B0DE4">
      <w:pPr>
        <w:spacing w:after="0" w:line="276" w:lineRule="auto"/>
        <w:ind w:firstLine="720"/>
        <w:jc w:val="both"/>
        <w:rPr>
          <w:rFonts w:ascii="Times New Roman" w:hAnsi="Times New Roman" w:cs="Times New Roman"/>
          <w:i/>
          <w:sz w:val="28"/>
          <w:szCs w:val="28"/>
        </w:rPr>
      </w:pPr>
      <w:r w:rsidRPr="001D0846">
        <w:rPr>
          <w:rFonts w:ascii="Times New Roman" w:hAnsi="Times New Roman" w:cs="Times New Roman"/>
          <w:i/>
          <w:sz w:val="28"/>
          <w:szCs w:val="28"/>
        </w:rPr>
        <w:t xml:space="preserve">Potrivit funcțiilor și atribuțiilor în domeniul administrării impozitelor și taxelor, SFS și SV urmau să asigure colectarea maximă a restanțelor la BPN. Deși </w:t>
      </w:r>
      <w:r w:rsidR="003776F2">
        <w:rPr>
          <w:rFonts w:ascii="Times New Roman" w:hAnsi="Times New Roman" w:cs="Times New Roman"/>
          <w:i/>
          <w:sz w:val="28"/>
          <w:szCs w:val="28"/>
        </w:rPr>
        <w:t>s-</w:t>
      </w:r>
      <w:r w:rsidRPr="001D0846">
        <w:rPr>
          <w:rFonts w:ascii="Times New Roman" w:hAnsi="Times New Roman" w:cs="Times New Roman"/>
          <w:i/>
          <w:sz w:val="28"/>
          <w:szCs w:val="28"/>
        </w:rPr>
        <w:t>au întreprins măsuri în vederea încasării plăților restante, fiind atinse unele rezultate în domeniu, situațiile constatate de audit relevă per ansamblu o evoluție ascendentă a restanțelor la BPN, inclusiv a celor nerecuperabile</w:t>
      </w:r>
      <w:r w:rsidR="003776F2">
        <w:rPr>
          <w:rFonts w:ascii="Times New Roman" w:hAnsi="Times New Roman" w:cs="Times New Roman"/>
          <w:i/>
          <w:sz w:val="28"/>
          <w:szCs w:val="28"/>
        </w:rPr>
        <w:t>,</w:t>
      </w:r>
      <w:r w:rsidRPr="001D0846">
        <w:rPr>
          <w:rFonts w:ascii="Times New Roman" w:hAnsi="Times New Roman" w:cs="Times New Roman"/>
          <w:i/>
          <w:sz w:val="28"/>
          <w:szCs w:val="28"/>
        </w:rPr>
        <w:t xml:space="preserve"> cauzată</w:t>
      </w:r>
      <w:r w:rsidR="003776F2">
        <w:rPr>
          <w:rFonts w:ascii="Times New Roman" w:hAnsi="Times New Roman" w:cs="Times New Roman"/>
          <w:i/>
          <w:sz w:val="28"/>
          <w:szCs w:val="28"/>
        </w:rPr>
        <w:t>,</w:t>
      </w:r>
      <w:r w:rsidRPr="001D0846">
        <w:rPr>
          <w:rFonts w:ascii="Times New Roman" w:hAnsi="Times New Roman" w:cs="Times New Roman"/>
          <w:i/>
          <w:sz w:val="28"/>
          <w:szCs w:val="28"/>
        </w:rPr>
        <w:t xml:space="preserve"> în special</w:t>
      </w:r>
      <w:r w:rsidR="003776F2">
        <w:rPr>
          <w:rFonts w:ascii="Times New Roman" w:hAnsi="Times New Roman" w:cs="Times New Roman"/>
          <w:i/>
          <w:sz w:val="28"/>
          <w:szCs w:val="28"/>
        </w:rPr>
        <w:t>,</w:t>
      </w:r>
      <w:r w:rsidRPr="001D0846">
        <w:rPr>
          <w:rFonts w:ascii="Times New Roman" w:hAnsi="Times New Roman" w:cs="Times New Roman"/>
          <w:i/>
          <w:sz w:val="28"/>
          <w:szCs w:val="28"/>
        </w:rPr>
        <w:t xml:space="preserve"> de gradul redus de conformare voluntară a contribuabililor, lipsa unui plan de colectare a re</w:t>
      </w:r>
      <w:r w:rsidR="004B0DE4">
        <w:rPr>
          <w:rFonts w:ascii="Times New Roman" w:hAnsi="Times New Roman" w:cs="Times New Roman"/>
          <w:i/>
          <w:sz w:val="28"/>
          <w:szCs w:val="28"/>
        </w:rPr>
        <w:t xml:space="preserve">stanțelor la BPN, </w:t>
      </w:r>
      <w:r w:rsidR="004B0DE4" w:rsidRPr="004B0DE4">
        <w:rPr>
          <w:rFonts w:ascii="Times New Roman" w:hAnsi="Times New Roman" w:cs="Times New Roman"/>
          <w:i/>
          <w:sz w:val="28"/>
          <w:szCs w:val="28"/>
        </w:rPr>
        <w:t>rezerve</w:t>
      </w:r>
      <w:r w:rsidR="003776F2">
        <w:rPr>
          <w:rFonts w:ascii="Times New Roman" w:hAnsi="Times New Roman" w:cs="Times New Roman"/>
          <w:i/>
          <w:sz w:val="28"/>
          <w:szCs w:val="28"/>
        </w:rPr>
        <w:t>le</w:t>
      </w:r>
      <w:r w:rsidR="004B0DE4" w:rsidRPr="004B0DE4">
        <w:rPr>
          <w:rFonts w:ascii="Times New Roman" w:hAnsi="Times New Roman" w:cs="Times New Roman"/>
          <w:i/>
          <w:sz w:val="28"/>
          <w:szCs w:val="28"/>
        </w:rPr>
        <w:t xml:space="preserve"> în monitorizarea activității subdiviziunilor cu atribuții de încasare silită a obligațiilor fiscale și vamale, insuficiența, </w:t>
      </w:r>
      <w:proofErr w:type="spellStart"/>
      <w:r w:rsidR="004B0DE4" w:rsidRPr="004B0DE4">
        <w:rPr>
          <w:rFonts w:ascii="Times New Roman" w:hAnsi="Times New Roman" w:cs="Times New Roman"/>
          <w:i/>
          <w:sz w:val="28"/>
          <w:szCs w:val="28"/>
        </w:rPr>
        <w:t>rezultativitatea</w:t>
      </w:r>
      <w:proofErr w:type="spellEnd"/>
      <w:r w:rsidR="004B0DE4" w:rsidRPr="004B0DE4">
        <w:rPr>
          <w:rFonts w:ascii="Times New Roman" w:hAnsi="Times New Roman" w:cs="Times New Roman"/>
          <w:i/>
          <w:sz w:val="28"/>
          <w:szCs w:val="28"/>
        </w:rPr>
        <w:t xml:space="preserve"> și funcționalitatea redus</w:t>
      </w:r>
      <w:r w:rsidR="003776F2">
        <w:rPr>
          <w:rFonts w:ascii="Times New Roman" w:hAnsi="Times New Roman" w:cs="Times New Roman"/>
          <w:i/>
          <w:sz w:val="28"/>
          <w:szCs w:val="28"/>
        </w:rPr>
        <w:t>e,</w:t>
      </w:r>
      <w:r w:rsidR="004B0DE4" w:rsidRPr="004B0DE4">
        <w:rPr>
          <w:rFonts w:ascii="Times New Roman" w:hAnsi="Times New Roman" w:cs="Times New Roman"/>
          <w:i/>
          <w:sz w:val="28"/>
          <w:szCs w:val="28"/>
        </w:rPr>
        <w:t xml:space="preserve"> în unele cazuri</w:t>
      </w:r>
      <w:r w:rsidR="003776F2">
        <w:rPr>
          <w:rFonts w:ascii="Times New Roman" w:hAnsi="Times New Roman" w:cs="Times New Roman"/>
          <w:i/>
          <w:sz w:val="28"/>
          <w:szCs w:val="28"/>
        </w:rPr>
        <w:t>,</w:t>
      </w:r>
      <w:r w:rsidR="004B0DE4" w:rsidRPr="004B0DE4">
        <w:rPr>
          <w:rFonts w:ascii="Times New Roman" w:hAnsi="Times New Roman" w:cs="Times New Roman"/>
          <w:i/>
          <w:sz w:val="28"/>
          <w:szCs w:val="28"/>
        </w:rPr>
        <w:t xml:space="preserve"> a măsurilor/ mecanismelor aplicate de SFS și SV în vederea recuperării restanțelor.</w:t>
      </w:r>
      <w:r w:rsidR="004B0DE4">
        <w:rPr>
          <w:rFonts w:ascii="Times New Roman" w:hAnsi="Times New Roman" w:cs="Times New Roman"/>
          <w:i/>
          <w:sz w:val="28"/>
          <w:szCs w:val="28"/>
        </w:rPr>
        <w:t xml:space="preserve"> </w:t>
      </w:r>
      <w:r w:rsidRPr="001D0846">
        <w:rPr>
          <w:rFonts w:ascii="Times New Roman" w:hAnsi="Times New Roman" w:cs="Times New Roman"/>
          <w:i/>
          <w:color w:val="000000"/>
          <w:sz w:val="28"/>
          <w:szCs w:val="28"/>
        </w:rPr>
        <w:t>Astfel, evaluările și activitățile desfășurate de auditul public extern în cadrul SFS și SV</w:t>
      </w:r>
      <w:r w:rsidR="003776F2">
        <w:rPr>
          <w:rFonts w:ascii="Times New Roman" w:hAnsi="Times New Roman" w:cs="Times New Roman"/>
          <w:i/>
          <w:color w:val="000000"/>
          <w:sz w:val="28"/>
          <w:szCs w:val="28"/>
        </w:rPr>
        <w:t xml:space="preserve"> </w:t>
      </w:r>
      <w:r w:rsidRPr="001D0846">
        <w:rPr>
          <w:rFonts w:ascii="Times New Roman" w:hAnsi="Times New Roman" w:cs="Times New Roman"/>
          <w:i/>
          <w:color w:val="000000"/>
          <w:sz w:val="28"/>
          <w:szCs w:val="28"/>
        </w:rPr>
        <w:t xml:space="preserve"> relevă că situația </w:t>
      </w:r>
      <w:r w:rsidR="003776F2">
        <w:rPr>
          <w:rFonts w:ascii="Times New Roman" w:hAnsi="Times New Roman" w:cs="Times New Roman"/>
          <w:i/>
          <w:color w:val="000000"/>
          <w:sz w:val="28"/>
          <w:szCs w:val="28"/>
        </w:rPr>
        <w:t xml:space="preserve">privind </w:t>
      </w:r>
      <w:r w:rsidRPr="001D0846">
        <w:rPr>
          <w:rFonts w:ascii="Times New Roman" w:hAnsi="Times New Roman" w:cs="Times New Roman"/>
          <w:i/>
          <w:color w:val="000000"/>
          <w:sz w:val="28"/>
          <w:szCs w:val="28"/>
        </w:rPr>
        <w:t>administr</w:t>
      </w:r>
      <w:r w:rsidR="003776F2">
        <w:rPr>
          <w:rFonts w:ascii="Times New Roman" w:hAnsi="Times New Roman" w:cs="Times New Roman"/>
          <w:i/>
          <w:color w:val="000000"/>
          <w:sz w:val="28"/>
          <w:szCs w:val="28"/>
        </w:rPr>
        <w:t>area</w:t>
      </w:r>
      <w:r w:rsidRPr="001D0846">
        <w:rPr>
          <w:rFonts w:ascii="Times New Roman" w:hAnsi="Times New Roman" w:cs="Times New Roman"/>
          <w:i/>
          <w:color w:val="000000"/>
          <w:sz w:val="28"/>
          <w:szCs w:val="28"/>
        </w:rPr>
        <w:t xml:space="preserve"> restanțelor la BPN rămâne a fi o problemă sistemică a administratorilor de venituri, care pe parcursul ultimilor ani nu </w:t>
      </w:r>
      <w:r w:rsidR="003776F2">
        <w:rPr>
          <w:rFonts w:ascii="Times New Roman" w:hAnsi="Times New Roman" w:cs="Times New Roman"/>
          <w:i/>
          <w:color w:val="000000"/>
          <w:sz w:val="28"/>
          <w:szCs w:val="28"/>
        </w:rPr>
        <w:t>s-</w:t>
      </w:r>
      <w:r w:rsidRPr="001D0846">
        <w:rPr>
          <w:rFonts w:ascii="Times New Roman" w:hAnsi="Times New Roman" w:cs="Times New Roman"/>
          <w:i/>
          <w:color w:val="000000"/>
          <w:sz w:val="28"/>
          <w:szCs w:val="28"/>
        </w:rPr>
        <w:t>a</w:t>
      </w:r>
      <w:r w:rsidR="003776F2">
        <w:rPr>
          <w:rFonts w:ascii="Times New Roman" w:hAnsi="Times New Roman" w:cs="Times New Roman"/>
          <w:i/>
          <w:color w:val="000000"/>
          <w:sz w:val="28"/>
          <w:szCs w:val="28"/>
        </w:rPr>
        <w:t xml:space="preserve"> </w:t>
      </w:r>
      <w:r w:rsidRPr="001D0846">
        <w:rPr>
          <w:rFonts w:ascii="Times New Roman" w:hAnsi="Times New Roman" w:cs="Times New Roman"/>
          <w:i/>
          <w:color w:val="000000"/>
          <w:sz w:val="28"/>
          <w:szCs w:val="28"/>
        </w:rPr>
        <w:t xml:space="preserve"> ameliorat, restanțele contribuabililor la BPN fiind semnificative, </w:t>
      </w:r>
      <w:r w:rsidRPr="001D0846">
        <w:rPr>
          <w:rFonts w:ascii="Times New Roman" w:hAnsi="Times New Roman" w:cs="Times New Roman"/>
          <w:i/>
          <w:sz w:val="28"/>
          <w:szCs w:val="28"/>
        </w:rPr>
        <w:t>fapt care limitează eficiența și eficacitatea administrării restanțelor.</w:t>
      </w:r>
    </w:p>
    <w:p w:rsidR="007000B1" w:rsidRDefault="004B0DE4" w:rsidP="000A475E">
      <w:pPr>
        <w:spacing w:after="0" w:line="276" w:lineRule="auto"/>
        <w:ind w:firstLine="720"/>
        <w:jc w:val="both"/>
        <w:rPr>
          <w:rFonts w:ascii="Times New Roman" w:eastAsia="Calibri" w:hAnsi="Times New Roman" w:cs="Times New Roman"/>
          <w:i/>
          <w:sz w:val="28"/>
          <w:szCs w:val="28"/>
        </w:rPr>
      </w:pPr>
      <w:r w:rsidRPr="004B0DE4">
        <w:rPr>
          <w:rFonts w:ascii="Times New Roman" w:eastAsia="Calibri" w:hAnsi="Times New Roman" w:cs="Times New Roman"/>
          <w:b/>
          <w:i/>
          <w:sz w:val="28"/>
          <w:szCs w:val="28"/>
        </w:rPr>
        <w:t>3.5.1.</w:t>
      </w:r>
      <w:r>
        <w:rPr>
          <w:rFonts w:ascii="Times New Roman" w:eastAsia="Calibri" w:hAnsi="Times New Roman" w:cs="Times New Roman"/>
          <w:sz w:val="28"/>
          <w:szCs w:val="28"/>
        </w:rPr>
        <w:t xml:space="preserve"> </w:t>
      </w:r>
      <w:r w:rsidR="00C26C38" w:rsidRPr="00C31FCA">
        <w:rPr>
          <w:rFonts w:ascii="Times New Roman" w:eastAsia="Calibri" w:hAnsi="Times New Roman" w:cs="Times New Roman"/>
          <w:sz w:val="28"/>
          <w:szCs w:val="28"/>
        </w:rPr>
        <w:t xml:space="preserve">Evidența generală a obligațiilor fiscale </w:t>
      </w:r>
      <w:r w:rsidR="00456909">
        <w:rPr>
          <w:rFonts w:ascii="Times New Roman" w:eastAsia="Calibri" w:hAnsi="Times New Roman" w:cs="Times New Roman"/>
          <w:sz w:val="28"/>
          <w:szCs w:val="28"/>
        </w:rPr>
        <w:t xml:space="preserve">restante </w:t>
      </w:r>
      <w:r w:rsidR="00C26C38" w:rsidRPr="00C31FCA">
        <w:rPr>
          <w:rFonts w:ascii="Times New Roman" w:eastAsia="Calibri" w:hAnsi="Times New Roman" w:cs="Times New Roman"/>
          <w:sz w:val="28"/>
          <w:szCs w:val="28"/>
        </w:rPr>
        <w:t>la BPN</w:t>
      </w:r>
      <w:r w:rsidR="003776F2" w:rsidRPr="00C31FCA">
        <w:rPr>
          <w:rFonts w:ascii="Times New Roman" w:eastAsia="Calibri" w:hAnsi="Times New Roman" w:cs="Times New Roman"/>
          <w:sz w:val="28"/>
          <w:szCs w:val="28"/>
        </w:rPr>
        <w:t>,</w:t>
      </w:r>
      <w:r w:rsidR="00C26C38" w:rsidRPr="00C31FCA">
        <w:rPr>
          <w:rFonts w:ascii="Times New Roman" w:eastAsia="Calibri" w:hAnsi="Times New Roman" w:cs="Times New Roman"/>
          <w:sz w:val="28"/>
          <w:szCs w:val="28"/>
        </w:rPr>
        <w:t xml:space="preserve"> administrată de SFS</w:t>
      </w:r>
      <w:r w:rsidR="003776F2" w:rsidRPr="00C31FCA">
        <w:rPr>
          <w:rFonts w:ascii="Times New Roman" w:eastAsia="Calibri" w:hAnsi="Times New Roman" w:cs="Times New Roman"/>
          <w:sz w:val="28"/>
          <w:szCs w:val="28"/>
        </w:rPr>
        <w:t>,</w:t>
      </w:r>
      <w:r w:rsidR="00C26C38" w:rsidRPr="00C31FCA">
        <w:rPr>
          <w:rFonts w:ascii="Times New Roman" w:eastAsia="Calibri" w:hAnsi="Times New Roman" w:cs="Times New Roman"/>
          <w:sz w:val="28"/>
          <w:szCs w:val="28"/>
        </w:rPr>
        <w:t xml:space="preserve"> însumează obligații în valoare totală</w:t>
      </w:r>
      <w:r w:rsidR="007000B1" w:rsidRPr="00C31FCA">
        <w:rPr>
          <w:rFonts w:ascii="Times New Roman" w:eastAsia="Calibri" w:hAnsi="Times New Roman" w:cs="Times New Roman"/>
          <w:sz w:val="28"/>
          <w:szCs w:val="28"/>
        </w:rPr>
        <w:t xml:space="preserve"> de 11216,3 mil.lei</w:t>
      </w:r>
      <w:r w:rsidR="003776F2" w:rsidRPr="00C31FCA">
        <w:rPr>
          <w:rFonts w:ascii="Times New Roman" w:eastAsia="Calibri" w:hAnsi="Times New Roman" w:cs="Times New Roman"/>
          <w:sz w:val="28"/>
          <w:szCs w:val="28"/>
        </w:rPr>
        <w:t>,</w:t>
      </w:r>
      <w:r w:rsidR="007000B1" w:rsidRPr="00C31FCA">
        <w:rPr>
          <w:rFonts w:ascii="Times New Roman" w:eastAsia="Calibri" w:hAnsi="Times New Roman" w:cs="Times New Roman"/>
          <w:sz w:val="28"/>
          <w:szCs w:val="28"/>
        </w:rPr>
        <w:t xml:space="preserve"> ce includ</w:t>
      </w:r>
      <w:r w:rsidR="00C26C38" w:rsidRPr="00C31FCA">
        <w:rPr>
          <w:rFonts w:ascii="Times New Roman" w:eastAsia="Calibri" w:hAnsi="Times New Roman" w:cs="Times New Roman"/>
          <w:sz w:val="28"/>
          <w:szCs w:val="28"/>
        </w:rPr>
        <w:t xml:space="preserve"> obligațiile luate la evidența</w:t>
      </w:r>
      <w:r w:rsidR="00C26C38" w:rsidRPr="001D0846">
        <w:rPr>
          <w:rFonts w:ascii="Times New Roman" w:eastAsia="Calibri" w:hAnsi="Times New Roman" w:cs="Times New Roman"/>
          <w:sz w:val="28"/>
          <w:szCs w:val="28"/>
        </w:rPr>
        <w:t xml:space="preserve"> specială (temporar nerecuperabile</w:t>
      </w:r>
      <w:r w:rsidR="003776F2">
        <w:rPr>
          <w:rFonts w:ascii="Times New Roman" w:eastAsia="Calibri" w:hAnsi="Times New Roman" w:cs="Times New Roman"/>
          <w:sz w:val="28"/>
          <w:szCs w:val="28"/>
        </w:rPr>
        <w:t>,</w:t>
      </w:r>
      <w:r w:rsidR="00C26C38" w:rsidRPr="001D0846">
        <w:rPr>
          <w:rFonts w:ascii="Times New Roman" w:eastAsia="Calibri" w:hAnsi="Times New Roman" w:cs="Times New Roman"/>
          <w:sz w:val="28"/>
          <w:szCs w:val="28"/>
        </w:rPr>
        <w:t xml:space="preserve"> sau cu grad redus de recuperare)</w:t>
      </w:r>
      <w:r w:rsidR="003776F2">
        <w:rPr>
          <w:rFonts w:ascii="Times New Roman" w:eastAsia="Calibri" w:hAnsi="Times New Roman" w:cs="Times New Roman"/>
          <w:sz w:val="28"/>
          <w:szCs w:val="28"/>
        </w:rPr>
        <w:t>,</w:t>
      </w:r>
      <w:r w:rsidR="00C26C38" w:rsidRPr="001D0846">
        <w:rPr>
          <w:rFonts w:ascii="Times New Roman" w:eastAsia="Calibri" w:hAnsi="Times New Roman" w:cs="Times New Roman"/>
          <w:sz w:val="28"/>
          <w:szCs w:val="28"/>
        </w:rPr>
        <w:t xml:space="preserve"> care la 31.12.20</w:t>
      </w:r>
      <w:r w:rsidR="00C31FCA">
        <w:rPr>
          <w:rFonts w:ascii="Times New Roman" w:eastAsia="Calibri" w:hAnsi="Times New Roman" w:cs="Times New Roman"/>
          <w:sz w:val="28"/>
          <w:szCs w:val="28"/>
        </w:rPr>
        <w:t>17 au constituit 9034,3 mil.lei</w:t>
      </w:r>
      <w:r w:rsidR="00C26C38" w:rsidRPr="001D0846">
        <w:rPr>
          <w:rFonts w:ascii="Times New Roman" w:eastAsia="Calibri" w:hAnsi="Times New Roman" w:cs="Times New Roman"/>
          <w:sz w:val="28"/>
          <w:szCs w:val="28"/>
        </w:rPr>
        <w:t xml:space="preserve"> </w:t>
      </w:r>
      <w:r w:rsidR="00C31FCA">
        <w:rPr>
          <w:rFonts w:ascii="Times New Roman" w:eastAsia="Calibri" w:hAnsi="Times New Roman" w:cs="Times New Roman"/>
          <w:sz w:val="28"/>
          <w:szCs w:val="28"/>
        </w:rPr>
        <w:t>(</w:t>
      </w:r>
      <w:r w:rsidR="00C26C38" w:rsidRPr="001D0846">
        <w:rPr>
          <w:rFonts w:ascii="Times New Roman" w:eastAsia="Calibri" w:hAnsi="Times New Roman" w:cs="Times New Roman"/>
          <w:sz w:val="28"/>
          <w:szCs w:val="28"/>
        </w:rPr>
        <w:t>80,5% din totalul obligațiilor fiscale</w:t>
      </w:r>
      <w:r w:rsidR="00C31FCA">
        <w:rPr>
          <w:rFonts w:ascii="Times New Roman" w:eastAsia="Calibri" w:hAnsi="Times New Roman" w:cs="Times New Roman"/>
          <w:sz w:val="28"/>
          <w:szCs w:val="28"/>
        </w:rPr>
        <w:t>)</w:t>
      </w:r>
      <w:r w:rsidR="00C26C38" w:rsidRPr="001D0846">
        <w:rPr>
          <w:rFonts w:ascii="Times New Roman" w:eastAsia="Calibri" w:hAnsi="Times New Roman" w:cs="Times New Roman"/>
          <w:sz w:val="28"/>
          <w:szCs w:val="28"/>
        </w:rPr>
        <w:t>, precum și restanțele contribuabililor (recuperabile)</w:t>
      </w:r>
      <w:r w:rsidR="003776F2">
        <w:rPr>
          <w:rFonts w:ascii="Times New Roman" w:eastAsia="Calibri" w:hAnsi="Times New Roman" w:cs="Times New Roman"/>
          <w:sz w:val="28"/>
          <w:szCs w:val="28"/>
        </w:rPr>
        <w:t>,</w:t>
      </w:r>
      <w:r w:rsidR="00C26C38" w:rsidRPr="001D0846">
        <w:rPr>
          <w:rFonts w:ascii="Times New Roman" w:eastAsia="Calibri" w:hAnsi="Times New Roman" w:cs="Times New Roman"/>
          <w:sz w:val="28"/>
          <w:szCs w:val="28"/>
        </w:rPr>
        <w:t xml:space="preserve"> care la 31.12.2017 constitui</w:t>
      </w:r>
      <w:r w:rsidR="003776F2">
        <w:rPr>
          <w:rFonts w:ascii="Times New Roman" w:eastAsia="Calibri" w:hAnsi="Times New Roman" w:cs="Times New Roman"/>
          <w:sz w:val="28"/>
          <w:szCs w:val="28"/>
        </w:rPr>
        <w:t>au</w:t>
      </w:r>
      <w:r w:rsidR="00C26C38" w:rsidRPr="001D0846">
        <w:rPr>
          <w:rFonts w:ascii="Times New Roman" w:eastAsia="Calibri" w:hAnsi="Times New Roman" w:cs="Times New Roman"/>
          <w:sz w:val="28"/>
          <w:szCs w:val="28"/>
        </w:rPr>
        <w:t xml:space="preserve"> 2182</w:t>
      </w:r>
      <w:r w:rsidR="003776F2">
        <w:rPr>
          <w:rFonts w:ascii="Times New Roman" w:eastAsia="Calibri" w:hAnsi="Times New Roman" w:cs="Times New Roman"/>
          <w:sz w:val="28"/>
          <w:szCs w:val="28"/>
        </w:rPr>
        <w:t>,0</w:t>
      </w:r>
      <w:r w:rsidR="00C26C38" w:rsidRPr="001D0846">
        <w:rPr>
          <w:rFonts w:ascii="Times New Roman" w:eastAsia="Calibri" w:hAnsi="Times New Roman" w:cs="Times New Roman"/>
          <w:sz w:val="28"/>
          <w:szCs w:val="28"/>
        </w:rPr>
        <w:t xml:space="preserve"> mil.lei, sau 19,5% din totalul obligațiilor fiscale.</w:t>
      </w:r>
      <w:r w:rsidR="000876B4" w:rsidRPr="001D0846">
        <w:rPr>
          <w:rFonts w:ascii="Times New Roman" w:eastAsia="Calibri" w:hAnsi="Times New Roman" w:cs="Times New Roman"/>
          <w:sz w:val="28"/>
          <w:szCs w:val="28"/>
        </w:rPr>
        <w:t xml:space="preserve"> </w:t>
      </w:r>
      <w:r w:rsidR="000876B4" w:rsidRPr="004B0DE4">
        <w:rPr>
          <w:rFonts w:ascii="Times New Roman" w:eastAsia="Calibri" w:hAnsi="Times New Roman" w:cs="Times New Roman"/>
          <w:i/>
          <w:sz w:val="28"/>
          <w:szCs w:val="28"/>
        </w:rPr>
        <w:t>Structura obligațiilor fiscal</w:t>
      </w:r>
      <w:r w:rsidRPr="004B0DE4">
        <w:rPr>
          <w:rFonts w:ascii="Times New Roman" w:eastAsia="Calibri" w:hAnsi="Times New Roman" w:cs="Times New Roman"/>
          <w:i/>
          <w:sz w:val="28"/>
          <w:szCs w:val="28"/>
        </w:rPr>
        <w:t>e</w:t>
      </w:r>
      <w:r w:rsidR="000876B4" w:rsidRPr="004B0DE4">
        <w:rPr>
          <w:rFonts w:ascii="Times New Roman" w:eastAsia="Calibri" w:hAnsi="Times New Roman" w:cs="Times New Roman"/>
          <w:i/>
          <w:sz w:val="28"/>
          <w:szCs w:val="28"/>
        </w:rPr>
        <w:t xml:space="preserve"> </w:t>
      </w:r>
      <w:r w:rsidR="007000B1">
        <w:rPr>
          <w:rFonts w:ascii="Times New Roman" w:eastAsia="Calibri" w:hAnsi="Times New Roman" w:cs="Times New Roman"/>
          <w:i/>
          <w:sz w:val="28"/>
          <w:szCs w:val="28"/>
        </w:rPr>
        <w:t xml:space="preserve">restante la BPN </w:t>
      </w:r>
      <w:r w:rsidR="003776F2">
        <w:rPr>
          <w:rFonts w:ascii="Times New Roman" w:eastAsia="Calibri" w:hAnsi="Times New Roman" w:cs="Times New Roman"/>
          <w:i/>
          <w:sz w:val="28"/>
          <w:szCs w:val="28"/>
        </w:rPr>
        <w:t>este</w:t>
      </w:r>
      <w:r w:rsidR="000876B4" w:rsidRPr="004B0DE4">
        <w:rPr>
          <w:rFonts w:ascii="Times New Roman" w:eastAsia="Calibri" w:hAnsi="Times New Roman" w:cs="Times New Roman"/>
          <w:i/>
          <w:sz w:val="28"/>
          <w:szCs w:val="28"/>
        </w:rPr>
        <w:t xml:space="preserve"> prez</w:t>
      </w:r>
      <w:r w:rsidR="003776F2">
        <w:rPr>
          <w:rFonts w:ascii="Times New Roman" w:eastAsia="Calibri" w:hAnsi="Times New Roman" w:cs="Times New Roman"/>
          <w:i/>
          <w:sz w:val="28"/>
          <w:szCs w:val="28"/>
        </w:rPr>
        <w:t>enta</w:t>
      </w:r>
      <w:r w:rsidR="000876B4" w:rsidRPr="004B0DE4">
        <w:rPr>
          <w:rFonts w:ascii="Times New Roman" w:eastAsia="Calibri" w:hAnsi="Times New Roman" w:cs="Times New Roman"/>
          <w:i/>
          <w:sz w:val="28"/>
          <w:szCs w:val="28"/>
        </w:rPr>
        <w:t xml:space="preserve">tă </w:t>
      </w:r>
      <w:r w:rsidR="007000B1">
        <w:rPr>
          <w:rFonts w:ascii="Times New Roman" w:eastAsia="Calibri" w:hAnsi="Times New Roman" w:cs="Times New Roman"/>
          <w:i/>
          <w:sz w:val="28"/>
          <w:szCs w:val="28"/>
        </w:rPr>
        <w:t>în Tabelul nr.11.</w:t>
      </w:r>
    </w:p>
    <w:p w:rsidR="007000B1" w:rsidRPr="007000B1" w:rsidRDefault="007000B1" w:rsidP="007000B1">
      <w:pPr>
        <w:spacing w:after="0" w:line="276" w:lineRule="auto"/>
        <w:ind w:firstLine="720"/>
        <w:jc w:val="right"/>
        <w:rPr>
          <w:rFonts w:ascii="Times New Roman" w:eastAsia="Calibri" w:hAnsi="Times New Roman" w:cs="Times New Roman"/>
          <w:b/>
          <w:i/>
          <w:sz w:val="28"/>
          <w:szCs w:val="28"/>
        </w:rPr>
      </w:pPr>
      <w:r w:rsidRPr="007000B1">
        <w:rPr>
          <w:rFonts w:ascii="Times New Roman" w:eastAsia="Calibri" w:hAnsi="Times New Roman" w:cs="Times New Roman"/>
          <w:b/>
          <w:i/>
          <w:sz w:val="28"/>
          <w:szCs w:val="28"/>
        </w:rPr>
        <w:lastRenderedPageBreak/>
        <w:t>Tabelul nr.11</w:t>
      </w:r>
    </w:p>
    <w:p w:rsidR="007000B1" w:rsidRDefault="007000B1" w:rsidP="007000B1">
      <w:pPr>
        <w:spacing w:after="0" w:line="276" w:lineRule="auto"/>
        <w:ind w:firstLine="720"/>
        <w:jc w:val="right"/>
        <w:rPr>
          <w:rFonts w:ascii="Times New Roman" w:eastAsia="Calibri" w:hAnsi="Times New Roman" w:cs="Times New Roman"/>
          <w:i/>
          <w:sz w:val="28"/>
          <w:szCs w:val="28"/>
        </w:rPr>
      </w:pPr>
      <w:r>
        <w:rPr>
          <w:rFonts w:ascii="Times New Roman" w:eastAsia="Calibri" w:hAnsi="Times New Roman" w:cs="Times New Roman"/>
          <w:i/>
          <w:sz w:val="28"/>
          <w:szCs w:val="28"/>
        </w:rPr>
        <w:t>(mil.lei)</w:t>
      </w:r>
    </w:p>
    <w:tbl>
      <w:tblPr>
        <w:tblStyle w:val="a3"/>
        <w:tblpPr w:leftFromText="180" w:rightFromText="180" w:vertAnchor="text" w:horzAnchor="margin" w:tblpY="7"/>
        <w:tblW w:w="0" w:type="auto"/>
        <w:tblLook w:val="04A0" w:firstRow="1" w:lastRow="0" w:firstColumn="1" w:lastColumn="0" w:noHBand="0" w:noVBand="1"/>
      </w:tblPr>
      <w:tblGrid>
        <w:gridCol w:w="724"/>
        <w:gridCol w:w="3321"/>
        <w:gridCol w:w="3025"/>
        <w:gridCol w:w="2274"/>
      </w:tblGrid>
      <w:tr w:rsidR="007000B1" w:rsidTr="007000B1">
        <w:tc>
          <w:tcPr>
            <w:tcW w:w="724" w:type="dxa"/>
          </w:tcPr>
          <w:p w:rsidR="007000B1" w:rsidRPr="007000B1" w:rsidRDefault="007000B1" w:rsidP="007000B1">
            <w:pPr>
              <w:spacing w:line="276" w:lineRule="auto"/>
              <w:jc w:val="center"/>
              <w:rPr>
                <w:rFonts w:ascii="Times New Roman" w:eastAsia="Calibri" w:hAnsi="Times New Roman" w:cs="Times New Roman"/>
                <w:b/>
                <w:sz w:val="24"/>
                <w:szCs w:val="24"/>
              </w:rPr>
            </w:pPr>
            <w:r w:rsidRPr="007000B1">
              <w:rPr>
                <w:rFonts w:ascii="Times New Roman" w:eastAsia="Calibri" w:hAnsi="Times New Roman" w:cs="Times New Roman"/>
                <w:b/>
                <w:sz w:val="24"/>
                <w:szCs w:val="24"/>
              </w:rPr>
              <w:t>Anul</w:t>
            </w:r>
          </w:p>
        </w:tc>
        <w:tc>
          <w:tcPr>
            <w:tcW w:w="3321" w:type="dxa"/>
          </w:tcPr>
          <w:p w:rsidR="007000B1" w:rsidRPr="007000B1" w:rsidRDefault="007000B1" w:rsidP="007000B1">
            <w:pPr>
              <w:spacing w:line="276" w:lineRule="auto"/>
              <w:jc w:val="both"/>
              <w:rPr>
                <w:rFonts w:ascii="Times New Roman" w:eastAsia="Calibri" w:hAnsi="Times New Roman" w:cs="Times New Roman"/>
                <w:b/>
                <w:sz w:val="24"/>
                <w:szCs w:val="24"/>
              </w:rPr>
            </w:pPr>
            <w:r w:rsidRPr="007000B1">
              <w:rPr>
                <w:rFonts w:ascii="Times New Roman" w:eastAsia="Calibri" w:hAnsi="Times New Roman" w:cs="Times New Roman"/>
                <w:b/>
                <w:sz w:val="24"/>
                <w:szCs w:val="24"/>
              </w:rPr>
              <w:t>Total</w:t>
            </w:r>
            <w:r w:rsidR="003776F2">
              <w:rPr>
                <w:rFonts w:ascii="Times New Roman" w:eastAsia="Calibri" w:hAnsi="Times New Roman" w:cs="Times New Roman"/>
                <w:b/>
                <w:sz w:val="24"/>
                <w:szCs w:val="24"/>
              </w:rPr>
              <w:t>,</w:t>
            </w:r>
            <w:r w:rsidRPr="007000B1">
              <w:rPr>
                <w:rFonts w:ascii="Times New Roman" w:eastAsia="Calibri" w:hAnsi="Times New Roman" w:cs="Times New Roman"/>
                <w:b/>
                <w:sz w:val="24"/>
                <w:szCs w:val="24"/>
              </w:rPr>
              <w:t xml:space="preserve"> obligații fiscale restante</w:t>
            </w:r>
          </w:p>
        </w:tc>
        <w:tc>
          <w:tcPr>
            <w:tcW w:w="3025" w:type="dxa"/>
          </w:tcPr>
          <w:p w:rsidR="007000B1" w:rsidRPr="007000B1" w:rsidRDefault="00020547" w:rsidP="00020547">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Obligații fiscale </w:t>
            </w:r>
            <w:r w:rsidR="007000B1" w:rsidRPr="00020547">
              <w:rPr>
                <w:rFonts w:ascii="Times New Roman" w:eastAsia="Calibri" w:hAnsi="Times New Roman" w:cs="Times New Roman"/>
                <w:b/>
                <w:sz w:val="24"/>
                <w:szCs w:val="24"/>
              </w:rPr>
              <w:t>luate la evidența specială</w:t>
            </w:r>
          </w:p>
        </w:tc>
        <w:tc>
          <w:tcPr>
            <w:tcW w:w="2274" w:type="dxa"/>
          </w:tcPr>
          <w:p w:rsidR="007000B1" w:rsidRPr="007000B1" w:rsidRDefault="007000B1" w:rsidP="00020547">
            <w:pPr>
              <w:spacing w:line="276" w:lineRule="auto"/>
              <w:jc w:val="center"/>
              <w:rPr>
                <w:rFonts w:ascii="Times New Roman" w:eastAsia="Calibri" w:hAnsi="Times New Roman" w:cs="Times New Roman"/>
                <w:b/>
                <w:sz w:val="24"/>
                <w:szCs w:val="24"/>
              </w:rPr>
            </w:pPr>
            <w:r w:rsidRPr="00020547">
              <w:rPr>
                <w:rFonts w:ascii="Times New Roman" w:eastAsia="Calibri" w:hAnsi="Times New Roman" w:cs="Times New Roman"/>
                <w:b/>
                <w:sz w:val="24"/>
                <w:szCs w:val="24"/>
              </w:rPr>
              <w:t xml:space="preserve">Restanțe </w:t>
            </w:r>
            <w:r w:rsidR="00020547">
              <w:rPr>
                <w:rFonts w:ascii="Times New Roman" w:eastAsia="Calibri" w:hAnsi="Times New Roman" w:cs="Times New Roman"/>
                <w:b/>
                <w:sz w:val="24"/>
                <w:szCs w:val="24"/>
              </w:rPr>
              <w:t>ale contribuabililor</w:t>
            </w:r>
          </w:p>
        </w:tc>
      </w:tr>
      <w:tr w:rsidR="007000B1" w:rsidRPr="007000B1" w:rsidTr="007000B1">
        <w:tc>
          <w:tcPr>
            <w:tcW w:w="724" w:type="dxa"/>
          </w:tcPr>
          <w:p w:rsidR="007000B1" w:rsidRPr="007000B1" w:rsidRDefault="007000B1" w:rsidP="007000B1">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2015</w:t>
            </w:r>
          </w:p>
        </w:tc>
        <w:tc>
          <w:tcPr>
            <w:tcW w:w="3321" w:type="dxa"/>
          </w:tcPr>
          <w:p w:rsidR="007000B1" w:rsidRPr="007000B1" w:rsidRDefault="007000B1" w:rsidP="007000B1">
            <w:pPr>
              <w:spacing w:line="276" w:lineRule="auto"/>
              <w:jc w:val="center"/>
              <w:rPr>
                <w:rFonts w:ascii="Times New Roman" w:eastAsia="Calibri" w:hAnsi="Times New Roman" w:cs="Times New Roman"/>
                <w:b/>
                <w:sz w:val="24"/>
                <w:szCs w:val="24"/>
              </w:rPr>
            </w:pPr>
            <w:r w:rsidRPr="007000B1">
              <w:rPr>
                <w:rFonts w:ascii="Times New Roman" w:eastAsia="Times New Roman" w:hAnsi="Times New Roman" w:cs="Times New Roman"/>
                <w:sz w:val="24"/>
                <w:szCs w:val="24"/>
                <w:lang w:eastAsia="ru-RU"/>
              </w:rPr>
              <w:t>6411,7</w:t>
            </w:r>
          </w:p>
        </w:tc>
        <w:tc>
          <w:tcPr>
            <w:tcW w:w="3025"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4567,1</w:t>
            </w:r>
          </w:p>
        </w:tc>
        <w:tc>
          <w:tcPr>
            <w:tcW w:w="2274" w:type="dxa"/>
          </w:tcPr>
          <w:p w:rsidR="007000B1" w:rsidRPr="007000B1" w:rsidRDefault="007000B1" w:rsidP="007000B1">
            <w:pPr>
              <w:spacing w:line="276" w:lineRule="auto"/>
              <w:jc w:val="center"/>
              <w:rPr>
                <w:rFonts w:ascii="Times New Roman" w:eastAsia="Calibri" w:hAnsi="Times New Roman" w:cs="Times New Roman"/>
                <w:b/>
                <w:i/>
                <w:sz w:val="24"/>
                <w:szCs w:val="24"/>
              </w:rPr>
            </w:pPr>
            <w:r w:rsidRPr="007000B1">
              <w:rPr>
                <w:rFonts w:ascii="Times New Roman" w:eastAsia="Times New Roman" w:hAnsi="Times New Roman" w:cs="Times New Roman"/>
                <w:iCs/>
                <w:sz w:val="24"/>
                <w:szCs w:val="24"/>
              </w:rPr>
              <w:t>1844,6</w:t>
            </w:r>
          </w:p>
        </w:tc>
      </w:tr>
      <w:tr w:rsidR="007000B1" w:rsidRPr="007000B1" w:rsidTr="007000B1">
        <w:tc>
          <w:tcPr>
            <w:tcW w:w="724" w:type="dxa"/>
          </w:tcPr>
          <w:p w:rsidR="007000B1" w:rsidRPr="007000B1" w:rsidRDefault="007000B1" w:rsidP="007000B1">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2016</w:t>
            </w:r>
          </w:p>
        </w:tc>
        <w:tc>
          <w:tcPr>
            <w:tcW w:w="3321"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6971,6</w:t>
            </w:r>
          </w:p>
        </w:tc>
        <w:tc>
          <w:tcPr>
            <w:tcW w:w="3025"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5145,6</w:t>
            </w:r>
          </w:p>
        </w:tc>
        <w:tc>
          <w:tcPr>
            <w:tcW w:w="2274"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iCs/>
                <w:sz w:val="24"/>
                <w:szCs w:val="24"/>
              </w:rPr>
              <w:t>1826,0</w:t>
            </w:r>
          </w:p>
        </w:tc>
      </w:tr>
      <w:tr w:rsidR="007000B1" w:rsidRPr="007000B1" w:rsidTr="007000B1">
        <w:tc>
          <w:tcPr>
            <w:tcW w:w="724" w:type="dxa"/>
          </w:tcPr>
          <w:p w:rsidR="007000B1" w:rsidRPr="007000B1" w:rsidRDefault="007000B1" w:rsidP="007000B1">
            <w:pPr>
              <w:spacing w:line="276" w:lineRule="auto"/>
              <w:jc w:val="center"/>
              <w:rPr>
                <w:rFonts w:ascii="Times New Roman" w:eastAsia="Calibri" w:hAnsi="Times New Roman" w:cs="Times New Roman"/>
                <w:sz w:val="24"/>
                <w:szCs w:val="24"/>
              </w:rPr>
            </w:pPr>
            <w:r w:rsidRPr="007000B1">
              <w:rPr>
                <w:rFonts w:ascii="Times New Roman" w:eastAsia="Calibri" w:hAnsi="Times New Roman" w:cs="Times New Roman"/>
                <w:sz w:val="24"/>
                <w:szCs w:val="24"/>
              </w:rPr>
              <w:t>2017</w:t>
            </w:r>
          </w:p>
        </w:tc>
        <w:tc>
          <w:tcPr>
            <w:tcW w:w="3321"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11216,2</w:t>
            </w:r>
          </w:p>
        </w:tc>
        <w:tc>
          <w:tcPr>
            <w:tcW w:w="3025"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sz w:val="24"/>
                <w:szCs w:val="24"/>
                <w:lang w:eastAsia="ru-RU"/>
              </w:rPr>
              <w:t>9034,3</w:t>
            </w:r>
          </w:p>
        </w:tc>
        <w:tc>
          <w:tcPr>
            <w:tcW w:w="2274" w:type="dxa"/>
          </w:tcPr>
          <w:p w:rsidR="007000B1" w:rsidRPr="007000B1" w:rsidRDefault="007000B1" w:rsidP="007000B1">
            <w:pPr>
              <w:spacing w:line="276" w:lineRule="auto"/>
              <w:jc w:val="center"/>
              <w:rPr>
                <w:rFonts w:ascii="Times New Roman" w:eastAsia="Calibri" w:hAnsi="Times New Roman" w:cs="Times New Roman"/>
                <w:i/>
                <w:sz w:val="24"/>
                <w:szCs w:val="24"/>
              </w:rPr>
            </w:pPr>
            <w:r w:rsidRPr="007000B1">
              <w:rPr>
                <w:rFonts w:ascii="Times New Roman" w:eastAsia="Times New Roman" w:hAnsi="Times New Roman" w:cs="Times New Roman"/>
                <w:iCs/>
                <w:sz w:val="24"/>
                <w:szCs w:val="24"/>
              </w:rPr>
              <w:t>2181,9</w:t>
            </w:r>
          </w:p>
        </w:tc>
      </w:tr>
    </w:tbl>
    <w:p w:rsidR="00085D11" w:rsidRPr="001D0846" w:rsidRDefault="00085D11" w:rsidP="00092C9C">
      <w:pPr>
        <w:spacing w:after="0" w:line="276" w:lineRule="auto"/>
        <w:jc w:val="both"/>
        <w:rPr>
          <w:rFonts w:ascii="Times New Roman" w:eastAsia="Calibri" w:hAnsi="Times New Roman" w:cs="Times New Roman"/>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 generalizate de către echipa de audit în baza dărilor de seamă privind restanțele la BPN administrate de SFS pe anii 2015-2017.</w:t>
      </w:r>
    </w:p>
    <w:p w:rsidR="00085D11" w:rsidRPr="001D0846" w:rsidRDefault="00085D11" w:rsidP="00085D11">
      <w:pPr>
        <w:spacing w:after="0" w:line="276" w:lineRule="auto"/>
        <w:ind w:firstLine="720"/>
        <w:jc w:val="both"/>
        <w:rPr>
          <w:rFonts w:ascii="Times New Roman" w:eastAsia="Calibri" w:hAnsi="Times New Roman" w:cs="Times New Roman"/>
          <w:sz w:val="20"/>
          <w:szCs w:val="20"/>
        </w:rPr>
      </w:pPr>
    </w:p>
    <w:p w:rsidR="00C26C38" w:rsidRPr="001D0846" w:rsidRDefault="00C26C38" w:rsidP="006358AD">
      <w:pPr>
        <w:spacing w:after="0" w:line="276" w:lineRule="auto"/>
        <w:ind w:firstLine="709"/>
        <w:jc w:val="both"/>
        <w:rPr>
          <w:rFonts w:ascii="Times New Roman" w:eastAsia="Calibri" w:hAnsi="Times New Roman" w:cs="Times New Roman"/>
          <w:i/>
          <w:sz w:val="28"/>
          <w:szCs w:val="28"/>
        </w:rPr>
      </w:pPr>
      <w:r w:rsidRPr="00020547">
        <w:rPr>
          <w:rFonts w:ascii="Times New Roman" w:eastAsia="Calibri" w:hAnsi="Times New Roman" w:cs="Times New Roman"/>
          <w:i/>
          <w:sz w:val="28"/>
          <w:szCs w:val="28"/>
        </w:rPr>
        <w:t>Informația privind evoluția în dinamică a obligațiilor fiscale</w:t>
      </w:r>
      <w:r w:rsidR="004251A7" w:rsidRPr="00020547">
        <w:rPr>
          <w:rFonts w:ascii="Times New Roman" w:eastAsia="Calibri" w:hAnsi="Times New Roman" w:cs="Times New Roman"/>
          <w:i/>
          <w:sz w:val="28"/>
          <w:szCs w:val="28"/>
        </w:rPr>
        <w:t xml:space="preserve"> </w:t>
      </w:r>
      <w:r w:rsidR="00456909">
        <w:rPr>
          <w:rFonts w:ascii="Times New Roman" w:eastAsia="Calibri" w:hAnsi="Times New Roman" w:cs="Times New Roman"/>
          <w:i/>
          <w:sz w:val="28"/>
          <w:szCs w:val="28"/>
        </w:rPr>
        <w:t xml:space="preserve">restante </w:t>
      </w:r>
      <w:r w:rsidRPr="00020547">
        <w:rPr>
          <w:rFonts w:ascii="Times New Roman" w:eastAsia="Calibri" w:hAnsi="Times New Roman" w:cs="Times New Roman"/>
          <w:i/>
          <w:sz w:val="28"/>
          <w:szCs w:val="28"/>
        </w:rPr>
        <w:t xml:space="preserve">la BPN din evidența generală administrată de SFS </w:t>
      </w:r>
      <w:r w:rsidR="003776F2" w:rsidRPr="00020547">
        <w:rPr>
          <w:rFonts w:ascii="Times New Roman" w:eastAsia="Calibri" w:hAnsi="Times New Roman" w:cs="Times New Roman"/>
          <w:i/>
          <w:sz w:val="28"/>
          <w:szCs w:val="28"/>
        </w:rPr>
        <w:t>este</w:t>
      </w:r>
      <w:r w:rsidR="00183E36" w:rsidRPr="00020547">
        <w:rPr>
          <w:rFonts w:ascii="Times New Roman" w:eastAsia="Calibri" w:hAnsi="Times New Roman" w:cs="Times New Roman"/>
          <w:i/>
          <w:sz w:val="28"/>
          <w:szCs w:val="28"/>
        </w:rPr>
        <w:t xml:space="preserve"> prez</w:t>
      </w:r>
      <w:r w:rsidR="003776F2" w:rsidRPr="00020547">
        <w:rPr>
          <w:rFonts w:ascii="Times New Roman" w:eastAsia="Calibri" w:hAnsi="Times New Roman" w:cs="Times New Roman"/>
          <w:i/>
          <w:sz w:val="28"/>
          <w:szCs w:val="28"/>
        </w:rPr>
        <w:t>enta</w:t>
      </w:r>
      <w:r w:rsidR="00183E36" w:rsidRPr="00020547">
        <w:rPr>
          <w:rFonts w:ascii="Times New Roman" w:eastAsia="Calibri" w:hAnsi="Times New Roman" w:cs="Times New Roman"/>
          <w:i/>
          <w:sz w:val="28"/>
          <w:szCs w:val="28"/>
        </w:rPr>
        <w:t>tă în Tabelul nr.1</w:t>
      </w:r>
      <w:r w:rsidR="00576E18" w:rsidRPr="00020547">
        <w:rPr>
          <w:rFonts w:ascii="Times New Roman" w:eastAsia="Calibri" w:hAnsi="Times New Roman" w:cs="Times New Roman"/>
          <w:i/>
          <w:sz w:val="28"/>
          <w:szCs w:val="28"/>
        </w:rPr>
        <w:t>2</w:t>
      </w:r>
      <w:r w:rsidR="00183E36" w:rsidRPr="00020547">
        <w:rPr>
          <w:rFonts w:ascii="Times New Roman" w:eastAsia="Calibri" w:hAnsi="Times New Roman" w:cs="Times New Roman"/>
          <w:i/>
          <w:sz w:val="28"/>
          <w:szCs w:val="28"/>
        </w:rPr>
        <w:t xml:space="preserve"> din Anexa nr.3</w:t>
      </w:r>
      <w:r w:rsidRPr="00020547">
        <w:rPr>
          <w:rFonts w:ascii="Times New Roman" w:eastAsia="Calibri" w:hAnsi="Times New Roman" w:cs="Times New Roman"/>
          <w:i/>
          <w:sz w:val="28"/>
          <w:szCs w:val="28"/>
        </w:rPr>
        <w:t xml:space="preserve"> la Raport</w:t>
      </w:r>
      <w:r w:rsidR="003776F2" w:rsidRPr="00020547">
        <w:rPr>
          <w:rFonts w:ascii="Times New Roman" w:eastAsia="Calibri" w:hAnsi="Times New Roman" w:cs="Times New Roman"/>
          <w:i/>
          <w:sz w:val="28"/>
          <w:szCs w:val="28"/>
        </w:rPr>
        <w:t>ul</w:t>
      </w:r>
      <w:r w:rsidRPr="00020547">
        <w:rPr>
          <w:rFonts w:ascii="Times New Roman" w:eastAsia="Calibri" w:hAnsi="Times New Roman" w:cs="Times New Roman"/>
          <w:i/>
          <w:sz w:val="28"/>
          <w:szCs w:val="28"/>
        </w:rPr>
        <w:t xml:space="preserve"> de audit.</w:t>
      </w:r>
    </w:p>
    <w:p w:rsidR="00C26C38" w:rsidRPr="001D0846" w:rsidRDefault="00C26C38" w:rsidP="006358AD">
      <w:pPr>
        <w:spacing w:after="0" w:line="276" w:lineRule="auto"/>
        <w:ind w:firstLine="709"/>
        <w:jc w:val="both"/>
        <w:rPr>
          <w:rFonts w:ascii="Times New Roman" w:eastAsia="Times New Roman" w:hAnsi="Times New Roman" w:cs="Times New Roman"/>
          <w:sz w:val="28"/>
          <w:szCs w:val="28"/>
          <w:lang w:eastAsia="ru-RU"/>
        </w:rPr>
      </w:pPr>
      <w:r w:rsidRPr="001D0846">
        <w:rPr>
          <w:rFonts w:ascii="Times New Roman" w:eastAsia="Calibri" w:hAnsi="Times New Roman" w:cs="Times New Roman"/>
          <w:sz w:val="28"/>
          <w:szCs w:val="28"/>
        </w:rPr>
        <w:t xml:space="preserve">Analiza datelor prezentate în </w:t>
      </w:r>
      <w:r w:rsidR="003776F2">
        <w:rPr>
          <w:rFonts w:ascii="Times New Roman" w:eastAsia="Calibri" w:hAnsi="Times New Roman" w:cs="Times New Roman"/>
          <w:sz w:val="28"/>
          <w:szCs w:val="28"/>
        </w:rPr>
        <w:t>t</w:t>
      </w:r>
      <w:r w:rsidRPr="001D0846">
        <w:rPr>
          <w:rFonts w:ascii="Times New Roman" w:eastAsia="Calibri" w:hAnsi="Times New Roman" w:cs="Times New Roman"/>
          <w:sz w:val="28"/>
          <w:szCs w:val="28"/>
        </w:rPr>
        <w:t>abel relevă</w:t>
      </w:r>
      <w:r w:rsidR="003776F2">
        <w:rPr>
          <w:rFonts w:ascii="Times New Roman" w:eastAsia="Calibri" w:hAnsi="Times New Roman" w:cs="Times New Roman"/>
          <w:sz w:val="28"/>
          <w:szCs w:val="28"/>
        </w:rPr>
        <w:t>,</w:t>
      </w:r>
      <w:r w:rsidRPr="001D0846">
        <w:rPr>
          <w:rFonts w:ascii="Times New Roman" w:eastAsia="Calibri" w:hAnsi="Times New Roman" w:cs="Times New Roman"/>
          <w:sz w:val="28"/>
          <w:szCs w:val="28"/>
        </w:rPr>
        <w:t xml:space="preserve"> per </w:t>
      </w:r>
      <w:proofErr w:type="spellStart"/>
      <w:r w:rsidRPr="001D0846">
        <w:rPr>
          <w:rFonts w:ascii="Times New Roman" w:eastAsia="Calibri" w:hAnsi="Times New Roman" w:cs="Times New Roman"/>
          <w:sz w:val="28"/>
          <w:szCs w:val="28"/>
        </w:rPr>
        <w:t>ansamblu</w:t>
      </w:r>
      <w:r w:rsidR="003776F2">
        <w:rPr>
          <w:rFonts w:ascii="Times New Roman" w:eastAsia="Calibri" w:hAnsi="Times New Roman" w:cs="Times New Roman"/>
          <w:sz w:val="28"/>
          <w:szCs w:val="28"/>
        </w:rPr>
        <w:t>,</w:t>
      </w:r>
      <w:r w:rsidRPr="001D0846">
        <w:rPr>
          <w:rFonts w:ascii="Times New Roman" w:eastAsia="Calibri" w:hAnsi="Times New Roman" w:cs="Times New Roman"/>
          <w:sz w:val="28"/>
          <w:szCs w:val="28"/>
        </w:rPr>
        <w:t>o</w:t>
      </w:r>
      <w:proofErr w:type="spellEnd"/>
      <w:r w:rsidRPr="001D0846">
        <w:rPr>
          <w:rFonts w:ascii="Times New Roman" w:eastAsia="Calibri" w:hAnsi="Times New Roman" w:cs="Times New Roman"/>
          <w:sz w:val="28"/>
          <w:szCs w:val="28"/>
        </w:rPr>
        <w:t xml:space="preserve"> dinamică </w:t>
      </w:r>
      <w:proofErr w:type="spellStart"/>
      <w:r w:rsidRPr="001D0846">
        <w:rPr>
          <w:rFonts w:ascii="Times New Roman" w:eastAsia="Calibri" w:hAnsi="Times New Roman" w:cs="Times New Roman"/>
          <w:sz w:val="28"/>
          <w:szCs w:val="28"/>
        </w:rPr>
        <w:t>ascendenă</w:t>
      </w:r>
      <w:proofErr w:type="spellEnd"/>
      <w:r w:rsidRPr="001D0846">
        <w:rPr>
          <w:rFonts w:ascii="Times New Roman" w:eastAsia="Calibri" w:hAnsi="Times New Roman" w:cs="Times New Roman"/>
          <w:sz w:val="28"/>
          <w:szCs w:val="28"/>
        </w:rPr>
        <w:t xml:space="preserve"> a </w:t>
      </w:r>
      <w:r w:rsidRPr="00020547">
        <w:rPr>
          <w:rFonts w:ascii="Times New Roman" w:eastAsia="Calibri" w:hAnsi="Times New Roman" w:cs="Times New Roman"/>
          <w:sz w:val="28"/>
          <w:szCs w:val="28"/>
        </w:rPr>
        <w:t>obligațiilor fiscale</w:t>
      </w:r>
      <w:r w:rsidR="00020547" w:rsidRPr="00020547">
        <w:rPr>
          <w:rFonts w:ascii="Times New Roman" w:eastAsia="Calibri" w:hAnsi="Times New Roman" w:cs="Times New Roman"/>
          <w:sz w:val="28"/>
          <w:szCs w:val="28"/>
        </w:rPr>
        <w:t xml:space="preserve"> restante </w:t>
      </w:r>
      <w:r w:rsidRPr="00020547">
        <w:rPr>
          <w:rFonts w:ascii="Times New Roman" w:eastAsia="Calibri" w:hAnsi="Times New Roman" w:cs="Times New Roman"/>
          <w:sz w:val="28"/>
          <w:szCs w:val="28"/>
        </w:rPr>
        <w:t>la BPN, care au înregistrat o creștere de la 6411,7 mil.lei în anul 2015 p</w:t>
      </w:r>
      <w:r w:rsidR="004251A7" w:rsidRPr="00020547">
        <w:rPr>
          <w:rFonts w:ascii="Times New Roman" w:eastAsia="Calibri" w:hAnsi="Times New Roman" w:cs="Times New Roman"/>
          <w:sz w:val="28"/>
          <w:szCs w:val="28"/>
        </w:rPr>
        <w:t>â</w:t>
      </w:r>
      <w:r w:rsidRPr="00020547">
        <w:rPr>
          <w:rFonts w:ascii="Times New Roman" w:eastAsia="Calibri" w:hAnsi="Times New Roman" w:cs="Times New Roman"/>
          <w:sz w:val="28"/>
          <w:szCs w:val="28"/>
        </w:rPr>
        <w:t>nă la 11216,2 mil</w:t>
      </w:r>
      <w:r w:rsidRPr="001D0846">
        <w:rPr>
          <w:rFonts w:ascii="Times New Roman" w:eastAsia="Calibri" w:hAnsi="Times New Roman" w:cs="Times New Roman"/>
          <w:sz w:val="28"/>
          <w:szCs w:val="28"/>
        </w:rPr>
        <w:t xml:space="preserve">.lei, sau cu </w:t>
      </w:r>
      <w:r w:rsidR="00A416D1">
        <w:rPr>
          <w:rFonts w:ascii="Times New Roman" w:eastAsia="Calibri" w:hAnsi="Times New Roman" w:cs="Times New Roman"/>
          <w:sz w:val="28"/>
          <w:szCs w:val="28"/>
        </w:rPr>
        <w:t xml:space="preserve">74 </w:t>
      </w:r>
      <w:r w:rsidRPr="001D0846">
        <w:rPr>
          <w:rFonts w:ascii="Times New Roman" w:eastAsia="Calibri" w:hAnsi="Times New Roman" w:cs="Times New Roman"/>
          <w:sz w:val="28"/>
          <w:szCs w:val="28"/>
        </w:rPr>
        <w:t>%</w:t>
      </w:r>
      <w:r w:rsidR="004251A7">
        <w:rPr>
          <w:rFonts w:ascii="Times New Roman" w:eastAsia="Calibri" w:hAnsi="Times New Roman" w:cs="Times New Roman"/>
          <w:sz w:val="28"/>
          <w:szCs w:val="28"/>
        </w:rPr>
        <w:t>,</w:t>
      </w:r>
      <w:r w:rsidRPr="001D0846">
        <w:rPr>
          <w:rFonts w:ascii="Times New Roman" w:eastAsia="Calibri" w:hAnsi="Times New Roman" w:cs="Times New Roman"/>
          <w:sz w:val="28"/>
          <w:szCs w:val="28"/>
        </w:rPr>
        <w:t xml:space="preserve"> în anul 2017. În totalul obligațiilor fiscale</w:t>
      </w:r>
      <w:r w:rsidR="004251A7">
        <w:rPr>
          <w:rFonts w:ascii="Times New Roman" w:eastAsia="Calibri" w:hAnsi="Times New Roman" w:cs="Times New Roman"/>
          <w:sz w:val="28"/>
          <w:szCs w:val="28"/>
        </w:rPr>
        <w:t>,</w:t>
      </w:r>
      <w:r w:rsidRPr="001D0846">
        <w:rPr>
          <w:rFonts w:ascii="Times New Roman" w:eastAsia="Calibri" w:hAnsi="Times New Roman" w:cs="Times New Roman"/>
          <w:sz w:val="28"/>
          <w:szCs w:val="28"/>
        </w:rPr>
        <w:t xml:space="preserve"> </w:t>
      </w:r>
      <w:r w:rsidR="004251A7">
        <w:rPr>
          <w:rFonts w:ascii="Times New Roman" w:eastAsia="Calibri" w:hAnsi="Times New Roman" w:cs="Times New Roman"/>
          <w:sz w:val="28"/>
          <w:szCs w:val="28"/>
        </w:rPr>
        <w:t>ponderea</w:t>
      </w:r>
      <w:r w:rsidRPr="001D0846">
        <w:rPr>
          <w:rFonts w:ascii="Times New Roman" w:eastAsia="Calibri" w:hAnsi="Times New Roman" w:cs="Times New Roman"/>
          <w:sz w:val="28"/>
          <w:szCs w:val="28"/>
        </w:rPr>
        <w:t xml:space="preserve"> semnificativă </w:t>
      </w:r>
      <w:r w:rsidR="004251A7">
        <w:rPr>
          <w:rFonts w:ascii="Times New Roman" w:eastAsia="Calibri" w:hAnsi="Times New Roman" w:cs="Times New Roman"/>
          <w:sz w:val="28"/>
          <w:szCs w:val="28"/>
        </w:rPr>
        <w:t>o dețin</w:t>
      </w:r>
      <w:r w:rsidRPr="001D0846">
        <w:rPr>
          <w:rFonts w:ascii="Times New Roman" w:eastAsia="Calibri" w:hAnsi="Times New Roman" w:cs="Times New Roman"/>
          <w:sz w:val="28"/>
          <w:szCs w:val="28"/>
        </w:rPr>
        <w:t xml:space="preserve"> obligațiil</w:t>
      </w:r>
      <w:r w:rsidR="004251A7">
        <w:rPr>
          <w:rFonts w:ascii="Times New Roman" w:eastAsia="Calibri" w:hAnsi="Times New Roman" w:cs="Times New Roman"/>
          <w:sz w:val="28"/>
          <w:szCs w:val="28"/>
        </w:rPr>
        <w:t>e</w:t>
      </w:r>
      <w:r w:rsidRPr="001D0846">
        <w:rPr>
          <w:rFonts w:ascii="Times New Roman" w:eastAsia="Calibri" w:hAnsi="Times New Roman" w:cs="Times New Roman"/>
          <w:sz w:val="28"/>
          <w:szCs w:val="28"/>
        </w:rPr>
        <w:t xml:space="preserve"> fiscale înregistrate în evidența specială</w:t>
      </w:r>
      <w:r w:rsidR="004251A7">
        <w:rPr>
          <w:rFonts w:ascii="Times New Roman" w:eastAsia="Calibri" w:hAnsi="Times New Roman" w:cs="Times New Roman"/>
          <w:sz w:val="28"/>
          <w:szCs w:val="28"/>
        </w:rPr>
        <w:t>,</w:t>
      </w:r>
      <w:r w:rsidRPr="001D0846">
        <w:rPr>
          <w:rFonts w:ascii="Times New Roman" w:eastAsia="Calibri" w:hAnsi="Times New Roman" w:cs="Times New Roman"/>
          <w:sz w:val="28"/>
          <w:szCs w:val="28"/>
        </w:rPr>
        <w:t xml:space="preserve"> care la </w:t>
      </w:r>
      <w:r w:rsidRPr="001D0846">
        <w:rPr>
          <w:rFonts w:ascii="Times New Roman" w:eastAsia="Times New Roman" w:hAnsi="Times New Roman" w:cs="Times New Roman"/>
          <w:sz w:val="28"/>
          <w:szCs w:val="28"/>
          <w:lang w:eastAsia="ru-RU"/>
        </w:rPr>
        <w:t>31.12.2017 constitui</w:t>
      </w:r>
      <w:r w:rsidR="004251A7">
        <w:rPr>
          <w:rFonts w:ascii="Times New Roman" w:eastAsia="Times New Roman" w:hAnsi="Times New Roman" w:cs="Times New Roman"/>
          <w:sz w:val="28"/>
          <w:szCs w:val="28"/>
          <w:lang w:eastAsia="ru-RU"/>
        </w:rPr>
        <w:t>au</w:t>
      </w:r>
      <w:r w:rsidRPr="001D0846">
        <w:rPr>
          <w:rFonts w:ascii="Times New Roman" w:eastAsia="Times New Roman" w:hAnsi="Times New Roman" w:cs="Times New Roman"/>
          <w:sz w:val="28"/>
          <w:szCs w:val="28"/>
          <w:lang w:eastAsia="ru-RU"/>
        </w:rPr>
        <w:t xml:space="preserve"> 9034,3 mil.lei, fiind în creștere cu 4467,2 mil.lei, sau cu </w:t>
      </w:r>
      <w:r w:rsidR="00A416D1">
        <w:rPr>
          <w:rFonts w:ascii="Times New Roman" w:eastAsia="Times New Roman" w:hAnsi="Times New Roman" w:cs="Times New Roman"/>
          <w:sz w:val="28"/>
          <w:szCs w:val="28"/>
          <w:lang w:eastAsia="ru-RU"/>
        </w:rPr>
        <w:t>97</w:t>
      </w:r>
      <w:r w:rsidRPr="001D0846">
        <w:rPr>
          <w:rFonts w:ascii="Times New Roman" w:eastAsia="Times New Roman" w:hAnsi="Times New Roman" w:cs="Times New Roman"/>
          <w:sz w:val="28"/>
          <w:szCs w:val="28"/>
          <w:lang w:eastAsia="ru-RU"/>
        </w:rPr>
        <w:t xml:space="preserve"> %</w:t>
      </w:r>
      <w:r w:rsidR="004251A7">
        <w:rPr>
          <w:rFonts w:ascii="Times New Roman" w:eastAsia="Times New Roman" w:hAnsi="Times New Roman" w:cs="Times New Roman"/>
          <w:sz w:val="28"/>
          <w:szCs w:val="28"/>
          <w:lang w:eastAsia="ru-RU"/>
        </w:rPr>
        <w:t xml:space="preserve">, </w:t>
      </w:r>
      <w:r w:rsidRPr="001D0846">
        <w:rPr>
          <w:rFonts w:ascii="Times New Roman" w:eastAsia="Times New Roman" w:hAnsi="Times New Roman" w:cs="Times New Roman"/>
          <w:sz w:val="28"/>
          <w:szCs w:val="28"/>
          <w:lang w:eastAsia="ru-RU"/>
        </w:rPr>
        <w:t xml:space="preserve">față de anul 2015, </w:t>
      </w:r>
      <w:r w:rsidR="004251A7">
        <w:rPr>
          <w:rFonts w:ascii="Times New Roman" w:eastAsia="Times New Roman" w:hAnsi="Times New Roman" w:cs="Times New Roman"/>
          <w:sz w:val="28"/>
          <w:szCs w:val="28"/>
          <w:lang w:eastAsia="ru-RU"/>
        </w:rPr>
        <w:t xml:space="preserve">și </w:t>
      </w:r>
      <w:r w:rsidRPr="001D0846">
        <w:rPr>
          <w:rFonts w:ascii="Times New Roman" w:eastAsia="Times New Roman" w:hAnsi="Times New Roman" w:cs="Times New Roman"/>
          <w:sz w:val="28"/>
          <w:szCs w:val="28"/>
          <w:lang w:eastAsia="ru-RU"/>
        </w:rPr>
        <w:t>care</w:t>
      </w:r>
      <w:r w:rsidR="004251A7">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reieșind din prevederile CF</w:t>
      </w:r>
      <w:r w:rsidR="004251A7">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nu se consideră restanțe.</w:t>
      </w:r>
    </w:p>
    <w:p w:rsidR="00C26C38" w:rsidRPr="001D0846" w:rsidRDefault="00C26C38" w:rsidP="006358AD">
      <w:pPr>
        <w:spacing w:after="0" w:line="276" w:lineRule="auto"/>
        <w:ind w:firstLine="706"/>
        <w:jc w:val="both"/>
        <w:rPr>
          <w:rFonts w:ascii="Times New Roman" w:eastAsia="Times New Roman" w:hAnsi="Times New Roman" w:cs="Times New Roman"/>
          <w:b/>
          <w:sz w:val="28"/>
          <w:szCs w:val="28"/>
        </w:rPr>
      </w:pPr>
      <w:r w:rsidRPr="00020547">
        <w:rPr>
          <w:rFonts w:ascii="Times New Roman" w:eastAsia="Times New Roman" w:hAnsi="Times New Roman" w:cs="Times New Roman"/>
          <w:i/>
          <w:sz w:val="28"/>
          <w:szCs w:val="28"/>
          <w:lang w:eastAsia="ru-RU"/>
        </w:rPr>
        <w:t xml:space="preserve">Informația privind structura plăților aferente obligațiilor fiscale </w:t>
      </w:r>
      <w:r w:rsidR="00456909">
        <w:rPr>
          <w:rFonts w:ascii="Times New Roman" w:eastAsia="Times New Roman" w:hAnsi="Times New Roman" w:cs="Times New Roman"/>
          <w:i/>
          <w:sz w:val="28"/>
          <w:szCs w:val="28"/>
          <w:lang w:eastAsia="ru-RU"/>
        </w:rPr>
        <w:t xml:space="preserve">restante </w:t>
      </w:r>
      <w:r w:rsidRPr="00020547">
        <w:rPr>
          <w:rFonts w:ascii="Times New Roman" w:eastAsia="Times New Roman" w:hAnsi="Times New Roman" w:cs="Times New Roman"/>
          <w:i/>
          <w:sz w:val="28"/>
          <w:szCs w:val="28"/>
          <w:lang w:eastAsia="ru-RU"/>
        </w:rPr>
        <w:t>luate la evidență specială de către SFS</w:t>
      </w:r>
      <w:r w:rsidRPr="00020547">
        <w:rPr>
          <w:rFonts w:ascii="Times New Roman" w:eastAsia="Times New Roman" w:hAnsi="Times New Roman" w:cs="Times New Roman"/>
          <w:sz w:val="28"/>
          <w:szCs w:val="28"/>
          <w:lang w:eastAsia="ru-RU"/>
        </w:rPr>
        <w:t xml:space="preserve"> </w:t>
      </w:r>
      <w:r w:rsidR="004251A7" w:rsidRPr="00020547">
        <w:rPr>
          <w:rFonts w:ascii="Times New Roman" w:eastAsia="Times New Roman" w:hAnsi="Times New Roman" w:cs="Times New Roman"/>
          <w:i/>
          <w:sz w:val="28"/>
          <w:szCs w:val="28"/>
          <w:lang w:eastAsia="ru-RU"/>
        </w:rPr>
        <w:t>este</w:t>
      </w:r>
      <w:r w:rsidRPr="00020547">
        <w:rPr>
          <w:rFonts w:ascii="Times New Roman" w:eastAsia="Times New Roman" w:hAnsi="Times New Roman" w:cs="Times New Roman"/>
          <w:i/>
          <w:sz w:val="28"/>
          <w:szCs w:val="28"/>
          <w:lang w:eastAsia="ru-RU"/>
        </w:rPr>
        <w:t xml:space="preserve"> prez</w:t>
      </w:r>
      <w:r w:rsidR="004251A7" w:rsidRPr="00020547">
        <w:rPr>
          <w:rFonts w:ascii="Times New Roman" w:eastAsia="Times New Roman" w:hAnsi="Times New Roman" w:cs="Times New Roman"/>
          <w:i/>
          <w:sz w:val="28"/>
          <w:szCs w:val="28"/>
          <w:lang w:eastAsia="ru-RU"/>
        </w:rPr>
        <w:t>enta</w:t>
      </w:r>
      <w:r w:rsidRPr="00020547">
        <w:rPr>
          <w:rFonts w:ascii="Times New Roman" w:eastAsia="Times New Roman" w:hAnsi="Times New Roman" w:cs="Times New Roman"/>
          <w:i/>
          <w:sz w:val="28"/>
          <w:szCs w:val="28"/>
          <w:lang w:eastAsia="ru-RU"/>
        </w:rPr>
        <w:t xml:space="preserve">tă în Tabelul </w:t>
      </w:r>
      <w:r w:rsidR="00576E18" w:rsidRPr="00020547">
        <w:rPr>
          <w:rFonts w:ascii="Times New Roman" w:eastAsia="Times New Roman" w:hAnsi="Times New Roman" w:cs="Times New Roman"/>
          <w:i/>
          <w:sz w:val="28"/>
          <w:szCs w:val="28"/>
          <w:lang w:eastAsia="ru-RU"/>
        </w:rPr>
        <w:t>nr.13</w:t>
      </w:r>
      <w:r w:rsidR="00183E36" w:rsidRPr="00020547">
        <w:rPr>
          <w:rFonts w:ascii="Times New Roman" w:eastAsia="Times New Roman" w:hAnsi="Times New Roman" w:cs="Times New Roman"/>
          <w:i/>
          <w:sz w:val="28"/>
          <w:szCs w:val="28"/>
          <w:lang w:eastAsia="ru-RU"/>
        </w:rPr>
        <w:t xml:space="preserve"> din Anexa nr.3</w:t>
      </w:r>
      <w:r w:rsidRPr="00020547">
        <w:rPr>
          <w:rFonts w:ascii="Times New Roman" w:eastAsia="Times New Roman" w:hAnsi="Times New Roman" w:cs="Times New Roman"/>
          <w:i/>
          <w:sz w:val="28"/>
          <w:szCs w:val="28"/>
          <w:lang w:eastAsia="ru-RU"/>
        </w:rPr>
        <w:t xml:space="preserve"> la</w:t>
      </w:r>
      <w:r w:rsidRPr="001D0846">
        <w:rPr>
          <w:rFonts w:ascii="Times New Roman" w:eastAsia="Times New Roman" w:hAnsi="Times New Roman" w:cs="Times New Roman"/>
          <w:i/>
          <w:sz w:val="28"/>
          <w:szCs w:val="28"/>
          <w:lang w:eastAsia="ru-RU"/>
        </w:rPr>
        <w:t xml:space="preserve">  Raport</w:t>
      </w:r>
      <w:r w:rsidR="004251A7">
        <w:rPr>
          <w:rFonts w:ascii="Times New Roman" w:eastAsia="Times New Roman" w:hAnsi="Times New Roman" w:cs="Times New Roman"/>
          <w:i/>
          <w:sz w:val="28"/>
          <w:szCs w:val="28"/>
          <w:lang w:eastAsia="ru-RU"/>
        </w:rPr>
        <w:t>ul</w:t>
      </w:r>
      <w:r w:rsidRPr="001D0846">
        <w:rPr>
          <w:rFonts w:ascii="Times New Roman" w:eastAsia="Times New Roman" w:hAnsi="Times New Roman" w:cs="Times New Roman"/>
          <w:i/>
          <w:sz w:val="28"/>
          <w:szCs w:val="28"/>
          <w:lang w:eastAsia="ru-RU"/>
        </w:rPr>
        <w:t xml:space="preserve"> de audit.</w:t>
      </w:r>
      <w:r w:rsidR="001C437F" w:rsidRPr="001D0846">
        <w:rPr>
          <w:rFonts w:ascii="Times New Roman" w:eastAsia="Times New Roman" w:hAnsi="Times New Roman" w:cs="Times New Roman"/>
          <w:i/>
          <w:sz w:val="28"/>
          <w:szCs w:val="28"/>
          <w:lang w:eastAsia="ru-RU"/>
        </w:rPr>
        <w:t xml:space="preserve"> </w:t>
      </w:r>
      <w:r w:rsidRPr="001D0846">
        <w:rPr>
          <w:rFonts w:ascii="Times New Roman" w:eastAsia="Times New Roman" w:hAnsi="Times New Roman" w:cs="Times New Roman"/>
          <w:sz w:val="28"/>
          <w:szCs w:val="28"/>
          <w:lang w:eastAsia="ru-RU"/>
        </w:rPr>
        <w:t xml:space="preserve">Datele </w:t>
      </w:r>
      <w:r w:rsidR="004251A7">
        <w:rPr>
          <w:rFonts w:ascii="Times New Roman" w:eastAsia="Times New Roman" w:hAnsi="Times New Roman" w:cs="Times New Roman"/>
          <w:sz w:val="28"/>
          <w:szCs w:val="28"/>
          <w:lang w:eastAsia="ru-RU"/>
        </w:rPr>
        <w:t>din</w:t>
      </w:r>
      <w:r w:rsidRPr="001D0846">
        <w:rPr>
          <w:rFonts w:ascii="Times New Roman" w:eastAsia="Times New Roman" w:hAnsi="Times New Roman" w:cs="Times New Roman"/>
          <w:sz w:val="28"/>
          <w:szCs w:val="28"/>
          <w:lang w:eastAsia="ru-RU"/>
        </w:rPr>
        <w:t xml:space="preserve"> </w:t>
      </w:r>
      <w:r w:rsidR="004251A7">
        <w:rPr>
          <w:rFonts w:ascii="Times New Roman" w:eastAsia="Times New Roman" w:hAnsi="Times New Roman" w:cs="Times New Roman"/>
          <w:sz w:val="28"/>
          <w:szCs w:val="28"/>
          <w:lang w:eastAsia="ru-RU"/>
        </w:rPr>
        <w:t>t</w:t>
      </w:r>
      <w:r w:rsidRPr="001D0846">
        <w:rPr>
          <w:rFonts w:ascii="Times New Roman" w:eastAsia="Times New Roman" w:hAnsi="Times New Roman" w:cs="Times New Roman"/>
          <w:sz w:val="28"/>
          <w:szCs w:val="28"/>
          <w:lang w:eastAsia="ru-RU"/>
        </w:rPr>
        <w:t xml:space="preserve">abel </w:t>
      </w:r>
      <w:r w:rsidR="004251A7">
        <w:rPr>
          <w:rFonts w:ascii="Times New Roman" w:eastAsia="Times New Roman" w:hAnsi="Times New Roman" w:cs="Times New Roman"/>
          <w:sz w:val="28"/>
          <w:szCs w:val="28"/>
          <w:lang w:eastAsia="ru-RU"/>
        </w:rPr>
        <w:t>indică</w:t>
      </w:r>
      <w:r w:rsidRPr="001D0846">
        <w:rPr>
          <w:rFonts w:ascii="Times New Roman" w:eastAsia="Times New Roman" w:hAnsi="Times New Roman" w:cs="Times New Roman"/>
          <w:sz w:val="28"/>
          <w:szCs w:val="28"/>
          <w:lang w:eastAsia="ru-RU"/>
        </w:rPr>
        <w:t xml:space="preserve"> că</w:t>
      </w:r>
      <w:r w:rsidR="004251A7">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la 31.12.2017, evidența specială include</w:t>
      </w:r>
      <w:r w:rsidR="00020547">
        <w:rPr>
          <w:rFonts w:ascii="Times New Roman" w:eastAsia="Times New Roman" w:hAnsi="Times New Roman" w:cs="Times New Roman"/>
          <w:sz w:val="28"/>
          <w:szCs w:val="28"/>
          <w:lang w:eastAsia="ru-RU"/>
        </w:rPr>
        <w:t>a</w:t>
      </w:r>
      <w:r w:rsidRPr="001D0846">
        <w:rPr>
          <w:rFonts w:ascii="Times New Roman" w:eastAsia="Times New Roman" w:hAnsi="Times New Roman" w:cs="Times New Roman"/>
          <w:sz w:val="28"/>
          <w:szCs w:val="28"/>
          <w:lang w:eastAsia="ru-RU"/>
        </w:rPr>
        <w:t xml:space="preserve"> obligațiile fiscale a 2578 de contribuabili</w:t>
      </w:r>
      <w:r w:rsidR="004251A7">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în sumă totală de 9034,3 mil.lei, inclusiv </w:t>
      </w:r>
      <w:r w:rsidRPr="001D0846">
        <w:rPr>
          <w:rFonts w:ascii="Times New Roman" w:eastAsia="Times New Roman" w:hAnsi="Times New Roman" w:cs="Times New Roman"/>
          <w:iCs/>
          <w:sz w:val="28"/>
          <w:szCs w:val="28"/>
          <w:lang w:eastAsia="ru-RU"/>
        </w:rPr>
        <w:t>plăți de bază</w:t>
      </w:r>
      <w:r w:rsidRPr="001D0846">
        <w:rPr>
          <w:rFonts w:ascii="Times New Roman" w:eastAsia="Times New Roman" w:hAnsi="Times New Roman" w:cs="Times New Roman"/>
          <w:sz w:val="28"/>
          <w:szCs w:val="28"/>
          <w:lang w:eastAsia="ru-RU"/>
        </w:rPr>
        <w:t xml:space="preserve"> </w:t>
      </w:r>
      <w:r w:rsidRPr="001D0846">
        <w:rPr>
          <w:rFonts w:ascii="Times New Roman" w:eastAsia="Times New Roman" w:hAnsi="Times New Roman" w:cs="Times New Roman"/>
          <w:iCs/>
          <w:sz w:val="28"/>
          <w:szCs w:val="28"/>
        </w:rPr>
        <w:t>–</w:t>
      </w:r>
      <w:r w:rsidRPr="001D0846">
        <w:rPr>
          <w:rFonts w:ascii="Times New Roman" w:eastAsia="Times New Roman" w:hAnsi="Times New Roman" w:cs="Times New Roman"/>
          <w:sz w:val="28"/>
          <w:szCs w:val="28"/>
          <w:lang w:eastAsia="ru-RU"/>
        </w:rPr>
        <w:t xml:space="preserve"> 4711,08 mil.lei, </w:t>
      </w:r>
      <w:r w:rsidRPr="001D0846">
        <w:rPr>
          <w:rFonts w:ascii="Times New Roman" w:eastAsia="Times New Roman" w:hAnsi="Times New Roman" w:cs="Times New Roman"/>
          <w:iCs/>
          <w:sz w:val="28"/>
          <w:szCs w:val="28"/>
          <w:lang w:eastAsia="ru-RU"/>
        </w:rPr>
        <w:t>penalități</w:t>
      </w:r>
      <w:r w:rsidRPr="001D0846">
        <w:rPr>
          <w:rFonts w:ascii="Times New Roman" w:eastAsia="Times New Roman" w:hAnsi="Times New Roman" w:cs="Times New Roman"/>
          <w:sz w:val="28"/>
          <w:szCs w:val="28"/>
          <w:lang w:eastAsia="ru-RU"/>
        </w:rPr>
        <w:t xml:space="preserve"> </w:t>
      </w:r>
      <w:r w:rsidRPr="001D0846">
        <w:rPr>
          <w:rFonts w:ascii="Times New Roman" w:eastAsia="Times New Roman" w:hAnsi="Times New Roman" w:cs="Times New Roman"/>
          <w:iCs/>
          <w:sz w:val="28"/>
          <w:szCs w:val="28"/>
        </w:rPr>
        <w:t xml:space="preserve">– </w:t>
      </w:r>
      <w:r w:rsidRPr="001D0846">
        <w:rPr>
          <w:rFonts w:ascii="Times New Roman" w:eastAsia="Times New Roman" w:hAnsi="Times New Roman" w:cs="Times New Roman"/>
          <w:sz w:val="28"/>
          <w:szCs w:val="28"/>
          <w:lang w:eastAsia="ru-RU"/>
        </w:rPr>
        <w:t>1548,4 mil.lei</w:t>
      </w:r>
      <w:r w:rsidR="004251A7">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și </w:t>
      </w:r>
      <w:r w:rsidRPr="001D0846">
        <w:rPr>
          <w:rFonts w:ascii="Times New Roman" w:eastAsia="Times New Roman" w:hAnsi="Times New Roman" w:cs="Times New Roman"/>
          <w:iCs/>
          <w:sz w:val="28"/>
          <w:szCs w:val="28"/>
          <w:lang w:eastAsia="ru-RU"/>
        </w:rPr>
        <w:t xml:space="preserve">amenzi </w:t>
      </w:r>
      <w:r w:rsidRPr="001D0846">
        <w:rPr>
          <w:rFonts w:ascii="Times New Roman" w:eastAsia="Times New Roman" w:hAnsi="Times New Roman" w:cs="Times New Roman"/>
          <w:iCs/>
          <w:sz w:val="28"/>
          <w:szCs w:val="28"/>
        </w:rPr>
        <w:t xml:space="preserve">– </w:t>
      </w:r>
      <w:r w:rsidRPr="001D0846">
        <w:rPr>
          <w:rFonts w:ascii="Times New Roman" w:eastAsia="Times New Roman" w:hAnsi="Times New Roman" w:cs="Times New Roman"/>
          <w:sz w:val="28"/>
          <w:szCs w:val="28"/>
          <w:lang w:eastAsia="ru-RU"/>
        </w:rPr>
        <w:t>2774,8 mil.lei, c</w:t>
      </w:r>
      <w:r w:rsidR="004251A7">
        <w:rPr>
          <w:rFonts w:ascii="Times New Roman" w:eastAsia="Times New Roman" w:hAnsi="Times New Roman" w:cs="Times New Roman"/>
          <w:sz w:val="28"/>
          <w:szCs w:val="28"/>
          <w:lang w:eastAsia="ru-RU"/>
        </w:rPr>
        <w:t>are</w:t>
      </w:r>
      <w:r w:rsidRPr="001D0846">
        <w:rPr>
          <w:rFonts w:ascii="Times New Roman" w:eastAsia="Times New Roman" w:hAnsi="Times New Roman" w:cs="Times New Roman"/>
          <w:sz w:val="28"/>
          <w:szCs w:val="28"/>
          <w:lang w:eastAsia="ru-RU"/>
        </w:rPr>
        <w:t xml:space="preserve"> constituie 27,5% din totalul veniturilor BPN. </w:t>
      </w:r>
    </w:p>
    <w:p w:rsidR="00C26C38" w:rsidRPr="001D0846" w:rsidRDefault="00C26C38" w:rsidP="006358AD">
      <w:pPr>
        <w:spacing w:after="0" w:line="276" w:lineRule="auto"/>
        <w:ind w:firstLine="706"/>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rPr>
        <w:t xml:space="preserve">Restanțele administrate de SFS </w:t>
      </w:r>
      <w:r w:rsidR="004251A7">
        <w:rPr>
          <w:rFonts w:ascii="Times New Roman" w:eastAsia="Times New Roman" w:hAnsi="Times New Roman" w:cs="Times New Roman"/>
          <w:sz w:val="28"/>
          <w:szCs w:val="28"/>
        </w:rPr>
        <w:t>au</w:t>
      </w:r>
      <w:r w:rsidRPr="001D0846">
        <w:rPr>
          <w:rFonts w:ascii="Times New Roman" w:eastAsia="Times New Roman" w:hAnsi="Times New Roman" w:cs="Times New Roman"/>
          <w:sz w:val="28"/>
          <w:szCs w:val="28"/>
        </w:rPr>
        <w:t xml:space="preserve"> o evoluție ascendentă, fiind în creștere de la 1844,6 mil.lei în anul 2015 până la 2182,0 mil.lei în anul 2017. În </w:t>
      </w:r>
      <w:r w:rsidR="004251A7">
        <w:rPr>
          <w:rFonts w:ascii="Times New Roman" w:eastAsia="Times New Roman" w:hAnsi="Times New Roman" w:cs="Times New Roman"/>
          <w:sz w:val="28"/>
          <w:szCs w:val="28"/>
        </w:rPr>
        <w:t>anul</w:t>
      </w:r>
      <w:r w:rsidRPr="001D0846">
        <w:rPr>
          <w:rFonts w:ascii="Times New Roman" w:eastAsia="Times New Roman" w:hAnsi="Times New Roman" w:cs="Times New Roman"/>
          <w:sz w:val="28"/>
          <w:szCs w:val="28"/>
        </w:rPr>
        <w:t xml:space="preserve"> 2016 se </w:t>
      </w:r>
      <w:r w:rsidR="004251A7">
        <w:rPr>
          <w:rFonts w:ascii="Times New Roman" w:eastAsia="Times New Roman" w:hAnsi="Times New Roman" w:cs="Times New Roman"/>
          <w:sz w:val="28"/>
          <w:szCs w:val="28"/>
        </w:rPr>
        <w:t>înregistrează</w:t>
      </w:r>
      <w:r w:rsidRPr="001D0846">
        <w:rPr>
          <w:rFonts w:ascii="Times New Roman" w:eastAsia="Times New Roman" w:hAnsi="Times New Roman" w:cs="Times New Roman"/>
          <w:sz w:val="28"/>
          <w:szCs w:val="28"/>
        </w:rPr>
        <w:t xml:space="preserve"> o micșorare a soldului restanței până la 1826</w:t>
      </w:r>
      <w:r w:rsidR="004251A7">
        <w:rPr>
          <w:rFonts w:ascii="Times New Roman" w:eastAsia="Times New Roman" w:hAnsi="Times New Roman" w:cs="Times New Roman"/>
          <w:sz w:val="28"/>
          <w:szCs w:val="28"/>
        </w:rPr>
        <w:t>,0</w:t>
      </w:r>
      <w:r w:rsidRPr="001D0846">
        <w:rPr>
          <w:rFonts w:ascii="Times New Roman" w:eastAsia="Times New Roman" w:hAnsi="Times New Roman" w:cs="Times New Roman"/>
          <w:sz w:val="28"/>
          <w:szCs w:val="28"/>
        </w:rPr>
        <w:t xml:space="preserve"> mil.lei, situație determinată</w:t>
      </w:r>
      <w:r w:rsidR="004251A7">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în mare parte</w:t>
      </w:r>
      <w:r w:rsidR="004251A7">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de înscrierea obligațiilor fiscale în evidența specială, care la 31.12.2016 au constituit 4717,8 mil.lei.</w:t>
      </w:r>
    </w:p>
    <w:p w:rsidR="00C26C38" w:rsidRPr="001D0846" w:rsidRDefault="00C26C38" w:rsidP="006358AD">
      <w:pPr>
        <w:spacing w:after="0" w:line="276" w:lineRule="auto"/>
        <w:ind w:firstLine="706"/>
        <w:jc w:val="both"/>
        <w:rPr>
          <w:rFonts w:ascii="Times New Roman" w:eastAsia="Calibri" w:hAnsi="Times New Roman" w:cs="Times New Roman"/>
          <w:b/>
          <w:i/>
          <w:sz w:val="28"/>
          <w:szCs w:val="28"/>
        </w:rPr>
      </w:pPr>
      <w:r w:rsidRPr="00576E18">
        <w:rPr>
          <w:rFonts w:ascii="Times New Roman" w:eastAsia="Times New Roman" w:hAnsi="Times New Roman" w:cs="Times New Roman"/>
          <w:sz w:val="28"/>
          <w:szCs w:val="28"/>
        </w:rPr>
        <w:t>În aspectul componentelor BPN, cea mai semnificativă creștere în anul 2017</w:t>
      </w:r>
      <w:r w:rsidR="0029546B">
        <w:rPr>
          <w:rFonts w:ascii="Times New Roman" w:eastAsia="Times New Roman" w:hAnsi="Times New Roman" w:cs="Times New Roman"/>
          <w:sz w:val="28"/>
          <w:szCs w:val="28"/>
        </w:rPr>
        <w:t>,</w:t>
      </w:r>
      <w:r w:rsidRPr="00576E18">
        <w:rPr>
          <w:rFonts w:ascii="Times New Roman" w:eastAsia="Times New Roman" w:hAnsi="Times New Roman" w:cs="Times New Roman"/>
          <w:sz w:val="28"/>
          <w:szCs w:val="28"/>
        </w:rPr>
        <w:t xml:space="preserve"> față de </w:t>
      </w:r>
      <w:r w:rsidR="0029546B">
        <w:rPr>
          <w:rFonts w:ascii="Times New Roman" w:eastAsia="Times New Roman" w:hAnsi="Times New Roman" w:cs="Times New Roman"/>
          <w:sz w:val="28"/>
          <w:szCs w:val="28"/>
        </w:rPr>
        <w:t>anul</w:t>
      </w:r>
      <w:r w:rsidRPr="00576E18">
        <w:rPr>
          <w:rFonts w:ascii="Times New Roman" w:eastAsia="Times New Roman" w:hAnsi="Times New Roman" w:cs="Times New Roman"/>
          <w:sz w:val="28"/>
          <w:szCs w:val="28"/>
        </w:rPr>
        <w:t xml:space="preserve"> 2016</w:t>
      </w:r>
      <w:r w:rsidR="0029546B">
        <w:rPr>
          <w:rFonts w:ascii="Times New Roman" w:eastAsia="Times New Roman" w:hAnsi="Times New Roman" w:cs="Times New Roman"/>
          <w:sz w:val="28"/>
          <w:szCs w:val="28"/>
        </w:rPr>
        <w:t>,</w:t>
      </w:r>
      <w:r w:rsidRPr="00576E18">
        <w:rPr>
          <w:rFonts w:ascii="Times New Roman" w:eastAsia="Times New Roman" w:hAnsi="Times New Roman" w:cs="Times New Roman"/>
          <w:sz w:val="28"/>
          <w:szCs w:val="28"/>
        </w:rPr>
        <w:t xml:space="preserve"> </w:t>
      </w:r>
      <w:r w:rsidR="0029546B">
        <w:rPr>
          <w:rFonts w:ascii="Times New Roman" w:eastAsia="Times New Roman" w:hAnsi="Times New Roman" w:cs="Times New Roman"/>
          <w:sz w:val="28"/>
          <w:szCs w:val="28"/>
        </w:rPr>
        <w:t>o înregistrează restanța</w:t>
      </w:r>
      <w:r w:rsidRPr="00576E18">
        <w:rPr>
          <w:rFonts w:ascii="Times New Roman" w:eastAsia="Times New Roman" w:hAnsi="Times New Roman" w:cs="Times New Roman"/>
          <w:sz w:val="28"/>
          <w:szCs w:val="28"/>
        </w:rPr>
        <w:t xml:space="preserve"> la BS – cu 346,3 mil.lei</w:t>
      </w:r>
      <w:r w:rsidR="0029546B">
        <w:rPr>
          <w:rFonts w:ascii="Times New Roman" w:eastAsia="Times New Roman" w:hAnsi="Times New Roman" w:cs="Times New Roman"/>
          <w:sz w:val="28"/>
          <w:szCs w:val="28"/>
        </w:rPr>
        <w:t>,</w:t>
      </w:r>
      <w:r w:rsidRPr="00576E18">
        <w:rPr>
          <w:rFonts w:ascii="Times New Roman" w:eastAsia="Times New Roman" w:hAnsi="Times New Roman" w:cs="Times New Roman"/>
          <w:sz w:val="28"/>
          <w:szCs w:val="28"/>
        </w:rPr>
        <w:t xml:space="preserve"> sau </w:t>
      </w:r>
      <w:r w:rsidR="0029546B">
        <w:rPr>
          <w:rFonts w:ascii="Times New Roman" w:eastAsia="Times New Roman" w:hAnsi="Times New Roman" w:cs="Times New Roman"/>
          <w:sz w:val="28"/>
          <w:szCs w:val="28"/>
        </w:rPr>
        <w:t xml:space="preserve">cu </w:t>
      </w:r>
      <w:r w:rsidRPr="00576E18">
        <w:rPr>
          <w:rFonts w:ascii="Times New Roman" w:eastAsia="Times New Roman" w:hAnsi="Times New Roman" w:cs="Times New Roman"/>
          <w:sz w:val="28"/>
          <w:szCs w:val="28"/>
        </w:rPr>
        <w:t>23,6 %, succedată de restanța la BASS – cu 27,9 mil.lei. Totodată, se relevă o descreștere a restanțe</w:t>
      </w:r>
      <w:r w:rsidR="0029546B">
        <w:rPr>
          <w:rFonts w:ascii="Times New Roman" w:eastAsia="Times New Roman" w:hAnsi="Times New Roman" w:cs="Times New Roman"/>
          <w:sz w:val="28"/>
          <w:szCs w:val="28"/>
        </w:rPr>
        <w:t>lor</w:t>
      </w:r>
      <w:r w:rsidRPr="00576E18">
        <w:rPr>
          <w:rFonts w:ascii="Times New Roman" w:eastAsia="Times New Roman" w:hAnsi="Times New Roman" w:cs="Times New Roman"/>
          <w:sz w:val="28"/>
          <w:szCs w:val="28"/>
        </w:rPr>
        <w:t xml:space="preserve"> la BUAT și FAOAM în </w:t>
      </w:r>
      <w:r w:rsidR="0029546B">
        <w:rPr>
          <w:rFonts w:ascii="Times New Roman" w:eastAsia="Times New Roman" w:hAnsi="Times New Roman" w:cs="Times New Roman"/>
          <w:sz w:val="28"/>
          <w:szCs w:val="28"/>
        </w:rPr>
        <w:t>anul</w:t>
      </w:r>
      <w:r w:rsidRPr="00576E18">
        <w:rPr>
          <w:rFonts w:ascii="Times New Roman" w:eastAsia="Times New Roman" w:hAnsi="Times New Roman" w:cs="Times New Roman"/>
          <w:sz w:val="28"/>
          <w:szCs w:val="28"/>
        </w:rPr>
        <w:t xml:space="preserve"> 2017</w:t>
      </w:r>
      <w:r w:rsidR="0029546B">
        <w:rPr>
          <w:rFonts w:ascii="Times New Roman" w:eastAsia="Times New Roman" w:hAnsi="Times New Roman" w:cs="Times New Roman"/>
          <w:sz w:val="28"/>
          <w:szCs w:val="28"/>
        </w:rPr>
        <w:t>,</w:t>
      </w:r>
      <w:r w:rsidRPr="00576E18">
        <w:rPr>
          <w:rFonts w:ascii="Times New Roman" w:eastAsia="Times New Roman" w:hAnsi="Times New Roman" w:cs="Times New Roman"/>
          <w:sz w:val="28"/>
          <w:szCs w:val="28"/>
        </w:rPr>
        <w:t xml:space="preserve"> față de </w:t>
      </w:r>
      <w:r w:rsidR="0029546B">
        <w:rPr>
          <w:rFonts w:ascii="Times New Roman" w:eastAsia="Times New Roman" w:hAnsi="Times New Roman" w:cs="Times New Roman"/>
          <w:sz w:val="28"/>
          <w:szCs w:val="28"/>
        </w:rPr>
        <w:t>anul</w:t>
      </w:r>
      <w:r w:rsidRPr="00576E18">
        <w:rPr>
          <w:rFonts w:ascii="Times New Roman" w:eastAsia="Times New Roman" w:hAnsi="Times New Roman" w:cs="Times New Roman"/>
          <w:sz w:val="28"/>
          <w:szCs w:val="28"/>
        </w:rPr>
        <w:t xml:space="preserve"> 2016</w:t>
      </w:r>
      <w:r w:rsidR="0029546B">
        <w:rPr>
          <w:rFonts w:ascii="Times New Roman" w:eastAsia="Times New Roman" w:hAnsi="Times New Roman" w:cs="Times New Roman"/>
          <w:sz w:val="28"/>
          <w:szCs w:val="28"/>
        </w:rPr>
        <w:t>,</w:t>
      </w:r>
      <w:r w:rsidRPr="00576E18">
        <w:rPr>
          <w:rFonts w:ascii="Times New Roman" w:eastAsia="Times New Roman" w:hAnsi="Times New Roman" w:cs="Times New Roman"/>
          <w:sz w:val="28"/>
          <w:szCs w:val="28"/>
        </w:rPr>
        <w:t xml:space="preserve"> cu 17,4 mil.lei și</w:t>
      </w:r>
      <w:r w:rsidR="0029546B">
        <w:rPr>
          <w:rFonts w:ascii="Times New Roman" w:eastAsia="Times New Roman" w:hAnsi="Times New Roman" w:cs="Times New Roman"/>
          <w:sz w:val="28"/>
          <w:szCs w:val="28"/>
        </w:rPr>
        <w:t>,</w:t>
      </w:r>
      <w:r w:rsidRPr="00576E18">
        <w:rPr>
          <w:rFonts w:ascii="Times New Roman" w:eastAsia="Times New Roman" w:hAnsi="Times New Roman" w:cs="Times New Roman"/>
          <w:sz w:val="28"/>
          <w:szCs w:val="28"/>
        </w:rPr>
        <w:t xml:space="preserve"> respectiv</w:t>
      </w:r>
      <w:r w:rsidR="0029546B">
        <w:rPr>
          <w:rFonts w:ascii="Times New Roman" w:eastAsia="Times New Roman" w:hAnsi="Times New Roman" w:cs="Times New Roman"/>
          <w:sz w:val="28"/>
          <w:szCs w:val="28"/>
        </w:rPr>
        <w:t>, cu</w:t>
      </w:r>
      <w:r w:rsidRPr="00576E18">
        <w:rPr>
          <w:rFonts w:ascii="Times New Roman" w:eastAsia="Times New Roman" w:hAnsi="Times New Roman" w:cs="Times New Roman"/>
          <w:sz w:val="28"/>
          <w:szCs w:val="28"/>
        </w:rPr>
        <w:t xml:space="preserve"> 0,6 mil.lei. </w:t>
      </w:r>
      <w:r w:rsidRPr="00576E18">
        <w:rPr>
          <w:rFonts w:ascii="Times New Roman" w:eastAsia="Times New Roman" w:hAnsi="Times New Roman" w:cs="Times New Roman"/>
          <w:i/>
          <w:sz w:val="28"/>
          <w:szCs w:val="28"/>
        </w:rPr>
        <w:t xml:space="preserve">Informația privind evoluția restanțelor la BPN administrate de SFS </w:t>
      </w:r>
      <w:r w:rsidR="0029546B">
        <w:rPr>
          <w:rFonts w:ascii="Times New Roman" w:eastAsia="Times New Roman" w:hAnsi="Times New Roman" w:cs="Times New Roman"/>
          <w:i/>
          <w:sz w:val="28"/>
          <w:szCs w:val="28"/>
        </w:rPr>
        <w:t>este</w:t>
      </w:r>
      <w:r w:rsidRPr="00576E18">
        <w:rPr>
          <w:rFonts w:ascii="Times New Roman" w:eastAsia="Times New Roman" w:hAnsi="Times New Roman" w:cs="Times New Roman"/>
          <w:i/>
          <w:sz w:val="28"/>
          <w:szCs w:val="28"/>
        </w:rPr>
        <w:t xml:space="preserve"> prez</w:t>
      </w:r>
      <w:r w:rsidR="0029546B">
        <w:rPr>
          <w:rFonts w:ascii="Times New Roman" w:eastAsia="Times New Roman" w:hAnsi="Times New Roman" w:cs="Times New Roman"/>
          <w:i/>
          <w:sz w:val="28"/>
          <w:szCs w:val="28"/>
        </w:rPr>
        <w:t>enta</w:t>
      </w:r>
      <w:r w:rsidRPr="00576E18">
        <w:rPr>
          <w:rFonts w:ascii="Times New Roman" w:eastAsia="Times New Roman" w:hAnsi="Times New Roman" w:cs="Times New Roman"/>
          <w:i/>
          <w:sz w:val="28"/>
          <w:szCs w:val="28"/>
        </w:rPr>
        <w:t>tă în Diagrama nr.</w:t>
      </w:r>
      <w:r w:rsidR="00576E18" w:rsidRPr="00576E18">
        <w:rPr>
          <w:rFonts w:ascii="Times New Roman" w:eastAsia="Times New Roman" w:hAnsi="Times New Roman" w:cs="Times New Roman"/>
          <w:i/>
          <w:sz w:val="28"/>
          <w:szCs w:val="28"/>
        </w:rPr>
        <w:t>10</w:t>
      </w:r>
      <w:r w:rsidR="00183E36" w:rsidRPr="00576E18">
        <w:rPr>
          <w:rFonts w:ascii="Times New Roman" w:eastAsia="Times New Roman" w:hAnsi="Times New Roman" w:cs="Times New Roman"/>
          <w:i/>
          <w:sz w:val="28"/>
          <w:szCs w:val="28"/>
        </w:rPr>
        <w:t xml:space="preserve"> din Anexa nr.4</w:t>
      </w:r>
      <w:r w:rsidR="001C437F" w:rsidRPr="00576E18">
        <w:rPr>
          <w:rFonts w:ascii="Times New Roman" w:eastAsia="Times New Roman" w:hAnsi="Times New Roman" w:cs="Times New Roman"/>
          <w:i/>
          <w:sz w:val="28"/>
          <w:szCs w:val="28"/>
        </w:rPr>
        <w:t xml:space="preserve"> la Raport</w:t>
      </w:r>
      <w:r w:rsidR="0029546B">
        <w:rPr>
          <w:rFonts w:ascii="Times New Roman" w:eastAsia="Times New Roman" w:hAnsi="Times New Roman" w:cs="Times New Roman"/>
          <w:i/>
          <w:sz w:val="28"/>
          <w:szCs w:val="28"/>
        </w:rPr>
        <w:t>ul</w:t>
      </w:r>
      <w:r w:rsidR="001C437F" w:rsidRPr="00576E18">
        <w:rPr>
          <w:rFonts w:ascii="Times New Roman" w:eastAsia="Times New Roman" w:hAnsi="Times New Roman" w:cs="Times New Roman"/>
          <w:i/>
          <w:sz w:val="28"/>
          <w:szCs w:val="28"/>
        </w:rPr>
        <w:t xml:space="preserve"> de audit</w:t>
      </w:r>
      <w:r w:rsidRPr="00576E18">
        <w:rPr>
          <w:rFonts w:ascii="Times New Roman" w:eastAsia="Times New Roman" w:hAnsi="Times New Roman" w:cs="Times New Roman"/>
          <w:i/>
          <w:sz w:val="28"/>
          <w:szCs w:val="28"/>
        </w:rPr>
        <w:t>.</w:t>
      </w:r>
    </w:p>
    <w:p w:rsidR="00C26C38" w:rsidRPr="001D0846" w:rsidRDefault="00C26C38" w:rsidP="006358AD">
      <w:pPr>
        <w:spacing w:after="0" w:line="276" w:lineRule="auto"/>
        <w:ind w:firstLine="709"/>
        <w:jc w:val="both"/>
        <w:rPr>
          <w:rFonts w:ascii="Times New Roman" w:eastAsia="Times New Roman" w:hAnsi="Times New Roman" w:cs="Times New Roman"/>
          <w:i/>
          <w:sz w:val="28"/>
          <w:szCs w:val="28"/>
        </w:rPr>
      </w:pPr>
      <w:r w:rsidRPr="001D0846">
        <w:rPr>
          <w:rFonts w:ascii="Times New Roman" w:eastAsia="Times New Roman" w:hAnsi="Times New Roman" w:cs="Times New Roman"/>
          <w:iCs/>
          <w:sz w:val="28"/>
          <w:szCs w:val="28"/>
        </w:rPr>
        <w:t>Analiza structurii restanței la BPN</w:t>
      </w:r>
      <w:r w:rsidR="0029546B">
        <w:rPr>
          <w:rFonts w:ascii="Times New Roman" w:eastAsia="Times New Roman" w:hAnsi="Times New Roman" w:cs="Times New Roman"/>
          <w:iCs/>
          <w:sz w:val="28"/>
          <w:szCs w:val="28"/>
        </w:rPr>
        <w:t xml:space="preserve"> </w:t>
      </w:r>
      <w:r w:rsidRPr="001D0846">
        <w:rPr>
          <w:rFonts w:ascii="Times New Roman" w:eastAsia="Times New Roman" w:hAnsi="Times New Roman" w:cs="Times New Roman"/>
          <w:iCs/>
          <w:sz w:val="28"/>
          <w:szCs w:val="28"/>
        </w:rPr>
        <w:t xml:space="preserve">denotă o creștere a restanței la plățile de bază </w:t>
      </w:r>
      <w:r w:rsidRPr="001D0846">
        <w:rPr>
          <w:rFonts w:ascii="Times New Roman" w:eastAsia="Times New Roman" w:hAnsi="Times New Roman" w:cs="Times New Roman"/>
          <w:sz w:val="28"/>
          <w:szCs w:val="28"/>
        </w:rPr>
        <w:t xml:space="preserve">de la 1002,5 mil.lei în anul 2015 până la 1137,1 mil.lei în anul 2017. O evoluție </w:t>
      </w:r>
      <w:r w:rsidRPr="001D0846">
        <w:rPr>
          <w:rFonts w:ascii="Times New Roman" w:eastAsia="Times New Roman" w:hAnsi="Times New Roman" w:cs="Times New Roman"/>
          <w:sz w:val="28"/>
          <w:szCs w:val="28"/>
        </w:rPr>
        <w:lastRenderedPageBreak/>
        <w:t xml:space="preserve">ascendentă se atestă și în cazul restanțelor la penalități și </w:t>
      </w:r>
      <w:r w:rsidR="0029546B">
        <w:rPr>
          <w:rFonts w:ascii="Times New Roman" w:eastAsia="Times New Roman" w:hAnsi="Times New Roman" w:cs="Times New Roman"/>
          <w:sz w:val="28"/>
          <w:szCs w:val="28"/>
        </w:rPr>
        <w:t xml:space="preserve">la </w:t>
      </w:r>
      <w:r w:rsidRPr="001D0846">
        <w:rPr>
          <w:rFonts w:ascii="Times New Roman" w:eastAsia="Times New Roman" w:hAnsi="Times New Roman" w:cs="Times New Roman"/>
          <w:sz w:val="28"/>
          <w:szCs w:val="28"/>
        </w:rPr>
        <w:t>amenzi</w:t>
      </w:r>
      <w:r w:rsidR="0029546B">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care în anul 2017 au constituit 627,4 mil.lei, sau </w:t>
      </w:r>
      <w:r w:rsidR="0029546B" w:rsidRPr="001D0846">
        <w:rPr>
          <w:rFonts w:ascii="Times New Roman" w:eastAsia="Times New Roman" w:hAnsi="Times New Roman" w:cs="Times New Roman"/>
          <w:sz w:val="28"/>
          <w:szCs w:val="28"/>
        </w:rPr>
        <w:t xml:space="preserve">cu 146,9 mil.lei </w:t>
      </w:r>
      <w:r w:rsidRPr="001D0846">
        <w:rPr>
          <w:rFonts w:ascii="Times New Roman" w:eastAsia="Times New Roman" w:hAnsi="Times New Roman" w:cs="Times New Roman"/>
          <w:sz w:val="28"/>
          <w:szCs w:val="28"/>
        </w:rPr>
        <w:t>mai mult față de anul 2015, și</w:t>
      </w:r>
      <w:r w:rsidR="0029546B">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respectiv</w:t>
      </w:r>
      <w:r w:rsidR="0029546B">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417,4 mil.lei, sau </w:t>
      </w:r>
      <w:r w:rsidR="0029546B" w:rsidRPr="001D0846">
        <w:rPr>
          <w:rFonts w:ascii="Times New Roman" w:eastAsia="Times New Roman" w:hAnsi="Times New Roman" w:cs="Times New Roman"/>
          <w:sz w:val="28"/>
          <w:szCs w:val="28"/>
        </w:rPr>
        <w:t xml:space="preserve">cu 55,8 mil.lei </w:t>
      </w:r>
      <w:r w:rsidRPr="001D0846">
        <w:rPr>
          <w:rFonts w:ascii="Times New Roman" w:eastAsia="Times New Roman" w:hAnsi="Times New Roman" w:cs="Times New Roman"/>
          <w:sz w:val="28"/>
          <w:szCs w:val="28"/>
        </w:rPr>
        <w:t>mai mult față de anul 2015</w:t>
      </w:r>
      <w:r w:rsidRPr="003C4B9E">
        <w:rPr>
          <w:rFonts w:ascii="Times New Roman" w:eastAsia="Times New Roman" w:hAnsi="Times New Roman" w:cs="Times New Roman"/>
          <w:i/>
          <w:sz w:val="28"/>
          <w:szCs w:val="28"/>
        </w:rPr>
        <w:t>. Informația privind structura restanței la BPN pe anii 2015-2017</w:t>
      </w:r>
      <w:r w:rsidR="00B350CA" w:rsidRPr="003C4B9E">
        <w:rPr>
          <w:rFonts w:ascii="Times New Roman" w:eastAsia="Times New Roman" w:hAnsi="Times New Roman" w:cs="Times New Roman"/>
          <w:i/>
          <w:sz w:val="28"/>
          <w:szCs w:val="28"/>
        </w:rPr>
        <w:t>,</w:t>
      </w:r>
      <w:r w:rsidR="00A31846" w:rsidRPr="003C4B9E">
        <w:rPr>
          <w:rFonts w:ascii="Times New Roman" w:eastAsia="Times New Roman" w:hAnsi="Times New Roman" w:cs="Times New Roman"/>
          <w:i/>
          <w:sz w:val="28"/>
          <w:szCs w:val="28"/>
        </w:rPr>
        <w:t xml:space="preserve"> în aspectul tipurilor de bugete</w:t>
      </w:r>
      <w:r w:rsidR="00B350CA" w:rsidRPr="003C4B9E">
        <w:rPr>
          <w:rFonts w:ascii="Times New Roman" w:eastAsia="Times New Roman" w:hAnsi="Times New Roman" w:cs="Times New Roman"/>
          <w:i/>
          <w:sz w:val="28"/>
          <w:szCs w:val="28"/>
        </w:rPr>
        <w:t>,</w:t>
      </w:r>
      <w:r w:rsidRPr="001D0846">
        <w:rPr>
          <w:rFonts w:ascii="Times New Roman" w:eastAsia="Times New Roman" w:hAnsi="Times New Roman" w:cs="Times New Roman"/>
          <w:sz w:val="28"/>
          <w:szCs w:val="28"/>
        </w:rPr>
        <w:t xml:space="preserve"> </w:t>
      </w:r>
      <w:r w:rsidR="00B350CA">
        <w:rPr>
          <w:rFonts w:ascii="Times New Roman" w:eastAsia="Times New Roman" w:hAnsi="Times New Roman" w:cs="Times New Roman"/>
          <w:i/>
          <w:sz w:val="28"/>
          <w:szCs w:val="28"/>
        </w:rPr>
        <w:t>este</w:t>
      </w:r>
      <w:r w:rsidRPr="001D0846">
        <w:rPr>
          <w:rFonts w:ascii="Times New Roman" w:eastAsia="Times New Roman" w:hAnsi="Times New Roman" w:cs="Times New Roman"/>
          <w:i/>
          <w:sz w:val="28"/>
          <w:szCs w:val="28"/>
        </w:rPr>
        <w:t xml:space="preserve"> prez</w:t>
      </w:r>
      <w:r w:rsidR="00B350CA">
        <w:rPr>
          <w:rFonts w:ascii="Times New Roman" w:eastAsia="Times New Roman" w:hAnsi="Times New Roman" w:cs="Times New Roman"/>
          <w:i/>
          <w:sz w:val="28"/>
          <w:szCs w:val="28"/>
        </w:rPr>
        <w:t>enta</w:t>
      </w:r>
      <w:r w:rsidRPr="001D0846">
        <w:rPr>
          <w:rFonts w:ascii="Times New Roman" w:eastAsia="Times New Roman" w:hAnsi="Times New Roman" w:cs="Times New Roman"/>
          <w:i/>
          <w:sz w:val="28"/>
          <w:szCs w:val="28"/>
        </w:rPr>
        <w:t xml:space="preserve">tă în Tabelul </w:t>
      </w:r>
      <w:r w:rsidR="001C437F" w:rsidRPr="001D0846">
        <w:rPr>
          <w:rFonts w:ascii="Times New Roman" w:eastAsia="Times New Roman" w:hAnsi="Times New Roman" w:cs="Times New Roman"/>
          <w:i/>
          <w:sz w:val="28"/>
          <w:szCs w:val="28"/>
        </w:rPr>
        <w:t>nr.</w:t>
      </w:r>
      <w:r w:rsidR="00A31846" w:rsidRPr="001D0846">
        <w:rPr>
          <w:rFonts w:ascii="Times New Roman" w:eastAsia="Times New Roman" w:hAnsi="Times New Roman" w:cs="Times New Roman"/>
          <w:i/>
          <w:sz w:val="28"/>
          <w:szCs w:val="28"/>
        </w:rPr>
        <w:t>1</w:t>
      </w:r>
      <w:r w:rsidR="00365962">
        <w:rPr>
          <w:rFonts w:ascii="Times New Roman" w:eastAsia="Times New Roman" w:hAnsi="Times New Roman" w:cs="Times New Roman"/>
          <w:i/>
          <w:sz w:val="28"/>
          <w:szCs w:val="28"/>
        </w:rPr>
        <w:t>4</w:t>
      </w:r>
      <w:r w:rsidR="00A31846" w:rsidRPr="001D0846">
        <w:rPr>
          <w:rFonts w:ascii="Times New Roman" w:eastAsia="Times New Roman" w:hAnsi="Times New Roman" w:cs="Times New Roman"/>
          <w:i/>
          <w:sz w:val="28"/>
          <w:szCs w:val="28"/>
        </w:rPr>
        <w:t>.</w:t>
      </w:r>
    </w:p>
    <w:p w:rsidR="00A31846" w:rsidRPr="001D0846" w:rsidRDefault="00A31846" w:rsidP="00A31846">
      <w:pPr>
        <w:spacing w:after="0" w:line="276" w:lineRule="auto"/>
        <w:ind w:firstLine="709"/>
        <w:jc w:val="right"/>
        <w:rPr>
          <w:rFonts w:ascii="Times New Roman" w:eastAsia="Times New Roman" w:hAnsi="Times New Roman" w:cs="Times New Roman"/>
          <w:b/>
          <w:i/>
          <w:sz w:val="28"/>
          <w:szCs w:val="28"/>
        </w:rPr>
      </w:pPr>
      <w:r w:rsidRPr="001D0846">
        <w:rPr>
          <w:rFonts w:ascii="Times New Roman" w:eastAsia="Times New Roman" w:hAnsi="Times New Roman" w:cs="Times New Roman"/>
          <w:b/>
          <w:i/>
          <w:sz w:val="28"/>
          <w:szCs w:val="28"/>
        </w:rPr>
        <w:t>Tabelul nr.1</w:t>
      </w:r>
      <w:r w:rsidR="00365962">
        <w:rPr>
          <w:rFonts w:ascii="Times New Roman" w:eastAsia="Times New Roman" w:hAnsi="Times New Roman" w:cs="Times New Roman"/>
          <w:b/>
          <w:i/>
          <w:sz w:val="28"/>
          <w:szCs w:val="28"/>
        </w:rPr>
        <w:t>4</w:t>
      </w:r>
    </w:p>
    <w:p w:rsidR="00576E18" w:rsidRDefault="00A31846" w:rsidP="00A31846">
      <w:pPr>
        <w:spacing w:after="0" w:line="276" w:lineRule="auto"/>
        <w:ind w:firstLine="709"/>
        <w:jc w:val="center"/>
        <w:rPr>
          <w:rFonts w:ascii="Times New Roman" w:eastAsia="Times New Roman" w:hAnsi="Times New Roman" w:cs="Times New Roman"/>
          <w:i/>
          <w:sz w:val="28"/>
          <w:szCs w:val="28"/>
        </w:rPr>
      </w:pPr>
      <w:r w:rsidRPr="001D0846">
        <w:rPr>
          <w:rFonts w:ascii="Times New Roman" w:eastAsia="Times New Roman" w:hAnsi="Times New Roman" w:cs="Times New Roman"/>
          <w:i/>
          <w:sz w:val="28"/>
          <w:szCs w:val="28"/>
        </w:rPr>
        <w:t>Informația privind structura restanței</w:t>
      </w:r>
      <w:r w:rsidR="00B350CA">
        <w:rPr>
          <w:rFonts w:ascii="Times New Roman" w:eastAsia="Times New Roman" w:hAnsi="Times New Roman" w:cs="Times New Roman"/>
          <w:i/>
          <w:sz w:val="28"/>
          <w:szCs w:val="28"/>
        </w:rPr>
        <w:t>,</w:t>
      </w:r>
      <w:r w:rsidRPr="001D0846">
        <w:rPr>
          <w:rFonts w:ascii="Times New Roman" w:eastAsia="Times New Roman" w:hAnsi="Times New Roman" w:cs="Times New Roman"/>
          <w:i/>
          <w:sz w:val="28"/>
          <w:szCs w:val="28"/>
        </w:rPr>
        <w:t xml:space="preserve"> în aspectul componentelor BPN</w:t>
      </w:r>
      <w:r w:rsidR="00B350CA">
        <w:rPr>
          <w:rFonts w:ascii="Times New Roman" w:eastAsia="Times New Roman" w:hAnsi="Times New Roman" w:cs="Times New Roman"/>
          <w:i/>
          <w:sz w:val="28"/>
          <w:szCs w:val="28"/>
        </w:rPr>
        <w:t>,</w:t>
      </w:r>
      <w:r w:rsidRPr="001D0846">
        <w:rPr>
          <w:rFonts w:ascii="Times New Roman" w:eastAsia="Times New Roman" w:hAnsi="Times New Roman" w:cs="Times New Roman"/>
          <w:i/>
          <w:sz w:val="28"/>
          <w:szCs w:val="28"/>
        </w:rPr>
        <w:t xml:space="preserve"> pe anii 2015-2017</w:t>
      </w:r>
      <w:r w:rsidR="00B350CA">
        <w:rPr>
          <w:rFonts w:ascii="Times New Roman" w:eastAsia="Times New Roman" w:hAnsi="Times New Roman" w:cs="Times New Roman"/>
          <w:i/>
          <w:sz w:val="28"/>
          <w:szCs w:val="28"/>
        </w:rPr>
        <w:t>,</w:t>
      </w:r>
      <w:r w:rsidRPr="001D0846">
        <w:rPr>
          <w:rFonts w:ascii="Times New Roman" w:eastAsia="Times New Roman" w:hAnsi="Times New Roman" w:cs="Times New Roman"/>
          <w:i/>
          <w:sz w:val="28"/>
          <w:szCs w:val="28"/>
        </w:rPr>
        <w:t xml:space="preserve"> </w:t>
      </w:r>
      <w:r w:rsidRPr="00020547">
        <w:rPr>
          <w:rFonts w:ascii="Times New Roman" w:eastAsia="Times New Roman" w:hAnsi="Times New Roman" w:cs="Times New Roman"/>
          <w:i/>
          <w:sz w:val="28"/>
          <w:szCs w:val="28"/>
        </w:rPr>
        <w:t>adm</w:t>
      </w:r>
      <w:r w:rsidR="00B350CA" w:rsidRPr="00020547">
        <w:rPr>
          <w:rFonts w:ascii="Times New Roman" w:eastAsia="Times New Roman" w:hAnsi="Times New Roman" w:cs="Times New Roman"/>
          <w:i/>
          <w:sz w:val="28"/>
          <w:szCs w:val="28"/>
        </w:rPr>
        <w:t>i</w:t>
      </w:r>
      <w:r w:rsidRPr="00020547">
        <w:rPr>
          <w:rFonts w:ascii="Times New Roman" w:eastAsia="Times New Roman" w:hAnsi="Times New Roman" w:cs="Times New Roman"/>
          <w:i/>
          <w:sz w:val="28"/>
          <w:szCs w:val="28"/>
        </w:rPr>
        <w:t>nistrat</w:t>
      </w:r>
      <w:r w:rsidR="00B350CA" w:rsidRPr="00020547">
        <w:rPr>
          <w:rFonts w:ascii="Times New Roman" w:eastAsia="Times New Roman" w:hAnsi="Times New Roman" w:cs="Times New Roman"/>
          <w:i/>
          <w:sz w:val="28"/>
          <w:szCs w:val="28"/>
        </w:rPr>
        <w:t>ă</w:t>
      </w:r>
      <w:r w:rsidRPr="00020547">
        <w:rPr>
          <w:rFonts w:ascii="Times New Roman" w:eastAsia="Times New Roman" w:hAnsi="Times New Roman" w:cs="Times New Roman"/>
          <w:i/>
          <w:sz w:val="28"/>
          <w:szCs w:val="28"/>
        </w:rPr>
        <w:t xml:space="preserve"> de către SFS</w:t>
      </w:r>
    </w:p>
    <w:p w:rsidR="00576E18" w:rsidRPr="001D0846" w:rsidRDefault="00576E18" w:rsidP="00576E18">
      <w:pPr>
        <w:spacing w:after="0" w:line="276" w:lineRule="auto"/>
        <w:ind w:firstLine="709"/>
        <w:jc w:val="right"/>
        <w:rPr>
          <w:rFonts w:ascii="Times New Roman" w:eastAsia="Times New Roman" w:hAnsi="Times New Roman" w:cs="Times New Roman"/>
          <w:i/>
          <w:sz w:val="28"/>
          <w:szCs w:val="28"/>
        </w:rPr>
      </w:pPr>
      <w:r>
        <w:rPr>
          <w:rFonts w:ascii="Times New Roman" w:eastAsia="Calibri" w:hAnsi="Times New Roman" w:cs="Times New Roman"/>
          <w:i/>
          <w:sz w:val="28"/>
          <w:szCs w:val="28"/>
        </w:rPr>
        <w:t>(mil.lei)</w:t>
      </w:r>
    </w:p>
    <w:tbl>
      <w:tblPr>
        <w:tblStyle w:val="a3"/>
        <w:tblW w:w="9986" w:type="dxa"/>
        <w:tblInd w:w="-721" w:type="dxa"/>
        <w:tblLayout w:type="fixed"/>
        <w:tblLook w:val="04A0" w:firstRow="1" w:lastRow="0" w:firstColumn="1" w:lastColumn="0" w:noHBand="0" w:noVBand="1"/>
      </w:tblPr>
      <w:tblGrid>
        <w:gridCol w:w="966"/>
        <w:gridCol w:w="656"/>
        <w:gridCol w:w="656"/>
        <w:gridCol w:w="576"/>
        <w:gridCol w:w="576"/>
        <w:gridCol w:w="496"/>
        <w:gridCol w:w="656"/>
        <w:gridCol w:w="656"/>
        <w:gridCol w:w="576"/>
        <w:gridCol w:w="576"/>
        <w:gridCol w:w="496"/>
        <w:gridCol w:w="656"/>
        <w:gridCol w:w="656"/>
        <w:gridCol w:w="576"/>
        <w:gridCol w:w="576"/>
        <w:gridCol w:w="636"/>
      </w:tblGrid>
      <w:tr w:rsidR="00954AF4" w:rsidRPr="001D0846" w:rsidTr="00576E18">
        <w:tc>
          <w:tcPr>
            <w:tcW w:w="966" w:type="dxa"/>
            <w:vMerge w:val="restart"/>
          </w:tcPr>
          <w:p w:rsidR="00954AF4" w:rsidRPr="001D0846" w:rsidRDefault="00954AF4" w:rsidP="00116114">
            <w:pPr>
              <w:spacing w:line="276" w:lineRule="auto"/>
              <w:jc w:val="center"/>
              <w:rPr>
                <w:rFonts w:ascii="Times New Roman" w:eastAsia="Times New Roman" w:hAnsi="Times New Roman" w:cs="Times New Roman"/>
                <w:b/>
                <w:color w:val="000000"/>
                <w:sz w:val="18"/>
                <w:szCs w:val="18"/>
                <w:lang w:val="ro-MD"/>
              </w:rPr>
            </w:pPr>
            <w:r w:rsidRPr="001D0846">
              <w:rPr>
                <w:rFonts w:ascii="Times New Roman" w:eastAsia="Times New Roman" w:hAnsi="Times New Roman" w:cs="Times New Roman"/>
                <w:b/>
                <w:color w:val="000000"/>
                <w:sz w:val="18"/>
                <w:szCs w:val="18"/>
                <w:lang w:val="ro-MD"/>
              </w:rPr>
              <w:t>Sumele restante la:</w:t>
            </w:r>
          </w:p>
        </w:tc>
        <w:tc>
          <w:tcPr>
            <w:tcW w:w="2960" w:type="dxa"/>
            <w:gridSpan w:val="5"/>
            <w:tcBorders>
              <w:bottom w:val="single" w:sz="18" w:space="0" w:color="auto"/>
              <w:right w:val="single" w:sz="18" w:space="0" w:color="auto"/>
            </w:tcBorders>
          </w:tcPr>
          <w:p w:rsidR="00954AF4" w:rsidRPr="001D0846" w:rsidRDefault="00954AF4" w:rsidP="00116114">
            <w:pPr>
              <w:spacing w:line="276" w:lineRule="auto"/>
              <w:jc w:val="center"/>
              <w:rPr>
                <w:rFonts w:ascii="Times New Roman" w:eastAsia="Times New Roman" w:hAnsi="Times New Roman" w:cs="Times New Roman"/>
                <w:b/>
                <w:sz w:val="28"/>
                <w:szCs w:val="28"/>
              </w:rPr>
            </w:pPr>
            <w:r w:rsidRPr="001D0846">
              <w:rPr>
                <w:rFonts w:ascii="Times New Roman" w:eastAsia="Times New Roman" w:hAnsi="Times New Roman" w:cs="Times New Roman"/>
                <w:b/>
                <w:color w:val="000000"/>
                <w:sz w:val="16"/>
                <w:szCs w:val="16"/>
                <w:lang w:val="ro-MD"/>
              </w:rPr>
              <w:t>Anul 2015</w:t>
            </w:r>
          </w:p>
        </w:tc>
        <w:tc>
          <w:tcPr>
            <w:tcW w:w="2960" w:type="dxa"/>
            <w:gridSpan w:val="5"/>
            <w:tcBorders>
              <w:left w:val="single" w:sz="18" w:space="0" w:color="auto"/>
              <w:bottom w:val="single" w:sz="18" w:space="0" w:color="auto"/>
              <w:right w:val="single" w:sz="18" w:space="0" w:color="auto"/>
            </w:tcBorders>
          </w:tcPr>
          <w:p w:rsidR="00954AF4" w:rsidRPr="001D0846" w:rsidRDefault="00954AF4" w:rsidP="00116114">
            <w:pPr>
              <w:spacing w:line="276" w:lineRule="auto"/>
              <w:jc w:val="center"/>
              <w:rPr>
                <w:rFonts w:ascii="Times New Roman" w:eastAsia="Times New Roman" w:hAnsi="Times New Roman" w:cs="Times New Roman"/>
                <w:b/>
                <w:sz w:val="28"/>
                <w:szCs w:val="28"/>
              </w:rPr>
            </w:pPr>
            <w:r w:rsidRPr="001D0846">
              <w:rPr>
                <w:rFonts w:ascii="Times New Roman" w:eastAsia="Times New Roman" w:hAnsi="Times New Roman" w:cs="Times New Roman"/>
                <w:b/>
                <w:color w:val="000000"/>
                <w:sz w:val="16"/>
                <w:szCs w:val="16"/>
                <w:lang w:val="ro-MD"/>
              </w:rPr>
              <w:t>Anul 2016</w:t>
            </w:r>
          </w:p>
        </w:tc>
        <w:tc>
          <w:tcPr>
            <w:tcW w:w="3100" w:type="dxa"/>
            <w:gridSpan w:val="5"/>
            <w:tcBorders>
              <w:left w:val="single" w:sz="18" w:space="0" w:color="auto"/>
              <w:bottom w:val="single" w:sz="18" w:space="0" w:color="auto"/>
              <w:right w:val="single" w:sz="18" w:space="0" w:color="auto"/>
            </w:tcBorders>
          </w:tcPr>
          <w:p w:rsidR="00954AF4" w:rsidRPr="001D0846" w:rsidRDefault="00954AF4" w:rsidP="00116114">
            <w:pPr>
              <w:spacing w:line="276" w:lineRule="auto"/>
              <w:jc w:val="center"/>
              <w:rPr>
                <w:rFonts w:ascii="Times New Roman" w:eastAsia="Times New Roman" w:hAnsi="Times New Roman" w:cs="Times New Roman"/>
                <w:b/>
                <w:sz w:val="28"/>
                <w:szCs w:val="28"/>
              </w:rPr>
            </w:pPr>
            <w:r w:rsidRPr="001D0846">
              <w:rPr>
                <w:rFonts w:ascii="Times New Roman" w:eastAsia="Times New Roman" w:hAnsi="Times New Roman" w:cs="Times New Roman"/>
                <w:b/>
                <w:color w:val="000000"/>
                <w:sz w:val="16"/>
                <w:szCs w:val="16"/>
                <w:lang w:val="ro-MD"/>
              </w:rPr>
              <w:t>Anul 2017</w:t>
            </w:r>
          </w:p>
        </w:tc>
      </w:tr>
      <w:tr w:rsidR="00A31846" w:rsidRPr="001D0846" w:rsidTr="00576E18">
        <w:trPr>
          <w:cantSplit/>
          <w:trHeight w:val="956"/>
        </w:trPr>
        <w:tc>
          <w:tcPr>
            <w:tcW w:w="966" w:type="dxa"/>
            <w:vMerge/>
          </w:tcPr>
          <w:p w:rsidR="00954AF4" w:rsidRPr="001D0846" w:rsidRDefault="00954AF4" w:rsidP="00116114">
            <w:pPr>
              <w:spacing w:line="276" w:lineRule="auto"/>
              <w:jc w:val="center"/>
              <w:rPr>
                <w:rFonts w:ascii="Times New Roman" w:eastAsia="Times New Roman" w:hAnsi="Times New Roman" w:cs="Times New Roman"/>
                <w:b/>
                <w:sz w:val="18"/>
                <w:szCs w:val="18"/>
              </w:rPr>
            </w:pPr>
          </w:p>
        </w:tc>
        <w:tc>
          <w:tcPr>
            <w:tcW w:w="656" w:type="dxa"/>
            <w:tcBorders>
              <w:top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BPN</w:t>
            </w:r>
          </w:p>
        </w:tc>
        <w:tc>
          <w:tcPr>
            <w:tcW w:w="656" w:type="dxa"/>
            <w:tcBorders>
              <w:top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BS</w:t>
            </w:r>
          </w:p>
        </w:tc>
        <w:tc>
          <w:tcPr>
            <w:tcW w:w="576" w:type="dxa"/>
            <w:tcBorders>
              <w:top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BUAT</w:t>
            </w:r>
          </w:p>
        </w:tc>
        <w:tc>
          <w:tcPr>
            <w:tcW w:w="576" w:type="dxa"/>
            <w:tcBorders>
              <w:top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BASS</w:t>
            </w:r>
          </w:p>
        </w:tc>
        <w:tc>
          <w:tcPr>
            <w:tcW w:w="496" w:type="dxa"/>
            <w:tcBorders>
              <w:top w:val="single" w:sz="18" w:space="0" w:color="auto"/>
              <w:right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FAOAM</w:t>
            </w:r>
          </w:p>
        </w:tc>
        <w:tc>
          <w:tcPr>
            <w:tcW w:w="656" w:type="dxa"/>
            <w:tcBorders>
              <w:left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BPN</w:t>
            </w:r>
          </w:p>
        </w:tc>
        <w:tc>
          <w:tcPr>
            <w:tcW w:w="65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BS</w:t>
            </w:r>
          </w:p>
        </w:tc>
        <w:tc>
          <w:tcPr>
            <w:tcW w:w="57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BUAT</w:t>
            </w:r>
          </w:p>
        </w:tc>
        <w:tc>
          <w:tcPr>
            <w:tcW w:w="57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BASS</w:t>
            </w:r>
          </w:p>
        </w:tc>
        <w:tc>
          <w:tcPr>
            <w:tcW w:w="496" w:type="dxa"/>
            <w:tcBorders>
              <w:right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sz w:val="28"/>
                <w:szCs w:val="28"/>
              </w:rPr>
            </w:pPr>
            <w:r w:rsidRPr="001D0846">
              <w:rPr>
                <w:rFonts w:ascii="Times New Roman" w:eastAsia="Times New Roman" w:hAnsi="Times New Roman" w:cs="Times New Roman"/>
                <w:b/>
                <w:bCs/>
                <w:color w:val="000000"/>
                <w:sz w:val="16"/>
                <w:szCs w:val="16"/>
                <w:lang w:val="ro-MD"/>
              </w:rPr>
              <w:t>FAOAM</w:t>
            </w:r>
          </w:p>
        </w:tc>
        <w:tc>
          <w:tcPr>
            <w:tcW w:w="656" w:type="dxa"/>
            <w:tcBorders>
              <w:left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BPN</w:t>
            </w:r>
          </w:p>
        </w:tc>
        <w:tc>
          <w:tcPr>
            <w:tcW w:w="65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BS</w:t>
            </w:r>
          </w:p>
        </w:tc>
        <w:tc>
          <w:tcPr>
            <w:tcW w:w="57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BUAT</w:t>
            </w:r>
          </w:p>
        </w:tc>
        <w:tc>
          <w:tcPr>
            <w:tcW w:w="576" w:type="dxa"/>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BASS</w:t>
            </w:r>
          </w:p>
        </w:tc>
        <w:tc>
          <w:tcPr>
            <w:tcW w:w="636" w:type="dxa"/>
            <w:tcBorders>
              <w:right w:val="single" w:sz="18" w:space="0" w:color="auto"/>
            </w:tcBorders>
            <w:textDirection w:val="btLr"/>
            <w:vAlign w:val="center"/>
          </w:tcPr>
          <w:p w:rsidR="00954AF4" w:rsidRPr="001D0846" w:rsidRDefault="00954AF4" w:rsidP="006C10A0">
            <w:pPr>
              <w:ind w:left="113" w:right="113"/>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FAOAM</w:t>
            </w:r>
          </w:p>
        </w:tc>
      </w:tr>
      <w:tr w:rsidR="00A31846" w:rsidRPr="001D0846" w:rsidTr="00576E18">
        <w:tc>
          <w:tcPr>
            <w:tcW w:w="966" w:type="dxa"/>
          </w:tcPr>
          <w:p w:rsidR="00954AF4" w:rsidRPr="001D0846" w:rsidRDefault="00954AF4" w:rsidP="00A31846">
            <w:pPr>
              <w:spacing w:line="276" w:lineRule="auto"/>
              <w:rPr>
                <w:rFonts w:ascii="Times New Roman" w:eastAsia="Times New Roman" w:hAnsi="Times New Roman" w:cs="Times New Roman"/>
                <w:sz w:val="18"/>
                <w:szCs w:val="18"/>
              </w:rPr>
            </w:pPr>
            <w:r w:rsidRPr="001D0846">
              <w:rPr>
                <w:rFonts w:ascii="Times New Roman" w:eastAsia="Times New Roman" w:hAnsi="Times New Roman" w:cs="Times New Roman"/>
                <w:color w:val="000000"/>
                <w:sz w:val="18"/>
                <w:szCs w:val="18"/>
                <w:lang w:val="ro-MD"/>
              </w:rPr>
              <w:t>plăți</w:t>
            </w:r>
            <w:r w:rsidR="00B350CA">
              <w:rPr>
                <w:rFonts w:ascii="Times New Roman" w:eastAsia="Times New Roman" w:hAnsi="Times New Roman" w:cs="Times New Roman"/>
                <w:color w:val="000000"/>
                <w:sz w:val="18"/>
                <w:szCs w:val="18"/>
                <w:lang w:val="ro-MD"/>
              </w:rPr>
              <w:t>le</w:t>
            </w:r>
            <w:r w:rsidRPr="001D0846">
              <w:rPr>
                <w:rFonts w:ascii="Times New Roman" w:eastAsia="Times New Roman" w:hAnsi="Times New Roman" w:cs="Times New Roman"/>
                <w:color w:val="000000"/>
                <w:sz w:val="18"/>
                <w:szCs w:val="18"/>
                <w:lang w:val="ro-MD"/>
              </w:rPr>
              <w:t xml:space="preserve"> de bază</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1002,5</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559,6</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166,2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245,3</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31,4</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967,2</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544,7</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206,7</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192,9</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lang w:val="ro-MD"/>
              </w:rPr>
              <w:t>22,9</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1137,1</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727,4</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189,2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198,9</w:t>
            </w:r>
          </w:p>
        </w:tc>
        <w:tc>
          <w:tcPr>
            <w:tcW w:w="63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21,7</w:t>
            </w:r>
          </w:p>
        </w:tc>
      </w:tr>
      <w:tr w:rsidR="00A31846" w:rsidRPr="001D0846" w:rsidTr="00576E18">
        <w:tc>
          <w:tcPr>
            <w:tcW w:w="966" w:type="dxa"/>
          </w:tcPr>
          <w:p w:rsidR="00954AF4" w:rsidRPr="001D0846" w:rsidRDefault="0013046F" w:rsidP="00A31846">
            <w:pPr>
              <w:spacing w:line="276" w:lineRule="auto"/>
              <w:rPr>
                <w:rFonts w:ascii="Times New Roman" w:eastAsia="Times New Roman" w:hAnsi="Times New Roman" w:cs="Times New Roman"/>
                <w:sz w:val="18"/>
                <w:szCs w:val="18"/>
              </w:rPr>
            </w:pPr>
            <w:r w:rsidRPr="001D0846">
              <w:rPr>
                <w:rFonts w:ascii="Times New Roman" w:eastAsia="Times New Roman" w:hAnsi="Times New Roman" w:cs="Times New Roman"/>
                <w:color w:val="000000"/>
                <w:sz w:val="18"/>
                <w:szCs w:val="18"/>
                <w:lang w:val="ro-MD"/>
              </w:rPr>
              <w:t>majorări</w:t>
            </w:r>
            <w:r w:rsidR="00B350CA">
              <w:rPr>
                <w:rFonts w:ascii="Times New Roman" w:eastAsia="Times New Roman" w:hAnsi="Times New Roman" w:cs="Times New Roman"/>
                <w:color w:val="000000"/>
                <w:sz w:val="18"/>
                <w:szCs w:val="18"/>
                <w:lang w:val="ro-MD"/>
              </w:rPr>
              <w:t>le</w:t>
            </w:r>
            <w:r w:rsidR="00954AF4" w:rsidRPr="001D0846">
              <w:rPr>
                <w:rFonts w:ascii="Times New Roman" w:eastAsia="Times New Roman" w:hAnsi="Times New Roman" w:cs="Times New Roman"/>
                <w:color w:val="000000"/>
                <w:sz w:val="18"/>
                <w:szCs w:val="18"/>
                <w:lang w:val="ro-MD"/>
              </w:rPr>
              <w:t xml:space="preserve"> de întârziere</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480,5</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213,7</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62,4</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178,1</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26,4</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544,3</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266,2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87,2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165,3</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lang w:val="ro-MD"/>
              </w:rPr>
              <w:t>25,5</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627,5</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340,5</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87,2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175,6</w:t>
            </w:r>
          </w:p>
        </w:tc>
        <w:tc>
          <w:tcPr>
            <w:tcW w:w="63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24,2</w:t>
            </w:r>
          </w:p>
        </w:tc>
      </w:tr>
      <w:tr w:rsidR="00A31846" w:rsidRPr="001D0846" w:rsidTr="00576E18">
        <w:tc>
          <w:tcPr>
            <w:tcW w:w="966" w:type="dxa"/>
          </w:tcPr>
          <w:p w:rsidR="00954AF4" w:rsidRPr="001D0846" w:rsidRDefault="00954AF4" w:rsidP="00A31846">
            <w:pPr>
              <w:spacing w:line="276" w:lineRule="auto"/>
              <w:rPr>
                <w:rFonts w:ascii="Times New Roman" w:eastAsia="Times New Roman" w:hAnsi="Times New Roman" w:cs="Times New Roman"/>
                <w:sz w:val="18"/>
                <w:szCs w:val="18"/>
              </w:rPr>
            </w:pPr>
            <w:r w:rsidRPr="001D0846">
              <w:rPr>
                <w:rFonts w:ascii="Times New Roman" w:eastAsia="Times New Roman" w:hAnsi="Times New Roman" w:cs="Times New Roman"/>
                <w:color w:val="000000"/>
                <w:sz w:val="18"/>
                <w:szCs w:val="18"/>
                <w:lang w:val="ro-MD"/>
              </w:rPr>
              <w:t>amenzi</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361,6</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356,2</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0,0</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3,3</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2,1</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314,5</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309,7</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0,0</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3,3</w:t>
            </w:r>
          </w:p>
        </w:tc>
        <w:tc>
          <w:tcPr>
            <w:tcW w:w="49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color w:val="000000"/>
                <w:sz w:val="16"/>
                <w:szCs w:val="16"/>
                <w:lang w:val="ro-MD"/>
              </w:rPr>
              <w:t>1,5</w:t>
            </w:r>
          </w:p>
        </w:tc>
        <w:tc>
          <w:tcPr>
            <w:tcW w:w="656" w:type="dxa"/>
            <w:tcBorders>
              <w:lef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417,4</w:t>
            </w:r>
          </w:p>
        </w:tc>
        <w:tc>
          <w:tcPr>
            <w:tcW w:w="65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399,1</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0,0</w:t>
            </w:r>
          </w:p>
        </w:tc>
        <w:tc>
          <w:tcPr>
            <w:tcW w:w="576" w:type="dxa"/>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15,0</w:t>
            </w:r>
          </w:p>
        </w:tc>
        <w:tc>
          <w:tcPr>
            <w:tcW w:w="636" w:type="dxa"/>
            <w:tcBorders>
              <w:right w:val="single" w:sz="18" w:space="0" w:color="auto"/>
            </w:tcBorders>
            <w:vAlign w:val="center"/>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color w:val="000000"/>
                <w:sz w:val="16"/>
                <w:szCs w:val="16"/>
                <w:lang w:val="ro-MD"/>
              </w:rPr>
              <w:t>3,4</w:t>
            </w:r>
          </w:p>
        </w:tc>
      </w:tr>
      <w:tr w:rsidR="00954AF4" w:rsidRPr="001D0846" w:rsidTr="00576E18">
        <w:tc>
          <w:tcPr>
            <w:tcW w:w="966" w:type="dxa"/>
          </w:tcPr>
          <w:p w:rsidR="00954AF4" w:rsidRPr="001D0846" w:rsidRDefault="00954AF4" w:rsidP="00A31846">
            <w:pPr>
              <w:spacing w:line="276" w:lineRule="auto"/>
              <w:rPr>
                <w:rFonts w:ascii="Times New Roman" w:eastAsia="Times New Roman" w:hAnsi="Times New Roman" w:cs="Times New Roman"/>
                <w:b/>
                <w:sz w:val="18"/>
                <w:szCs w:val="18"/>
              </w:rPr>
            </w:pPr>
            <w:r w:rsidRPr="001D0846">
              <w:rPr>
                <w:rFonts w:ascii="Times New Roman" w:eastAsia="Times New Roman" w:hAnsi="Times New Roman" w:cs="Times New Roman"/>
                <w:b/>
                <w:color w:val="000000"/>
                <w:sz w:val="18"/>
                <w:szCs w:val="18"/>
                <w:lang w:val="ro-MD"/>
              </w:rPr>
              <w:t>Total</w:t>
            </w:r>
            <w:r w:rsidR="00B350CA">
              <w:rPr>
                <w:rFonts w:ascii="Times New Roman" w:eastAsia="Times New Roman" w:hAnsi="Times New Roman" w:cs="Times New Roman"/>
                <w:b/>
                <w:color w:val="000000"/>
                <w:sz w:val="18"/>
                <w:szCs w:val="18"/>
                <w:lang w:val="ro-MD"/>
              </w:rPr>
              <w:t>,</w:t>
            </w:r>
            <w:r w:rsidRPr="001D0846">
              <w:rPr>
                <w:rFonts w:ascii="Times New Roman" w:eastAsia="Times New Roman" w:hAnsi="Times New Roman" w:cs="Times New Roman"/>
                <w:b/>
                <w:color w:val="000000"/>
                <w:sz w:val="18"/>
                <w:szCs w:val="18"/>
                <w:lang w:val="ro-MD"/>
              </w:rPr>
              <w:t xml:space="preserve"> restanțe</w:t>
            </w:r>
          </w:p>
        </w:tc>
        <w:tc>
          <w:tcPr>
            <w:tcW w:w="656" w:type="dxa"/>
            <w:shd w:val="clear" w:color="auto" w:fill="D0CECE" w:themeFill="background2" w:themeFillShade="E6"/>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1844,6</w:t>
            </w:r>
          </w:p>
        </w:tc>
        <w:tc>
          <w:tcPr>
            <w:tcW w:w="65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1129,5</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228,6</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426,7</w:t>
            </w:r>
          </w:p>
        </w:tc>
        <w:tc>
          <w:tcPr>
            <w:tcW w:w="496" w:type="dxa"/>
            <w:tcBorders>
              <w:right w:val="single" w:sz="18" w:space="0" w:color="auto"/>
            </w:tcBorders>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59,9</w:t>
            </w:r>
          </w:p>
        </w:tc>
        <w:tc>
          <w:tcPr>
            <w:tcW w:w="656" w:type="dxa"/>
            <w:tcBorders>
              <w:left w:val="single" w:sz="18" w:space="0" w:color="auto"/>
            </w:tcBorders>
            <w:shd w:val="clear" w:color="auto" w:fill="D0CECE" w:themeFill="background2" w:themeFillShade="E6"/>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1826,0</w:t>
            </w:r>
          </w:p>
        </w:tc>
        <w:tc>
          <w:tcPr>
            <w:tcW w:w="65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1120,6</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293,9</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b/>
                <w:bCs/>
                <w:color w:val="000000"/>
                <w:sz w:val="16"/>
                <w:szCs w:val="16"/>
                <w:lang w:val="ro-MD"/>
              </w:rPr>
            </w:pPr>
            <w:r w:rsidRPr="001D0846">
              <w:rPr>
                <w:rFonts w:ascii="Times New Roman" w:eastAsia="Times New Roman" w:hAnsi="Times New Roman" w:cs="Times New Roman"/>
                <w:b/>
                <w:bCs/>
                <w:color w:val="000000"/>
                <w:sz w:val="16"/>
                <w:szCs w:val="16"/>
                <w:lang w:val="ro-MD"/>
              </w:rPr>
              <w:t>361,5</w:t>
            </w:r>
          </w:p>
        </w:tc>
        <w:tc>
          <w:tcPr>
            <w:tcW w:w="496" w:type="dxa"/>
            <w:tcBorders>
              <w:right w:val="single" w:sz="18" w:space="0" w:color="auto"/>
            </w:tcBorders>
            <w:shd w:val="clear" w:color="auto" w:fill="E7E6E6" w:themeFill="background2"/>
          </w:tcPr>
          <w:p w:rsidR="00954AF4" w:rsidRPr="001D0846" w:rsidRDefault="00954AF4" w:rsidP="006C10A0">
            <w:pPr>
              <w:jc w:val="center"/>
              <w:rPr>
                <w:rFonts w:ascii="Times New Roman" w:eastAsia="Times New Roman" w:hAnsi="Times New Roman" w:cs="Times New Roman"/>
                <w:b/>
                <w:sz w:val="16"/>
                <w:szCs w:val="16"/>
              </w:rPr>
            </w:pPr>
            <w:r w:rsidRPr="001D0846">
              <w:rPr>
                <w:rFonts w:ascii="Times New Roman" w:eastAsia="Times New Roman" w:hAnsi="Times New Roman" w:cs="Times New Roman"/>
                <w:b/>
                <w:bCs/>
                <w:color w:val="000000"/>
                <w:sz w:val="16"/>
                <w:szCs w:val="16"/>
                <w:lang w:val="ro-MD"/>
              </w:rPr>
              <w:t>49,8</w:t>
            </w:r>
          </w:p>
        </w:tc>
        <w:tc>
          <w:tcPr>
            <w:tcW w:w="656" w:type="dxa"/>
            <w:tcBorders>
              <w:left w:val="single" w:sz="18" w:space="0" w:color="auto"/>
            </w:tcBorders>
            <w:shd w:val="clear" w:color="auto" w:fill="D0CECE" w:themeFill="background2" w:themeFillShade="E6"/>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2182,0</w:t>
            </w:r>
          </w:p>
        </w:tc>
        <w:tc>
          <w:tcPr>
            <w:tcW w:w="65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1466,9</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276,5</w:t>
            </w:r>
          </w:p>
        </w:tc>
        <w:tc>
          <w:tcPr>
            <w:tcW w:w="576" w:type="dxa"/>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389,4</w:t>
            </w:r>
          </w:p>
        </w:tc>
        <w:tc>
          <w:tcPr>
            <w:tcW w:w="636" w:type="dxa"/>
            <w:tcBorders>
              <w:right w:val="single" w:sz="18" w:space="0" w:color="auto"/>
            </w:tcBorders>
            <w:shd w:val="clear" w:color="auto" w:fill="E7E6E6" w:themeFill="background2"/>
          </w:tcPr>
          <w:p w:rsidR="00954AF4" w:rsidRPr="001D0846" w:rsidRDefault="00954AF4" w:rsidP="006C10A0">
            <w:pPr>
              <w:jc w:val="center"/>
              <w:rPr>
                <w:rFonts w:ascii="Times New Roman" w:eastAsia="Times New Roman" w:hAnsi="Times New Roman" w:cs="Times New Roman"/>
                <w:color w:val="000000"/>
                <w:sz w:val="16"/>
                <w:szCs w:val="16"/>
                <w:lang w:val="ro-MD"/>
              </w:rPr>
            </w:pPr>
            <w:r w:rsidRPr="001D0846">
              <w:rPr>
                <w:rFonts w:ascii="Times New Roman" w:eastAsia="Times New Roman" w:hAnsi="Times New Roman" w:cs="Times New Roman"/>
                <w:b/>
                <w:bCs/>
                <w:color w:val="000000"/>
                <w:sz w:val="16"/>
                <w:szCs w:val="16"/>
                <w:lang w:val="ro-MD"/>
              </w:rPr>
              <w:t>49,2</w:t>
            </w:r>
          </w:p>
        </w:tc>
      </w:tr>
    </w:tbl>
    <w:p w:rsidR="00954AF4" w:rsidRPr="001D0846" w:rsidRDefault="00A31846" w:rsidP="00576E18">
      <w:pPr>
        <w:spacing w:after="0" w:line="276" w:lineRule="auto"/>
        <w:jc w:val="both"/>
        <w:rPr>
          <w:rFonts w:ascii="Times New Roman" w:eastAsia="Times New Roman" w:hAnsi="Times New Roman" w:cs="Times New Roman"/>
          <w:i/>
          <w:sz w:val="20"/>
          <w:szCs w:val="20"/>
        </w:rPr>
      </w:pPr>
      <w:r w:rsidRPr="001D0846">
        <w:rPr>
          <w:rFonts w:ascii="Times New Roman" w:eastAsia="Times New Roman" w:hAnsi="Times New Roman" w:cs="Times New Roman"/>
          <w:b/>
          <w:i/>
          <w:sz w:val="20"/>
          <w:szCs w:val="20"/>
        </w:rPr>
        <w:t>Sursă:</w:t>
      </w:r>
      <w:r w:rsidR="003D7FEE" w:rsidRPr="001D0846">
        <w:rPr>
          <w:rFonts w:ascii="Times New Roman" w:eastAsia="Calibri" w:hAnsi="Times New Roman" w:cs="Times New Roman"/>
          <w:i/>
          <w:sz w:val="20"/>
          <w:szCs w:val="20"/>
        </w:rPr>
        <w:t xml:space="preserve"> Date generalizate de către echipa de audit în baza dărilor de seamă privind restanțele la BPN administrate de SFS pe anii 2015-2017.</w:t>
      </w:r>
    </w:p>
    <w:p w:rsidR="002A4021" w:rsidRPr="001D0846" w:rsidRDefault="002A4021" w:rsidP="008818CC">
      <w:pPr>
        <w:spacing w:after="0" w:line="276" w:lineRule="auto"/>
        <w:ind w:firstLine="720"/>
        <w:jc w:val="both"/>
        <w:rPr>
          <w:rFonts w:ascii="Times New Roman" w:hAnsi="Times New Roman" w:cs="Times New Roman"/>
          <w:sz w:val="28"/>
          <w:szCs w:val="28"/>
        </w:rPr>
      </w:pPr>
    </w:p>
    <w:p w:rsidR="00400362" w:rsidRPr="001D0846" w:rsidRDefault="00B350CA" w:rsidP="008818CC">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Examinând</w:t>
      </w:r>
      <w:r w:rsidR="00C26C38" w:rsidRPr="001D0846">
        <w:rPr>
          <w:rFonts w:ascii="Times New Roman" w:hAnsi="Times New Roman" w:cs="Times New Roman"/>
          <w:sz w:val="28"/>
          <w:szCs w:val="28"/>
        </w:rPr>
        <w:t xml:space="preserve"> modul de formare și evoluți</w:t>
      </w:r>
      <w:r>
        <w:rPr>
          <w:rFonts w:ascii="Times New Roman" w:hAnsi="Times New Roman" w:cs="Times New Roman"/>
          <w:sz w:val="28"/>
          <w:szCs w:val="28"/>
        </w:rPr>
        <w:t>a</w:t>
      </w:r>
      <w:r w:rsidR="00C26C38" w:rsidRPr="001D0846">
        <w:rPr>
          <w:rFonts w:ascii="Times New Roman" w:hAnsi="Times New Roman" w:cs="Times New Roman"/>
          <w:sz w:val="28"/>
          <w:szCs w:val="28"/>
        </w:rPr>
        <w:t xml:space="preserve"> restanțelor în aspect cronologic</w:t>
      </w:r>
      <w:r>
        <w:rPr>
          <w:rFonts w:ascii="Times New Roman" w:hAnsi="Times New Roman" w:cs="Times New Roman"/>
          <w:sz w:val="28"/>
          <w:szCs w:val="28"/>
        </w:rPr>
        <w:t>, auditul</w:t>
      </w:r>
      <w:r w:rsidR="00C26C38" w:rsidRPr="001D0846">
        <w:rPr>
          <w:rFonts w:ascii="Times New Roman" w:hAnsi="Times New Roman" w:cs="Times New Roman"/>
          <w:sz w:val="28"/>
          <w:szCs w:val="28"/>
        </w:rPr>
        <w:t xml:space="preserve"> relevă o dinamică ascendentă a restanțelor istorice. Astfel, 13% din restanța la plățile de bază</w:t>
      </w:r>
      <w:r>
        <w:rPr>
          <w:rFonts w:ascii="Times New Roman" w:hAnsi="Times New Roman" w:cs="Times New Roman"/>
          <w:sz w:val="28"/>
          <w:szCs w:val="28"/>
        </w:rPr>
        <w:t>,</w:t>
      </w:r>
      <w:r w:rsidR="00C26C38" w:rsidRPr="001D0846">
        <w:rPr>
          <w:rFonts w:ascii="Times New Roman" w:hAnsi="Times New Roman" w:cs="Times New Roman"/>
          <w:sz w:val="28"/>
          <w:szCs w:val="28"/>
        </w:rPr>
        <w:t xml:space="preserve"> înregistrată la 31.12.2017</w:t>
      </w:r>
      <w:r>
        <w:rPr>
          <w:rFonts w:ascii="Times New Roman" w:hAnsi="Times New Roman" w:cs="Times New Roman"/>
          <w:sz w:val="28"/>
          <w:szCs w:val="28"/>
        </w:rPr>
        <w:t>,</w:t>
      </w:r>
      <w:r w:rsidR="00C26C38" w:rsidRPr="001D0846">
        <w:rPr>
          <w:rFonts w:ascii="Times New Roman" w:hAnsi="Times New Roman" w:cs="Times New Roman"/>
          <w:sz w:val="28"/>
          <w:szCs w:val="28"/>
        </w:rPr>
        <w:t xml:space="preserve"> </w:t>
      </w:r>
      <w:r>
        <w:rPr>
          <w:rFonts w:ascii="Times New Roman" w:hAnsi="Times New Roman" w:cs="Times New Roman"/>
          <w:sz w:val="28"/>
          <w:szCs w:val="28"/>
        </w:rPr>
        <w:t>s-au</w:t>
      </w:r>
      <w:r w:rsidR="00C26C38" w:rsidRPr="001D0846">
        <w:rPr>
          <w:rFonts w:ascii="Times New Roman" w:hAnsi="Times New Roman" w:cs="Times New Roman"/>
          <w:sz w:val="28"/>
          <w:szCs w:val="28"/>
        </w:rPr>
        <w:t xml:space="preserve"> format p</w:t>
      </w:r>
      <w:r>
        <w:rPr>
          <w:rFonts w:ascii="Times New Roman" w:hAnsi="Times New Roman" w:cs="Times New Roman"/>
          <w:sz w:val="28"/>
          <w:szCs w:val="28"/>
        </w:rPr>
        <w:t>â</w:t>
      </w:r>
      <w:r w:rsidR="00C26C38" w:rsidRPr="001D0846">
        <w:rPr>
          <w:rFonts w:ascii="Times New Roman" w:hAnsi="Times New Roman" w:cs="Times New Roman"/>
          <w:sz w:val="28"/>
          <w:szCs w:val="28"/>
        </w:rPr>
        <w:t xml:space="preserve">nă în anul 2014, 8,9% </w:t>
      </w:r>
      <w:r>
        <w:rPr>
          <w:rFonts w:ascii="Times New Roman" w:hAnsi="Times New Roman" w:cs="Times New Roman"/>
          <w:sz w:val="28"/>
          <w:szCs w:val="28"/>
        </w:rPr>
        <w:t xml:space="preserve">- </w:t>
      </w:r>
      <w:r w:rsidR="00C26C38" w:rsidRPr="001D0846">
        <w:rPr>
          <w:rFonts w:ascii="Times New Roman" w:hAnsi="Times New Roman" w:cs="Times New Roman"/>
          <w:sz w:val="28"/>
          <w:szCs w:val="28"/>
        </w:rPr>
        <w:t xml:space="preserve">în anul 2015, 15,0% </w:t>
      </w:r>
      <w:r>
        <w:rPr>
          <w:rFonts w:ascii="Times New Roman" w:hAnsi="Times New Roman" w:cs="Times New Roman"/>
          <w:sz w:val="28"/>
          <w:szCs w:val="28"/>
        </w:rPr>
        <w:t xml:space="preserve">- </w:t>
      </w:r>
      <w:r w:rsidR="00C26C38" w:rsidRPr="001D0846">
        <w:rPr>
          <w:rFonts w:ascii="Times New Roman" w:hAnsi="Times New Roman" w:cs="Times New Roman"/>
          <w:sz w:val="28"/>
          <w:szCs w:val="28"/>
        </w:rPr>
        <w:t xml:space="preserve">în anul 2016, iar 63,3% </w:t>
      </w:r>
      <w:r>
        <w:rPr>
          <w:rFonts w:ascii="Times New Roman" w:hAnsi="Times New Roman" w:cs="Times New Roman"/>
          <w:sz w:val="28"/>
          <w:szCs w:val="28"/>
        </w:rPr>
        <w:t xml:space="preserve">- </w:t>
      </w:r>
      <w:r w:rsidR="00C26C38" w:rsidRPr="001D0846">
        <w:rPr>
          <w:rFonts w:ascii="Times New Roman" w:hAnsi="Times New Roman" w:cs="Times New Roman"/>
          <w:sz w:val="28"/>
          <w:szCs w:val="28"/>
        </w:rPr>
        <w:t>în anul 2017. O situație similară se atestă și în cazul majorărilor de întârziere și amenzil</w:t>
      </w:r>
      <w:r w:rsidR="008818CC" w:rsidRPr="001D0846">
        <w:rPr>
          <w:rFonts w:ascii="Times New Roman" w:hAnsi="Times New Roman" w:cs="Times New Roman"/>
          <w:sz w:val="28"/>
          <w:szCs w:val="28"/>
        </w:rPr>
        <w:t xml:space="preserve">or. </w:t>
      </w:r>
    </w:p>
    <w:p w:rsidR="00C26C38" w:rsidRDefault="00C26C38" w:rsidP="006358AD">
      <w:pPr>
        <w:spacing w:after="0" w:line="276" w:lineRule="auto"/>
        <w:ind w:firstLine="709"/>
        <w:jc w:val="both"/>
        <w:rPr>
          <w:rFonts w:ascii="Times New Roman" w:eastAsia="Times New Roman" w:hAnsi="Times New Roman" w:cs="Times New Roman"/>
          <w:i/>
          <w:iCs/>
          <w:sz w:val="28"/>
          <w:szCs w:val="28"/>
        </w:rPr>
      </w:pPr>
      <w:r w:rsidRPr="001D0846">
        <w:rPr>
          <w:rFonts w:ascii="Times New Roman" w:eastAsia="Times New Roman" w:hAnsi="Times New Roman" w:cs="Times New Roman"/>
          <w:sz w:val="28"/>
          <w:szCs w:val="28"/>
        </w:rPr>
        <w:t xml:space="preserve">Analiza restanței </w:t>
      </w:r>
      <w:r w:rsidRPr="001D0846">
        <w:rPr>
          <w:rFonts w:ascii="Times New Roman" w:eastAsia="Times New Roman" w:hAnsi="Times New Roman" w:cs="Times New Roman"/>
          <w:iCs/>
          <w:sz w:val="28"/>
          <w:szCs w:val="28"/>
        </w:rPr>
        <w:t xml:space="preserve">în aspectul tipurilor de impozite și taxe </w:t>
      </w:r>
      <w:r w:rsidR="00B350CA">
        <w:rPr>
          <w:rFonts w:ascii="Times New Roman" w:eastAsia="Times New Roman" w:hAnsi="Times New Roman" w:cs="Times New Roman"/>
          <w:iCs/>
          <w:sz w:val="28"/>
          <w:szCs w:val="28"/>
        </w:rPr>
        <w:t>denotă</w:t>
      </w:r>
      <w:r w:rsidRPr="001D0846">
        <w:rPr>
          <w:rFonts w:ascii="Times New Roman" w:eastAsia="Times New Roman" w:hAnsi="Times New Roman" w:cs="Times New Roman"/>
          <w:iCs/>
          <w:sz w:val="28"/>
          <w:szCs w:val="28"/>
        </w:rPr>
        <w:t xml:space="preserve"> că cele mai semnificative restanțe </w:t>
      </w:r>
      <w:r w:rsidR="00B350CA">
        <w:rPr>
          <w:rFonts w:ascii="Times New Roman" w:eastAsia="Times New Roman" w:hAnsi="Times New Roman" w:cs="Times New Roman"/>
          <w:iCs/>
          <w:sz w:val="28"/>
          <w:szCs w:val="28"/>
        </w:rPr>
        <w:t>sunt</w:t>
      </w:r>
      <w:r w:rsidRPr="001D0846">
        <w:rPr>
          <w:rFonts w:ascii="Times New Roman" w:eastAsia="Times New Roman" w:hAnsi="Times New Roman" w:cs="Times New Roman"/>
          <w:iCs/>
          <w:sz w:val="28"/>
          <w:szCs w:val="28"/>
        </w:rPr>
        <w:t xml:space="preserve"> la TVA, care la 31.12.2017 au constituit 237,4 mil. lei, sau 32,7% din totalul restanțelor înregistrate la BS și BUAT. </w:t>
      </w:r>
      <w:r w:rsidR="00400362" w:rsidRPr="001D0846">
        <w:rPr>
          <w:rFonts w:ascii="Times New Roman" w:eastAsia="Times New Roman" w:hAnsi="Times New Roman" w:cs="Times New Roman"/>
          <w:iCs/>
          <w:sz w:val="28"/>
          <w:szCs w:val="28"/>
        </w:rPr>
        <w:t>Î</w:t>
      </w:r>
      <w:r w:rsidRPr="001D0846">
        <w:rPr>
          <w:rFonts w:ascii="Times New Roman" w:eastAsia="Times New Roman" w:hAnsi="Times New Roman" w:cs="Times New Roman"/>
          <w:iCs/>
          <w:sz w:val="28"/>
          <w:szCs w:val="28"/>
        </w:rPr>
        <w:t xml:space="preserve">n comparație cu </w:t>
      </w:r>
      <w:r w:rsidR="00B350CA">
        <w:rPr>
          <w:rFonts w:ascii="Times New Roman" w:eastAsia="Times New Roman" w:hAnsi="Times New Roman" w:cs="Times New Roman"/>
          <w:iCs/>
          <w:sz w:val="28"/>
          <w:szCs w:val="28"/>
        </w:rPr>
        <w:t xml:space="preserve">anii </w:t>
      </w:r>
      <w:r w:rsidRPr="001D0846">
        <w:rPr>
          <w:rFonts w:ascii="Times New Roman" w:eastAsia="Times New Roman" w:hAnsi="Times New Roman" w:cs="Times New Roman"/>
          <w:iCs/>
          <w:sz w:val="28"/>
          <w:szCs w:val="28"/>
        </w:rPr>
        <w:t xml:space="preserve"> 2015</w:t>
      </w:r>
      <w:r w:rsidR="00B350CA">
        <w:rPr>
          <w:rFonts w:ascii="Times New Roman" w:eastAsia="Times New Roman" w:hAnsi="Times New Roman" w:cs="Times New Roman"/>
          <w:iCs/>
          <w:sz w:val="28"/>
          <w:szCs w:val="28"/>
        </w:rPr>
        <w:t xml:space="preserve"> și </w:t>
      </w:r>
      <w:r w:rsidRPr="001D0846">
        <w:rPr>
          <w:rFonts w:ascii="Times New Roman" w:eastAsia="Times New Roman" w:hAnsi="Times New Roman" w:cs="Times New Roman"/>
          <w:iCs/>
          <w:sz w:val="28"/>
          <w:szCs w:val="28"/>
        </w:rPr>
        <w:t>2016</w:t>
      </w:r>
      <w:r w:rsidR="00B350CA">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restanțele la TVA au crescut cu 51,6 mil</w:t>
      </w:r>
      <w:r w:rsidR="00B350CA">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lei și</w:t>
      </w:r>
      <w:r w:rsidR="00B350CA">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respectiv</w:t>
      </w:r>
      <w:r w:rsidR="00B350CA">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w:t>
      </w:r>
      <w:r w:rsidR="00B350CA">
        <w:rPr>
          <w:rFonts w:ascii="Times New Roman" w:eastAsia="Times New Roman" w:hAnsi="Times New Roman" w:cs="Times New Roman"/>
          <w:iCs/>
          <w:sz w:val="28"/>
          <w:szCs w:val="28"/>
        </w:rPr>
        <w:t>cu</w:t>
      </w:r>
      <w:r w:rsidRPr="001D0846">
        <w:rPr>
          <w:rFonts w:ascii="Times New Roman" w:eastAsia="Times New Roman" w:hAnsi="Times New Roman" w:cs="Times New Roman"/>
          <w:iCs/>
          <w:sz w:val="28"/>
          <w:szCs w:val="28"/>
        </w:rPr>
        <w:t xml:space="preserve"> 89,9 mil</w:t>
      </w:r>
      <w:r w:rsidR="00B350CA">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lei. De asemenea, o pondere majoră în totalul restanțelor la BS și BUAT </w:t>
      </w:r>
      <w:r w:rsidR="00450FCF">
        <w:rPr>
          <w:rFonts w:ascii="Times New Roman" w:eastAsia="Times New Roman" w:hAnsi="Times New Roman" w:cs="Times New Roman"/>
          <w:iCs/>
          <w:sz w:val="28"/>
          <w:szCs w:val="28"/>
        </w:rPr>
        <w:t>o deține restanța l</w:t>
      </w:r>
      <w:r w:rsidRPr="001D0846">
        <w:rPr>
          <w:rFonts w:ascii="Times New Roman" w:eastAsia="Times New Roman" w:hAnsi="Times New Roman" w:cs="Times New Roman"/>
          <w:iCs/>
          <w:sz w:val="28"/>
          <w:szCs w:val="28"/>
        </w:rPr>
        <w:t xml:space="preserve">a impozitul pe venit, care a înregistrat o creștere de la 199,1 mil.lei în </w:t>
      </w:r>
      <w:r w:rsidR="00450FCF">
        <w:rPr>
          <w:rFonts w:ascii="Times New Roman" w:eastAsia="Times New Roman" w:hAnsi="Times New Roman" w:cs="Times New Roman"/>
          <w:iCs/>
          <w:sz w:val="28"/>
          <w:szCs w:val="28"/>
        </w:rPr>
        <w:t xml:space="preserve">anul </w:t>
      </w:r>
      <w:r w:rsidRPr="001D0846">
        <w:rPr>
          <w:rFonts w:ascii="Times New Roman" w:eastAsia="Times New Roman" w:hAnsi="Times New Roman" w:cs="Times New Roman"/>
          <w:iCs/>
          <w:sz w:val="28"/>
          <w:szCs w:val="28"/>
        </w:rPr>
        <w:t xml:space="preserve">2016 până la 289,0 mil.lei în anul </w:t>
      </w:r>
      <w:r w:rsidRPr="00365962">
        <w:rPr>
          <w:rFonts w:ascii="Times New Roman" w:eastAsia="Times New Roman" w:hAnsi="Times New Roman" w:cs="Times New Roman"/>
          <w:iCs/>
          <w:sz w:val="28"/>
          <w:szCs w:val="28"/>
        </w:rPr>
        <w:t xml:space="preserve">2017. O evoluție ascendentă a restanțelor se atestă și la alte tipuri de impozite și taxe. </w:t>
      </w:r>
      <w:r w:rsidRPr="00365962">
        <w:rPr>
          <w:rFonts w:ascii="Times New Roman" w:eastAsia="Times New Roman" w:hAnsi="Times New Roman" w:cs="Times New Roman"/>
          <w:i/>
          <w:iCs/>
          <w:sz w:val="28"/>
          <w:szCs w:val="28"/>
        </w:rPr>
        <w:t xml:space="preserve">Informația </w:t>
      </w:r>
      <w:r w:rsidR="00450FCF">
        <w:rPr>
          <w:rFonts w:ascii="Times New Roman" w:eastAsia="Times New Roman" w:hAnsi="Times New Roman" w:cs="Times New Roman"/>
          <w:i/>
          <w:iCs/>
          <w:sz w:val="28"/>
          <w:szCs w:val="28"/>
        </w:rPr>
        <w:t>detaliată</w:t>
      </w:r>
      <w:r w:rsidRPr="00365962">
        <w:rPr>
          <w:rFonts w:ascii="Times New Roman" w:eastAsia="Times New Roman" w:hAnsi="Times New Roman" w:cs="Times New Roman"/>
          <w:i/>
          <w:iCs/>
          <w:sz w:val="28"/>
          <w:szCs w:val="28"/>
        </w:rPr>
        <w:t xml:space="preserve"> privind evoluția restanțelor în aspectul tipurilor de impozite și taxe </w:t>
      </w:r>
      <w:r w:rsidR="00450FCF">
        <w:rPr>
          <w:rFonts w:ascii="Times New Roman" w:eastAsia="Times New Roman" w:hAnsi="Times New Roman" w:cs="Times New Roman"/>
          <w:i/>
          <w:iCs/>
          <w:sz w:val="28"/>
          <w:szCs w:val="28"/>
        </w:rPr>
        <w:t>este</w:t>
      </w:r>
      <w:r w:rsidRPr="00365962">
        <w:rPr>
          <w:rFonts w:ascii="Times New Roman" w:eastAsia="Times New Roman" w:hAnsi="Times New Roman" w:cs="Times New Roman"/>
          <w:i/>
          <w:iCs/>
          <w:sz w:val="28"/>
          <w:szCs w:val="28"/>
        </w:rPr>
        <w:t xml:space="preserve"> prez</w:t>
      </w:r>
      <w:r w:rsidR="00450FCF">
        <w:rPr>
          <w:rFonts w:ascii="Times New Roman" w:eastAsia="Times New Roman" w:hAnsi="Times New Roman" w:cs="Times New Roman"/>
          <w:i/>
          <w:iCs/>
          <w:sz w:val="28"/>
          <w:szCs w:val="28"/>
        </w:rPr>
        <w:t>enta</w:t>
      </w:r>
      <w:r w:rsidRPr="00365962">
        <w:rPr>
          <w:rFonts w:ascii="Times New Roman" w:eastAsia="Times New Roman" w:hAnsi="Times New Roman" w:cs="Times New Roman"/>
          <w:i/>
          <w:iCs/>
          <w:sz w:val="28"/>
          <w:szCs w:val="28"/>
        </w:rPr>
        <w:t>tă în Diagrama</w:t>
      </w:r>
      <w:r w:rsidR="00365962" w:rsidRPr="00365962">
        <w:rPr>
          <w:rFonts w:ascii="Times New Roman" w:eastAsia="Times New Roman" w:hAnsi="Times New Roman" w:cs="Times New Roman"/>
          <w:i/>
          <w:iCs/>
          <w:sz w:val="28"/>
          <w:szCs w:val="28"/>
        </w:rPr>
        <w:t xml:space="preserve"> nr.11</w:t>
      </w:r>
      <w:r w:rsidR="00183E36" w:rsidRPr="00365962">
        <w:rPr>
          <w:rFonts w:ascii="Times New Roman" w:eastAsia="Times New Roman" w:hAnsi="Times New Roman" w:cs="Times New Roman"/>
          <w:i/>
          <w:iCs/>
          <w:sz w:val="28"/>
          <w:szCs w:val="28"/>
        </w:rPr>
        <w:t xml:space="preserve"> din Anexa nr.4</w:t>
      </w:r>
      <w:r w:rsidR="001C437F" w:rsidRPr="00365962">
        <w:rPr>
          <w:rFonts w:ascii="Times New Roman" w:eastAsia="Times New Roman" w:hAnsi="Times New Roman" w:cs="Times New Roman"/>
          <w:i/>
          <w:iCs/>
          <w:sz w:val="28"/>
          <w:szCs w:val="28"/>
        </w:rPr>
        <w:t xml:space="preserve"> la Raport</w:t>
      </w:r>
      <w:r w:rsidR="00450FCF">
        <w:rPr>
          <w:rFonts w:ascii="Times New Roman" w:eastAsia="Times New Roman" w:hAnsi="Times New Roman" w:cs="Times New Roman"/>
          <w:i/>
          <w:iCs/>
          <w:sz w:val="28"/>
          <w:szCs w:val="28"/>
        </w:rPr>
        <w:t>ul</w:t>
      </w:r>
      <w:r w:rsidR="001C437F" w:rsidRPr="00365962">
        <w:rPr>
          <w:rFonts w:ascii="Times New Roman" w:eastAsia="Times New Roman" w:hAnsi="Times New Roman" w:cs="Times New Roman"/>
          <w:i/>
          <w:iCs/>
          <w:sz w:val="28"/>
          <w:szCs w:val="28"/>
        </w:rPr>
        <w:t xml:space="preserve"> de audit.</w:t>
      </w:r>
    </w:p>
    <w:p w:rsidR="00C26C38" w:rsidRPr="00160C8E" w:rsidRDefault="00C26C38" w:rsidP="006358AD">
      <w:pPr>
        <w:spacing w:after="0" w:line="276" w:lineRule="auto"/>
        <w:ind w:firstLine="709"/>
        <w:jc w:val="both"/>
        <w:rPr>
          <w:rFonts w:ascii="Times New Roman" w:eastAsia="Times New Roman" w:hAnsi="Times New Roman" w:cs="Times New Roman"/>
          <w:iCs/>
          <w:sz w:val="28"/>
          <w:szCs w:val="28"/>
        </w:rPr>
      </w:pPr>
      <w:r w:rsidRPr="001D0846">
        <w:rPr>
          <w:rFonts w:ascii="Times New Roman" w:eastAsia="Times New Roman" w:hAnsi="Times New Roman" w:cs="Times New Roman"/>
          <w:iCs/>
          <w:sz w:val="28"/>
          <w:szCs w:val="28"/>
        </w:rPr>
        <w:t>În aspectul subdiviziunilor structurale ale SFS</w:t>
      </w:r>
      <w:r w:rsidR="00450FCF">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cele mai mari restanțe au fost admise de contribuabilii </w:t>
      </w:r>
      <w:r w:rsidRPr="00160C8E">
        <w:rPr>
          <w:rFonts w:ascii="Times New Roman" w:eastAsia="Times New Roman" w:hAnsi="Times New Roman" w:cs="Times New Roman"/>
          <w:iCs/>
          <w:sz w:val="28"/>
          <w:szCs w:val="28"/>
        </w:rPr>
        <w:t xml:space="preserve">administrați de către DGAF pe </w:t>
      </w:r>
      <w:proofErr w:type="spellStart"/>
      <w:r w:rsidRPr="00160C8E">
        <w:rPr>
          <w:rFonts w:ascii="Times New Roman" w:eastAsia="Times New Roman" w:hAnsi="Times New Roman" w:cs="Times New Roman"/>
          <w:iCs/>
          <w:sz w:val="28"/>
          <w:szCs w:val="28"/>
        </w:rPr>
        <w:t>mun.Chișinău</w:t>
      </w:r>
      <w:proofErr w:type="spellEnd"/>
      <w:r w:rsidRPr="00160C8E">
        <w:rPr>
          <w:rFonts w:ascii="Times New Roman" w:eastAsia="Times New Roman" w:hAnsi="Times New Roman" w:cs="Times New Roman"/>
          <w:iCs/>
          <w:sz w:val="28"/>
          <w:szCs w:val="28"/>
        </w:rPr>
        <w:t>,</w:t>
      </w:r>
      <w:r w:rsidRPr="00160C8E">
        <w:rPr>
          <w:rFonts w:ascii="Times New Roman" w:eastAsia="Times New Roman" w:hAnsi="Times New Roman" w:cs="Times New Roman"/>
          <w:iCs/>
          <w:sz w:val="28"/>
          <w:szCs w:val="28"/>
          <w:lang w:val="ro-MD"/>
        </w:rPr>
        <w:t xml:space="preserve"> </w:t>
      </w:r>
      <w:r w:rsidR="00450FCF" w:rsidRPr="00160C8E">
        <w:rPr>
          <w:rFonts w:ascii="Times New Roman" w:eastAsia="Times New Roman" w:hAnsi="Times New Roman" w:cs="Times New Roman"/>
          <w:iCs/>
          <w:sz w:val="28"/>
          <w:szCs w:val="28"/>
          <w:lang w:val="ro-MD"/>
        </w:rPr>
        <w:t>acestea</w:t>
      </w:r>
      <w:r w:rsidRPr="00160C8E">
        <w:rPr>
          <w:rFonts w:ascii="Times New Roman" w:eastAsia="Times New Roman" w:hAnsi="Times New Roman" w:cs="Times New Roman"/>
          <w:iCs/>
          <w:sz w:val="28"/>
          <w:szCs w:val="28"/>
          <w:lang w:val="ro-MD"/>
        </w:rPr>
        <w:t xml:space="preserve"> la </w:t>
      </w:r>
      <w:r w:rsidRPr="00160C8E">
        <w:rPr>
          <w:rFonts w:ascii="Times New Roman" w:eastAsia="Times New Roman" w:hAnsi="Times New Roman" w:cs="Times New Roman"/>
          <w:iCs/>
          <w:sz w:val="28"/>
          <w:szCs w:val="28"/>
        </w:rPr>
        <w:lastRenderedPageBreak/>
        <w:t>31.12.2017 constitui</w:t>
      </w:r>
      <w:r w:rsidR="00557463" w:rsidRPr="00160C8E">
        <w:rPr>
          <w:rFonts w:ascii="Times New Roman" w:eastAsia="Times New Roman" w:hAnsi="Times New Roman" w:cs="Times New Roman"/>
          <w:iCs/>
          <w:sz w:val="28"/>
          <w:szCs w:val="28"/>
        </w:rPr>
        <w:t>nd</w:t>
      </w:r>
      <w:r w:rsidRPr="00160C8E">
        <w:rPr>
          <w:rFonts w:ascii="Times New Roman" w:eastAsia="Times New Roman" w:hAnsi="Times New Roman" w:cs="Times New Roman"/>
          <w:iCs/>
          <w:sz w:val="28"/>
          <w:szCs w:val="28"/>
        </w:rPr>
        <w:t xml:space="preserve"> la plăți</w:t>
      </w:r>
      <w:r w:rsidR="00557463" w:rsidRPr="00160C8E">
        <w:rPr>
          <w:rFonts w:ascii="Times New Roman" w:eastAsia="Times New Roman" w:hAnsi="Times New Roman" w:cs="Times New Roman"/>
          <w:iCs/>
          <w:sz w:val="28"/>
          <w:szCs w:val="28"/>
        </w:rPr>
        <w:t>le</w:t>
      </w:r>
      <w:r w:rsidRPr="00160C8E">
        <w:rPr>
          <w:rFonts w:ascii="Times New Roman" w:eastAsia="Times New Roman" w:hAnsi="Times New Roman" w:cs="Times New Roman"/>
          <w:iCs/>
          <w:sz w:val="28"/>
          <w:szCs w:val="28"/>
        </w:rPr>
        <w:t xml:space="preserve"> de bază 762,6 mil.lei</w:t>
      </w:r>
      <w:r w:rsidRPr="00160C8E">
        <w:rPr>
          <w:rFonts w:ascii="Times New Roman" w:eastAsia="Times New Roman" w:hAnsi="Times New Roman" w:cs="Times New Roman"/>
          <w:iCs/>
          <w:sz w:val="28"/>
          <w:szCs w:val="28"/>
          <w:lang w:val="ro-MD"/>
        </w:rPr>
        <w:t xml:space="preserve">, </w:t>
      </w:r>
      <w:r w:rsidRPr="00160C8E">
        <w:rPr>
          <w:rFonts w:ascii="Times New Roman" w:eastAsia="Times New Roman" w:hAnsi="Times New Roman" w:cs="Times New Roman"/>
          <w:iCs/>
          <w:sz w:val="28"/>
          <w:szCs w:val="28"/>
        </w:rPr>
        <w:t xml:space="preserve">sau 67,1% din suma totală a restanțelor înregistrate în anul 2017 la BPN. </w:t>
      </w:r>
    </w:p>
    <w:p w:rsidR="00C26C38" w:rsidRPr="001D0846" w:rsidRDefault="00C26C38" w:rsidP="006358AD">
      <w:pPr>
        <w:spacing w:after="0" w:line="276" w:lineRule="auto"/>
        <w:ind w:firstLine="709"/>
        <w:jc w:val="both"/>
        <w:rPr>
          <w:rFonts w:ascii="Times New Roman" w:eastAsia="Times New Roman" w:hAnsi="Times New Roman" w:cs="Times New Roman"/>
          <w:i/>
          <w:iCs/>
          <w:sz w:val="28"/>
          <w:szCs w:val="28"/>
          <w:lang w:val="ro-MD"/>
        </w:rPr>
      </w:pPr>
      <w:r w:rsidRPr="00160C8E">
        <w:rPr>
          <w:rFonts w:ascii="Times New Roman" w:eastAsia="Times New Roman" w:hAnsi="Times New Roman" w:cs="Times New Roman"/>
          <w:iCs/>
          <w:sz w:val="28"/>
          <w:szCs w:val="28"/>
        </w:rPr>
        <w:t xml:space="preserve">Totodată, restanțele contribuabililor mari administrați de către </w:t>
      </w:r>
      <w:r w:rsidRPr="00160C8E">
        <w:rPr>
          <w:rFonts w:ascii="Times New Roman" w:eastAsia="Times New Roman" w:hAnsi="Times New Roman" w:cs="Times New Roman"/>
          <w:iCs/>
          <w:sz w:val="28"/>
          <w:szCs w:val="28"/>
          <w:lang w:val="ro-MD"/>
        </w:rPr>
        <w:t>DGACM a SFS la 31.12.2017 au însumat 78,5 mil.lei, sau cu 58</w:t>
      </w:r>
      <w:r w:rsidR="00557463" w:rsidRPr="00160C8E">
        <w:rPr>
          <w:rFonts w:ascii="Times New Roman" w:eastAsia="Times New Roman" w:hAnsi="Times New Roman" w:cs="Times New Roman"/>
          <w:iCs/>
          <w:sz w:val="28"/>
          <w:szCs w:val="28"/>
          <w:lang w:val="ro-MD"/>
        </w:rPr>
        <w:t>,0</w:t>
      </w:r>
      <w:r w:rsidRPr="00160C8E">
        <w:rPr>
          <w:rFonts w:ascii="Times New Roman" w:eastAsia="Times New Roman" w:hAnsi="Times New Roman" w:cs="Times New Roman"/>
          <w:iCs/>
          <w:sz w:val="28"/>
          <w:szCs w:val="28"/>
          <w:lang w:val="ro-MD"/>
        </w:rPr>
        <w:t xml:space="preserve"> mil.lei (42,5%) mai puțin față de restanța înregistrată la 31.12.2015, ceea ce denotă o tendință pozitivă de reducere a restanțelor la BPN</w:t>
      </w:r>
      <w:r w:rsidR="00E76097" w:rsidRPr="00160C8E">
        <w:rPr>
          <w:rFonts w:ascii="Times New Roman" w:eastAsia="Times New Roman" w:hAnsi="Times New Roman" w:cs="Times New Roman"/>
          <w:iCs/>
          <w:sz w:val="28"/>
          <w:szCs w:val="28"/>
          <w:lang w:val="ro-MD"/>
        </w:rPr>
        <w:t xml:space="preserve"> de către această subdiviziune.</w:t>
      </w:r>
      <w:r w:rsidR="00E76097">
        <w:rPr>
          <w:rFonts w:ascii="Times New Roman" w:eastAsia="Times New Roman" w:hAnsi="Times New Roman" w:cs="Times New Roman"/>
          <w:iCs/>
          <w:sz w:val="28"/>
          <w:szCs w:val="28"/>
          <w:lang w:val="ro-MD"/>
        </w:rPr>
        <w:t xml:space="preserve"> </w:t>
      </w:r>
      <w:r w:rsidRPr="001D0846">
        <w:rPr>
          <w:rFonts w:ascii="Times New Roman" w:eastAsia="Times New Roman" w:hAnsi="Times New Roman" w:cs="Times New Roman"/>
          <w:i/>
          <w:iCs/>
          <w:sz w:val="28"/>
          <w:szCs w:val="28"/>
          <w:lang w:val="ro-MD"/>
        </w:rPr>
        <w:t xml:space="preserve">Dinamica restanțelor contribuabililor mari la BPN în perioada </w:t>
      </w:r>
      <w:r w:rsidR="00557463">
        <w:rPr>
          <w:rFonts w:ascii="Times New Roman" w:eastAsia="Times New Roman" w:hAnsi="Times New Roman" w:cs="Times New Roman"/>
          <w:i/>
          <w:iCs/>
          <w:sz w:val="28"/>
          <w:szCs w:val="28"/>
          <w:lang w:val="ro-MD"/>
        </w:rPr>
        <w:t xml:space="preserve">anilor </w:t>
      </w:r>
      <w:r w:rsidRPr="001D0846">
        <w:rPr>
          <w:rFonts w:ascii="Times New Roman" w:eastAsia="Times New Roman" w:hAnsi="Times New Roman" w:cs="Times New Roman"/>
          <w:i/>
          <w:iCs/>
          <w:sz w:val="28"/>
          <w:szCs w:val="28"/>
          <w:lang w:val="ro-MD"/>
        </w:rPr>
        <w:t xml:space="preserve">2015-2017 </w:t>
      </w:r>
      <w:r w:rsidR="00557463">
        <w:rPr>
          <w:rFonts w:ascii="Times New Roman" w:eastAsia="Times New Roman" w:hAnsi="Times New Roman" w:cs="Times New Roman"/>
          <w:i/>
          <w:iCs/>
          <w:sz w:val="28"/>
          <w:szCs w:val="28"/>
          <w:lang w:val="ro-MD"/>
        </w:rPr>
        <w:t>este</w:t>
      </w:r>
      <w:r w:rsidRPr="001D0846">
        <w:rPr>
          <w:rFonts w:ascii="Times New Roman" w:eastAsia="Times New Roman" w:hAnsi="Times New Roman" w:cs="Times New Roman"/>
          <w:i/>
          <w:iCs/>
          <w:sz w:val="28"/>
          <w:szCs w:val="28"/>
          <w:lang w:val="ro-MD"/>
        </w:rPr>
        <w:t xml:space="preserve"> </w:t>
      </w:r>
      <w:r w:rsidR="00557463">
        <w:rPr>
          <w:rFonts w:ascii="Times New Roman" w:eastAsia="Times New Roman" w:hAnsi="Times New Roman" w:cs="Times New Roman"/>
          <w:i/>
          <w:iCs/>
          <w:sz w:val="28"/>
          <w:szCs w:val="28"/>
          <w:lang w:val="ro-MD"/>
        </w:rPr>
        <w:t>redată</w:t>
      </w:r>
      <w:r w:rsidRPr="001D0846">
        <w:rPr>
          <w:rFonts w:ascii="Times New Roman" w:eastAsia="Times New Roman" w:hAnsi="Times New Roman" w:cs="Times New Roman"/>
          <w:i/>
          <w:iCs/>
          <w:sz w:val="28"/>
          <w:szCs w:val="28"/>
          <w:lang w:val="ro-MD"/>
        </w:rPr>
        <w:t xml:space="preserve"> în Diagrama </w:t>
      </w:r>
      <w:r w:rsidR="00D31603" w:rsidRPr="001D0846">
        <w:rPr>
          <w:rFonts w:ascii="Times New Roman" w:eastAsia="Times New Roman" w:hAnsi="Times New Roman" w:cs="Times New Roman"/>
          <w:i/>
          <w:iCs/>
          <w:sz w:val="28"/>
          <w:szCs w:val="28"/>
          <w:lang w:val="ro-MD"/>
        </w:rPr>
        <w:t>nr.</w:t>
      </w:r>
      <w:r w:rsidR="00365962">
        <w:rPr>
          <w:rFonts w:ascii="Times New Roman" w:eastAsia="Times New Roman" w:hAnsi="Times New Roman" w:cs="Times New Roman"/>
          <w:i/>
          <w:iCs/>
          <w:sz w:val="28"/>
          <w:szCs w:val="28"/>
          <w:lang w:val="ro-MD"/>
        </w:rPr>
        <w:t>12</w:t>
      </w:r>
      <w:r w:rsidR="009E62CA" w:rsidRPr="001D0846">
        <w:rPr>
          <w:rFonts w:ascii="Times New Roman" w:eastAsia="Times New Roman" w:hAnsi="Times New Roman" w:cs="Times New Roman"/>
          <w:i/>
          <w:iCs/>
          <w:sz w:val="28"/>
          <w:szCs w:val="28"/>
          <w:lang w:val="ro-MD"/>
        </w:rPr>
        <w:t xml:space="preserve"> din Anexa nr.4</w:t>
      </w:r>
      <w:r w:rsidR="00FF2CBB" w:rsidRPr="001D0846">
        <w:rPr>
          <w:rFonts w:ascii="Times New Roman" w:eastAsia="Times New Roman" w:hAnsi="Times New Roman" w:cs="Times New Roman"/>
          <w:i/>
          <w:iCs/>
          <w:sz w:val="28"/>
          <w:szCs w:val="28"/>
          <w:lang w:val="ro-MD"/>
        </w:rPr>
        <w:t xml:space="preserve"> la Raport</w:t>
      </w:r>
      <w:r w:rsidR="00557463">
        <w:rPr>
          <w:rFonts w:ascii="Times New Roman" w:eastAsia="Times New Roman" w:hAnsi="Times New Roman" w:cs="Times New Roman"/>
          <w:i/>
          <w:iCs/>
          <w:sz w:val="28"/>
          <w:szCs w:val="28"/>
          <w:lang w:val="ro-MD"/>
        </w:rPr>
        <w:t>ul</w:t>
      </w:r>
      <w:r w:rsidR="00FF2CBB" w:rsidRPr="001D0846">
        <w:rPr>
          <w:rFonts w:ascii="Times New Roman" w:eastAsia="Times New Roman" w:hAnsi="Times New Roman" w:cs="Times New Roman"/>
          <w:i/>
          <w:iCs/>
          <w:sz w:val="28"/>
          <w:szCs w:val="28"/>
          <w:lang w:val="ro-MD"/>
        </w:rPr>
        <w:t xml:space="preserve"> de audit</w:t>
      </w:r>
      <w:r w:rsidRPr="001D0846">
        <w:rPr>
          <w:rFonts w:ascii="Times New Roman" w:eastAsia="Times New Roman" w:hAnsi="Times New Roman" w:cs="Times New Roman"/>
          <w:i/>
          <w:iCs/>
          <w:sz w:val="28"/>
          <w:szCs w:val="28"/>
          <w:lang w:val="ro-MD"/>
        </w:rPr>
        <w:t>.</w:t>
      </w:r>
    </w:p>
    <w:p w:rsidR="00C26C38" w:rsidRPr="001D0846" w:rsidRDefault="00C26C38" w:rsidP="006358AD">
      <w:pPr>
        <w:pStyle w:val="Default"/>
        <w:spacing w:line="276" w:lineRule="auto"/>
        <w:ind w:firstLine="709"/>
        <w:jc w:val="both"/>
        <w:rPr>
          <w:color w:val="auto"/>
          <w:sz w:val="28"/>
          <w:szCs w:val="28"/>
          <w:lang w:val="ro-MD"/>
        </w:rPr>
      </w:pPr>
      <w:r w:rsidRPr="001D0846">
        <w:rPr>
          <w:color w:val="auto"/>
          <w:sz w:val="28"/>
          <w:szCs w:val="28"/>
          <w:lang w:val="ro-MD"/>
        </w:rPr>
        <w:t xml:space="preserve">Auditul </w:t>
      </w:r>
      <w:r w:rsidR="00557463">
        <w:rPr>
          <w:color w:val="auto"/>
          <w:sz w:val="28"/>
          <w:szCs w:val="28"/>
          <w:lang w:val="ro-MD"/>
        </w:rPr>
        <w:t>a remarcat</w:t>
      </w:r>
      <w:r w:rsidRPr="001D0846">
        <w:rPr>
          <w:color w:val="auto"/>
          <w:sz w:val="28"/>
          <w:szCs w:val="28"/>
          <w:lang w:val="ro-MD"/>
        </w:rPr>
        <w:t xml:space="preserve"> că neaplicarea promptă a măsurilor în vederea încasării restanțelor la BPN a </w:t>
      </w:r>
      <w:r w:rsidR="00D27173">
        <w:rPr>
          <w:color w:val="auto"/>
          <w:sz w:val="28"/>
          <w:szCs w:val="28"/>
          <w:lang w:val="ro-MD"/>
        </w:rPr>
        <w:t>determinat</w:t>
      </w:r>
      <w:r w:rsidRPr="001D0846">
        <w:rPr>
          <w:color w:val="auto"/>
          <w:sz w:val="28"/>
          <w:szCs w:val="28"/>
          <w:lang w:val="ro-MD"/>
        </w:rPr>
        <w:t xml:space="preserve"> situația în care </w:t>
      </w:r>
      <w:r w:rsidR="00365962">
        <w:rPr>
          <w:color w:val="auto"/>
          <w:sz w:val="28"/>
          <w:szCs w:val="28"/>
          <w:lang w:val="ro-MD"/>
        </w:rPr>
        <w:t xml:space="preserve">unii </w:t>
      </w:r>
      <w:r w:rsidRPr="001D0846">
        <w:rPr>
          <w:color w:val="auto"/>
          <w:sz w:val="28"/>
          <w:szCs w:val="28"/>
          <w:lang w:val="ro-MD"/>
        </w:rPr>
        <w:t>contribuabili cu dificultăți financiare au intrat în st</w:t>
      </w:r>
      <w:r w:rsidR="00020547">
        <w:rPr>
          <w:color w:val="auto"/>
          <w:sz w:val="28"/>
          <w:szCs w:val="28"/>
          <w:lang w:val="ro-MD"/>
        </w:rPr>
        <w:t>are specială</w:t>
      </w:r>
      <w:r w:rsidRPr="001D0846">
        <w:rPr>
          <w:color w:val="auto"/>
          <w:sz w:val="28"/>
          <w:szCs w:val="28"/>
          <w:lang w:val="ro-MD"/>
        </w:rPr>
        <w:t xml:space="preserve"> de administrare, iar obligațiile fiscale neachitate au intrat în categoria </w:t>
      </w:r>
      <w:r w:rsidRPr="001D0846">
        <w:rPr>
          <w:iCs/>
          <w:color w:val="auto"/>
          <w:sz w:val="28"/>
          <w:szCs w:val="28"/>
          <w:lang w:val="ro-MD"/>
        </w:rPr>
        <w:t>restanțelor nerecuperabile</w:t>
      </w:r>
      <w:r w:rsidRPr="001D0846">
        <w:rPr>
          <w:i/>
          <w:iCs/>
          <w:color w:val="auto"/>
          <w:sz w:val="28"/>
          <w:szCs w:val="28"/>
          <w:lang w:val="ro-MD"/>
        </w:rPr>
        <w:t xml:space="preserve"> </w:t>
      </w:r>
      <w:r w:rsidRPr="001D0846">
        <w:rPr>
          <w:color w:val="auto"/>
          <w:sz w:val="28"/>
          <w:szCs w:val="28"/>
          <w:lang w:val="ro-MD"/>
        </w:rPr>
        <w:t xml:space="preserve">(suspendarea executării silite ca urmare a inițierii procedurii de insolvabilitate, contribuabili insolvabili fără venituri sau bunuri </w:t>
      </w:r>
      <w:r w:rsidRPr="00020547">
        <w:rPr>
          <w:color w:val="auto"/>
          <w:sz w:val="28"/>
          <w:szCs w:val="28"/>
          <w:lang w:val="ro-MD"/>
        </w:rPr>
        <w:t>urmăribile).</w:t>
      </w:r>
      <w:r w:rsidRPr="001D0846">
        <w:rPr>
          <w:color w:val="auto"/>
          <w:sz w:val="28"/>
          <w:szCs w:val="28"/>
          <w:lang w:val="ro-MD"/>
        </w:rPr>
        <w:t xml:space="preserve"> </w:t>
      </w:r>
    </w:p>
    <w:p w:rsidR="00C26C38" w:rsidRPr="001D0846" w:rsidRDefault="00C26C38" w:rsidP="006358AD">
      <w:pPr>
        <w:spacing w:after="0" w:line="276" w:lineRule="auto"/>
        <w:ind w:firstLine="708"/>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Astfel, la 31.12.2017, în procedură de insolvabilitate administrată de SFS se aflau 2158 de agenți economici, numărul acestora fiind în creștere</w:t>
      </w:r>
      <w:r w:rsidR="00D27173">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față de anul 2016</w:t>
      </w:r>
      <w:r w:rsidR="00D27173">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cu 338 agenți economici (15,7%)</w:t>
      </w:r>
      <w:r w:rsidR="00D27173">
        <w:rPr>
          <w:rFonts w:ascii="Times New Roman" w:hAnsi="Times New Roman" w:cs="Times New Roman"/>
          <w:sz w:val="28"/>
          <w:szCs w:val="28"/>
          <w:lang w:val="ro-MD"/>
        </w:rPr>
        <w:t>, iar</w:t>
      </w:r>
      <w:r w:rsidRPr="001D0846">
        <w:rPr>
          <w:rFonts w:ascii="Times New Roman" w:hAnsi="Times New Roman" w:cs="Times New Roman"/>
          <w:sz w:val="28"/>
          <w:szCs w:val="28"/>
          <w:lang w:val="ro-MD"/>
        </w:rPr>
        <w:t xml:space="preserve"> față de anul 2015 </w:t>
      </w:r>
      <w:r w:rsidR="00D27173">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 xml:space="preserve">cu 886 agenți economici (41%). </w:t>
      </w:r>
    </w:p>
    <w:p w:rsidR="00C26C38" w:rsidRPr="001D0846" w:rsidRDefault="00C26C38" w:rsidP="006358AD">
      <w:pPr>
        <w:pStyle w:val="a7"/>
        <w:spacing w:after="0" w:line="276" w:lineRule="auto"/>
        <w:ind w:left="0" w:firstLine="708"/>
        <w:jc w:val="both"/>
        <w:rPr>
          <w:rFonts w:ascii="Times New Roman" w:eastAsia="Times New Roman" w:hAnsi="Times New Roman" w:cs="Times New Roman"/>
          <w:i/>
          <w:color w:val="000000"/>
          <w:sz w:val="28"/>
          <w:szCs w:val="28"/>
          <w:lang w:val="ro-MD"/>
        </w:rPr>
      </w:pPr>
      <w:r w:rsidRPr="001D0846">
        <w:rPr>
          <w:rFonts w:ascii="Times New Roman" w:eastAsia="Times New Roman" w:hAnsi="Times New Roman" w:cs="Times New Roman"/>
          <w:bCs/>
          <w:color w:val="000000"/>
          <w:sz w:val="28"/>
          <w:szCs w:val="28"/>
          <w:lang w:val="ro-MD"/>
        </w:rPr>
        <w:t xml:space="preserve">Verificările efectuate de audit asupra monitorizării procesului de insolvabilitate </w:t>
      </w:r>
      <w:r w:rsidR="00D27173">
        <w:rPr>
          <w:rFonts w:ascii="Times New Roman" w:eastAsia="Times New Roman" w:hAnsi="Times New Roman" w:cs="Times New Roman"/>
          <w:bCs/>
          <w:color w:val="000000"/>
          <w:sz w:val="28"/>
          <w:szCs w:val="28"/>
          <w:lang w:val="ro-MD"/>
        </w:rPr>
        <w:t>denotă</w:t>
      </w:r>
      <w:r w:rsidRPr="001D0846">
        <w:rPr>
          <w:rFonts w:ascii="Times New Roman" w:eastAsia="Times New Roman" w:hAnsi="Times New Roman" w:cs="Times New Roman"/>
          <w:bCs/>
          <w:color w:val="000000"/>
          <w:sz w:val="28"/>
          <w:szCs w:val="28"/>
          <w:lang w:val="ro-MD"/>
        </w:rPr>
        <w:t xml:space="preserve"> că agenții economici </w:t>
      </w:r>
      <w:r w:rsidRPr="001D0846">
        <w:rPr>
          <w:rFonts w:ascii="Times New Roman" w:hAnsi="Times New Roman" w:cs="Times New Roman"/>
          <w:sz w:val="28"/>
          <w:szCs w:val="28"/>
          <w:lang w:val="ro-MD"/>
        </w:rPr>
        <w:t xml:space="preserve">aflați în proces de insolvabilitate înregistrau, la 31.12.2017, datorii istorice în sumă totală de 3786,1 mil.lei, sau </w:t>
      </w:r>
      <w:r w:rsidR="00D27173" w:rsidRPr="001D0846">
        <w:rPr>
          <w:rFonts w:ascii="Times New Roman" w:hAnsi="Times New Roman" w:cs="Times New Roman"/>
          <w:sz w:val="28"/>
          <w:szCs w:val="28"/>
          <w:lang w:val="ro-MD"/>
        </w:rPr>
        <w:t xml:space="preserve">cu 1732,1 mil.lei (45,7%) </w:t>
      </w:r>
      <w:r w:rsidRPr="001D0846">
        <w:rPr>
          <w:rFonts w:ascii="Times New Roman" w:hAnsi="Times New Roman" w:cs="Times New Roman"/>
          <w:sz w:val="28"/>
          <w:szCs w:val="28"/>
          <w:lang w:val="ro-MD"/>
        </w:rPr>
        <w:t xml:space="preserve">mai mult față de anul 2016 și cu 3219,1 mil.lei (85%) mai mult față de anul 2015. Totodată, se atestă </w:t>
      </w:r>
      <w:r w:rsidRPr="00160C8E">
        <w:rPr>
          <w:rFonts w:ascii="Times New Roman" w:hAnsi="Times New Roman" w:cs="Times New Roman"/>
          <w:sz w:val="28"/>
          <w:szCs w:val="28"/>
          <w:lang w:val="ro-MD"/>
        </w:rPr>
        <w:t xml:space="preserve">un </w:t>
      </w:r>
      <w:r w:rsidR="00160C8E">
        <w:rPr>
          <w:rFonts w:ascii="Times New Roman" w:hAnsi="Times New Roman" w:cs="Times New Roman"/>
          <w:sz w:val="28"/>
          <w:szCs w:val="28"/>
          <w:lang w:val="ro-MD"/>
        </w:rPr>
        <w:t>nivel</w:t>
      </w:r>
      <w:r w:rsidRPr="00160C8E">
        <w:rPr>
          <w:rFonts w:ascii="Times New Roman" w:hAnsi="Times New Roman" w:cs="Times New Roman"/>
          <w:sz w:val="28"/>
          <w:szCs w:val="28"/>
          <w:lang w:val="ro-MD"/>
        </w:rPr>
        <w:t xml:space="preserve"> redus</w:t>
      </w:r>
      <w:r w:rsidRPr="001D0846">
        <w:rPr>
          <w:rFonts w:ascii="Times New Roman" w:hAnsi="Times New Roman" w:cs="Times New Roman"/>
          <w:sz w:val="28"/>
          <w:szCs w:val="28"/>
          <w:lang w:val="ro-MD"/>
        </w:rPr>
        <w:t xml:space="preserve"> de colectare la BPN a creanțelor validate de către instanța de judecată în proces de insolvabilitate</w:t>
      </w:r>
      <w:r w:rsidR="00D27173">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care în </w:t>
      </w:r>
      <w:r w:rsidR="00D27173">
        <w:rPr>
          <w:rFonts w:ascii="Times New Roman" w:hAnsi="Times New Roman" w:cs="Times New Roman"/>
          <w:sz w:val="28"/>
          <w:szCs w:val="28"/>
          <w:lang w:val="ro-MD"/>
        </w:rPr>
        <w:t>anii</w:t>
      </w:r>
      <w:r w:rsidRPr="001D0846">
        <w:rPr>
          <w:rFonts w:ascii="Times New Roman" w:hAnsi="Times New Roman" w:cs="Times New Roman"/>
          <w:sz w:val="28"/>
          <w:szCs w:val="28"/>
          <w:lang w:val="ro-MD"/>
        </w:rPr>
        <w:t xml:space="preserve"> 2015</w:t>
      </w:r>
      <w:r w:rsidRPr="001D0846">
        <w:rPr>
          <w:rFonts w:ascii="Times New Roman" w:hAnsi="Times New Roman" w:cs="Times New Roman"/>
          <w:b/>
          <w:sz w:val="28"/>
          <w:szCs w:val="28"/>
          <w:lang w:val="ro-MD"/>
        </w:rPr>
        <w:t>-</w:t>
      </w:r>
      <w:r w:rsidRPr="001D0846">
        <w:rPr>
          <w:rFonts w:ascii="Times New Roman" w:hAnsi="Times New Roman" w:cs="Times New Roman"/>
          <w:sz w:val="28"/>
          <w:szCs w:val="28"/>
          <w:lang w:val="ro-MD"/>
        </w:rPr>
        <w:t>2017 a constituit circa 2 % d</w:t>
      </w:r>
      <w:r w:rsidR="00FF2CBB" w:rsidRPr="001D0846">
        <w:rPr>
          <w:rFonts w:ascii="Times New Roman" w:hAnsi="Times New Roman" w:cs="Times New Roman"/>
          <w:sz w:val="28"/>
          <w:szCs w:val="28"/>
          <w:lang w:val="ro-MD"/>
        </w:rPr>
        <w:t xml:space="preserve">in totalul datoriilor istorice. </w:t>
      </w:r>
      <w:r w:rsidRPr="00365962">
        <w:rPr>
          <w:rFonts w:ascii="Times New Roman" w:hAnsi="Times New Roman" w:cs="Times New Roman"/>
          <w:i/>
          <w:sz w:val="28"/>
          <w:szCs w:val="28"/>
          <w:lang w:val="ro-MD"/>
        </w:rPr>
        <w:t xml:space="preserve">Analiza comparativă a datelor la 31.12.2017, 31.12.2016 și 31.12.2015 </w:t>
      </w:r>
      <w:r w:rsidR="00D27173">
        <w:rPr>
          <w:rFonts w:ascii="Times New Roman" w:hAnsi="Times New Roman" w:cs="Times New Roman"/>
          <w:i/>
          <w:sz w:val="28"/>
          <w:szCs w:val="28"/>
          <w:lang w:val="ro-MD"/>
        </w:rPr>
        <w:t>este</w:t>
      </w:r>
      <w:r w:rsidRPr="00365962">
        <w:rPr>
          <w:rFonts w:ascii="Times New Roman" w:hAnsi="Times New Roman" w:cs="Times New Roman"/>
          <w:i/>
          <w:sz w:val="28"/>
          <w:szCs w:val="28"/>
          <w:lang w:val="ro-MD"/>
        </w:rPr>
        <w:t xml:space="preserve"> prez</w:t>
      </w:r>
      <w:r w:rsidR="00D27173">
        <w:rPr>
          <w:rFonts w:ascii="Times New Roman" w:hAnsi="Times New Roman" w:cs="Times New Roman"/>
          <w:i/>
          <w:sz w:val="28"/>
          <w:szCs w:val="28"/>
          <w:lang w:val="ro-MD"/>
        </w:rPr>
        <w:t>enta</w:t>
      </w:r>
      <w:r w:rsidRPr="00365962">
        <w:rPr>
          <w:rFonts w:ascii="Times New Roman" w:hAnsi="Times New Roman" w:cs="Times New Roman"/>
          <w:i/>
          <w:sz w:val="28"/>
          <w:szCs w:val="28"/>
          <w:lang w:val="ro-MD"/>
        </w:rPr>
        <w:t xml:space="preserve">tă în </w:t>
      </w:r>
      <w:r w:rsidRPr="00365962">
        <w:rPr>
          <w:rFonts w:ascii="Times New Roman" w:eastAsia="Times New Roman" w:hAnsi="Times New Roman" w:cs="Times New Roman"/>
          <w:i/>
          <w:color w:val="000000"/>
          <w:sz w:val="28"/>
          <w:szCs w:val="28"/>
          <w:lang w:val="ro-MD"/>
        </w:rPr>
        <w:t xml:space="preserve">Tabelul </w:t>
      </w:r>
      <w:r w:rsidR="00D17F6C" w:rsidRPr="00365962">
        <w:rPr>
          <w:rFonts w:ascii="Times New Roman" w:eastAsia="Times New Roman" w:hAnsi="Times New Roman" w:cs="Times New Roman"/>
          <w:i/>
          <w:color w:val="000000"/>
          <w:sz w:val="28"/>
          <w:szCs w:val="28"/>
          <w:lang w:val="ro-MD"/>
        </w:rPr>
        <w:t>nr.</w:t>
      </w:r>
      <w:r w:rsidR="009E62CA" w:rsidRPr="00365962">
        <w:rPr>
          <w:rFonts w:ascii="Times New Roman" w:eastAsia="Times New Roman" w:hAnsi="Times New Roman" w:cs="Times New Roman"/>
          <w:i/>
          <w:color w:val="000000"/>
          <w:sz w:val="28"/>
          <w:szCs w:val="28"/>
          <w:lang w:val="ro-MD"/>
        </w:rPr>
        <w:t>1</w:t>
      </w:r>
      <w:r w:rsidR="00365962" w:rsidRPr="00365962">
        <w:rPr>
          <w:rFonts w:ascii="Times New Roman" w:eastAsia="Times New Roman" w:hAnsi="Times New Roman" w:cs="Times New Roman"/>
          <w:i/>
          <w:color w:val="000000"/>
          <w:sz w:val="28"/>
          <w:szCs w:val="28"/>
          <w:lang w:val="ro-MD"/>
        </w:rPr>
        <w:t>5</w:t>
      </w:r>
      <w:r w:rsidR="004C38B1" w:rsidRPr="00365962">
        <w:rPr>
          <w:rFonts w:ascii="Times New Roman" w:eastAsia="Times New Roman" w:hAnsi="Times New Roman" w:cs="Times New Roman"/>
          <w:i/>
          <w:color w:val="000000"/>
          <w:sz w:val="28"/>
          <w:szCs w:val="28"/>
          <w:lang w:val="ro-MD"/>
        </w:rPr>
        <w:t xml:space="preserve"> din Anexa nr.3</w:t>
      </w:r>
      <w:r w:rsidR="00FF2CBB" w:rsidRPr="00365962">
        <w:rPr>
          <w:rFonts w:ascii="Times New Roman" w:eastAsia="Times New Roman" w:hAnsi="Times New Roman" w:cs="Times New Roman"/>
          <w:i/>
          <w:color w:val="000000"/>
          <w:sz w:val="28"/>
          <w:szCs w:val="28"/>
          <w:lang w:val="ro-MD"/>
        </w:rPr>
        <w:t xml:space="preserve"> la Raport</w:t>
      </w:r>
      <w:r w:rsidR="00D27173">
        <w:rPr>
          <w:rFonts w:ascii="Times New Roman" w:eastAsia="Times New Roman" w:hAnsi="Times New Roman" w:cs="Times New Roman"/>
          <w:i/>
          <w:color w:val="000000"/>
          <w:sz w:val="28"/>
          <w:szCs w:val="28"/>
          <w:lang w:val="ro-MD"/>
        </w:rPr>
        <w:t>ul</w:t>
      </w:r>
      <w:r w:rsidR="00FF2CBB" w:rsidRPr="00365962">
        <w:rPr>
          <w:rFonts w:ascii="Times New Roman" w:eastAsia="Times New Roman" w:hAnsi="Times New Roman" w:cs="Times New Roman"/>
          <w:i/>
          <w:color w:val="000000"/>
          <w:sz w:val="28"/>
          <w:szCs w:val="28"/>
          <w:lang w:val="ro-MD"/>
        </w:rPr>
        <w:t xml:space="preserve"> de audit.</w:t>
      </w:r>
    </w:p>
    <w:p w:rsidR="00EC042F" w:rsidRPr="001D0846" w:rsidRDefault="000E7623" w:rsidP="00EC042F">
      <w:pPr>
        <w:spacing w:after="0" w:line="276" w:lineRule="auto"/>
        <w:ind w:firstLine="708"/>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Potrivit motivației persoanelor responsabile din cadrul SFS, </w:t>
      </w:r>
      <w:r w:rsidR="00D27173">
        <w:rPr>
          <w:rFonts w:ascii="Times New Roman" w:hAnsi="Times New Roman" w:cs="Times New Roman"/>
          <w:sz w:val="28"/>
          <w:szCs w:val="28"/>
          <w:lang w:val="ro-MD"/>
        </w:rPr>
        <w:t>nivelul</w:t>
      </w:r>
      <w:r w:rsidRPr="001D0846">
        <w:rPr>
          <w:rFonts w:ascii="Times New Roman" w:hAnsi="Times New Roman" w:cs="Times New Roman"/>
          <w:sz w:val="28"/>
          <w:szCs w:val="28"/>
          <w:lang w:val="ro-MD"/>
        </w:rPr>
        <w:t xml:space="preserve"> redus de colectare la BPN a creanțelor validate de către instanța de judecată în proces de insolvabilitate se </w:t>
      </w:r>
      <w:r w:rsidR="00365962">
        <w:rPr>
          <w:rFonts w:ascii="Times New Roman" w:hAnsi="Times New Roman" w:cs="Times New Roman"/>
          <w:sz w:val="28"/>
          <w:szCs w:val="28"/>
          <w:lang w:val="ro-MD"/>
        </w:rPr>
        <w:t>datorează</w:t>
      </w:r>
      <w:r w:rsidRPr="001D0846">
        <w:rPr>
          <w:rFonts w:ascii="Times New Roman" w:hAnsi="Times New Roman" w:cs="Times New Roman"/>
          <w:sz w:val="28"/>
          <w:szCs w:val="28"/>
          <w:lang w:val="ro-MD"/>
        </w:rPr>
        <w:t xml:space="preserve"> lipsei masei debitoare a întreprinderilor în privința cărora se inițiază procedura de insolvabilitate</w:t>
      </w:r>
      <w:r w:rsidR="00D27173">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sau </w:t>
      </w:r>
      <w:r w:rsidR="00365962">
        <w:rPr>
          <w:rFonts w:ascii="Times New Roman" w:hAnsi="Times New Roman" w:cs="Times New Roman"/>
          <w:sz w:val="28"/>
          <w:szCs w:val="28"/>
          <w:lang w:val="ro-MD"/>
        </w:rPr>
        <w:t>insuficienței masei debitoare în vederea stingerii integrale a creanțelor</w:t>
      </w:r>
      <w:r w:rsidRPr="001D0846">
        <w:rPr>
          <w:rFonts w:ascii="Times New Roman" w:hAnsi="Times New Roman" w:cs="Times New Roman"/>
          <w:sz w:val="28"/>
          <w:szCs w:val="28"/>
          <w:lang w:val="ro-MD"/>
        </w:rPr>
        <w:t xml:space="preserve"> garantate.</w:t>
      </w:r>
    </w:p>
    <w:p w:rsidR="00C26C38" w:rsidRPr="001D0846" w:rsidRDefault="00FF2CBB" w:rsidP="006358AD">
      <w:pPr>
        <w:pStyle w:val="tt"/>
        <w:spacing w:line="276" w:lineRule="auto"/>
        <w:ind w:firstLine="709"/>
        <w:jc w:val="both"/>
        <w:rPr>
          <w:b w:val="0"/>
          <w:sz w:val="28"/>
          <w:szCs w:val="28"/>
          <w:lang w:val="ro-MD"/>
        </w:rPr>
      </w:pPr>
      <w:r w:rsidRPr="001D0846">
        <w:rPr>
          <w:b w:val="0"/>
          <w:sz w:val="28"/>
          <w:szCs w:val="28"/>
          <w:lang w:val="ro-MD"/>
        </w:rPr>
        <w:t>Analiza datelor p</w:t>
      </w:r>
      <w:r w:rsidR="00C26C38" w:rsidRPr="001D0846">
        <w:rPr>
          <w:b w:val="0"/>
          <w:sz w:val="28"/>
          <w:szCs w:val="28"/>
          <w:lang w:val="ro-MD"/>
        </w:rPr>
        <w:t xml:space="preserve">rezentate relevă o creștere a plăților curente la BPN din momentul derulării procedurii de insolvabilitate, care în </w:t>
      </w:r>
      <w:r w:rsidR="00D27173">
        <w:rPr>
          <w:b w:val="0"/>
          <w:sz w:val="28"/>
          <w:szCs w:val="28"/>
          <w:lang w:val="ro-MD"/>
        </w:rPr>
        <w:t>anul</w:t>
      </w:r>
      <w:r w:rsidR="00C26C38" w:rsidRPr="001D0846">
        <w:rPr>
          <w:b w:val="0"/>
          <w:sz w:val="28"/>
          <w:szCs w:val="28"/>
          <w:lang w:val="ro-MD"/>
        </w:rPr>
        <w:t xml:space="preserve"> 2017 au constituit 158,4 mil.lei, sau </w:t>
      </w:r>
      <w:r w:rsidR="00D27173" w:rsidRPr="001D0846">
        <w:rPr>
          <w:b w:val="0"/>
          <w:sz w:val="28"/>
          <w:szCs w:val="28"/>
          <w:lang w:val="ro-MD"/>
        </w:rPr>
        <w:t xml:space="preserve">cu 43 mil.lei (27,1%) </w:t>
      </w:r>
      <w:r w:rsidR="00C26C38" w:rsidRPr="001D0846">
        <w:rPr>
          <w:b w:val="0"/>
          <w:sz w:val="28"/>
          <w:szCs w:val="28"/>
          <w:lang w:val="ro-MD"/>
        </w:rPr>
        <w:t xml:space="preserve">mai mult față de anul 2016 și cu 47,8 mil.lei (30,2%) mai mult față de anul 2015. De asemenea, se atestă un grad redus de colectare la BPN a plăților curente calculate din momentul derulării procedurii de </w:t>
      </w:r>
      <w:r w:rsidR="00C26C38" w:rsidRPr="001D0846">
        <w:rPr>
          <w:b w:val="0"/>
          <w:sz w:val="28"/>
          <w:szCs w:val="28"/>
          <w:lang w:val="ro-MD"/>
        </w:rPr>
        <w:lastRenderedPageBreak/>
        <w:t xml:space="preserve">insolvabilitate, care în perioada </w:t>
      </w:r>
      <w:r w:rsidR="00D27173">
        <w:rPr>
          <w:b w:val="0"/>
          <w:sz w:val="28"/>
          <w:szCs w:val="28"/>
          <w:lang w:val="ro-MD"/>
        </w:rPr>
        <w:t xml:space="preserve">anilor </w:t>
      </w:r>
      <w:r w:rsidR="00C26C38" w:rsidRPr="001D0846">
        <w:rPr>
          <w:b w:val="0"/>
          <w:sz w:val="28"/>
          <w:szCs w:val="28"/>
          <w:lang w:val="ro-MD"/>
        </w:rPr>
        <w:t>2015-2017 a constituit circa 60 % din totalul plăților curente.</w:t>
      </w:r>
    </w:p>
    <w:p w:rsidR="00EC042F" w:rsidRPr="001D0846" w:rsidRDefault="00D27173" w:rsidP="006E55A6">
      <w:pPr>
        <w:pStyle w:val="a9"/>
        <w:spacing w:after="0" w:line="276" w:lineRule="auto"/>
        <w:ind w:firstLine="709"/>
        <w:jc w:val="both"/>
        <w:rPr>
          <w:sz w:val="28"/>
          <w:szCs w:val="28"/>
          <w:lang w:val="ro-MD" w:eastAsia="ro-RO"/>
        </w:rPr>
      </w:pPr>
      <w:r>
        <w:rPr>
          <w:sz w:val="28"/>
          <w:szCs w:val="28"/>
          <w:lang w:val="ro-MD"/>
        </w:rPr>
        <w:t>După cum motivează</w:t>
      </w:r>
      <w:r w:rsidR="00EC042F" w:rsidRPr="001D0846">
        <w:rPr>
          <w:sz w:val="28"/>
          <w:szCs w:val="28"/>
          <w:lang w:val="ro-MD"/>
        </w:rPr>
        <w:t xml:space="preserve"> persoanel</w:t>
      </w:r>
      <w:r>
        <w:rPr>
          <w:sz w:val="28"/>
          <w:szCs w:val="28"/>
          <w:lang w:val="ro-MD"/>
        </w:rPr>
        <w:t>e</w:t>
      </w:r>
      <w:r w:rsidR="00EC042F" w:rsidRPr="001D0846">
        <w:rPr>
          <w:sz w:val="28"/>
          <w:szCs w:val="28"/>
          <w:lang w:val="ro-MD"/>
        </w:rPr>
        <w:t xml:space="preserve"> responsabile din cadrul SFS, </w:t>
      </w:r>
      <w:r w:rsidR="00EC042F" w:rsidRPr="001D0846">
        <w:rPr>
          <w:sz w:val="28"/>
          <w:szCs w:val="28"/>
          <w:lang w:val="ro-MD" w:eastAsia="ro-RO"/>
        </w:rPr>
        <w:t xml:space="preserve">obligațiile de plată curente </w:t>
      </w:r>
      <w:r w:rsidR="00EC042F" w:rsidRPr="001D0846">
        <w:rPr>
          <w:color w:val="000000"/>
          <w:sz w:val="28"/>
          <w:szCs w:val="28"/>
          <w:lang w:val="ro-MD"/>
        </w:rPr>
        <w:t xml:space="preserve">formate pe parcursul derulării procesului de insolvabilitate urmează a fi încasate în conformitate cu </w:t>
      </w:r>
      <w:r w:rsidR="00477706">
        <w:rPr>
          <w:color w:val="000000"/>
          <w:sz w:val="28"/>
          <w:szCs w:val="28"/>
          <w:lang w:val="ro-MD"/>
        </w:rPr>
        <w:t>prevederile Legii</w:t>
      </w:r>
      <w:r w:rsidR="00EC042F" w:rsidRPr="001D0846">
        <w:rPr>
          <w:color w:val="000000"/>
          <w:sz w:val="28"/>
          <w:szCs w:val="28"/>
          <w:lang w:val="ro-MD"/>
        </w:rPr>
        <w:t xml:space="preserve"> </w:t>
      </w:r>
      <w:proofErr w:type="spellStart"/>
      <w:r w:rsidR="00EC042F" w:rsidRPr="001D0846">
        <w:rPr>
          <w:color w:val="000000"/>
          <w:sz w:val="28"/>
          <w:szCs w:val="28"/>
          <w:lang w:val="ro-MD"/>
        </w:rPr>
        <w:t>insolvabilităţii</w:t>
      </w:r>
      <w:proofErr w:type="spellEnd"/>
      <w:r w:rsidR="00477706">
        <w:rPr>
          <w:rStyle w:val="a6"/>
          <w:sz w:val="28"/>
          <w:szCs w:val="28"/>
          <w:lang w:val="ro-MD" w:eastAsia="ro-RO"/>
        </w:rPr>
        <w:footnoteReference w:id="16"/>
      </w:r>
      <w:r w:rsidR="00477706">
        <w:rPr>
          <w:sz w:val="28"/>
          <w:szCs w:val="28"/>
          <w:lang w:val="ro-MD" w:eastAsia="ro-RO"/>
        </w:rPr>
        <w:t xml:space="preserve"> </w:t>
      </w:r>
      <w:r w:rsidR="00EC042F" w:rsidRPr="001D0846">
        <w:rPr>
          <w:sz w:val="28"/>
          <w:szCs w:val="28"/>
          <w:lang w:val="ro-MD" w:eastAsia="ro-RO"/>
        </w:rPr>
        <w:t xml:space="preserve">și </w:t>
      </w:r>
      <w:r w:rsidR="00EC042F" w:rsidRPr="00020547">
        <w:rPr>
          <w:sz w:val="28"/>
          <w:szCs w:val="28"/>
          <w:lang w:val="ro-MD" w:eastAsia="ro-RO"/>
        </w:rPr>
        <w:t>a</w:t>
      </w:r>
      <w:r w:rsidRPr="00020547">
        <w:rPr>
          <w:sz w:val="28"/>
          <w:szCs w:val="28"/>
          <w:lang w:val="ro-MD" w:eastAsia="ro-RO"/>
        </w:rPr>
        <w:t>le</w:t>
      </w:r>
      <w:r w:rsidR="00EC042F" w:rsidRPr="00020547">
        <w:rPr>
          <w:sz w:val="28"/>
          <w:szCs w:val="28"/>
          <w:lang w:val="ro-MD" w:eastAsia="ro-RO"/>
        </w:rPr>
        <w:t xml:space="preserve"> C</w:t>
      </w:r>
      <w:r w:rsidR="00477706" w:rsidRPr="00020547">
        <w:rPr>
          <w:sz w:val="28"/>
          <w:szCs w:val="28"/>
          <w:lang w:val="ro-MD" w:eastAsia="ro-RO"/>
        </w:rPr>
        <w:t>F</w:t>
      </w:r>
      <w:r w:rsidR="00EC042F" w:rsidRPr="00020547">
        <w:rPr>
          <w:sz w:val="28"/>
          <w:szCs w:val="28"/>
          <w:lang w:val="ro-MD" w:eastAsia="ro-RO"/>
        </w:rPr>
        <w:t>.</w:t>
      </w:r>
      <w:r w:rsidR="00020547">
        <w:rPr>
          <w:sz w:val="28"/>
          <w:szCs w:val="28"/>
          <w:lang w:val="ro-MD" w:eastAsia="ro-RO"/>
        </w:rPr>
        <w:t xml:space="preserve"> L</w:t>
      </w:r>
      <w:r w:rsidR="00477706">
        <w:rPr>
          <w:sz w:val="28"/>
          <w:szCs w:val="28"/>
          <w:lang w:val="ro-MD" w:eastAsia="ro-RO"/>
        </w:rPr>
        <w:t>acunele</w:t>
      </w:r>
      <w:r w:rsidR="00EC042F" w:rsidRPr="001D0846">
        <w:rPr>
          <w:sz w:val="28"/>
          <w:szCs w:val="28"/>
          <w:lang w:val="ro-MD" w:eastAsia="ro-RO"/>
        </w:rPr>
        <w:t xml:space="preserve"> existente în legislație, </w:t>
      </w:r>
      <w:r w:rsidR="00477706">
        <w:rPr>
          <w:sz w:val="28"/>
          <w:szCs w:val="28"/>
          <w:lang w:val="ro-MD" w:eastAsia="ro-RO"/>
        </w:rPr>
        <w:t>în special</w:t>
      </w:r>
      <w:r>
        <w:rPr>
          <w:sz w:val="28"/>
          <w:szCs w:val="28"/>
          <w:lang w:val="ro-MD" w:eastAsia="ro-RO"/>
        </w:rPr>
        <w:t>,</w:t>
      </w:r>
      <w:r w:rsidR="00477706">
        <w:rPr>
          <w:sz w:val="28"/>
          <w:szCs w:val="28"/>
          <w:lang w:val="ro-MD" w:eastAsia="ro-RO"/>
        </w:rPr>
        <w:t xml:space="preserve"> lipsa unor pârghii</w:t>
      </w:r>
      <w:r w:rsidR="00EC042F" w:rsidRPr="001D0846">
        <w:rPr>
          <w:sz w:val="28"/>
          <w:szCs w:val="28"/>
          <w:lang w:val="ro-MD" w:eastAsia="ro-RO"/>
        </w:rPr>
        <w:t xml:space="preserve"> c</w:t>
      </w:r>
      <w:r>
        <w:rPr>
          <w:sz w:val="28"/>
          <w:szCs w:val="28"/>
          <w:lang w:val="ro-MD" w:eastAsia="ro-RO"/>
        </w:rPr>
        <w:t>ar</w:t>
      </w:r>
      <w:r w:rsidR="00EC042F" w:rsidRPr="001D0846">
        <w:rPr>
          <w:sz w:val="28"/>
          <w:szCs w:val="28"/>
          <w:lang w:val="ro-MD" w:eastAsia="ro-RO"/>
        </w:rPr>
        <w:t xml:space="preserve">e pot fi aplicate în cadrul procesului de insolvabilitate în privința </w:t>
      </w:r>
      <w:r w:rsidR="00477706">
        <w:rPr>
          <w:sz w:val="28"/>
          <w:szCs w:val="28"/>
          <w:lang w:val="ro-MD" w:eastAsia="ro-RO"/>
        </w:rPr>
        <w:t xml:space="preserve">încasării </w:t>
      </w:r>
      <w:r w:rsidR="00EC042F" w:rsidRPr="001D0846">
        <w:rPr>
          <w:sz w:val="28"/>
          <w:szCs w:val="28"/>
          <w:lang w:val="ro-MD" w:eastAsia="ro-RO"/>
        </w:rPr>
        <w:t>obligațiilor curente, a</w:t>
      </w:r>
      <w:r>
        <w:rPr>
          <w:sz w:val="28"/>
          <w:szCs w:val="28"/>
          <w:lang w:val="ro-MD" w:eastAsia="ro-RO"/>
        </w:rPr>
        <w:t>u</w:t>
      </w:r>
      <w:r w:rsidR="00EC042F" w:rsidRPr="001D0846">
        <w:rPr>
          <w:sz w:val="28"/>
          <w:szCs w:val="28"/>
          <w:lang w:val="ro-MD" w:eastAsia="ro-RO"/>
        </w:rPr>
        <w:t xml:space="preserve"> generat </w:t>
      </w:r>
      <w:r w:rsidR="00EC042F" w:rsidRPr="001D0846">
        <w:rPr>
          <w:sz w:val="28"/>
          <w:szCs w:val="28"/>
          <w:lang w:val="ro-MD"/>
        </w:rPr>
        <w:t xml:space="preserve">un </w:t>
      </w:r>
      <w:r w:rsidR="00EC042F" w:rsidRPr="00160C8E">
        <w:rPr>
          <w:sz w:val="28"/>
          <w:szCs w:val="28"/>
          <w:lang w:val="ro-MD"/>
        </w:rPr>
        <w:t>grad redus</w:t>
      </w:r>
      <w:r w:rsidR="00EC042F" w:rsidRPr="001D0846">
        <w:rPr>
          <w:sz w:val="28"/>
          <w:szCs w:val="28"/>
          <w:lang w:val="ro-MD"/>
        </w:rPr>
        <w:t xml:space="preserve"> de colectare la BPN a plăților curente.</w:t>
      </w:r>
      <w:r w:rsidR="006E55A6" w:rsidRPr="001D0846">
        <w:rPr>
          <w:sz w:val="28"/>
          <w:szCs w:val="28"/>
          <w:lang w:val="ro-MD"/>
        </w:rPr>
        <w:t xml:space="preserve"> </w:t>
      </w:r>
      <w:r w:rsidR="00020547">
        <w:rPr>
          <w:sz w:val="28"/>
          <w:szCs w:val="28"/>
          <w:lang w:val="ro-MD"/>
        </w:rPr>
        <w:t xml:space="preserve">Totodată se remarcă că </w:t>
      </w:r>
      <w:r w:rsidR="006E55A6" w:rsidRPr="001D0846">
        <w:rPr>
          <w:sz w:val="28"/>
          <w:szCs w:val="28"/>
          <w:lang w:val="ro-MD"/>
        </w:rPr>
        <w:t>SFS</w:t>
      </w:r>
      <w:r>
        <w:rPr>
          <w:sz w:val="28"/>
          <w:szCs w:val="28"/>
          <w:lang w:val="ro-MD"/>
        </w:rPr>
        <w:t>,</w:t>
      </w:r>
      <w:r w:rsidR="006E55A6" w:rsidRPr="001D0846">
        <w:rPr>
          <w:sz w:val="28"/>
          <w:szCs w:val="28"/>
          <w:lang w:val="ro-MD"/>
        </w:rPr>
        <w:t xml:space="preserve"> </w:t>
      </w:r>
      <w:r w:rsidR="00EC042F" w:rsidRPr="001D0846">
        <w:rPr>
          <w:sz w:val="28"/>
          <w:szCs w:val="28"/>
          <w:lang w:val="ro-MD"/>
        </w:rPr>
        <w:t xml:space="preserve">conform Planului de acțiuni pentru </w:t>
      </w:r>
      <w:r w:rsidR="006E55A6" w:rsidRPr="001D0846">
        <w:rPr>
          <w:sz w:val="28"/>
          <w:szCs w:val="28"/>
          <w:lang w:val="ro-MD"/>
        </w:rPr>
        <w:t xml:space="preserve">anul </w:t>
      </w:r>
      <w:r w:rsidR="00EC042F" w:rsidRPr="001D0846">
        <w:rPr>
          <w:sz w:val="28"/>
          <w:szCs w:val="28"/>
          <w:lang w:val="ro-MD"/>
        </w:rPr>
        <w:t>2018, a înaintat propuneri de modific</w:t>
      </w:r>
      <w:r w:rsidR="00477706">
        <w:rPr>
          <w:sz w:val="28"/>
          <w:szCs w:val="28"/>
          <w:lang w:val="ro-MD"/>
        </w:rPr>
        <w:t>are a legislației în acest sens, acestea fiind prezentate auditului.</w:t>
      </w:r>
    </w:p>
    <w:p w:rsidR="00C26C38" w:rsidRPr="001D0846" w:rsidRDefault="00C26C38" w:rsidP="006358AD">
      <w:pPr>
        <w:spacing w:after="0" w:line="276" w:lineRule="auto"/>
        <w:ind w:firstLine="709"/>
        <w:jc w:val="both"/>
        <w:rPr>
          <w:rFonts w:ascii="Times New Roman" w:eastAsia="Calibri" w:hAnsi="Times New Roman" w:cs="Times New Roman"/>
          <w:sz w:val="28"/>
          <w:szCs w:val="28"/>
        </w:rPr>
      </w:pPr>
      <w:r w:rsidRPr="001D0846">
        <w:rPr>
          <w:rFonts w:ascii="Times New Roman" w:eastAsia="Calibri" w:hAnsi="Times New Roman" w:cs="Times New Roman"/>
          <w:sz w:val="28"/>
          <w:szCs w:val="28"/>
        </w:rPr>
        <w:t>Auditul relevă unele discordanțe între prevederile unor norme din CF</w:t>
      </w:r>
      <w:r w:rsidR="00D27173">
        <w:rPr>
          <w:rFonts w:ascii="Times New Roman" w:eastAsia="Calibri" w:hAnsi="Times New Roman" w:cs="Times New Roman"/>
          <w:sz w:val="28"/>
          <w:szCs w:val="28"/>
        </w:rPr>
        <w:t>,</w:t>
      </w:r>
      <w:r w:rsidRPr="001D0846">
        <w:rPr>
          <w:rFonts w:ascii="Times New Roman" w:eastAsia="Calibri" w:hAnsi="Times New Roman" w:cs="Times New Roman"/>
          <w:sz w:val="28"/>
          <w:szCs w:val="28"/>
        </w:rPr>
        <w:t xml:space="preserve"> care generează interpretări distincte și situații neclare cu referire la statutul și evidența obligațiilor fiscale aferente contribuabililor în procedură de insolvabilitate, fapt care prezintă un risc asupra raportării de către SFS a restanței reale la BPN.</w:t>
      </w:r>
    </w:p>
    <w:p w:rsidR="00C26C38" w:rsidRDefault="00C26C38" w:rsidP="006358AD">
      <w:pPr>
        <w:spacing w:after="0" w:line="276" w:lineRule="auto"/>
        <w:ind w:firstLine="709"/>
        <w:jc w:val="both"/>
        <w:rPr>
          <w:rFonts w:ascii="Times New Roman" w:hAnsi="Times New Roman" w:cs="Times New Roman"/>
          <w:sz w:val="28"/>
          <w:szCs w:val="28"/>
        </w:rPr>
      </w:pPr>
      <w:r w:rsidRPr="001D0846">
        <w:rPr>
          <w:rFonts w:ascii="Times New Roman" w:eastAsia="Calibri" w:hAnsi="Times New Roman" w:cs="Times New Roman"/>
          <w:sz w:val="28"/>
          <w:szCs w:val="28"/>
        </w:rPr>
        <w:t xml:space="preserve">Astfel, potrivit art.129 pct.13) din CF, </w:t>
      </w:r>
      <w:proofErr w:type="spellStart"/>
      <w:r w:rsidRPr="001D0846">
        <w:rPr>
          <w:rFonts w:ascii="Times New Roman" w:eastAsia="Calibri" w:hAnsi="Times New Roman" w:cs="Times New Roman"/>
          <w:sz w:val="28"/>
          <w:szCs w:val="28"/>
        </w:rPr>
        <w:t>o</w:t>
      </w:r>
      <w:r w:rsidRPr="001D0846">
        <w:rPr>
          <w:rFonts w:ascii="Times New Roman" w:hAnsi="Times New Roman" w:cs="Times New Roman"/>
          <w:sz w:val="28"/>
          <w:szCs w:val="28"/>
        </w:rPr>
        <w:t>bligaţiile</w:t>
      </w:r>
      <w:proofErr w:type="spellEnd"/>
      <w:r w:rsidRPr="001D0846">
        <w:rPr>
          <w:rFonts w:ascii="Times New Roman" w:hAnsi="Times New Roman" w:cs="Times New Roman"/>
          <w:sz w:val="28"/>
          <w:szCs w:val="28"/>
        </w:rPr>
        <w:t xml:space="preserve"> fiscale luate la </w:t>
      </w:r>
      <w:proofErr w:type="spellStart"/>
      <w:r w:rsidRPr="001D0846">
        <w:rPr>
          <w:rFonts w:ascii="Times New Roman" w:hAnsi="Times New Roman" w:cs="Times New Roman"/>
          <w:sz w:val="28"/>
          <w:szCs w:val="28"/>
        </w:rPr>
        <w:t>evidenţă</w:t>
      </w:r>
      <w:proofErr w:type="spellEnd"/>
      <w:r w:rsidRPr="001D0846">
        <w:rPr>
          <w:rFonts w:ascii="Times New Roman" w:hAnsi="Times New Roman" w:cs="Times New Roman"/>
          <w:sz w:val="28"/>
          <w:szCs w:val="28"/>
        </w:rPr>
        <w:t xml:space="preserve"> fiscală specială conform art.206 din CF nu se consideră </w:t>
      </w:r>
      <w:proofErr w:type="spellStart"/>
      <w:r w:rsidRPr="001D0846">
        <w:rPr>
          <w:rFonts w:ascii="Times New Roman" w:hAnsi="Times New Roman" w:cs="Times New Roman"/>
          <w:sz w:val="28"/>
          <w:szCs w:val="28"/>
        </w:rPr>
        <w:t>restanţe</w:t>
      </w:r>
      <w:proofErr w:type="spellEnd"/>
      <w:r w:rsidRPr="001D0846">
        <w:rPr>
          <w:rFonts w:ascii="Times New Roman" w:hAnsi="Times New Roman" w:cs="Times New Roman"/>
          <w:sz w:val="28"/>
          <w:szCs w:val="28"/>
        </w:rPr>
        <w:t xml:space="preserve"> pe perioada aflării la </w:t>
      </w:r>
      <w:proofErr w:type="spellStart"/>
      <w:r w:rsidRPr="001D0846">
        <w:rPr>
          <w:rFonts w:ascii="Times New Roman" w:hAnsi="Times New Roman" w:cs="Times New Roman"/>
          <w:sz w:val="28"/>
          <w:szCs w:val="28"/>
        </w:rPr>
        <w:t>evidenţa</w:t>
      </w:r>
      <w:proofErr w:type="spellEnd"/>
      <w:r w:rsidRPr="001D0846">
        <w:rPr>
          <w:rFonts w:ascii="Times New Roman" w:hAnsi="Times New Roman" w:cs="Times New Roman"/>
          <w:sz w:val="28"/>
          <w:szCs w:val="28"/>
        </w:rPr>
        <w:t xml:space="preserve"> fiscală specială, cu excepția obligațiilor fiscale aferente contribuabililor aflați în procedură de insolvabilitate, procedura falimentului sau procedura simplificată a falimentului. </w:t>
      </w:r>
      <w:r w:rsidRPr="001D0846">
        <w:rPr>
          <w:rFonts w:ascii="Times New Roman" w:eastAsia="Calibri" w:hAnsi="Times New Roman" w:cs="Times New Roman"/>
          <w:sz w:val="28"/>
          <w:szCs w:val="28"/>
        </w:rPr>
        <w:t xml:space="preserve">Concomitent, potrivit art.206 alin.(1) </w:t>
      </w:r>
      <w:proofErr w:type="spellStart"/>
      <w:r w:rsidRPr="001D0846">
        <w:rPr>
          <w:rFonts w:ascii="Times New Roman" w:eastAsia="Calibri" w:hAnsi="Times New Roman" w:cs="Times New Roman"/>
          <w:sz w:val="28"/>
          <w:szCs w:val="28"/>
        </w:rPr>
        <w:t>lit.b</w:t>
      </w:r>
      <w:proofErr w:type="spellEnd"/>
      <w:r w:rsidRPr="001D0846">
        <w:rPr>
          <w:rFonts w:ascii="Times New Roman" w:eastAsia="Calibri" w:hAnsi="Times New Roman" w:cs="Times New Roman"/>
          <w:sz w:val="28"/>
          <w:szCs w:val="28"/>
        </w:rPr>
        <w:t>) din CF, executarea silită a obligației fiscale se consideră imposibilă dacă persoana</w:t>
      </w:r>
      <w:r w:rsidRPr="001D0846">
        <w:t xml:space="preserve"> </w:t>
      </w:r>
      <w:r w:rsidRPr="001D0846">
        <w:rPr>
          <w:rFonts w:ascii="Times New Roman" w:hAnsi="Times New Roman" w:cs="Times New Roman"/>
          <w:sz w:val="28"/>
          <w:szCs w:val="28"/>
        </w:rPr>
        <w:t>se află în proces de lichidare (dizolvare) sau în procedură de insolvabilitate.</w:t>
      </w:r>
    </w:p>
    <w:p w:rsidR="00C26C38" w:rsidRPr="00477706" w:rsidRDefault="00C26C38" w:rsidP="00477706">
      <w:pPr>
        <w:spacing w:after="0" w:line="276" w:lineRule="auto"/>
        <w:ind w:firstLine="709"/>
        <w:jc w:val="both"/>
        <w:rPr>
          <w:rFonts w:ascii="Times New Roman" w:eastAsia="Calibri" w:hAnsi="Times New Roman" w:cs="Times New Roman"/>
          <w:sz w:val="28"/>
          <w:szCs w:val="28"/>
          <w:lang w:val="ro-MD"/>
        </w:rPr>
      </w:pPr>
      <w:r w:rsidRPr="00160C8E">
        <w:rPr>
          <w:rFonts w:ascii="Times New Roman" w:hAnsi="Times New Roman" w:cs="Times New Roman"/>
          <w:sz w:val="28"/>
          <w:szCs w:val="28"/>
          <w:lang w:val="ro-MD"/>
        </w:rPr>
        <w:t>Prin urmare, se constată</w:t>
      </w:r>
      <w:r w:rsidR="00160C8E">
        <w:rPr>
          <w:rFonts w:ascii="Times New Roman" w:hAnsi="Times New Roman" w:cs="Times New Roman"/>
          <w:sz w:val="28"/>
          <w:szCs w:val="28"/>
          <w:lang w:val="ro-MD"/>
        </w:rPr>
        <w:t xml:space="preserve"> </w:t>
      </w:r>
      <w:r w:rsidRPr="00160C8E">
        <w:rPr>
          <w:rFonts w:ascii="Times New Roman" w:hAnsi="Times New Roman" w:cs="Times New Roman"/>
          <w:sz w:val="28"/>
          <w:szCs w:val="28"/>
          <w:lang w:val="ro-MD"/>
        </w:rPr>
        <w:t>că, deși</w:t>
      </w:r>
      <w:r w:rsidR="00160C8E">
        <w:rPr>
          <w:rFonts w:ascii="Times New Roman" w:hAnsi="Times New Roman" w:cs="Times New Roman"/>
          <w:sz w:val="28"/>
          <w:szCs w:val="28"/>
          <w:lang w:val="ro-MD"/>
        </w:rPr>
        <w:t>,</w:t>
      </w:r>
      <w:r w:rsidRPr="00160C8E">
        <w:rPr>
          <w:rFonts w:ascii="Times New Roman" w:hAnsi="Times New Roman" w:cs="Times New Roman"/>
          <w:sz w:val="28"/>
          <w:szCs w:val="28"/>
          <w:lang w:val="ro-MD"/>
        </w:rPr>
        <w:t xml:space="preserve"> </w:t>
      </w:r>
      <w:r w:rsidR="00160C8E" w:rsidRPr="00065557">
        <w:rPr>
          <w:rFonts w:ascii="Times New Roman" w:hAnsi="Times New Roman" w:cs="Times New Roman"/>
          <w:sz w:val="28"/>
          <w:szCs w:val="28"/>
          <w:lang w:val="ro-MD"/>
        </w:rPr>
        <w:t>pe de o parte</w:t>
      </w:r>
      <w:r w:rsidR="00160C8E">
        <w:rPr>
          <w:rFonts w:ascii="Times New Roman" w:hAnsi="Times New Roman" w:cs="Times New Roman"/>
          <w:sz w:val="28"/>
          <w:szCs w:val="28"/>
          <w:lang w:val="ro-MD"/>
        </w:rPr>
        <w:t>,</w:t>
      </w:r>
      <w:r w:rsidR="00160C8E" w:rsidRPr="00160C8E">
        <w:rPr>
          <w:rFonts w:ascii="Times New Roman" w:hAnsi="Times New Roman" w:cs="Times New Roman"/>
          <w:sz w:val="28"/>
          <w:szCs w:val="28"/>
          <w:lang w:val="ro-MD"/>
        </w:rPr>
        <w:t xml:space="preserve"> </w:t>
      </w:r>
      <w:r w:rsidRPr="00160C8E">
        <w:rPr>
          <w:rFonts w:ascii="Times New Roman" w:hAnsi="Times New Roman" w:cs="Times New Roman"/>
          <w:sz w:val="28"/>
          <w:szCs w:val="28"/>
          <w:lang w:val="ro-MD"/>
        </w:rPr>
        <w:t>obligațiile fiscale aferente contribuabililor aflați în procedură de insolvabilitate, prin excepția legii</w:t>
      </w:r>
      <w:r w:rsidR="00D27173" w:rsidRPr="00160C8E">
        <w:rPr>
          <w:rFonts w:ascii="Times New Roman" w:hAnsi="Times New Roman" w:cs="Times New Roman"/>
          <w:sz w:val="28"/>
          <w:szCs w:val="28"/>
          <w:lang w:val="ro-MD"/>
        </w:rPr>
        <w:t>,</w:t>
      </w:r>
      <w:r w:rsidRPr="00160C8E">
        <w:rPr>
          <w:rFonts w:ascii="Times New Roman" w:hAnsi="Times New Roman" w:cs="Times New Roman"/>
          <w:sz w:val="28"/>
          <w:szCs w:val="28"/>
          <w:lang w:val="ro-MD"/>
        </w:rPr>
        <w:t xml:space="preserve"> se consideră </w:t>
      </w:r>
      <w:proofErr w:type="spellStart"/>
      <w:r w:rsidRPr="00160C8E">
        <w:rPr>
          <w:rFonts w:ascii="Times New Roman" w:hAnsi="Times New Roman" w:cs="Times New Roman"/>
          <w:sz w:val="28"/>
          <w:szCs w:val="28"/>
          <w:lang w:val="ro-MD"/>
        </w:rPr>
        <w:t>restanţe</w:t>
      </w:r>
      <w:proofErr w:type="spellEnd"/>
      <w:r w:rsidRPr="00160C8E">
        <w:rPr>
          <w:rFonts w:ascii="Times New Roman" w:hAnsi="Times New Roman" w:cs="Times New Roman"/>
          <w:sz w:val="28"/>
          <w:szCs w:val="28"/>
          <w:lang w:val="ro-MD"/>
        </w:rPr>
        <w:t xml:space="preserve"> și necesită a fi raportate </w:t>
      </w:r>
      <w:r w:rsidR="00D27173" w:rsidRPr="00160C8E">
        <w:rPr>
          <w:rFonts w:ascii="Times New Roman" w:hAnsi="Times New Roman" w:cs="Times New Roman"/>
          <w:sz w:val="28"/>
          <w:szCs w:val="28"/>
          <w:lang w:val="ro-MD"/>
        </w:rPr>
        <w:t>la</w:t>
      </w:r>
      <w:r w:rsidRPr="00160C8E">
        <w:rPr>
          <w:rFonts w:ascii="Times New Roman" w:hAnsi="Times New Roman" w:cs="Times New Roman"/>
          <w:sz w:val="28"/>
          <w:szCs w:val="28"/>
          <w:lang w:val="ro-MD"/>
        </w:rPr>
        <w:t xml:space="preserve"> categoria respectivă de obligații fiscale (</w:t>
      </w:r>
      <w:r w:rsidRPr="00160C8E">
        <w:rPr>
          <w:rFonts w:ascii="Times New Roman" w:eastAsia="Calibri" w:hAnsi="Times New Roman" w:cs="Times New Roman"/>
          <w:sz w:val="28"/>
          <w:szCs w:val="28"/>
          <w:lang w:val="ro-MD"/>
        </w:rPr>
        <w:t>art.129 pct.13) din CF</w:t>
      </w:r>
      <w:r w:rsidRPr="00160C8E">
        <w:rPr>
          <w:rFonts w:ascii="Times New Roman" w:hAnsi="Times New Roman" w:cs="Times New Roman"/>
          <w:sz w:val="28"/>
          <w:szCs w:val="28"/>
          <w:lang w:val="ro-MD"/>
        </w:rPr>
        <w:t>), pe de altă parte</w:t>
      </w:r>
      <w:r w:rsidR="00D27173" w:rsidRPr="00160C8E">
        <w:rPr>
          <w:rFonts w:ascii="Times New Roman" w:hAnsi="Times New Roman" w:cs="Times New Roman"/>
          <w:sz w:val="28"/>
          <w:szCs w:val="28"/>
          <w:lang w:val="ro-MD"/>
        </w:rPr>
        <w:t>,</w:t>
      </w:r>
      <w:r w:rsidRPr="00160C8E">
        <w:rPr>
          <w:rFonts w:ascii="Times New Roman" w:hAnsi="Times New Roman" w:cs="Times New Roman"/>
          <w:sz w:val="28"/>
          <w:szCs w:val="28"/>
          <w:lang w:val="ro-MD"/>
        </w:rPr>
        <w:t xml:space="preserve"> </w:t>
      </w:r>
      <w:r w:rsidRPr="00160C8E">
        <w:rPr>
          <w:rFonts w:ascii="Times New Roman" w:eastAsia="Calibri" w:hAnsi="Times New Roman" w:cs="Times New Roman"/>
          <w:sz w:val="28"/>
          <w:szCs w:val="28"/>
          <w:lang w:val="ro-MD"/>
        </w:rPr>
        <w:t xml:space="preserve">executarea silită a acestor obligații fiscale se consideră imposibilă (art.206 alin.(1) </w:t>
      </w:r>
      <w:proofErr w:type="spellStart"/>
      <w:r w:rsidRPr="00160C8E">
        <w:rPr>
          <w:rFonts w:ascii="Times New Roman" w:eastAsia="Calibri" w:hAnsi="Times New Roman" w:cs="Times New Roman"/>
          <w:sz w:val="28"/>
          <w:szCs w:val="28"/>
          <w:lang w:val="ro-MD"/>
        </w:rPr>
        <w:t>lit.b</w:t>
      </w:r>
      <w:proofErr w:type="spellEnd"/>
      <w:r w:rsidRPr="00160C8E">
        <w:rPr>
          <w:rFonts w:ascii="Times New Roman" w:eastAsia="Calibri" w:hAnsi="Times New Roman" w:cs="Times New Roman"/>
          <w:sz w:val="28"/>
          <w:szCs w:val="28"/>
          <w:lang w:val="ro-MD"/>
        </w:rPr>
        <w:t xml:space="preserve">) din CF, </w:t>
      </w:r>
      <w:r w:rsidR="00020547">
        <w:rPr>
          <w:rFonts w:ascii="Times New Roman" w:eastAsia="Calibri" w:hAnsi="Times New Roman" w:cs="Times New Roman"/>
          <w:sz w:val="28"/>
          <w:szCs w:val="28"/>
          <w:lang w:val="ro-MD"/>
        </w:rPr>
        <w:t>nefiind</w:t>
      </w:r>
      <w:r w:rsidR="00F92DF9" w:rsidRPr="00160C8E">
        <w:rPr>
          <w:rFonts w:ascii="Times New Roman" w:eastAsia="Calibri" w:hAnsi="Times New Roman" w:cs="Times New Roman"/>
          <w:sz w:val="28"/>
          <w:szCs w:val="28"/>
          <w:lang w:val="ro-MD"/>
        </w:rPr>
        <w:t xml:space="preserve"> reglementat </w:t>
      </w:r>
      <w:r w:rsidRPr="00160C8E">
        <w:rPr>
          <w:rFonts w:ascii="Times New Roman" w:eastAsia="Calibri" w:hAnsi="Times New Roman" w:cs="Times New Roman"/>
          <w:sz w:val="28"/>
          <w:szCs w:val="28"/>
          <w:lang w:val="ro-MD"/>
        </w:rPr>
        <w:t>statutul și modul de raportare a acestor obligații fiscale.</w:t>
      </w:r>
      <w:r w:rsidRPr="00160C8E">
        <w:rPr>
          <w:rFonts w:ascii="Times New Roman" w:hAnsi="Times New Roman" w:cs="Times New Roman"/>
          <w:sz w:val="28"/>
          <w:szCs w:val="28"/>
          <w:lang w:val="ro-MD"/>
        </w:rPr>
        <w:t xml:space="preserve"> În</w:t>
      </w:r>
      <w:r w:rsidRPr="001D0846">
        <w:rPr>
          <w:rFonts w:ascii="Times New Roman" w:hAnsi="Times New Roman" w:cs="Times New Roman"/>
          <w:sz w:val="28"/>
          <w:szCs w:val="28"/>
          <w:lang w:val="ro-MD"/>
        </w:rPr>
        <w:t xml:space="preserve"> acest context, a</w:t>
      </w:r>
      <w:r w:rsidRPr="001D0846">
        <w:rPr>
          <w:rFonts w:ascii="Times New Roman" w:eastAsia="Times New Roman" w:hAnsi="Times New Roman" w:cs="Times New Roman"/>
          <w:iCs/>
          <w:sz w:val="28"/>
          <w:szCs w:val="28"/>
          <w:lang w:val="ro-MD"/>
        </w:rPr>
        <w:t>naliza efectuată de audit relevă că</w:t>
      </w:r>
      <w:r w:rsidRPr="001D0846">
        <w:rPr>
          <w:rFonts w:ascii="Times New Roman" w:hAnsi="Times New Roman" w:cs="Times New Roman"/>
          <w:sz w:val="28"/>
          <w:szCs w:val="28"/>
          <w:lang w:val="ro-MD"/>
        </w:rPr>
        <w:t xml:space="preserve">, pe fundalul </w:t>
      </w:r>
      <w:r w:rsidR="00C010A0" w:rsidRPr="001D0846">
        <w:rPr>
          <w:rFonts w:ascii="Times New Roman" w:hAnsi="Times New Roman" w:cs="Times New Roman"/>
          <w:sz w:val="28"/>
          <w:szCs w:val="28"/>
          <w:lang w:val="ro-MD"/>
        </w:rPr>
        <w:t>normelor expuse</w:t>
      </w:r>
      <w:r w:rsidRPr="001D0846">
        <w:rPr>
          <w:rFonts w:ascii="Times New Roman" w:hAnsi="Times New Roman" w:cs="Times New Roman"/>
          <w:sz w:val="28"/>
          <w:szCs w:val="28"/>
          <w:lang w:val="ro-MD"/>
        </w:rPr>
        <w:t>,</w:t>
      </w:r>
      <w:r w:rsidRPr="001D0846">
        <w:rPr>
          <w:rFonts w:ascii="Times New Roman" w:hAnsi="Times New Roman" w:cs="Times New Roman"/>
          <w:sz w:val="28"/>
          <w:szCs w:val="28"/>
        </w:rPr>
        <w:t xml:space="preserve"> </w:t>
      </w:r>
      <w:r w:rsidRPr="001D0846">
        <w:rPr>
          <w:rFonts w:ascii="Times New Roman" w:eastAsia="Times New Roman" w:hAnsi="Times New Roman" w:cs="Times New Roman"/>
          <w:iCs/>
          <w:sz w:val="28"/>
          <w:szCs w:val="28"/>
        </w:rPr>
        <w:t>SFS a inclus în evidența specială suma datoriilor</w:t>
      </w:r>
      <w:r w:rsidRPr="001D0846">
        <w:rPr>
          <w:rFonts w:ascii="Times New Roman" w:hAnsi="Times New Roman" w:cs="Times New Roman"/>
          <w:sz w:val="28"/>
          <w:szCs w:val="28"/>
          <w:lang w:val="ro-MD"/>
        </w:rPr>
        <w:t xml:space="preserve"> istorice față de BPN ale întreprinderilor aflate în proces de insolvabilitate</w:t>
      </w:r>
      <w:r w:rsidR="00D27173">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care la 31.12.2017 au constituit</w:t>
      </w:r>
      <w:r w:rsidRPr="001D0846">
        <w:rPr>
          <w:rFonts w:ascii="Times New Roman" w:eastAsia="Times New Roman" w:hAnsi="Times New Roman" w:cs="Times New Roman"/>
          <w:iCs/>
          <w:sz w:val="28"/>
          <w:szCs w:val="28"/>
        </w:rPr>
        <w:t xml:space="preserve"> </w:t>
      </w:r>
      <w:r w:rsidRPr="001D0846">
        <w:rPr>
          <w:rFonts w:ascii="Times New Roman" w:hAnsi="Times New Roman" w:cs="Times New Roman"/>
          <w:sz w:val="28"/>
          <w:szCs w:val="28"/>
          <w:lang w:val="ro-MD"/>
        </w:rPr>
        <w:t>3786</w:t>
      </w:r>
      <w:r w:rsidR="00D27173">
        <w:rPr>
          <w:rFonts w:ascii="Times New Roman" w:hAnsi="Times New Roman" w:cs="Times New Roman"/>
          <w:sz w:val="28"/>
          <w:szCs w:val="28"/>
          <w:lang w:val="ro-MD"/>
        </w:rPr>
        <w:t>,0</w:t>
      </w:r>
      <w:r w:rsidRPr="001D0846">
        <w:rPr>
          <w:rFonts w:ascii="Times New Roman" w:hAnsi="Times New Roman" w:cs="Times New Roman"/>
          <w:sz w:val="28"/>
          <w:szCs w:val="28"/>
          <w:lang w:val="ro-MD"/>
        </w:rPr>
        <w:t xml:space="preserve"> mil.lei, valoarea obligațiilor fiscale din evidența specială </w:t>
      </w:r>
      <w:r w:rsidR="00F92DF9" w:rsidRPr="001D0846">
        <w:rPr>
          <w:rFonts w:ascii="Times New Roman" w:hAnsi="Times New Roman" w:cs="Times New Roman"/>
          <w:sz w:val="28"/>
          <w:szCs w:val="28"/>
          <w:lang w:val="ro-MD"/>
        </w:rPr>
        <w:t>fiind majorată</w:t>
      </w:r>
      <w:r w:rsidRPr="001D0846">
        <w:rPr>
          <w:rFonts w:ascii="Times New Roman" w:hAnsi="Times New Roman" w:cs="Times New Roman"/>
          <w:sz w:val="28"/>
          <w:szCs w:val="28"/>
          <w:lang w:val="ro-MD"/>
        </w:rPr>
        <w:t xml:space="preserve"> cu suma menționată.</w:t>
      </w:r>
    </w:p>
    <w:p w:rsidR="00C26C38" w:rsidRPr="001D0846" w:rsidRDefault="00C26C38" w:rsidP="006358AD">
      <w:pPr>
        <w:spacing w:after="0" w:line="276" w:lineRule="auto"/>
        <w:ind w:firstLine="709"/>
        <w:jc w:val="both"/>
        <w:rPr>
          <w:rFonts w:ascii="Times New Roman" w:eastAsia="Times New Roman" w:hAnsi="Times New Roman" w:cs="Times New Roman"/>
          <w:sz w:val="28"/>
          <w:szCs w:val="28"/>
          <w:lang w:val="ro-MD"/>
        </w:rPr>
      </w:pPr>
      <w:r w:rsidRPr="001D0846">
        <w:rPr>
          <w:rFonts w:ascii="Times New Roman" w:eastAsia="Times New Roman" w:hAnsi="Times New Roman" w:cs="Times New Roman"/>
          <w:sz w:val="28"/>
          <w:szCs w:val="28"/>
          <w:lang w:eastAsia="ru-RU"/>
        </w:rPr>
        <w:t>Cele mai semnificative restanțe (de peste 1</w:t>
      </w:r>
      <w:r w:rsidR="006C0543">
        <w:rPr>
          <w:rFonts w:ascii="Times New Roman" w:eastAsia="Times New Roman" w:hAnsi="Times New Roman" w:cs="Times New Roman"/>
          <w:sz w:val="28"/>
          <w:szCs w:val="28"/>
          <w:lang w:eastAsia="ru-RU"/>
        </w:rPr>
        <w:t>,0</w:t>
      </w:r>
      <w:r w:rsidRPr="001D0846">
        <w:rPr>
          <w:rFonts w:ascii="Times New Roman" w:eastAsia="Times New Roman" w:hAnsi="Times New Roman" w:cs="Times New Roman"/>
          <w:sz w:val="28"/>
          <w:szCs w:val="28"/>
          <w:lang w:eastAsia="ru-RU"/>
        </w:rPr>
        <w:t xml:space="preserve"> mil.lei) au fost admise de </w:t>
      </w:r>
      <w:r w:rsidR="006C0543">
        <w:rPr>
          <w:rFonts w:ascii="Times New Roman" w:eastAsia="Times New Roman" w:hAnsi="Times New Roman" w:cs="Times New Roman"/>
          <w:sz w:val="28"/>
          <w:szCs w:val="28"/>
          <w:lang w:eastAsia="ru-RU"/>
        </w:rPr>
        <w:t xml:space="preserve">către </w:t>
      </w:r>
      <w:r w:rsidRPr="001D0846">
        <w:rPr>
          <w:rFonts w:ascii="Times New Roman" w:eastAsia="Times New Roman" w:hAnsi="Times New Roman" w:cs="Times New Roman"/>
          <w:sz w:val="28"/>
          <w:szCs w:val="28"/>
          <w:lang w:eastAsia="ru-RU"/>
        </w:rPr>
        <w:t>253 de contribuabili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în sumă de 1414,5 mil.lei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sau 64,8% din totalul restanțelor la BPN (2182</w:t>
      </w:r>
      <w:r w:rsidR="006C0543">
        <w:rPr>
          <w:rFonts w:ascii="Times New Roman" w:eastAsia="Times New Roman" w:hAnsi="Times New Roman" w:cs="Times New Roman"/>
          <w:sz w:val="28"/>
          <w:szCs w:val="28"/>
          <w:lang w:eastAsia="ru-RU"/>
        </w:rPr>
        <w:t>,0</w:t>
      </w:r>
      <w:r w:rsidRPr="001D0846">
        <w:rPr>
          <w:rFonts w:ascii="Times New Roman" w:eastAsia="Times New Roman" w:hAnsi="Times New Roman" w:cs="Times New Roman"/>
          <w:sz w:val="28"/>
          <w:szCs w:val="28"/>
          <w:lang w:eastAsia="ru-RU"/>
        </w:rPr>
        <w:t xml:space="preserve"> mil.lei). Totodată, se atestă că</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în unele cazuri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contribuabilii înregistrează la plățile de bază restanțe nesemnificative, iar la penalități </w:t>
      </w:r>
      <w:r w:rsidR="006C0543">
        <w:rPr>
          <w:rFonts w:ascii="Times New Roman" w:eastAsia="Times New Roman" w:hAnsi="Times New Roman" w:cs="Times New Roman"/>
          <w:sz w:val="28"/>
          <w:szCs w:val="28"/>
          <w:lang w:eastAsia="ru-RU"/>
        </w:rPr>
        <w:t xml:space="preserve">- </w:t>
      </w:r>
      <w:r w:rsidRPr="001D0846">
        <w:rPr>
          <w:rFonts w:ascii="Times New Roman" w:eastAsia="Times New Roman" w:hAnsi="Times New Roman" w:cs="Times New Roman"/>
          <w:sz w:val="28"/>
          <w:szCs w:val="28"/>
          <w:lang w:eastAsia="ru-RU"/>
        </w:rPr>
        <w:t xml:space="preserve">restanțe semnificative, ceea ce denotă o tendință de colectare prioritară a restanței la plățile </w:t>
      </w:r>
      <w:r w:rsidRPr="001D0846">
        <w:rPr>
          <w:rFonts w:ascii="Times New Roman" w:eastAsia="Times New Roman" w:hAnsi="Times New Roman" w:cs="Times New Roman"/>
          <w:sz w:val="28"/>
          <w:szCs w:val="28"/>
          <w:lang w:eastAsia="ru-RU"/>
        </w:rPr>
        <w:lastRenderedPageBreak/>
        <w:t>de bază. Astfel, se exemplifică 2 cazuri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identificate de audit</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în care restanța la plățile de bază la 31.12.2017 a constituit 300 lei și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respectiv</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900 lei, iar penalitățile – 2,3 mil.lei și</w:t>
      </w:r>
      <w:r w:rsidR="006C0543">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respectiv</w:t>
      </w:r>
      <w:r w:rsidR="006C0543">
        <w:rPr>
          <w:rFonts w:ascii="Times New Roman" w:eastAsia="Times New Roman" w:hAnsi="Times New Roman" w:cs="Times New Roman"/>
          <w:sz w:val="28"/>
          <w:szCs w:val="28"/>
          <w:lang w:eastAsia="ru-RU"/>
        </w:rPr>
        <w:t xml:space="preserve">, </w:t>
      </w:r>
      <w:r w:rsidRPr="001D0846">
        <w:rPr>
          <w:rFonts w:ascii="Times New Roman" w:eastAsia="Times New Roman" w:hAnsi="Times New Roman" w:cs="Times New Roman"/>
          <w:sz w:val="28"/>
          <w:szCs w:val="28"/>
          <w:lang w:eastAsia="ru-RU"/>
        </w:rPr>
        <w:t>3</w:t>
      </w:r>
      <w:r w:rsidR="006C0543">
        <w:rPr>
          <w:rFonts w:ascii="Times New Roman" w:eastAsia="Times New Roman" w:hAnsi="Times New Roman" w:cs="Times New Roman"/>
          <w:sz w:val="28"/>
          <w:szCs w:val="28"/>
          <w:lang w:eastAsia="ru-RU"/>
        </w:rPr>
        <w:t>,0</w:t>
      </w:r>
      <w:r w:rsidRPr="001D0846">
        <w:rPr>
          <w:rFonts w:ascii="Times New Roman" w:eastAsia="Times New Roman" w:hAnsi="Times New Roman" w:cs="Times New Roman"/>
          <w:sz w:val="28"/>
          <w:szCs w:val="28"/>
          <w:lang w:eastAsia="ru-RU"/>
        </w:rPr>
        <w:t xml:space="preserve"> mil.lei.</w:t>
      </w:r>
    </w:p>
    <w:p w:rsidR="00C26C38" w:rsidRPr="001D0846" w:rsidRDefault="00C26C38" w:rsidP="006358AD">
      <w:pPr>
        <w:spacing w:after="0" w:line="276" w:lineRule="auto"/>
        <w:ind w:firstLine="567"/>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rPr>
        <w:t xml:space="preserve">În </w:t>
      </w:r>
      <w:r w:rsidR="006C0543">
        <w:rPr>
          <w:rFonts w:ascii="Times New Roman" w:eastAsia="Times New Roman" w:hAnsi="Times New Roman" w:cs="Times New Roman"/>
          <w:sz w:val="28"/>
          <w:szCs w:val="28"/>
        </w:rPr>
        <w:t>anul</w:t>
      </w:r>
      <w:r w:rsidRPr="001D0846">
        <w:rPr>
          <w:rFonts w:ascii="Times New Roman" w:eastAsia="Times New Roman" w:hAnsi="Times New Roman" w:cs="Times New Roman"/>
          <w:sz w:val="28"/>
          <w:szCs w:val="28"/>
        </w:rPr>
        <w:t xml:space="preserve"> 2017, SFS a încasat</w:t>
      </w:r>
      <w:r w:rsidR="006C0543">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prin aplicarea modalităților de executare silită a obligației fiscale</w:t>
      </w:r>
      <w:r w:rsidR="006C0543">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restanțe ale contribuabililor în sumă totală de 1102,4 mil.lei, sau mai mult cu 128,2 mil.lei față de </w:t>
      </w:r>
      <w:r w:rsidR="006C0543">
        <w:rPr>
          <w:rFonts w:ascii="Times New Roman" w:eastAsia="Times New Roman" w:hAnsi="Times New Roman" w:cs="Times New Roman"/>
          <w:sz w:val="28"/>
          <w:szCs w:val="28"/>
        </w:rPr>
        <w:t>anul</w:t>
      </w:r>
      <w:r w:rsidRPr="001D0846">
        <w:rPr>
          <w:rFonts w:ascii="Times New Roman" w:eastAsia="Times New Roman" w:hAnsi="Times New Roman" w:cs="Times New Roman"/>
          <w:sz w:val="28"/>
          <w:szCs w:val="28"/>
        </w:rPr>
        <w:t xml:space="preserve"> 2016 și cu 223,2 mil.lei </w:t>
      </w:r>
      <w:r w:rsidR="006C0543">
        <w:rPr>
          <w:rFonts w:ascii="Times New Roman" w:eastAsia="Times New Roman" w:hAnsi="Times New Roman" w:cs="Times New Roman"/>
          <w:sz w:val="28"/>
          <w:szCs w:val="28"/>
        </w:rPr>
        <w:t xml:space="preserve">- </w:t>
      </w:r>
      <w:r w:rsidRPr="001D0846">
        <w:rPr>
          <w:rFonts w:ascii="Times New Roman" w:eastAsia="Times New Roman" w:hAnsi="Times New Roman" w:cs="Times New Roman"/>
          <w:sz w:val="28"/>
          <w:szCs w:val="28"/>
        </w:rPr>
        <w:t xml:space="preserve">față de </w:t>
      </w:r>
      <w:r w:rsidR="006C0543">
        <w:rPr>
          <w:rFonts w:ascii="Times New Roman" w:eastAsia="Times New Roman" w:hAnsi="Times New Roman" w:cs="Times New Roman"/>
          <w:sz w:val="28"/>
          <w:szCs w:val="28"/>
        </w:rPr>
        <w:t>anul</w:t>
      </w:r>
      <w:r w:rsidRPr="001D0846">
        <w:rPr>
          <w:rFonts w:ascii="Times New Roman" w:eastAsia="Times New Roman" w:hAnsi="Times New Roman" w:cs="Times New Roman"/>
          <w:sz w:val="28"/>
          <w:szCs w:val="28"/>
        </w:rPr>
        <w:t xml:space="preserve"> 2015. </w:t>
      </w:r>
      <w:r w:rsidRPr="00477706">
        <w:rPr>
          <w:rFonts w:ascii="Times New Roman" w:eastAsia="Times New Roman" w:hAnsi="Times New Roman" w:cs="Times New Roman"/>
          <w:i/>
          <w:sz w:val="28"/>
          <w:szCs w:val="28"/>
        </w:rPr>
        <w:t xml:space="preserve">Informația detaliată privind restanțele încasate la BPN de către SFS prin aplicarea modalităților de executare silită a obligației fiscale în perioada </w:t>
      </w:r>
      <w:r w:rsidR="006C0543">
        <w:rPr>
          <w:rFonts w:ascii="Times New Roman" w:eastAsia="Times New Roman" w:hAnsi="Times New Roman" w:cs="Times New Roman"/>
          <w:i/>
          <w:sz w:val="28"/>
          <w:szCs w:val="28"/>
        </w:rPr>
        <w:t xml:space="preserve">anilor </w:t>
      </w:r>
      <w:r w:rsidRPr="00477706">
        <w:rPr>
          <w:rFonts w:ascii="Times New Roman" w:eastAsia="Times New Roman" w:hAnsi="Times New Roman" w:cs="Times New Roman"/>
          <w:i/>
          <w:sz w:val="28"/>
          <w:szCs w:val="28"/>
        </w:rPr>
        <w:t>2014-2017</w:t>
      </w:r>
      <w:r w:rsidRPr="00477706">
        <w:rPr>
          <w:rFonts w:ascii="Times New Roman" w:eastAsia="Times New Roman" w:hAnsi="Times New Roman" w:cs="Times New Roman"/>
          <w:sz w:val="28"/>
          <w:szCs w:val="28"/>
        </w:rPr>
        <w:t xml:space="preserve"> </w:t>
      </w:r>
      <w:r w:rsidR="006C0543">
        <w:rPr>
          <w:rFonts w:ascii="Times New Roman" w:eastAsia="Times New Roman" w:hAnsi="Times New Roman" w:cs="Times New Roman"/>
          <w:i/>
          <w:sz w:val="28"/>
          <w:szCs w:val="28"/>
        </w:rPr>
        <w:t>este</w:t>
      </w:r>
      <w:r w:rsidRPr="00477706">
        <w:rPr>
          <w:rFonts w:ascii="Times New Roman" w:eastAsia="Times New Roman" w:hAnsi="Times New Roman" w:cs="Times New Roman"/>
          <w:i/>
          <w:sz w:val="28"/>
          <w:szCs w:val="28"/>
        </w:rPr>
        <w:t xml:space="preserve"> prez</w:t>
      </w:r>
      <w:r w:rsidR="006C0543">
        <w:rPr>
          <w:rFonts w:ascii="Times New Roman" w:eastAsia="Times New Roman" w:hAnsi="Times New Roman" w:cs="Times New Roman"/>
          <w:i/>
          <w:sz w:val="28"/>
          <w:szCs w:val="28"/>
        </w:rPr>
        <w:t>enta</w:t>
      </w:r>
      <w:r w:rsidRPr="00477706">
        <w:rPr>
          <w:rFonts w:ascii="Times New Roman" w:eastAsia="Times New Roman" w:hAnsi="Times New Roman" w:cs="Times New Roman"/>
          <w:i/>
          <w:sz w:val="28"/>
          <w:szCs w:val="28"/>
        </w:rPr>
        <w:t>tă în Tabelul nr.</w:t>
      </w:r>
      <w:r w:rsidR="00477706" w:rsidRPr="00477706">
        <w:rPr>
          <w:rFonts w:ascii="Times New Roman" w:eastAsia="Times New Roman" w:hAnsi="Times New Roman" w:cs="Times New Roman"/>
          <w:i/>
          <w:sz w:val="28"/>
          <w:szCs w:val="28"/>
        </w:rPr>
        <w:t>16</w:t>
      </w:r>
      <w:r w:rsidR="00867F12" w:rsidRPr="00477706">
        <w:rPr>
          <w:rFonts w:ascii="Times New Roman" w:eastAsia="Times New Roman" w:hAnsi="Times New Roman" w:cs="Times New Roman"/>
          <w:i/>
          <w:sz w:val="28"/>
          <w:szCs w:val="28"/>
        </w:rPr>
        <w:t xml:space="preserve"> din Anexa nr.3</w:t>
      </w:r>
      <w:r w:rsidR="00FF2CBB" w:rsidRPr="00477706">
        <w:rPr>
          <w:rFonts w:ascii="Times New Roman" w:eastAsia="Times New Roman" w:hAnsi="Times New Roman" w:cs="Times New Roman"/>
          <w:i/>
          <w:sz w:val="28"/>
          <w:szCs w:val="28"/>
        </w:rPr>
        <w:t xml:space="preserve"> la Raport</w:t>
      </w:r>
      <w:r w:rsidR="006C0543">
        <w:rPr>
          <w:rFonts w:ascii="Times New Roman" w:eastAsia="Times New Roman" w:hAnsi="Times New Roman" w:cs="Times New Roman"/>
          <w:i/>
          <w:sz w:val="28"/>
          <w:szCs w:val="28"/>
        </w:rPr>
        <w:t>ul</w:t>
      </w:r>
      <w:r w:rsidR="00FF2CBB" w:rsidRPr="00477706">
        <w:rPr>
          <w:rFonts w:ascii="Times New Roman" w:eastAsia="Times New Roman" w:hAnsi="Times New Roman" w:cs="Times New Roman"/>
          <w:i/>
          <w:sz w:val="28"/>
          <w:szCs w:val="28"/>
        </w:rPr>
        <w:t xml:space="preserve"> de audit.</w:t>
      </w:r>
    </w:p>
    <w:p w:rsidR="00C26C38" w:rsidRPr="001D0846" w:rsidRDefault="002F1B56" w:rsidP="006358AD">
      <w:pPr>
        <w:spacing w:after="0" w:line="276" w:lineRule="auto"/>
        <w:ind w:firstLine="709"/>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rPr>
        <w:t>Analiza datelor</w:t>
      </w:r>
      <w:r w:rsidR="00C26C38" w:rsidRPr="001D0846">
        <w:rPr>
          <w:rFonts w:ascii="Times New Roman" w:eastAsia="Times New Roman" w:hAnsi="Times New Roman" w:cs="Times New Roman"/>
          <w:sz w:val="28"/>
          <w:szCs w:val="28"/>
        </w:rPr>
        <w:t xml:space="preserve"> prezentate în </w:t>
      </w:r>
      <w:r w:rsidR="006C0543">
        <w:rPr>
          <w:rFonts w:ascii="Times New Roman" w:eastAsia="Times New Roman" w:hAnsi="Times New Roman" w:cs="Times New Roman"/>
          <w:sz w:val="28"/>
          <w:szCs w:val="28"/>
        </w:rPr>
        <w:t>t</w:t>
      </w:r>
      <w:r w:rsidR="00C26C38" w:rsidRPr="001D0846">
        <w:rPr>
          <w:rFonts w:ascii="Times New Roman" w:eastAsia="Times New Roman" w:hAnsi="Times New Roman" w:cs="Times New Roman"/>
          <w:sz w:val="28"/>
          <w:szCs w:val="28"/>
        </w:rPr>
        <w:t xml:space="preserve">abel relevă că, deși pe parcursul anilor 2014-2017 SFS </w:t>
      </w:r>
      <w:r w:rsidR="006C0543" w:rsidRPr="003F4798">
        <w:rPr>
          <w:rFonts w:ascii="Times New Roman" w:eastAsia="Times New Roman" w:hAnsi="Times New Roman" w:cs="Times New Roman"/>
          <w:sz w:val="28"/>
          <w:szCs w:val="28"/>
        </w:rPr>
        <w:t xml:space="preserve">a </w:t>
      </w:r>
      <w:r w:rsidR="00C26C38" w:rsidRPr="003F4798">
        <w:rPr>
          <w:rFonts w:ascii="Times New Roman" w:eastAsia="Times New Roman" w:hAnsi="Times New Roman" w:cs="Times New Roman"/>
          <w:sz w:val="28"/>
          <w:szCs w:val="28"/>
        </w:rPr>
        <w:t>înregistr</w:t>
      </w:r>
      <w:r w:rsidR="006C0543" w:rsidRPr="003F4798">
        <w:rPr>
          <w:rFonts w:ascii="Times New Roman" w:eastAsia="Times New Roman" w:hAnsi="Times New Roman" w:cs="Times New Roman"/>
          <w:sz w:val="28"/>
          <w:szCs w:val="28"/>
        </w:rPr>
        <w:t>at</w:t>
      </w:r>
      <w:r w:rsidR="00C26C38" w:rsidRPr="003F4798">
        <w:rPr>
          <w:rFonts w:ascii="Times New Roman" w:eastAsia="Times New Roman" w:hAnsi="Times New Roman" w:cs="Times New Roman"/>
          <w:sz w:val="28"/>
          <w:szCs w:val="28"/>
        </w:rPr>
        <w:t xml:space="preserve"> un</w:t>
      </w:r>
      <w:r w:rsidR="00C26C38" w:rsidRPr="001D0846">
        <w:rPr>
          <w:rFonts w:ascii="Times New Roman" w:eastAsia="Times New Roman" w:hAnsi="Times New Roman" w:cs="Times New Roman"/>
          <w:sz w:val="28"/>
          <w:szCs w:val="28"/>
        </w:rPr>
        <w:t xml:space="preserve"> trend ascendent de încasare a veniturilor din impozite și taxe prin executarea silită a obligației fiscale, raportul acestora față de restanța formată </w:t>
      </w:r>
      <w:r w:rsidR="003F4798">
        <w:rPr>
          <w:rFonts w:ascii="Times New Roman" w:eastAsia="Times New Roman" w:hAnsi="Times New Roman" w:cs="Times New Roman"/>
          <w:sz w:val="28"/>
          <w:szCs w:val="28"/>
        </w:rPr>
        <w:t xml:space="preserve">indică </w:t>
      </w:r>
      <w:r w:rsidR="00C26C38" w:rsidRPr="001D0846">
        <w:rPr>
          <w:rFonts w:ascii="Times New Roman" w:eastAsia="Times New Roman" w:hAnsi="Times New Roman" w:cs="Times New Roman"/>
          <w:sz w:val="28"/>
          <w:szCs w:val="28"/>
        </w:rPr>
        <w:t xml:space="preserve">o evoluție descendentă. Astfel, se exemplifică situația </w:t>
      </w:r>
      <w:r w:rsidR="006C0543">
        <w:rPr>
          <w:rFonts w:ascii="Times New Roman" w:eastAsia="Times New Roman" w:hAnsi="Times New Roman" w:cs="Times New Roman"/>
          <w:sz w:val="28"/>
          <w:szCs w:val="28"/>
        </w:rPr>
        <w:t xml:space="preserve">din </w:t>
      </w:r>
      <w:r w:rsidR="00C26C38" w:rsidRPr="001D0846">
        <w:rPr>
          <w:rFonts w:ascii="Times New Roman" w:eastAsia="Times New Roman" w:hAnsi="Times New Roman" w:cs="Times New Roman"/>
          <w:sz w:val="28"/>
          <w:szCs w:val="28"/>
        </w:rPr>
        <w:t>anul</w:t>
      </w:r>
      <w:r w:rsidR="006C0543">
        <w:rPr>
          <w:rFonts w:ascii="Times New Roman" w:eastAsia="Times New Roman" w:hAnsi="Times New Roman" w:cs="Times New Roman"/>
          <w:sz w:val="28"/>
          <w:szCs w:val="28"/>
        </w:rPr>
        <w:t xml:space="preserve"> </w:t>
      </w:r>
      <w:r w:rsidR="00C26C38" w:rsidRPr="001D0846">
        <w:rPr>
          <w:rFonts w:ascii="Times New Roman" w:eastAsia="Times New Roman" w:hAnsi="Times New Roman" w:cs="Times New Roman"/>
          <w:sz w:val="28"/>
          <w:szCs w:val="28"/>
        </w:rPr>
        <w:t xml:space="preserve"> 2017, </w:t>
      </w:r>
      <w:r w:rsidR="006C0543">
        <w:rPr>
          <w:rFonts w:ascii="Times New Roman" w:eastAsia="Times New Roman" w:hAnsi="Times New Roman" w:cs="Times New Roman"/>
          <w:sz w:val="28"/>
          <w:szCs w:val="28"/>
        </w:rPr>
        <w:t>când</w:t>
      </w:r>
      <w:r w:rsidR="00C26C38" w:rsidRPr="001D0846">
        <w:rPr>
          <w:rFonts w:ascii="Times New Roman" w:eastAsia="Times New Roman" w:hAnsi="Times New Roman" w:cs="Times New Roman"/>
          <w:sz w:val="28"/>
          <w:szCs w:val="28"/>
        </w:rPr>
        <w:t xml:space="preserve"> </w:t>
      </w:r>
      <w:r w:rsidR="00C26C38" w:rsidRPr="003F4798">
        <w:rPr>
          <w:rFonts w:ascii="Times New Roman" w:eastAsia="Times New Roman" w:hAnsi="Times New Roman" w:cs="Times New Roman"/>
          <w:sz w:val="28"/>
          <w:szCs w:val="28"/>
        </w:rPr>
        <w:t>SFS a realizat o creștere</w:t>
      </w:r>
      <w:r w:rsidR="00C26C38" w:rsidRPr="001D0846">
        <w:rPr>
          <w:rFonts w:ascii="Times New Roman" w:eastAsia="Times New Roman" w:hAnsi="Times New Roman" w:cs="Times New Roman"/>
          <w:sz w:val="28"/>
          <w:szCs w:val="28"/>
        </w:rPr>
        <w:t xml:space="preserve"> a încasărilor cu 128,2 mil.lei față de </w:t>
      </w:r>
      <w:r w:rsidR="006C0543">
        <w:rPr>
          <w:rFonts w:ascii="Times New Roman" w:eastAsia="Times New Roman" w:hAnsi="Times New Roman" w:cs="Times New Roman"/>
          <w:sz w:val="28"/>
          <w:szCs w:val="28"/>
        </w:rPr>
        <w:t>anul</w:t>
      </w:r>
      <w:r w:rsidR="00C26C38" w:rsidRPr="001D0846">
        <w:rPr>
          <w:rFonts w:ascii="Times New Roman" w:eastAsia="Times New Roman" w:hAnsi="Times New Roman" w:cs="Times New Roman"/>
          <w:sz w:val="28"/>
          <w:szCs w:val="28"/>
        </w:rPr>
        <w:t xml:space="preserve"> 2016, deși raportul acestora față de restanță înregistrează la situația d</w:t>
      </w:r>
      <w:r w:rsidR="006C0543">
        <w:rPr>
          <w:rFonts w:ascii="Times New Roman" w:eastAsia="Times New Roman" w:hAnsi="Times New Roman" w:cs="Times New Roman"/>
          <w:sz w:val="28"/>
          <w:szCs w:val="28"/>
        </w:rPr>
        <w:t>in</w:t>
      </w:r>
      <w:r w:rsidR="00C26C38" w:rsidRPr="001D0846">
        <w:rPr>
          <w:rFonts w:ascii="Times New Roman" w:eastAsia="Times New Roman" w:hAnsi="Times New Roman" w:cs="Times New Roman"/>
          <w:sz w:val="28"/>
          <w:szCs w:val="28"/>
        </w:rPr>
        <w:t xml:space="preserve"> 31.12.2017 o descreștere cu 2,9 puncte procentuale. </w:t>
      </w:r>
    </w:p>
    <w:p w:rsidR="00C26C38" w:rsidRPr="001D0846" w:rsidRDefault="00C26C38" w:rsidP="006358AD">
      <w:pPr>
        <w:spacing w:after="0" w:line="276" w:lineRule="auto"/>
        <w:ind w:firstLine="708"/>
        <w:jc w:val="both"/>
        <w:rPr>
          <w:rFonts w:ascii="Times New Roman" w:eastAsia="Times New Roman" w:hAnsi="Times New Roman" w:cs="Times New Roman"/>
          <w:sz w:val="28"/>
          <w:szCs w:val="28"/>
          <w:lang w:val="ro-MD"/>
        </w:rPr>
      </w:pPr>
      <w:r w:rsidRPr="001D0846">
        <w:rPr>
          <w:rFonts w:ascii="Times New Roman" w:eastAsia="Times New Roman" w:hAnsi="Times New Roman" w:cs="Times New Roman"/>
          <w:sz w:val="28"/>
          <w:szCs w:val="28"/>
          <w:lang w:val="ro-MD"/>
        </w:rPr>
        <w:t xml:space="preserve">În </w:t>
      </w:r>
      <w:r w:rsidR="006C0543">
        <w:rPr>
          <w:rFonts w:ascii="Times New Roman" w:eastAsia="Times New Roman" w:hAnsi="Times New Roman" w:cs="Times New Roman"/>
          <w:sz w:val="28"/>
          <w:szCs w:val="28"/>
          <w:lang w:val="ro-MD"/>
        </w:rPr>
        <w:t>anul</w:t>
      </w:r>
      <w:r w:rsidRPr="001D0846">
        <w:rPr>
          <w:rFonts w:ascii="Times New Roman" w:eastAsia="Times New Roman" w:hAnsi="Times New Roman" w:cs="Times New Roman"/>
          <w:sz w:val="28"/>
          <w:szCs w:val="28"/>
          <w:lang w:val="ro-MD"/>
        </w:rPr>
        <w:t xml:space="preserve"> 2017</w:t>
      </w:r>
      <w:r w:rsidR="006C0543">
        <w:rPr>
          <w:rFonts w:ascii="Times New Roman" w:eastAsia="Times New Roman" w:hAnsi="Times New Roman" w:cs="Times New Roman"/>
          <w:sz w:val="28"/>
          <w:szCs w:val="28"/>
          <w:lang w:val="ro-MD"/>
        </w:rPr>
        <w:t>,</w:t>
      </w:r>
      <w:r w:rsidRPr="001D0846">
        <w:rPr>
          <w:rFonts w:ascii="Times New Roman" w:eastAsia="Times New Roman" w:hAnsi="Times New Roman" w:cs="Times New Roman"/>
          <w:sz w:val="28"/>
          <w:szCs w:val="28"/>
          <w:lang w:val="ro-MD"/>
        </w:rPr>
        <w:t xml:space="preserve"> SFS a încasat venituri din impozite și taxe la BPN prin aplicarea următoarelor modalități de executare silită a obligației fiscale:</w:t>
      </w:r>
      <w:r w:rsidR="00BF2FD8">
        <w:rPr>
          <w:rFonts w:ascii="Times New Roman" w:eastAsia="Times New Roman" w:hAnsi="Times New Roman" w:cs="Times New Roman"/>
          <w:sz w:val="28"/>
          <w:szCs w:val="28"/>
          <w:lang w:val="ro-MD"/>
        </w:rPr>
        <w:t xml:space="preserve"> </w:t>
      </w:r>
      <w:r w:rsidRPr="001D0846">
        <w:rPr>
          <w:rFonts w:ascii="Times New Roman" w:eastAsia="Times New Roman" w:hAnsi="Times New Roman" w:cs="Times New Roman"/>
          <w:i/>
          <w:sz w:val="28"/>
          <w:szCs w:val="28"/>
          <w:lang w:val="ro-MD"/>
        </w:rPr>
        <w:t>(i)</w:t>
      </w:r>
      <w:r w:rsidRPr="001D0846">
        <w:rPr>
          <w:rFonts w:ascii="Times New Roman" w:eastAsia="Times New Roman" w:hAnsi="Times New Roman" w:cs="Times New Roman"/>
          <w:sz w:val="28"/>
          <w:szCs w:val="28"/>
          <w:lang w:val="ro-MD"/>
        </w:rPr>
        <w:t xml:space="preserve"> încasarea mijloacelor bănești de pe conturile bancare ale contribuabililor (956,3 mil.lei); </w:t>
      </w:r>
      <w:r w:rsidRPr="001D0846">
        <w:rPr>
          <w:rFonts w:ascii="Times New Roman" w:eastAsia="Times New Roman" w:hAnsi="Times New Roman" w:cs="Times New Roman"/>
          <w:i/>
          <w:sz w:val="28"/>
          <w:szCs w:val="28"/>
          <w:lang w:val="ro-MD"/>
        </w:rPr>
        <w:t>(ii)</w:t>
      </w:r>
      <w:r w:rsidRPr="001D0846">
        <w:rPr>
          <w:rFonts w:ascii="Times New Roman" w:eastAsia="Times New Roman" w:hAnsi="Times New Roman" w:cs="Times New Roman"/>
          <w:sz w:val="28"/>
          <w:szCs w:val="28"/>
          <w:lang w:val="ro-MD"/>
        </w:rPr>
        <w:t xml:space="preserve"> ridicarea mijloacelor bănești în numerar (69,3 mil.lei);</w:t>
      </w:r>
      <w:r w:rsidR="00FB17C1" w:rsidRPr="001D0846">
        <w:rPr>
          <w:rFonts w:ascii="Times New Roman" w:eastAsia="Times New Roman" w:hAnsi="Times New Roman" w:cs="Times New Roman"/>
          <w:sz w:val="28"/>
          <w:szCs w:val="28"/>
          <w:lang w:val="ro-MD"/>
        </w:rPr>
        <w:t xml:space="preserve"> </w:t>
      </w:r>
      <w:r w:rsidRPr="001D0846">
        <w:rPr>
          <w:rFonts w:ascii="Times New Roman" w:eastAsia="Times New Roman" w:hAnsi="Times New Roman" w:cs="Times New Roman"/>
          <w:i/>
          <w:sz w:val="28"/>
          <w:szCs w:val="28"/>
          <w:lang w:val="ro-MD"/>
        </w:rPr>
        <w:t>(iii)</w:t>
      </w:r>
      <w:r w:rsidRPr="001D0846">
        <w:rPr>
          <w:rFonts w:ascii="Times New Roman" w:eastAsia="Times New Roman" w:hAnsi="Times New Roman" w:cs="Times New Roman"/>
          <w:sz w:val="28"/>
          <w:szCs w:val="28"/>
          <w:lang w:val="ro-MD"/>
        </w:rPr>
        <w:t xml:space="preserve"> urmărirea datoriilor debitoare ale contribuabililor (29,9 mil.lei)</w:t>
      </w:r>
      <w:r w:rsidR="00FB17C1" w:rsidRPr="001D0846">
        <w:rPr>
          <w:rFonts w:ascii="Times New Roman" w:eastAsia="Times New Roman" w:hAnsi="Times New Roman" w:cs="Times New Roman"/>
          <w:sz w:val="28"/>
          <w:szCs w:val="28"/>
          <w:lang w:val="ro-MD"/>
        </w:rPr>
        <w:t xml:space="preserve">; </w:t>
      </w:r>
      <w:r w:rsidRPr="001D0846">
        <w:rPr>
          <w:rFonts w:ascii="Times New Roman" w:eastAsia="Times New Roman" w:hAnsi="Times New Roman" w:cs="Times New Roman"/>
          <w:i/>
          <w:sz w:val="28"/>
          <w:szCs w:val="28"/>
          <w:lang w:val="ro-MD"/>
        </w:rPr>
        <w:t>(iv)</w:t>
      </w:r>
      <w:r w:rsidRPr="001D0846">
        <w:rPr>
          <w:rFonts w:ascii="Times New Roman" w:eastAsia="Times New Roman" w:hAnsi="Times New Roman" w:cs="Times New Roman"/>
          <w:sz w:val="28"/>
          <w:szCs w:val="28"/>
          <w:lang w:val="ro-MD"/>
        </w:rPr>
        <w:t xml:space="preserve"> comercializarea bunurilor sechestrate (0,4 mil.lei) și achitarea restanței</w:t>
      </w:r>
      <w:r w:rsidR="006C0543">
        <w:rPr>
          <w:rFonts w:ascii="Times New Roman" w:eastAsia="Times New Roman" w:hAnsi="Times New Roman" w:cs="Times New Roman"/>
          <w:sz w:val="28"/>
          <w:szCs w:val="28"/>
          <w:lang w:val="ro-MD"/>
        </w:rPr>
        <w:t>,</w:t>
      </w:r>
      <w:r w:rsidRPr="001D0846">
        <w:rPr>
          <w:rFonts w:ascii="Times New Roman" w:eastAsia="Times New Roman" w:hAnsi="Times New Roman" w:cs="Times New Roman"/>
          <w:sz w:val="28"/>
          <w:szCs w:val="28"/>
          <w:lang w:val="ro-MD"/>
        </w:rPr>
        <w:t xml:space="preserve"> cu restituirea bunurilor sechestrate (46,5 mil.lei).</w:t>
      </w:r>
    </w:p>
    <w:p w:rsidR="00C26C38" w:rsidRPr="001D0846" w:rsidRDefault="00C26C38" w:rsidP="006358AD">
      <w:pPr>
        <w:spacing w:after="0" w:line="276" w:lineRule="auto"/>
        <w:ind w:firstLine="708"/>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lang w:val="ro-MD"/>
        </w:rPr>
        <w:t xml:space="preserve">Analiza efectuată de audit asupra </w:t>
      </w:r>
      <w:proofErr w:type="spellStart"/>
      <w:r w:rsidRPr="001D0846">
        <w:rPr>
          <w:rFonts w:ascii="Times New Roman" w:eastAsia="Times New Roman" w:hAnsi="Times New Roman" w:cs="Times New Roman"/>
          <w:sz w:val="28"/>
          <w:szCs w:val="28"/>
          <w:lang w:val="ro-MD"/>
        </w:rPr>
        <w:t>încas</w:t>
      </w:r>
      <w:r w:rsidRPr="001D0846">
        <w:rPr>
          <w:rFonts w:ascii="Times New Roman" w:eastAsia="Times New Roman" w:hAnsi="Times New Roman" w:cs="Times New Roman"/>
          <w:sz w:val="28"/>
          <w:szCs w:val="28"/>
        </w:rPr>
        <w:t>ării</w:t>
      </w:r>
      <w:proofErr w:type="spellEnd"/>
      <w:r w:rsidRPr="001D0846">
        <w:rPr>
          <w:rFonts w:ascii="Times New Roman" w:eastAsia="Times New Roman" w:hAnsi="Times New Roman" w:cs="Times New Roman"/>
          <w:sz w:val="28"/>
          <w:szCs w:val="28"/>
        </w:rPr>
        <w:t xml:space="preserve"> restanțelor la BPN prin aplicarea modalităților de executare silită a </w:t>
      </w:r>
      <w:r w:rsidRPr="00020547">
        <w:rPr>
          <w:rFonts w:ascii="Times New Roman" w:eastAsia="Times New Roman" w:hAnsi="Times New Roman" w:cs="Times New Roman"/>
          <w:sz w:val="28"/>
          <w:szCs w:val="28"/>
        </w:rPr>
        <w:t xml:space="preserve">obligației fiscale în perioada </w:t>
      </w:r>
      <w:r w:rsidR="006C0543" w:rsidRPr="00020547">
        <w:rPr>
          <w:rFonts w:ascii="Times New Roman" w:eastAsia="Times New Roman" w:hAnsi="Times New Roman" w:cs="Times New Roman"/>
          <w:sz w:val="28"/>
          <w:szCs w:val="28"/>
        </w:rPr>
        <w:t xml:space="preserve">anilor </w:t>
      </w:r>
      <w:r w:rsidRPr="00020547">
        <w:rPr>
          <w:rFonts w:ascii="Times New Roman" w:eastAsia="Times New Roman" w:hAnsi="Times New Roman" w:cs="Times New Roman"/>
          <w:sz w:val="28"/>
          <w:szCs w:val="28"/>
        </w:rPr>
        <w:t>2014-2017</w:t>
      </w:r>
      <w:r w:rsidR="005D2AA1" w:rsidRPr="00020547">
        <w:rPr>
          <w:rFonts w:ascii="Times New Roman" w:eastAsia="Times New Roman" w:hAnsi="Times New Roman" w:cs="Times New Roman"/>
          <w:sz w:val="28"/>
          <w:szCs w:val="28"/>
        </w:rPr>
        <w:t xml:space="preserve"> denotă</w:t>
      </w:r>
      <w:r w:rsidRPr="00020547">
        <w:rPr>
          <w:rFonts w:ascii="Times New Roman" w:eastAsia="Times New Roman" w:hAnsi="Times New Roman" w:cs="Times New Roman"/>
          <w:sz w:val="28"/>
          <w:szCs w:val="28"/>
        </w:rPr>
        <w:t xml:space="preserve"> că</w:t>
      </w:r>
      <w:r w:rsidR="00020547" w:rsidRPr="00020547">
        <w:rPr>
          <w:rFonts w:ascii="Times New Roman" w:eastAsia="Times New Roman" w:hAnsi="Times New Roman" w:cs="Times New Roman"/>
          <w:sz w:val="28"/>
          <w:szCs w:val="28"/>
        </w:rPr>
        <w:t>,</w:t>
      </w:r>
      <w:r w:rsidRPr="00020547">
        <w:rPr>
          <w:rFonts w:ascii="Times New Roman" w:eastAsia="Times New Roman" w:hAnsi="Times New Roman" w:cs="Times New Roman"/>
          <w:sz w:val="28"/>
          <w:szCs w:val="28"/>
        </w:rPr>
        <w:t xml:space="preserve"> ponderea majoră în totalul veniturilor încasate (</w:t>
      </w:r>
      <w:r w:rsidR="008D219C" w:rsidRPr="00020547">
        <w:rPr>
          <w:rFonts w:ascii="Times New Roman" w:eastAsia="Times New Roman" w:hAnsi="Times New Roman" w:cs="Times New Roman"/>
          <w:sz w:val="28"/>
          <w:szCs w:val="28"/>
        </w:rPr>
        <w:t>81,5</w:t>
      </w:r>
      <w:r w:rsidRPr="00020547">
        <w:rPr>
          <w:rFonts w:ascii="Times New Roman" w:eastAsia="Times New Roman" w:hAnsi="Times New Roman" w:cs="Times New Roman"/>
          <w:sz w:val="28"/>
          <w:szCs w:val="28"/>
        </w:rPr>
        <w:t>%) o dețin impozite</w:t>
      </w:r>
      <w:r w:rsidR="00020547" w:rsidRPr="00020547">
        <w:rPr>
          <w:rFonts w:ascii="Times New Roman" w:eastAsia="Times New Roman" w:hAnsi="Times New Roman" w:cs="Times New Roman"/>
          <w:sz w:val="28"/>
          <w:szCs w:val="28"/>
        </w:rPr>
        <w:t>le</w:t>
      </w:r>
      <w:r w:rsidRPr="00020547">
        <w:rPr>
          <w:rFonts w:ascii="Times New Roman" w:eastAsia="Times New Roman" w:hAnsi="Times New Roman" w:cs="Times New Roman"/>
          <w:sz w:val="28"/>
          <w:szCs w:val="28"/>
        </w:rPr>
        <w:t xml:space="preserve"> și taxe</w:t>
      </w:r>
      <w:r w:rsidR="00020547" w:rsidRPr="00020547">
        <w:rPr>
          <w:rFonts w:ascii="Times New Roman" w:eastAsia="Times New Roman" w:hAnsi="Times New Roman" w:cs="Times New Roman"/>
          <w:sz w:val="28"/>
          <w:szCs w:val="28"/>
        </w:rPr>
        <w:t>le</w:t>
      </w:r>
      <w:r w:rsidR="005D2AA1" w:rsidRPr="00020547">
        <w:rPr>
          <w:rFonts w:ascii="Times New Roman" w:eastAsia="Times New Roman" w:hAnsi="Times New Roman" w:cs="Times New Roman"/>
          <w:sz w:val="28"/>
          <w:szCs w:val="28"/>
        </w:rPr>
        <w:t>,</w:t>
      </w:r>
      <w:r w:rsidRPr="00020547">
        <w:rPr>
          <w:rFonts w:ascii="Times New Roman" w:eastAsia="Times New Roman" w:hAnsi="Times New Roman" w:cs="Times New Roman"/>
          <w:sz w:val="28"/>
          <w:szCs w:val="28"/>
        </w:rPr>
        <w:t xml:space="preserve"> obținute prin </w:t>
      </w:r>
      <w:r w:rsidRPr="00020547">
        <w:rPr>
          <w:rFonts w:ascii="Times New Roman" w:eastAsia="Times New Roman" w:hAnsi="Times New Roman" w:cs="Times New Roman"/>
          <w:iCs/>
          <w:sz w:val="28"/>
          <w:szCs w:val="28"/>
        </w:rPr>
        <w:t>încasarea mijloacelor</w:t>
      </w:r>
      <w:r w:rsidRPr="001D0846">
        <w:rPr>
          <w:rFonts w:ascii="Times New Roman" w:eastAsia="Times New Roman" w:hAnsi="Times New Roman" w:cs="Times New Roman"/>
          <w:iCs/>
          <w:sz w:val="28"/>
          <w:szCs w:val="28"/>
        </w:rPr>
        <w:t xml:space="preserve"> bănești de pe conturile bancare ale contribuabililor restanțieri</w:t>
      </w:r>
      <w:r w:rsidRPr="001D0846">
        <w:rPr>
          <w:rFonts w:ascii="Times New Roman" w:eastAsia="Times New Roman" w:hAnsi="Times New Roman" w:cs="Times New Roman"/>
          <w:sz w:val="28"/>
          <w:szCs w:val="28"/>
        </w:rPr>
        <w:t xml:space="preserve">, care însumează 2800,5 mil.lei. Veniturile obținute prin aplicarea altor modalități de executare silită dețin o pondere care </w:t>
      </w:r>
      <w:r w:rsidR="008D219C" w:rsidRPr="001D0846">
        <w:rPr>
          <w:rFonts w:ascii="Times New Roman" w:eastAsia="Times New Roman" w:hAnsi="Times New Roman" w:cs="Times New Roman"/>
          <w:sz w:val="28"/>
          <w:szCs w:val="28"/>
        </w:rPr>
        <w:t xml:space="preserve">variază între 3,3% </w:t>
      </w:r>
      <w:r w:rsidR="005D2AA1">
        <w:rPr>
          <w:rFonts w:ascii="Times New Roman" w:eastAsia="Times New Roman" w:hAnsi="Times New Roman" w:cs="Times New Roman"/>
          <w:sz w:val="28"/>
          <w:szCs w:val="28"/>
        </w:rPr>
        <w:t>și</w:t>
      </w:r>
      <w:r w:rsidR="008D219C" w:rsidRPr="001D0846">
        <w:rPr>
          <w:rFonts w:ascii="Times New Roman" w:eastAsia="Times New Roman" w:hAnsi="Times New Roman" w:cs="Times New Roman"/>
          <w:sz w:val="28"/>
          <w:szCs w:val="28"/>
        </w:rPr>
        <w:t xml:space="preserve"> 8,7</w:t>
      </w:r>
      <w:r w:rsidRPr="001D0846">
        <w:rPr>
          <w:rFonts w:ascii="Times New Roman" w:eastAsia="Times New Roman" w:hAnsi="Times New Roman" w:cs="Times New Roman"/>
          <w:sz w:val="28"/>
          <w:szCs w:val="28"/>
        </w:rPr>
        <w:t>%.</w:t>
      </w:r>
    </w:p>
    <w:p w:rsidR="00C26C38" w:rsidRPr="001D0846" w:rsidRDefault="00C26C38" w:rsidP="006358AD">
      <w:pPr>
        <w:spacing w:after="0" w:line="276" w:lineRule="auto"/>
        <w:ind w:firstLine="708"/>
        <w:jc w:val="both"/>
        <w:rPr>
          <w:rFonts w:ascii="Times New Roman" w:eastAsia="Times New Roman" w:hAnsi="Times New Roman" w:cs="Times New Roman"/>
          <w:sz w:val="28"/>
          <w:szCs w:val="28"/>
        </w:rPr>
      </w:pPr>
      <w:r w:rsidRPr="001D0846">
        <w:rPr>
          <w:rFonts w:ascii="Times New Roman" w:eastAsia="Times New Roman" w:hAnsi="Times New Roman" w:cs="Times New Roman"/>
          <w:sz w:val="28"/>
          <w:szCs w:val="28"/>
        </w:rPr>
        <w:t xml:space="preserve">Verificările </w:t>
      </w:r>
      <w:r w:rsidR="005D2AA1">
        <w:rPr>
          <w:rFonts w:ascii="Times New Roman" w:eastAsia="Times New Roman" w:hAnsi="Times New Roman" w:cs="Times New Roman"/>
          <w:sz w:val="28"/>
          <w:szCs w:val="28"/>
        </w:rPr>
        <w:t xml:space="preserve">efectuate de </w:t>
      </w:r>
      <w:r w:rsidRPr="001D0846">
        <w:rPr>
          <w:rFonts w:ascii="Times New Roman" w:eastAsia="Times New Roman" w:hAnsi="Times New Roman" w:cs="Times New Roman"/>
          <w:sz w:val="28"/>
          <w:szCs w:val="28"/>
        </w:rPr>
        <w:t xml:space="preserve">audit asupra eficienței și eficacității procesului de executare silită a obligației fiscale de către SFS </w:t>
      </w:r>
      <w:r w:rsidR="005D2AA1">
        <w:rPr>
          <w:rFonts w:ascii="Times New Roman" w:eastAsia="Times New Roman" w:hAnsi="Times New Roman" w:cs="Times New Roman"/>
          <w:sz w:val="28"/>
          <w:szCs w:val="28"/>
        </w:rPr>
        <w:t>atestă</w:t>
      </w:r>
      <w:r w:rsidRPr="001D0846">
        <w:rPr>
          <w:rFonts w:ascii="Times New Roman" w:eastAsia="Times New Roman" w:hAnsi="Times New Roman" w:cs="Times New Roman"/>
          <w:sz w:val="28"/>
          <w:szCs w:val="28"/>
        </w:rPr>
        <w:t xml:space="preserve"> unele vulnerabilități și problematici</w:t>
      </w:r>
      <w:r w:rsidR="005D2AA1">
        <w:rPr>
          <w:rFonts w:ascii="Times New Roman" w:eastAsia="Times New Roman" w:hAnsi="Times New Roman" w:cs="Times New Roman"/>
          <w:sz w:val="28"/>
          <w:szCs w:val="28"/>
        </w:rPr>
        <w:t>,</w:t>
      </w:r>
      <w:r w:rsidRPr="001D0846">
        <w:rPr>
          <w:rFonts w:ascii="Times New Roman" w:eastAsia="Times New Roman" w:hAnsi="Times New Roman" w:cs="Times New Roman"/>
          <w:sz w:val="28"/>
          <w:szCs w:val="28"/>
        </w:rPr>
        <w:t xml:space="preserve"> care limitează performanțele instituționale în administrarea restanțelor la BPN, după cum urmează:  </w:t>
      </w:r>
    </w:p>
    <w:p w:rsidR="002F1B56" w:rsidRPr="001D0846" w:rsidRDefault="005F66C3" w:rsidP="005F66C3">
      <w:pPr>
        <w:tabs>
          <w:tab w:val="left" w:pos="270"/>
          <w:tab w:val="left" w:pos="900"/>
          <w:tab w:val="left" w:pos="993"/>
        </w:tabs>
        <w:spacing w:after="0" w:line="276" w:lineRule="auto"/>
        <w:contextualSpacing/>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eastAsia="ru-RU"/>
        </w:rPr>
        <w:tab/>
        <w:t>(i)  modul</w:t>
      </w:r>
      <w:r w:rsidR="002F1B56" w:rsidRPr="001D0846">
        <w:rPr>
          <w:rFonts w:ascii="Times New Roman" w:eastAsia="Times New Roman" w:hAnsi="Times New Roman" w:cs="Times New Roman"/>
          <w:sz w:val="28"/>
          <w:szCs w:val="28"/>
          <w:lang w:eastAsia="ru-RU"/>
        </w:rPr>
        <w:t xml:space="preserve"> de administrare a restanțelor unor contribuabili la BPN (cu valoarea de peste 1</w:t>
      </w:r>
      <w:r w:rsidR="005D2AA1">
        <w:rPr>
          <w:rFonts w:ascii="Times New Roman" w:eastAsia="Times New Roman" w:hAnsi="Times New Roman" w:cs="Times New Roman"/>
          <w:sz w:val="28"/>
          <w:szCs w:val="28"/>
          <w:lang w:eastAsia="ru-RU"/>
        </w:rPr>
        <w:t>,0</w:t>
      </w:r>
      <w:r w:rsidR="002F1B56" w:rsidRPr="001D0846">
        <w:rPr>
          <w:rFonts w:ascii="Times New Roman" w:eastAsia="Times New Roman" w:hAnsi="Times New Roman" w:cs="Times New Roman"/>
          <w:sz w:val="28"/>
          <w:szCs w:val="28"/>
          <w:lang w:eastAsia="ru-RU"/>
        </w:rPr>
        <w:t xml:space="preserve"> mil.lei) relevă neaplicarea prom</w:t>
      </w:r>
      <w:r w:rsidR="005D2AA1">
        <w:rPr>
          <w:rFonts w:ascii="Times New Roman" w:eastAsia="Times New Roman" w:hAnsi="Times New Roman" w:cs="Times New Roman"/>
          <w:sz w:val="28"/>
          <w:szCs w:val="28"/>
          <w:lang w:eastAsia="ru-RU"/>
        </w:rPr>
        <w:t>p</w:t>
      </w:r>
      <w:r w:rsidR="002F1B56" w:rsidRPr="001D0846">
        <w:rPr>
          <w:rFonts w:ascii="Times New Roman" w:eastAsia="Times New Roman" w:hAnsi="Times New Roman" w:cs="Times New Roman"/>
          <w:sz w:val="28"/>
          <w:szCs w:val="28"/>
          <w:lang w:eastAsia="ru-RU"/>
        </w:rPr>
        <w:t>tă și rezultativă</w:t>
      </w:r>
      <w:r w:rsidR="005D2AA1">
        <w:rPr>
          <w:rFonts w:ascii="Times New Roman" w:eastAsia="Times New Roman" w:hAnsi="Times New Roman" w:cs="Times New Roman"/>
          <w:sz w:val="28"/>
          <w:szCs w:val="28"/>
          <w:lang w:eastAsia="ru-RU"/>
        </w:rPr>
        <w:t>,</w:t>
      </w:r>
      <w:r w:rsidR="002F1B56" w:rsidRPr="001D0846">
        <w:rPr>
          <w:rFonts w:ascii="Times New Roman" w:eastAsia="Times New Roman" w:hAnsi="Times New Roman" w:cs="Times New Roman"/>
          <w:sz w:val="28"/>
          <w:szCs w:val="28"/>
          <w:lang w:eastAsia="ru-RU"/>
        </w:rPr>
        <w:t xml:space="preserve"> în unele cazuri</w:t>
      </w:r>
      <w:r w:rsidR="005D2AA1">
        <w:rPr>
          <w:rFonts w:ascii="Times New Roman" w:eastAsia="Times New Roman" w:hAnsi="Times New Roman" w:cs="Times New Roman"/>
          <w:sz w:val="28"/>
          <w:szCs w:val="28"/>
          <w:lang w:eastAsia="ru-RU"/>
        </w:rPr>
        <w:t>,</w:t>
      </w:r>
      <w:r w:rsidR="002F1B56" w:rsidRPr="001D0846">
        <w:rPr>
          <w:rFonts w:ascii="Times New Roman" w:eastAsia="Times New Roman" w:hAnsi="Times New Roman" w:cs="Times New Roman"/>
          <w:sz w:val="28"/>
          <w:szCs w:val="28"/>
          <w:lang w:eastAsia="ru-RU"/>
        </w:rPr>
        <w:t xml:space="preserve"> de către SFS a măsurilor în vederea încasării restanțelor la buget, fapt care generează majorarea continuă a </w:t>
      </w:r>
      <w:r w:rsidR="00E76097">
        <w:rPr>
          <w:rFonts w:ascii="Times New Roman" w:eastAsia="Times New Roman" w:hAnsi="Times New Roman" w:cs="Times New Roman"/>
          <w:sz w:val="28"/>
          <w:szCs w:val="28"/>
          <w:lang w:eastAsia="ru-RU"/>
        </w:rPr>
        <w:t>acestora</w:t>
      </w:r>
      <w:r w:rsidR="002F1B56" w:rsidRPr="001D0846">
        <w:rPr>
          <w:rFonts w:ascii="Times New Roman" w:eastAsia="Times New Roman" w:hAnsi="Times New Roman" w:cs="Times New Roman"/>
          <w:sz w:val="28"/>
          <w:szCs w:val="28"/>
          <w:lang w:val="ro-MD" w:eastAsia="ru-RU"/>
        </w:rPr>
        <w:t xml:space="preserve">. Astfel, testările efectuate pe un eșantion de 41 </w:t>
      </w:r>
      <w:r w:rsidR="002F1B56" w:rsidRPr="001D0846">
        <w:rPr>
          <w:rFonts w:ascii="Times New Roman" w:eastAsia="Times New Roman" w:hAnsi="Times New Roman" w:cs="Times New Roman"/>
          <w:sz w:val="28"/>
          <w:szCs w:val="28"/>
          <w:lang w:val="ro-MD" w:eastAsia="ru-RU"/>
        </w:rPr>
        <w:lastRenderedPageBreak/>
        <w:t>contribuabili</w:t>
      </w:r>
      <w:r w:rsidR="005D2AA1">
        <w:rPr>
          <w:rFonts w:ascii="Times New Roman" w:eastAsia="Times New Roman" w:hAnsi="Times New Roman" w:cs="Times New Roman"/>
          <w:sz w:val="28"/>
          <w:szCs w:val="28"/>
          <w:lang w:val="ro-MD" w:eastAsia="ru-RU"/>
        </w:rPr>
        <w:t>,</w:t>
      </w:r>
      <w:r w:rsidR="002F1B56" w:rsidRPr="001D0846">
        <w:rPr>
          <w:rFonts w:ascii="Times New Roman" w:eastAsia="Times New Roman" w:hAnsi="Times New Roman" w:cs="Times New Roman"/>
          <w:sz w:val="28"/>
          <w:szCs w:val="28"/>
          <w:lang w:val="ro-MD" w:eastAsia="ru-RU"/>
        </w:rPr>
        <w:t xml:space="preserve"> care la 31.12.2017 înregistrau restanțe în valoare totală de 762</w:t>
      </w:r>
      <w:r w:rsidR="005D2AA1">
        <w:rPr>
          <w:rFonts w:ascii="Times New Roman" w:eastAsia="Times New Roman" w:hAnsi="Times New Roman" w:cs="Times New Roman"/>
          <w:sz w:val="28"/>
          <w:szCs w:val="28"/>
          <w:lang w:val="ro-MD" w:eastAsia="ru-RU"/>
        </w:rPr>
        <w:t>,0</w:t>
      </w:r>
      <w:r w:rsidR="002F1B56" w:rsidRPr="001D0846">
        <w:rPr>
          <w:rFonts w:ascii="Times New Roman" w:eastAsia="Times New Roman" w:hAnsi="Times New Roman" w:cs="Times New Roman"/>
          <w:sz w:val="28"/>
          <w:szCs w:val="28"/>
          <w:lang w:val="ro-MD" w:eastAsia="ru-RU"/>
        </w:rPr>
        <w:t xml:space="preserve"> mil.lei, sau 34,9 % din totalul restanțelor la BPN (2182</w:t>
      </w:r>
      <w:r w:rsidR="005D2AA1">
        <w:rPr>
          <w:rFonts w:ascii="Times New Roman" w:eastAsia="Times New Roman" w:hAnsi="Times New Roman" w:cs="Times New Roman"/>
          <w:sz w:val="28"/>
          <w:szCs w:val="28"/>
          <w:lang w:val="ro-MD" w:eastAsia="ru-RU"/>
        </w:rPr>
        <w:t>,0</w:t>
      </w:r>
      <w:r w:rsidR="002F1B56" w:rsidRPr="001D0846">
        <w:rPr>
          <w:rFonts w:ascii="Times New Roman" w:eastAsia="Times New Roman" w:hAnsi="Times New Roman" w:cs="Times New Roman"/>
          <w:sz w:val="28"/>
          <w:szCs w:val="28"/>
          <w:lang w:val="ro-MD" w:eastAsia="ru-RU"/>
        </w:rPr>
        <w:t xml:space="preserve"> mil.lei), </w:t>
      </w:r>
      <w:r w:rsidR="005D2AA1">
        <w:rPr>
          <w:rFonts w:ascii="Times New Roman" w:eastAsia="Times New Roman" w:hAnsi="Times New Roman" w:cs="Times New Roman"/>
          <w:sz w:val="28"/>
          <w:szCs w:val="28"/>
          <w:lang w:val="ro-MD" w:eastAsia="ru-RU"/>
        </w:rPr>
        <w:t>indică</w:t>
      </w:r>
      <w:r w:rsidR="002F1B56" w:rsidRPr="001D0846">
        <w:rPr>
          <w:rFonts w:ascii="Times New Roman" w:eastAsia="Times New Roman" w:hAnsi="Times New Roman" w:cs="Times New Roman"/>
          <w:sz w:val="28"/>
          <w:szCs w:val="28"/>
          <w:lang w:val="ro-MD" w:eastAsia="ru-RU"/>
        </w:rPr>
        <w:t xml:space="preserve"> că în anul 2018 (02.05.2018) re</w:t>
      </w:r>
      <w:r w:rsidR="00E76097">
        <w:rPr>
          <w:rFonts w:ascii="Times New Roman" w:eastAsia="Times New Roman" w:hAnsi="Times New Roman" w:cs="Times New Roman"/>
          <w:sz w:val="28"/>
          <w:szCs w:val="28"/>
          <w:lang w:val="ro-MD" w:eastAsia="ru-RU"/>
        </w:rPr>
        <w:t>stanțele acestor contribuabili</w:t>
      </w:r>
      <w:r w:rsidR="002F1B56" w:rsidRPr="001D0846">
        <w:rPr>
          <w:rFonts w:ascii="Times New Roman" w:eastAsia="Times New Roman" w:hAnsi="Times New Roman" w:cs="Times New Roman"/>
          <w:sz w:val="28"/>
          <w:szCs w:val="28"/>
          <w:lang w:val="ro-MD" w:eastAsia="ru-RU"/>
        </w:rPr>
        <w:t xml:space="preserve"> au constituit 796,8 mil.lei, majorându-se cu 34,8 mil.lei</w:t>
      </w:r>
      <w:r w:rsidR="005D2AA1">
        <w:rPr>
          <w:rFonts w:ascii="Times New Roman" w:eastAsia="Times New Roman" w:hAnsi="Times New Roman" w:cs="Times New Roman"/>
          <w:sz w:val="28"/>
          <w:szCs w:val="28"/>
          <w:lang w:val="ro-MD" w:eastAsia="ru-RU"/>
        </w:rPr>
        <w:t>,</w:t>
      </w:r>
      <w:r w:rsidR="002F1B56" w:rsidRPr="001D0846">
        <w:rPr>
          <w:rFonts w:ascii="Times New Roman" w:eastAsia="Times New Roman" w:hAnsi="Times New Roman" w:cs="Times New Roman"/>
          <w:sz w:val="28"/>
          <w:szCs w:val="28"/>
          <w:lang w:val="ro-MD" w:eastAsia="ru-RU"/>
        </w:rPr>
        <w:t xml:space="preserve"> din cauza creșterii penalităților la plățile </w:t>
      </w:r>
      <w:r w:rsidR="001B5715" w:rsidRPr="001D0846">
        <w:rPr>
          <w:rFonts w:ascii="Times New Roman" w:eastAsia="Times New Roman" w:hAnsi="Times New Roman" w:cs="Times New Roman"/>
          <w:sz w:val="28"/>
          <w:szCs w:val="28"/>
          <w:lang w:val="ro-MD" w:eastAsia="ru-RU"/>
        </w:rPr>
        <w:t>de bază</w:t>
      </w:r>
      <w:r w:rsidR="002F1B56" w:rsidRPr="001D0846">
        <w:rPr>
          <w:rFonts w:ascii="Times New Roman" w:eastAsia="Times New Roman" w:hAnsi="Times New Roman" w:cs="Times New Roman"/>
          <w:sz w:val="28"/>
          <w:szCs w:val="28"/>
          <w:lang w:val="ro-MD" w:eastAsia="ru-RU"/>
        </w:rPr>
        <w:t>.</w:t>
      </w:r>
    </w:p>
    <w:p w:rsidR="00C26C38" w:rsidRPr="001D0846" w:rsidRDefault="005F66C3" w:rsidP="006358AD">
      <w:pPr>
        <w:tabs>
          <w:tab w:val="left" w:pos="54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o-MD" w:eastAsia="ru-RU"/>
        </w:rPr>
        <w:t xml:space="preserve">     (ii)  </w:t>
      </w:r>
      <w:r w:rsidR="005D2AA1">
        <w:rPr>
          <w:rFonts w:ascii="Times New Roman" w:eastAsia="Times New Roman" w:hAnsi="Times New Roman" w:cs="Times New Roman"/>
          <w:sz w:val="28"/>
          <w:szCs w:val="28"/>
          <w:lang w:val="ro-MD" w:eastAsia="ru-RU"/>
        </w:rPr>
        <w:t>Pe</w:t>
      </w:r>
      <w:r w:rsidR="00C26C38" w:rsidRPr="001D0846">
        <w:rPr>
          <w:rFonts w:ascii="Times New Roman" w:eastAsia="Times New Roman" w:hAnsi="Times New Roman" w:cs="Times New Roman"/>
          <w:sz w:val="28"/>
          <w:szCs w:val="28"/>
          <w:lang w:val="ro-MD" w:eastAsia="ru-RU"/>
        </w:rPr>
        <w:t xml:space="preserve">ntru asigurarea bunei administrări fiscale și diminuarea </w:t>
      </w:r>
      <w:r w:rsidR="00C26C38" w:rsidRPr="001D0846">
        <w:rPr>
          <w:rFonts w:ascii="Times New Roman" w:eastAsia="Times New Roman" w:hAnsi="Times New Roman" w:cs="Times New Roman"/>
          <w:sz w:val="28"/>
          <w:szCs w:val="28"/>
          <w:lang w:eastAsia="ru-RU"/>
        </w:rPr>
        <w:t xml:space="preserve">restanțelor la BPN, în </w:t>
      </w:r>
      <w:r w:rsidR="005D2AA1">
        <w:rPr>
          <w:rFonts w:ascii="Times New Roman" w:eastAsia="Times New Roman" w:hAnsi="Times New Roman" w:cs="Times New Roman"/>
          <w:sz w:val="28"/>
          <w:szCs w:val="28"/>
          <w:lang w:eastAsia="ru-RU"/>
        </w:rPr>
        <w:t>anul</w:t>
      </w:r>
      <w:r w:rsidR="00C26C38" w:rsidRPr="001D0846">
        <w:rPr>
          <w:rFonts w:ascii="Times New Roman" w:eastAsia="Times New Roman" w:hAnsi="Times New Roman" w:cs="Times New Roman"/>
          <w:sz w:val="28"/>
          <w:szCs w:val="28"/>
          <w:lang w:eastAsia="ru-RU"/>
        </w:rPr>
        <w:t xml:space="preserve"> 2017</w:t>
      </w:r>
      <w:r w:rsidR="005D2AA1">
        <w:rPr>
          <w:rFonts w:ascii="Times New Roman" w:eastAsia="Times New Roman" w:hAnsi="Times New Roman" w:cs="Times New Roman"/>
          <w:sz w:val="28"/>
          <w:szCs w:val="28"/>
          <w:lang w:eastAsia="ru-RU"/>
        </w:rPr>
        <w:t>,</w:t>
      </w:r>
      <w:r w:rsidR="00C26C38" w:rsidRPr="001D0846">
        <w:rPr>
          <w:rFonts w:ascii="Times New Roman" w:eastAsia="Times New Roman" w:hAnsi="Times New Roman" w:cs="Times New Roman"/>
          <w:sz w:val="28"/>
          <w:szCs w:val="28"/>
          <w:lang w:eastAsia="ru-RU"/>
        </w:rPr>
        <w:t xml:space="preserve"> prin ordinul SFS</w:t>
      </w:r>
      <w:r w:rsidR="00C26C38" w:rsidRPr="001D0846">
        <w:rPr>
          <w:rStyle w:val="a6"/>
          <w:rFonts w:ascii="Times New Roman" w:eastAsia="Times New Roman" w:hAnsi="Times New Roman" w:cs="Times New Roman"/>
          <w:sz w:val="28"/>
          <w:szCs w:val="28"/>
          <w:lang w:eastAsia="ru-RU"/>
        </w:rPr>
        <w:footnoteReference w:id="17"/>
      </w:r>
      <w:r w:rsidR="005D2AA1">
        <w:rPr>
          <w:rFonts w:ascii="Times New Roman" w:eastAsia="Times New Roman" w:hAnsi="Times New Roman" w:cs="Times New Roman"/>
          <w:sz w:val="28"/>
          <w:szCs w:val="28"/>
          <w:lang w:eastAsia="ru-RU"/>
        </w:rPr>
        <w:t>,</w:t>
      </w:r>
      <w:r w:rsidR="00C26C38" w:rsidRPr="001D0846">
        <w:rPr>
          <w:rFonts w:ascii="Times New Roman" w:eastAsia="Times New Roman" w:hAnsi="Times New Roman" w:cs="Times New Roman"/>
          <w:sz w:val="28"/>
          <w:szCs w:val="28"/>
          <w:lang w:eastAsia="ru-RU"/>
        </w:rPr>
        <w:t xml:space="preserve"> au fost create grupuri de lucru în cadrul DGAF, care să efectueze inventarierea tuturor dosarelor contribuabililor la compartimentul executare silită</w:t>
      </w:r>
      <w:r w:rsidR="00C010A0" w:rsidRPr="001D0846">
        <w:rPr>
          <w:rFonts w:ascii="Times New Roman" w:eastAsia="Times New Roman" w:hAnsi="Times New Roman" w:cs="Times New Roman"/>
          <w:sz w:val="28"/>
          <w:szCs w:val="28"/>
          <w:lang w:eastAsia="ru-RU"/>
        </w:rPr>
        <w:t>.</w:t>
      </w:r>
      <w:r w:rsidR="00C26C38" w:rsidRPr="001D0846">
        <w:rPr>
          <w:rFonts w:ascii="Times New Roman" w:eastAsia="Times New Roman" w:hAnsi="Times New Roman" w:cs="Times New Roman"/>
          <w:sz w:val="28"/>
          <w:szCs w:val="28"/>
          <w:lang w:eastAsia="ru-RU"/>
        </w:rPr>
        <w:t xml:space="preserve"> </w:t>
      </w:r>
      <w:r w:rsidR="00C26C38" w:rsidRPr="001D0846">
        <w:rPr>
          <w:rFonts w:ascii="Times New Roman" w:hAnsi="Times New Roman"/>
          <w:sz w:val="28"/>
          <w:szCs w:val="28"/>
        </w:rPr>
        <w:t>Conform raportului privind rezultatele inventarierii</w:t>
      </w:r>
      <w:r w:rsidR="005D2AA1">
        <w:rPr>
          <w:rFonts w:ascii="Times New Roman" w:hAnsi="Times New Roman"/>
          <w:sz w:val="28"/>
          <w:szCs w:val="28"/>
        </w:rPr>
        <w:t>,</w:t>
      </w:r>
      <w:r w:rsidR="00C26C38" w:rsidRPr="001D0846">
        <w:rPr>
          <w:rFonts w:ascii="Times New Roman" w:hAnsi="Times New Roman"/>
          <w:sz w:val="28"/>
          <w:szCs w:val="28"/>
        </w:rPr>
        <w:t xml:space="preserve"> prezentat auditului, procedurile de inventariere s-au efectuat la DGAF și DGACM, fiind inventariate sechestrele a 223 de contribuabili</w:t>
      </w:r>
      <w:r w:rsidR="005D2AA1">
        <w:rPr>
          <w:rFonts w:ascii="Times New Roman" w:hAnsi="Times New Roman"/>
          <w:sz w:val="28"/>
          <w:szCs w:val="28"/>
        </w:rPr>
        <w:t>,</w:t>
      </w:r>
      <w:r w:rsidR="00C26C38" w:rsidRPr="001D0846">
        <w:rPr>
          <w:rFonts w:ascii="Times New Roman" w:hAnsi="Times New Roman"/>
          <w:sz w:val="28"/>
          <w:szCs w:val="28"/>
        </w:rPr>
        <w:t xml:space="preserve"> în valoare totală de </w:t>
      </w:r>
      <w:r w:rsidR="00C26C38" w:rsidRPr="001D0846">
        <w:rPr>
          <w:rFonts w:ascii="Times New Roman" w:hAnsi="Times New Roman" w:cs="Times New Roman"/>
          <w:sz w:val="28"/>
          <w:szCs w:val="28"/>
        </w:rPr>
        <w:t>203,1 mil.lei, constatându-se următoarele:</w:t>
      </w:r>
    </w:p>
    <w:p w:rsidR="00C26C38" w:rsidRPr="001D0846" w:rsidRDefault="00B17206" w:rsidP="003E553B">
      <w:pPr>
        <w:pStyle w:val="a7"/>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cs="Times New Roman"/>
          <w:sz w:val="28"/>
          <w:szCs w:val="28"/>
        </w:rPr>
        <w:t>l</w:t>
      </w:r>
      <w:r w:rsidR="00C26C38" w:rsidRPr="001D0846">
        <w:rPr>
          <w:rFonts w:ascii="Times New Roman" w:hAnsi="Times New Roman" w:cs="Times New Roman"/>
          <w:sz w:val="28"/>
          <w:szCs w:val="28"/>
        </w:rPr>
        <w:t xml:space="preserve">ipsa bunurilor sechestrate în </w:t>
      </w:r>
      <w:r>
        <w:rPr>
          <w:rFonts w:ascii="Times New Roman" w:hAnsi="Times New Roman" w:cs="Times New Roman"/>
          <w:sz w:val="28"/>
          <w:szCs w:val="28"/>
        </w:rPr>
        <w:t>valoare</w:t>
      </w:r>
      <w:r w:rsidR="00C26C38" w:rsidRPr="001D0846">
        <w:rPr>
          <w:rFonts w:ascii="Times New Roman" w:hAnsi="Times New Roman" w:cs="Times New Roman"/>
          <w:sz w:val="28"/>
          <w:szCs w:val="28"/>
        </w:rPr>
        <w:t xml:space="preserve"> de 5</w:t>
      </w:r>
      <w:r>
        <w:rPr>
          <w:rFonts w:ascii="Times New Roman" w:hAnsi="Times New Roman" w:cs="Times New Roman"/>
          <w:sz w:val="28"/>
          <w:szCs w:val="28"/>
        </w:rPr>
        <w:t>,0</w:t>
      </w:r>
      <w:r w:rsidR="00C26C38" w:rsidRPr="001D0846">
        <w:rPr>
          <w:rFonts w:ascii="Times New Roman" w:hAnsi="Times New Roman" w:cs="Times New Roman"/>
          <w:sz w:val="28"/>
          <w:szCs w:val="28"/>
        </w:rPr>
        <w:t xml:space="preserve"> mil.lei la locul de păstrare;</w:t>
      </w:r>
    </w:p>
    <w:p w:rsidR="00C26C38" w:rsidRPr="001D0846" w:rsidRDefault="00B17206" w:rsidP="003E553B">
      <w:pPr>
        <w:pStyle w:val="a7"/>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cs="Times New Roman"/>
          <w:sz w:val="28"/>
          <w:szCs w:val="28"/>
        </w:rPr>
        <w:t>a</w:t>
      </w:r>
      <w:r w:rsidR="00C26C38" w:rsidRPr="001D0846">
        <w:rPr>
          <w:rFonts w:ascii="Times New Roman" w:hAnsi="Times New Roman" w:cs="Times New Roman"/>
          <w:sz w:val="28"/>
          <w:szCs w:val="28"/>
        </w:rPr>
        <w:t xml:space="preserve">plicarea sechestrelor pe bunuri </w:t>
      </w:r>
      <w:r w:rsidR="00C26C38" w:rsidRPr="001D0846">
        <w:rPr>
          <w:rFonts w:ascii="Times New Roman" w:hAnsi="Times New Roman"/>
          <w:sz w:val="28"/>
          <w:szCs w:val="28"/>
        </w:rPr>
        <w:t xml:space="preserve">în </w:t>
      </w:r>
      <w:r>
        <w:rPr>
          <w:rFonts w:ascii="Times New Roman" w:hAnsi="Times New Roman"/>
          <w:sz w:val="28"/>
          <w:szCs w:val="28"/>
        </w:rPr>
        <w:t>valoare</w:t>
      </w:r>
      <w:r w:rsidR="00C26C38" w:rsidRPr="001D0846">
        <w:rPr>
          <w:rFonts w:ascii="Times New Roman" w:hAnsi="Times New Roman"/>
          <w:sz w:val="28"/>
          <w:szCs w:val="28"/>
        </w:rPr>
        <w:t xml:space="preserve"> de 0,2 mil.lei</w:t>
      </w:r>
      <w:r>
        <w:rPr>
          <w:rFonts w:ascii="Times New Roman" w:hAnsi="Times New Roman"/>
          <w:sz w:val="28"/>
          <w:szCs w:val="28"/>
        </w:rPr>
        <w:t>,</w:t>
      </w:r>
      <w:r w:rsidR="00C26C38" w:rsidRPr="001D0846">
        <w:rPr>
          <w:rFonts w:ascii="Times New Roman" w:hAnsi="Times New Roman" w:cs="Times New Roman"/>
          <w:sz w:val="28"/>
          <w:szCs w:val="28"/>
        </w:rPr>
        <w:t xml:space="preserve"> care la momentul sechestrării erau gajate de bancă, fapt ce contravine art.200 alin.(6) din CF;</w:t>
      </w:r>
    </w:p>
    <w:p w:rsidR="00C26C38" w:rsidRPr="001D0846" w:rsidRDefault="00B17206" w:rsidP="003E553B">
      <w:pPr>
        <w:pStyle w:val="a7"/>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cs="Times New Roman"/>
          <w:sz w:val="28"/>
          <w:szCs w:val="28"/>
        </w:rPr>
        <w:t>n</w:t>
      </w:r>
      <w:r w:rsidR="00C26C38" w:rsidRPr="001D0846">
        <w:rPr>
          <w:rFonts w:ascii="Times New Roman" w:hAnsi="Times New Roman" w:cs="Times New Roman"/>
          <w:sz w:val="28"/>
          <w:szCs w:val="28"/>
        </w:rPr>
        <w:t>eluarea măsurilor față de 6 agenți economici care au înstrăinat bunurile sechestrate de SFS în valoare totală de 3,33 mil.lei;</w:t>
      </w:r>
    </w:p>
    <w:p w:rsidR="00C26C38" w:rsidRPr="001D0846" w:rsidRDefault="00B17206" w:rsidP="003E553B">
      <w:pPr>
        <w:pStyle w:val="a7"/>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sz w:val="28"/>
          <w:szCs w:val="28"/>
        </w:rPr>
        <w:t>a</w:t>
      </w:r>
      <w:r w:rsidR="00C26C38" w:rsidRPr="001D0846">
        <w:rPr>
          <w:rFonts w:ascii="Times New Roman" w:hAnsi="Times New Roman"/>
          <w:sz w:val="28"/>
          <w:szCs w:val="28"/>
        </w:rPr>
        <w:t xml:space="preserve">plicarea sechestrelor pe bunuri mobile nefuncționale. </w:t>
      </w:r>
      <w:r>
        <w:rPr>
          <w:rFonts w:ascii="Times New Roman" w:hAnsi="Times New Roman"/>
          <w:sz w:val="28"/>
          <w:szCs w:val="28"/>
        </w:rPr>
        <w:t>În acest sens</w:t>
      </w:r>
      <w:r w:rsidR="00C26C38" w:rsidRPr="001D0846">
        <w:rPr>
          <w:rFonts w:ascii="Times New Roman" w:hAnsi="Times New Roman"/>
          <w:sz w:val="28"/>
          <w:szCs w:val="28"/>
        </w:rPr>
        <w:t>, se exemplifică cazul unui agen</w:t>
      </w:r>
      <w:r w:rsidR="00E76097">
        <w:rPr>
          <w:rFonts w:ascii="Times New Roman" w:hAnsi="Times New Roman"/>
          <w:sz w:val="28"/>
          <w:szCs w:val="28"/>
        </w:rPr>
        <w:t xml:space="preserve">t economic căruia la 30.01.2014 </w:t>
      </w:r>
      <w:r w:rsidR="00C26C38" w:rsidRPr="001D0846">
        <w:rPr>
          <w:rFonts w:ascii="Times New Roman" w:hAnsi="Times New Roman"/>
          <w:sz w:val="28"/>
          <w:szCs w:val="28"/>
        </w:rPr>
        <w:t xml:space="preserve">i-au fost sechestrate mijloace de transport în stare nefuncțională în </w:t>
      </w:r>
      <w:r>
        <w:rPr>
          <w:rFonts w:ascii="Times New Roman" w:hAnsi="Times New Roman"/>
          <w:sz w:val="28"/>
          <w:szCs w:val="28"/>
        </w:rPr>
        <w:t>valoare</w:t>
      </w:r>
      <w:r w:rsidR="00C26C38" w:rsidRPr="001D0846">
        <w:rPr>
          <w:rFonts w:ascii="Times New Roman" w:hAnsi="Times New Roman"/>
          <w:sz w:val="28"/>
          <w:szCs w:val="28"/>
        </w:rPr>
        <w:t xml:space="preserve"> de 0,1 mil.lei</w:t>
      </w:r>
      <w:r>
        <w:rPr>
          <w:rFonts w:ascii="Times New Roman" w:hAnsi="Times New Roman"/>
          <w:sz w:val="28"/>
          <w:szCs w:val="28"/>
        </w:rPr>
        <w:t>, care</w:t>
      </w:r>
      <w:r w:rsidR="00C26C38" w:rsidRPr="001D0846">
        <w:rPr>
          <w:rFonts w:ascii="Times New Roman" w:hAnsi="Times New Roman"/>
          <w:sz w:val="28"/>
          <w:szCs w:val="28"/>
        </w:rPr>
        <w:t xml:space="preserve"> </w:t>
      </w:r>
      <w:r>
        <w:rPr>
          <w:rFonts w:ascii="Times New Roman" w:hAnsi="Times New Roman"/>
          <w:sz w:val="28"/>
          <w:szCs w:val="28"/>
        </w:rPr>
        <w:t>p</w:t>
      </w:r>
      <w:r w:rsidR="00C26C38" w:rsidRPr="001D0846">
        <w:rPr>
          <w:rFonts w:ascii="Times New Roman" w:hAnsi="Times New Roman"/>
          <w:sz w:val="28"/>
          <w:szCs w:val="28"/>
        </w:rPr>
        <w:t xml:space="preserve">e parcurs  au fost casate și realizate de către contribuabil ca fier uzat, suma încasată constituind 4,2 mii lei; </w:t>
      </w:r>
    </w:p>
    <w:p w:rsidR="00C26C38" w:rsidRPr="001D0846" w:rsidRDefault="00B17206" w:rsidP="003E553B">
      <w:pPr>
        <w:pStyle w:val="a7"/>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sz w:val="28"/>
          <w:szCs w:val="28"/>
        </w:rPr>
        <w:t>î</w:t>
      </w:r>
      <w:r w:rsidR="00C26C38" w:rsidRPr="001D0846">
        <w:rPr>
          <w:rFonts w:ascii="Times New Roman" w:hAnsi="Times New Roman"/>
          <w:sz w:val="28"/>
          <w:szCs w:val="28"/>
        </w:rPr>
        <w:t>n unele cazuri</w:t>
      </w:r>
      <w:r>
        <w:rPr>
          <w:rFonts w:ascii="Times New Roman" w:hAnsi="Times New Roman"/>
          <w:sz w:val="28"/>
          <w:szCs w:val="28"/>
        </w:rPr>
        <w:t>,</w:t>
      </w:r>
      <w:r w:rsidR="00C26C38" w:rsidRPr="001D0846">
        <w:rPr>
          <w:rFonts w:ascii="Times New Roman" w:hAnsi="Times New Roman"/>
          <w:sz w:val="28"/>
          <w:szCs w:val="28"/>
        </w:rPr>
        <w:t xml:space="preserve"> bunurile sechestrate au fost estimate la prețuri derizorii. Astfel</w:t>
      </w:r>
      <w:r>
        <w:rPr>
          <w:rFonts w:ascii="Times New Roman" w:hAnsi="Times New Roman"/>
          <w:sz w:val="28"/>
          <w:szCs w:val="28"/>
        </w:rPr>
        <w:t xml:space="preserve">, </w:t>
      </w:r>
      <w:r w:rsidR="00C26C38" w:rsidRPr="001D0846">
        <w:rPr>
          <w:rFonts w:ascii="Times New Roman" w:hAnsi="Times New Roman"/>
          <w:sz w:val="28"/>
          <w:szCs w:val="28"/>
        </w:rPr>
        <w:t xml:space="preserve"> se exemplifică cazul unui agent economic căruia</w:t>
      </w:r>
      <w:r>
        <w:rPr>
          <w:rFonts w:ascii="Times New Roman" w:hAnsi="Times New Roman"/>
          <w:sz w:val="28"/>
          <w:szCs w:val="28"/>
        </w:rPr>
        <w:t>,</w:t>
      </w:r>
      <w:r w:rsidR="00C26C38" w:rsidRPr="001D0846">
        <w:rPr>
          <w:rFonts w:ascii="Times New Roman" w:hAnsi="Times New Roman"/>
          <w:sz w:val="28"/>
          <w:szCs w:val="28"/>
        </w:rPr>
        <w:t xml:space="preserve"> în perioadele anterioare </w:t>
      </w:r>
      <w:r>
        <w:rPr>
          <w:rFonts w:ascii="Times New Roman" w:hAnsi="Times New Roman"/>
          <w:sz w:val="28"/>
          <w:szCs w:val="28"/>
        </w:rPr>
        <w:t xml:space="preserve">anului </w:t>
      </w:r>
      <w:r w:rsidR="00C26C38" w:rsidRPr="001D0846">
        <w:rPr>
          <w:rFonts w:ascii="Times New Roman" w:hAnsi="Times New Roman"/>
          <w:sz w:val="28"/>
          <w:szCs w:val="28"/>
        </w:rPr>
        <w:t>2017</w:t>
      </w:r>
      <w:r>
        <w:rPr>
          <w:rFonts w:ascii="Times New Roman" w:hAnsi="Times New Roman"/>
          <w:sz w:val="28"/>
          <w:szCs w:val="28"/>
        </w:rPr>
        <w:t>,</w:t>
      </w:r>
      <w:r w:rsidR="00C26C38" w:rsidRPr="001D0846">
        <w:rPr>
          <w:rFonts w:ascii="Times New Roman" w:hAnsi="Times New Roman"/>
          <w:sz w:val="28"/>
          <w:szCs w:val="28"/>
        </w:rPr>
        <w:t xml:space="preserve"> i-a fost aplicat sechestru pe 44</w:t>
      </w:r>
      <w:r>
        <w:rPr>
          <w:rFonts w:ascii="Times New Roman" w:hAnsi="Times New Roman"/>
          <w:sz w:val="28"/>
          <w:szCs w:val="28"/>
        </w:rPr>
        <w:t xml:space="preserve"> </w:t>
      </w:r>
      <w:r w:rsidR="00C26C38" w:rsidRPr="001D0846">
        <w:rPr>
          <w:rFonts w:ascii="Times New Roman" w:hAnsi="Times New Roman"/>
          <w:sz w:val="28"/>
          <w:szCs w:val="28"/>
        </w:rPr>
        <w:t xml:space="preserve">000 sticle de vin la un preț de 0,3 lei/sticla, valoarea totală a sechestrului constituind 13,2 mii lei; </w:t>
      </w:r>
    </w:p>
    <w:p w:rsidR="00C26C38" w:rsidRPr="001D0846" w:rsidRDefault="00B17206" w:rsidP="003E553B">
      <w:pPr>
        <w:pStyle w:val="a7"/>
        <w:numPr>
          <w:ilvl w:val="0"/>
          <w:numId w:val="6"/>
        </w:numPr>
        <w:tabs>
          <w:tab w:val="left" w:pos="450"/>
        </w:tabs>
        <w:spacing w:after="0" w:line="276" w:lineRule="auto"/>
        <w:ind w:left="0" w:firstLine="180"/>
        <w:jc w:val="both"/>
        <w:rPr>
          <w:rFonts w:ascii="Times New Roman" w:hAnsi="Times New Roman"/>
          <w:sz w:val="28"/>
          <w:szCs w:val="28"/>
        </w:rPr>
      </w:pPr>
      <w:r>
        <w:rPr>
          <w:rFonts w:ascii="Times New Roman" w:hAnsi="Times New Roman"/>
          <w:sz w:val="28"/>
          <w:szCs w:val="28"/>
        </w:rPr>
        <w:t>p</w:t>
      </w:r>
      <w:r w:rsidR="00C26C38" w:rsidRPr="001D0846">
        <w:rPr>
          <w:rFonts w:ascii="Times New Roman" w:hAnsi="Times New Roman"/>
          <w:sz w:val="28"/>
          <w:szCs w:val="28"/>
        </w:rPr>
        <w:t>e parcursul anului 2017</w:t>
      </w:r>
      <w:r>
        <w:rPr>
          <w:rFonts w:ascii="Times New Roman" w:hAnsi="Times New Roman"/>
          <w:sz w:val="28"/>
          <w:szCs w:val="28"/>
        </w:rPr>
        <w:t>,</w:t>
      </w:r>
      <w:r w:rsidR="00C26C38" w:rsidRPr="001D0846">
        <w:rPr>
          <w:rFonts w:ascii="Times New Roman" w:hAnsi="Times New Roman"/>
          <w:sz w:val="28"/>
          <w:szCs w:val="28"/>
        </w:rPr>
        <w:t xml:space="preserve"> n-au fost organizate licitații de comercializare a bunurilor sechestrate de către DGAF </w:t>
      </w:r>
      <w:r w:rsidR="00B86853">
        <w:rPr>
          <w:rFonts w:ascii="Times New Roman" w:hAnsi="Times New Roman"/>
          <w:sz w:val="28"/>
          <w:szCs w:val="28"/>
        </w:rPr>
        <w:t xml:space="preserve">pe </w:t>
      </w:r>
      <w:r w:rsidR="00C26C38" w:rsidRPr="001D0846">
        <w:rPr>
          <w:rFonts w:ascii="Times New Roman" w:hAnsi="Times New Roman"/>
          <w:sz w:val="28"/>
          <w:szCs w:val="28"/>
        </w:rPr>
        <w:t>mun. Chișinău, DGAF Centru, DGAF Sud, cu excepția DGAF Nord</w:t>
      </w:r>
      <w:r>
        <w:rPr>
          <w:rFonts w:ascii="Times New Roman" w:hAnsi="Times New Roman"/>
          <w:sz w:val="28"/>
          <w:szCs w:val="28"/>
        </w:rPr>
        <w:t>,</w:t>
      </w:r>
      <w:r w:rsidR="00C26C38" w:rsidRPr="001D0846">
        <w:rPr>
          <w:rFonts w:ascii="Times New Roman" w:hAnsi="Times New Roman"/>
          <w:sz w:val="28"/>
          <w:szCs w:val="28"/>
        </w:rPr>
        <w:t xml:space="preserve"> care a organizat</w:t>
      </w:r>
      <w:r>
        <w:rPr>
          <w:rFonts w:ascii="Times New Roman" w:hAnsi="Times New Roman"/>
          <w:sz w:val="28"/>
          <w:szCs w:val="28"/>
        </w:rPr>
        <w:t>,</w:t>
      </w:r>
      <w:r w:rsidR="00C26C38" w:rsidRPr="001D0846">
        <w:rPr>
          <w:rFonts w:ascii="Times New Roman" w:hAnsi="Times New Roman"/>
          <w:sz w:val="28"/>
          <w:szCs w:val="28"/>
        </w:rPr>
        <w:t xml:space="preserve"> prin intermediul BUMM</w:t>
      </w:r>
      <w:r>
        <w:rPr>
          <w:rFonts w:ascii="Times New Roman" w:hAnsi="Times New Roman"/>
          <w:sz w:val="28"/>
          <w:szCs w:val="28"/>
        </w:rPr>
        <w:t>,</w:t>
      </w:r>
      <w:r w:rsidR="00C26C38" w:rsidRPr="001D0846">
        <w:rPr>
          <w:rFonts w:ascii="Times New Roman" w:hAnsi="Times New Roman"/>
          <w:sz w:val="28"/>
          <w:szCs w:val="28"/>
        </w:rPr>
        <w:t xml:space="preserve"> 10 licitații de comercializare a bunuril</w:t>
      </w:r>
      <w:r>
        <w:rPr>
          <w:rFonts w:ascii="Times New Roman" w:hAnsi="Times New Roman"/>
          <w:sz w:val="28"/>
          <w:szCs w:val="28"/>
        </w:rPr>
        <w:t>or</w:t>
      </w:r>
      <w:r w:rsidR="00C26C38" w:rsidRPr="001D0846">
        <w:rPr>
          <w:rFonts w:ascii="Times New Roman" w:hAnsi="Times New Roman"/>
          <w:sz w:val="28"/>
          <w:szCs w:val="28"/>
        </w:rPr>
        <w:t xml:space="preserve"> sechestrate</w:t>
      </w:r>
      <w:r>
        <w:rPr>
          <w:rFonts w:ascii="Times New Roman" w:hAnsi="Times New Roman"/>
          <w:sz w:val="28"/>
          <w:szCs w:val="28"/>
        </w:rPr>
        <w:t>;</w:t>
      </w:r>
    </w:p>
    <w:p w:rsidR="00C26C38" w:rsidRPr="00E76097" w:rsidRDefault="00B17206" w:rsidP="003E553B">
      <w:pPr>
        <w:pStyle w:val="a7"/>
        <w:numPr>
          <w:ilvl w:val="0"/>
          <w:numId w:val="6"/>
        </w:numPr>
        <w:tabs>
          <w:tab w:val="left" w:pos="450"/>
        </w:tabs>
        <w:spacing w:after="0" w:line="276" w:lineRule="auto"/>
        <w:ind w:left="0" w:firstLine="180"/>
        <w:jc w:val="both"/>
        <w:rPr>
          <w:rFonts w:ascii="Times New Roman" w:hAnsi="Times New Roman"/>
          <w:i/>
          <w:sz w:val="28"/>
          <w:szCs w:val="28"/>
        </w:rPr>
      </w:pPr>
      <w:r>
        <w:rPr>
          <w:rFonts w:ascii="Times New Roman" w:hAnsi="Times New Roman"/>
          <w:sz w:val="28"/>
          <w:szCs w:val="28"/>
        </w:rPr>
        <w:t>n</w:t>
      </w:r>
      <w:r w:rsidR="00C26C38" w:rsidRPr="00E76097">
        <w:rPr>
          <w:rFonts w:ascii="Times New Roman" w:hAnsi="Times New Roman"/>
          <w:sz w:val="28"/>
          <w:szCs w:val="28"/>
        </w:rPr>
        <w:t xml:space="preserve">evalorificarea </w:t>
      </w:r>
      <w:r w:rsidR="00456909">
        <w:rPr>
          <w:rFonts w:ascii="Times New Roman" w:hAnsi="Times New Roman"/>
          <w:sz w:val="28"/>
          <w:szCs w:val="28"/>
        </w:rPr>
        <w:t xml:space="preserve">bunurilor </w:t>
      </w:r>
      <w:r w:rsidR="00C26C38" w:rsidRPr="00E76097">
        <w:rPr>
          <w:rFonts w:ascii="Times New Roman" w:hAnsi="Times New Roman"/>
          <w:sz w:val="28"/>
          <w:szCs w:val="28"/>
        </w:rPr>
        <w:t>sechestr</w:t>
      </w:r>
      <w:r w:rsidR="00456909">
        <w:rPr>
          <w:rFonts w:ascii="Times New Roman" w:hAnsi="Times New Roman"/>
          <w:sz w:val="28"/>
          <w:szCs w:val="28"/>
        </w:rPr>
        <w:t>ate</w:t>
      </w:r>
      <w:r w:rsidR="00C26C38" w:rsidRPr="00E76097">
        <w:rPr>
          <w:rFonts w:ascii="Times New Roman" w:hAnsi="Times New Roman"/>
          <w:sz w:val="28"/>
          <w:szCs w:val="28"/>
        </w:rPr>
        <w:t xml:space="preserve"> generează </w:t>
      </w:r>
      <w:proofErr w:type="spellStart"/>
      <w:r w:rsidR="00C26C38" w:rsidRPr="00E76097">
        <w:rPr>
          <w:rFonts w:ascii="Times New Roman" w:hAnsi="Times New Roman"/>
          <w:sz w:val="28"/>
          <w:szCs w:val="28"/>
        </w:rPr>
        <w:t>creşterea</w:t>
      </w:r>
      <w:proofErr w:type="spellEnd"/>
      <w:r w:rsidR="00C26C38" w:rsidRPr="00E76097">
        <w:rPr>
          <w:rFonts w:ascii="Times New Roman" w:hAnsi="Times New Roman"/>
          <w:sz w:val="28"/>
          <w:szCs w:val="28"/>
        </w:rPr>
        <w:t xml:space="preserve"> anuală a numărului de sechestre aplicate, fiind redus gradul de încasare a restanțelor la BPN, precum și </w:t>
      </w:r>
      <w:proofErr w:type="spellStart"/>
      <w:r w:rsidR="00C26C38" w:rsidRPr="00E76097">
        <w:rPr>
          <w:rFonts w:ascii="Times New Roman" w:hAnsi="Times New Roman"/>
          <w:sz w:val="28"/>
          <w:szCs w:val="28"/>
        </w:rPr>
        <w:t>rezultativitatea</w:t>
      </w:r>
      <w:proofErr w:type="spellEnd"/>
      <w:r w:rsidR="00C26C38" w:rsidRPr="00E76097">
        <w:rPr>
          <w:rFonts w:ascii="Times New Roman" w:hAnsi="Times New Roman"/>
          <w:sz w:val="28"/>
          <w:szCs w:val="28"/>
        </w:rPr>
        <w:t xml:space="preserve"> acestei modalități de executare silită a obligației fiscale. </w:t>
      </w:r>
      <w:r w:rsidR="00C26C38" w:rsidRPr="00E76097">
        <w:rPr>
          <w:rFonts w:ascii="Times New Roman" w:hAnsi="Times New Roman" w:cs="Times New Roman"/>
          <w:i/>
          <w:sz w:val="28"/>
          <w:szCs w:val="28"/>
        </w:rPr>
        <w:t xml:space="preserve">Situația </w:t>
      </w:r>
      <w:r w:rsidR="00C26C38" w:rsidRPr="00E76097">
        <w:rPr>
          <w:rFonts w:ascii="Times New Roman" w:hAnsi="Times New Roman" w:cs="Times New Roman"/>
          <w:i/>
          <w:sz w:val="28"/>
          <w:szCs w:val="28"/>
        </w:rPr>
        <w:lastRenderedPageBreak/>
        <w:t xml:space="preserve">privind rezultatele comercializării bunurilor sechestrate în perioada </w:t>
      </w:r>
      <w:r w:rsidR="00B86853">
        <w:rPr>
          <w:rFonts w:ascii="Times New Roman" w:hAnsi="Times New Roman" w:cs="Times New Roman"/>
          <w:i/>
          <w:sz w:val="28"/>
          <w:szCs w:val="28"/>
        </w:rPr>
        <w:t xml:space="preserve">anilor </w:t>
      </w:r>
      <w:r w:rsidR="00C26C38" w:rsidRPr="00E76097">
        <w:rPr>
          <w:rFonts w:ascii="Times New Roman" w:hAnsi="Times New Roman" w:cs="Times New Roman"/>
          <w:i/>
          <w:sz w:val="28"/>
          <w:szCs w:val="28"/>
        </w:rPr>
        <w:t>2015-2017</w:t>
      </w:r>
      <w:r w:rsidR="00C26C38" w:rsidRPr="00E76097">
        <w:rPr>
          <w:rFonts w:ascii="Times New Roman" w:hAnsi="Times New Roman" w:cs="Times New Roman"/>
          <w:sz w:val="28"/>
          <w:szCs w:val="28"/>
        </w:rPr>
        <w:t xml:space="preserve"> </w:t>
      </w:r>
      <w:r w:rsidR="00B86853">
        <w:rPr>
          <w:rFonts w:ascii="Times New Roman" w:hAnsi="Times New Roman" w:cs="Times New Roman"/>
          <w:i/>
          <w:sz w:val="28"/>
          <w:szCs w:val="28"/>
        </w:rPr>
        <w:t>este</w:t>
      </w:r>
      <w:r w:rsidR="00C26C38" w:rsidRPr="00E76097">
        <w:rPr>
          <w:rFonts w:ascii="Times New Roman" w:hAnsi="Times New Roman" w:cs="Times New Roman"/>
          <w:i/>
          <w:sz w:val="28"/>
          <w:szCs w:val="28"/>
        </w:rPr>
        <w:t xml:space="preserve"> prez</w:t>
      </w:r>
      <w:r w:rsidR="00B86853">
        <w:rPr>
          <w:rFonts w:ascii="Times New Roman" w:hAnsi="Times New Roman" w:cs="Times New Roman"/>
          <w:i/>
          <w:sz w:val="28"/>
          <w:szCs w:val="28"/>
        </w:rPr>
        <w:t>enta</w:t>
      </w:r>
      <w:r w:rsidR="00C26C38" w:rsidRPr="00E76097">
        <w:rPr>
          <w:rFonts w:ascii="Times New Roman" w:hAnsi="Times New Roman" w:cs="Times New Roman"/>
          <w:i/>
          <w:sz w:val="28"/>
          <w:szCs w:val="28"/>
        </w:rPr>
        <w:t xml:space="preserve">tă în Tabelul </w:t>
      </w:r>
      <w:r w:rsidR="00E76097" w:rsidRPr="00E76097">
        <w:rPr>
          <w:rFonts w:ascii="Times New Roman" w:hAnsi="Times New Roman" w:cs="Times New Roman"/>
          <w:i/>
          <w:sz w:val="28"/>
          <w:szCs w:val="28"/>
        </w:rPr>
        <w:t>nr.17</w:t>
      </w:r>
      <w:r w:rsidR="006C55AB" w:rsidRPr="00E76097">
        <w:rPr>
          <w:rFonts w:ascii="Times New Roman" w:hAnsi="Times New Roman" w:cs="Times New Roman"/>
          <w:i/>
          <w:sz w:val="28"/>
          <w:szCs w:val="28"/>
        </w:rPr>
        <w:t xml:space="preserve"> din Anexa nr.3</w:t>
      </w:r>
      <w:r w:rsidR="002F1B56" w:rsidRPr="00E76097">
        <w:rPr>
          <w:rFonts w:ascii="Times New Roman" w:hAnsi="Times New Roman" w:cs="Times New Roman"/>
          <w:i/>
          <w:sz w:val="28"/>
          <w:szCs w:val="28"/>
        </w:rPr>
        <w:t xml:space="preserve"> la Raport</w:t>
      </w:r>
      <w:r w:rsidR="00B86853">
        <w:rPr>
          <w:rFonts w:ascii="Times New Roman" w:hAnsi="Times New Roman" w:cs="Times New Roman"/>
          <w:i/>
          <w:sz w:val="28"/>
          <w:szCs w:val="28"/>
        </w:rPr>
        <w:t>ul</w:t>
      </w:r>
      <w:r w:rsidR="002F1B56" w:rsidRPr="00E76097">
        <w:rPr>
          <w:rFonts w:ascii="Times New Roman" w:hAnsi="Times New Roman" w:cs="Times New Roman"/>
          <w:i/>
          <w:sz w:val="28"/>
          <w:szCs w:val="28"/>
        </w:rPr>
        <w:t xml:space="preserve"> de audit</w:t>
      </w:r>
      <w:r w:rsidR="00C26C38" w:rsidRPr="00E76097">
        <w:rPr>
          <w:rFonts w:ascii="Times New Roman" w:hAnsi="Times New Roman" w:cs="Times New Roman"/>
          <w:i/>
          <w:sz w:val="28"/>
          <w:szCs w:val="28"/>
        </w:rPr>
        <w:t>.</w:t>
      </w:r>
    </w:p>
    <w:p w:rsidR="00305F7A" w:rsidRPr="001D0846" w:rsidRDefault="00C26C38" w:rsidP="005A33C9">
      <w:pPr>
        <w:spacing w:after="0" w:line="276" w:lineRule="auto"/>
        <w:ind w:firstLine="709"/>
        <w:jc w:val="both"/>
        <w:rPr>
          <w:rFonts w:ascii="Times New Roman" w:eastAsia="Times New Roman" w:hAnsi="Times New Roman" w:cs="Times New Roman"/>
          <w:sz w:val="28"/>
          <w:szCs w:val="28"/>
        </w:rPr>
      </w:pPr>
      <w:r w:rsidRPr="00E76097">
        <w:rPr>
          <w:rFonts w:ascii="Times New Roman" w:eastAsia="Times New Roman" w:hAnsi="Times New Roman" w:cs="Times New Roman"/>
          <w:sz w:val="28"/>
          <w:szCs w:val="28"/>
        </w:rPr>
        <w:t xml:space="preserve">Analiza datelor prezentate în </w:t>
      </w:r>
      <w:r w:rsidR="00B86853">
        <w:rPr>
          <w:rFonts w:ascii="Times New Roman" w:eastAsia="Times New Roman" w:hAnsi="Times New Roman" w:cs="Times New Roman"/>
          <w:sz w:val="28"/>
          <w:szCs w:val="28"/>
        </w:rPr>
        <w:t>t</w:t>
      </w:r>
      <w:r w:rsidRPr="00E76097">
        <w:rPr>
          <w:rFonts w:ascii="Times New Roman" w:eastAsia="Times New Roman" w:hAnsi="Times New Roman" w:cs="Times New Roman"/>
          <w:sz w:val="28"/>
          <w:szCs w:val="28"/>
        </w:rPr>
        <w:t xml:space="preserve">abel relevă că suma veniturilor încasate de la comercializarea bunurilor sechestrate pe parcursul anilor 2015-2017 este nesemnificativă, variind de la 3151,1 mii lei în anul 2015 până la 6157,1 mii lei în </w:t>
      </w:r>
      <w:r w:rsidR="00B86853">
        <w:rPr>
          <w:rFonts w:ascii="Times New Roman" w:eastAsia="Times New Roman" w:hAnsi="Times New Roman" w:cs="Times New Roman"/>
          <w:sz w:val="28"/>
          <w:szCs w:val="28"/>
        </w:rPr>
        <w:t xml:space="preserve">anul </w:t>
      </w:r>
      <w:r w:rsidRPr="00E76097">
        <w:rPr>
          <w:rFonts w:ascii="Times New Roman" w:eastAsia="Times New Roman" w:hAnsi="Times New Roman" w:cs="Times New Roman"/>
          <w:sz w:val="28"/>
          <w:szCs w:val="28"/>
        </w:rPr>
        <w:t>2017.</w:t>
      </w:r>
    </w:p>
    <w:p w:rsidR="00D43D15" w:rsidRPr="001D0846" w:rsidRDefault="00D43D15" w:rsidP="005A33C9">
      <w:pPr>
        <w:spacing w:after="0" w:line="276" w:lineRule="auto"/>
        <w:ind w:firstLine="709"/>
        <w:jc w:val="both"/>
        <w:rPr>
          <w:rFonts w:ascii="Times New Roman" w:eastAsia="Times New Roman" w:hAnsi="Times New Roman" w:cs="Times New Roman"/>
          <w:iCs/>
          <w:sz w:val="28"/>
          <w:szCs w:val="28"/>
        </w:rPr>
      </w:pPr>
    </w:p>
    <w:p w:rsidR="008150B5" w:rsidRPr="001D0846" w:rsidRDefault="00477706" w:rsidP="008150B5">
      <w:pPr>
        <w:spacing w:after="0" w:line="276" w:lineRule="auto"/>
        <w:ind w:firstLine="709"/>
        <w:jc w:val="both"/>
        <w:rPr>
          <w:rFonts w:ascii="Times New Roman" w:eastAsia="Times New Roman" w:hAnsi="Times New Roman" w:cs="Times New Roman"/>
          <w:i/>
          <w:sz w:val="28"/>
          <w:szCs w:val="28"/>
        </w:rPr>
      </w:pPr>
      <w:r w:rsidRPr="00477706">
        <w:rPr>
          <w:rFonts w:ascii="Times New Roman" w:eastAsia="Times New Roman" w:hAnsi="Times New Roman" w:cs="Times New Roman"/>
          <w:b/>
          <w:i/>
          <w:sz w:val="28"/>
          <w:szCs w:val="28"/>
        </w:rPr>
        <w:t>3.5.2.</w:t>
      </w:r>
      <w:r>
        <w:rPr>
          <w:rFonts w:ascii="Times New Roman" w:eastAsia="Times New Roman" w:hAnsi="Times New Roman" w:cs="Times New Roman"/>
          <w:i/>
          <w:sz w:val="28"/>
          <w:szCs w:val="28"/>
        </w:rPr>
        <w:t xml:space="preserve"> </w:t>
      </w:r>
      <w:r w:rsidR="00C26C38" w:rsidRPr="00E76097">
        <w:rPr>
          <w:rFonts w:ascii="Times New Roman" w:eastAsia="Times New Roman" w:hAnsi="Times New Roman" w:cs="Times New Roman"/>
          <w:sz w:val="28"/>
          <w:szCs w:val="28"/>
        </w:rPr>
        <w:t xml:space="preserve">Restanțele administrate de SV </w:t>
      </w:r>
      <w:r w:rsidR="00B86853">
        <w:rPr>
          <w:rFonts w:ascii="Times New Roman" w:eastAsia="Times New Roman" w:hAnsi="Times New Roman" w:cs="Times New Roman"/>
          <w:sz w:val="28"/>
          <w:szCs w:val="28"/>
        </w:rPr>
        <w:t>înregistrează</w:t>
      </w:r>
      <w:r w:rsidR="00C26C38" w:rsidRPr="00E76097">
        <w:rPr>
          <w:rFonts w:ascii="Times New Roman" w:eastAsia="Times New Roman" w:hAnsi="Times New Roman" w:cs="Times New Roman"/>
          <w:sz w:val="28"/>
          <w:szCs w:val="28"/>
        </w:rPr>
        <w:t xml:space="preserve"> o evoluție ascendentă, fiind în creștere de la 307,2 mil.lei în anul 2015 până la 385,8 mil.lei în anul 2017.</w:t>
      </w:r>
      <w:r w:rsidR="00C26C38" w:rsidRPr="001D0846">
        <w:rPr>
          <w:rFonts w:ascii="Times New Roman" w:eastAsia="Times New Roman" w:hAnsi="Times New Roman" w:cs="Times New Roman"/>
          <w:sz w:val="28"/>
          <w:szCs w:val="28"/>
        </w:rPr>
        <w:t xml:space="preserve"> </w:t>
      </w:r>
      <w:r w:rsidR="00C26C38" w:rsidRPr="001D0846">
        <w:rPr>
          <w:rFonts w:ascii="Times New Roman" w:eastAsia="Times New Roman" w:hAnsi="Times New Roman" w:cs="Times New Roman"/>
          <w:i/>
          <w:sz w:val="28"/>
          <w:szCs w:val="28"/>
        </w:rPr>
        <w:t>Informația privind evoluția restanțelor la BS</w:t>
      </w:r>
      <w:r w:rsidR="00B86853">
        <w:rPr>
          <w:rFonts w:ascii="Times New Roman" w:eastAsia="Times New Roman" w:hAnsi="Times New Roman" w:cs="Times New Roman"/>
          <w:i/>
          <w:sz w:val="28"/>
          <w:szCs w:val="28"/>
        </w:rPr>
        <w:t>,</w:t>
      </w:r>
      <w:r w:rsidR="00C26C38" w:rsidRPr="001D0846">
        <w:rPr>
          <w:rFonts w:ascii="Times New Roman" w:eastAsia="Times New Roman" w:hAnsi="Times New Roman" w:cs="Times New Roman"/>
          <w:i/>
          <w:sz w:val="28"/>
          <w:szCs w:val="28"/>
        </w:rPr>
        <w:t xml:space="preserve"> administrate de SV</w:t>
      </w:r>
      <w:r w:rsidR="00B86853">
        <w:rPr>
          <w:rFonts w:ascii="Times New Roman" w:eastAsia="Times New Roman" w:hAnsi="Times New Roman" w:cs="Times New Roman"/>
          <w:i/>
          <w:sz w:val="28"/>
          <w:szCs w:val="28"/>
        </w:rPr>
        <w:t>,</w:t>
      </w:r>
      <w:r w:rsidR="00C26C38" w:rsidRPr="001D0846">
        <w:rPr>
          <w:rFonts w:ascii="Times New Roman" w:eastAsia="Times New Roman" w:hAnsi="Times New Roman" w:cs="Times New Roman"/>
          <w:i/>
          <w:sz w:val="28"/>
          <w:szCs w:val="28"/>
        </w:rPr>
        <w:t xml:space="preserve"> </w:t>
      </w:r>
      <w:r w:rsidR="00B86853">
        <w:rPr>
          <w:rFonts w:ascii="Times New Roman" w:eastAsia="Times New Roman" w:hAnsi="Times New Roman" w:cs="Times New Roman"/>
          <w:i/>
          <w:sz w:val="28"/>
          <w:szCs w:val="28"/>
        </w:rPr>
        <w:t>este</w:t>
      </w:r>
      <w:r w:rsidR="00C26C38" w:rsidRPr="001D0846">
        <w:rPr>
          <w:rFonts w:ascii="Times New Roman" w:eastAsia="Times New Roman" w:hAnsi="Times New Roman" w:cs="Times New Roman"/>
          <w:i/>
          <w:sz w:val="28"/>
          <w:szCs w:val="28"/>
        </w:rPr>
        <w:t xml:space="preserve"> prez</w:t>
      </w:r>
      <w:r w:rsidR="00B86853">
        <w:rPr>
          <w:rFonts w:ascii="Times New Roman" w:eastAsia="Times New Roman" w:hAnsi="Times New Roman" w:cs="Times New Roman"/>
          <w:i/>
          <w:sz w:val="28"/>
          <w:szCs w:val="28"/>
        </w:rPr>
        <w:t>enta</w:t>
      </w:r>
      <w:r w:rsidR="00C26C38" w:rsidRPr="001D0846">
        <w:rPr>
          <w:rFonts w:ascii="Times New Roman" w:eastAsia="Times New Roman" w:hAnsi="Times New Roman" w:cs="Times New Roman"/>
          <w:i/>
          <w:sz w:val="28"/>
          <w:szCs w:val="28"/>
        </w:rPr>
        <w:t xml:space="preserve">tă în Tabelul </w:t>
      </w:r>
      <w:r w:rsidR="00D17F6C" w:rsidRPr="001D0846">
        <w:rPr>
          <w:rFonts w:ascii="Times New Roman" w:eastAsia="Times New Roman" w:hAnsi="Times New Roman" w:cs="Times New Roman"/>
          <w:i/>
          <w:sz w:val="28"/>
          <w:szCs w:val="28"/>
        </w:rPr>
        <w:t>nr.</w:t>
      </w:r>
      <w:r w:rsidR="00FC01FD" w:rsidRPr="001D0846">
        <w:rPr>
          <w:rFonts w:ascii="Times New Roman" w:eastAsia="Times New Roman" w:hAnsi="Times New Roman" w:cs="Times New Roman"/>
          <w:i/>
          <w:sz w:val="28"/>
          <w:szCs w:val="28"/>
        </w:rPr>
        <w:t>1</w:t>
      </w:r>
      <w:r w:rsidR="00E76097">
        <w:rPr>
          <w:rFonts w:ascii="Times New Roman" w:eastAsia="Times New Roman" w:hAnsi="Times New Roman" w:cs="Times New Roman"/>
          <w:i/>
          <w:sz w:val="28"/>
          <w:szCs w:val="28"/>
        </w:rPr>
        <w:t>8</w:t>
      </w:r>
      <w:r w:rsidR="00FC01FD" w:rsidRPr="001D0846">
        <w:rPr>
          <w:rFonts w:ascii="Times New Roman" w:eastAsia="Times New Roman" w:hAnsi="Times New Roman" w:cs="Times New Roman"/>
          <w:i/>
          <w:sz w:val="28"/>
          <w:szCs w:val="28"/>
        </w:rPr>
        <w:t xml:space="preserve"> din Anexa nr.3</w:t>
      </w:r>
      <w:r w:rsidR="002F1B56" w:rsidRPr="001D0846">
        <w:rPr>
          <w:rFonts w:ascii="Times New Roman" w:eastAsia="Times New Roman" w:hAnsi="Times New Roman" w:cs="Times New Roman"/>
          <w:i/>
          <w:sz w:val="28"/>
          <w:szCs w:val="28"/>
        </w:rPr>
        <w:t xml:space="preserve"> la Raport</w:t>
      </w:r>
      <w:r w:rsidR="00B86853">
        <w:rPr>
          <w:rFonts w:ascii="Times New Roman" w:eastAsia="Times New Roman" w:hAnsi="Times New Roman" w:cs="Times New Roman"/>
          <w:i/>
          <w:sz w:val="28"/>
          <w:szCs w:val="28"/>
        </w:rPr>
        <w:t>ul</w:t>
      </w:r>
      <w:r w:rsidR="002F1B56" w:rsidRPr="001D0846">
        <w:rPr>
          <w:rFonts w:ascii="Times New Roman" w:eastAsia="Times New Roman" w:hAnsi="Times New Roman" w:cs="Times New Roman"/>
          <w:i/>
          <w:sz w:val="28"/>
          <w:szCs w:val="28"/>
        </w:rPr>
        <w:t xml:space="preserve"> de audit</w:t>
      </w:r>
      <w:r w:rsidR="00C26C38" w:rsidRPr="001D0846">
        <w:rPr>
          <w:rFonts w:ascii="Times New Roman" w:eastAsia="Times New Roman" w:hAnsi="Times New Roman" w:cs="Times New Roman"/>
          <w:i/>
          <w:sz w:val="28"/>
          <w:szCs w:val="28"/>
        </w:rPr>
        <w:t>.</w:t>
      </w:r>
    </w:p>
    <w:p w:rsidR="00C26C38" w:rsidRPr="001D0846" w:rsidRDefault="00390849" w:rsidP="006358AD">
      <w:pPr>
        <w:pStyle w:val="a9"/>
        <w:spacing w:after="0" w:line="276" w:lineRule="auto"/>
        <w:ind w:firstLine="720"/>
        <w:jc w:val="both"/>
        <w:rPr>
          <w:color w:val="000000"/>
          <w:sz w:val="28"/>
          <w:szCs w:val="28"/>
        </w:rPr>
      </w:pPr>
      <w:r>
        <w:rPr>
          <w:sz w:val="28"/>
          <w:szCs w:val="28"/>
        </w:rPr>
        <w:t>D</w:t>
      </w:r>
      <w:r w:rsidR="002F1B56" w:rsidRPr="001D0846">
        <w:rPr>
          <w:sz w:val="28"/>
          <w:szCs w:val="28"/>
        </w:rPr>
        <w:t>atel</w:t>
      </w:r>
      <w:r>
        <w:rPr>
          <w:sz w:val="28"/>
          <w:szCs w:val="28"/>
        </w:rPr>
        <w:t>e</w:t>
      </w:r>
      <w:r w:rsidR="00C26C38" w:rsidRPr="001D0846">
        <w:rPr>
          <w:sz w:val="28"/>
          <w:szCs w:val="28"/>
        </w:rPr>
        <w:t xml:space="preserve"> </w:t>
      </w:r>
      <w:r>
        <w:rPr>
          <w:sz w:val="28"/>
          <w:szCs w:val="28"/>
        </w:rPr>
        <w:t>din</w:t>
      </w:r>
      <w:r w:rsidR="00C26C38" w:rsidRPr="001D0846">
        <w:rPr>
          <w:sz w:val="28"/>
          <w:szCs w:val="28"/>
        </w:rPr>
        <w:t xml:space="preserve"> </w:t>
      </w:r>
      <w:r>
        <w:rPr>
          <w:sz w:val="28"/>
          <w:szCs w:val="28"/>
        </w:rPr>
        <w:t>t</w:t>
      </w:r>
      <w:r w:rsidR="00C26C38" w:rsidRPr="001D0846">
        <w:rPr>
          <w:sz w:val="28"/>
          <w:szCs w:val="28"/>
        </w:rPr>
        <w:t xml:space="preserve">abel </w:t>
      </w:r>
      <w:r>
        <w:rPr>
          <w:sz w:val="28"/>
          <w:szCs w:val="28"/>
        </w:rPr>
        <w:t>indică</w:t>
      </w:r>
      <w:r w:rsidR="00C26C38" w:rsidRPr="001D0846">
        <w:rPr>
          <w:sz w:val="28"/>
          <w:szCs w:val="28"/>
        </w:rPr>
        <w:t xml:space="preserve"> o creștere a restanței la BS în anul 2017 cu </w:t>
      </w:r>
      <w:r w:rsidR="00C26C38" w:rsidRPr="001D0846">
        <w:rPr>
          <w:color w:val="000000"/>
          <w:sz w:val="28"/>
          <w:szCs w:val="28"/>
        </w:rPr>
        <w:t>66,3 mil.lei față de anul 2016 și cu 78,6 mil</w:t>
      </w:r>
      <w:r>
        <w:rPr>
          <w:color w:val="000000"/>
          <w:sz w:val="28"/>
          <w:szCs w:val="28"/>
        </w:rPr>
        <w:t>.</w:t>
      </w:r>
      <w:r w:rsidR="00C26C38" w:rsidRPr="001D0846">
        <w:rPr>
          <w:color w:val="000000"/>
          <w:sz w:val="28"/>
          <w:szCs w:val="28"/>
        </w:rPr>
        <w:t>lei față de anul 2015.</w:t>
      </w:r>
    </w:p>
    <w:p w:rsidR="002F1B56" w:rsidRPr="00E76097" w:rsidRDefault="00C26C38" w:rsidP="006358AD">
      <w:pPr>
        <w:pStyle w:val="a9"/>
        <w:spacing w:after="0" w:line="276" w:lineRule="auto"/>
        <w:ind w:firstLine="720"/>
        <w:jc w:val="both"/>
        <w:rPr>
          <w:i/>
          <w:color w:val="000000"/>
          <w:sz w:val="28"/>
          <w:szCs w:val="28"/>
        </w:rPr>
      </w:pPr>
      <w:r w:rsidRPr="00E76097">
        <w:rPr>
          <w:sz w:val="28"/>
          <w:szCs w:val="28"/>
        </w:rPr>
        <w:t>Analiza efectuată de audit asupra modului de formare și evoluției restanțelor în aspect cronologic relevă o dinamică ascendentă a restanțelor cu termen mai mare de 6 ani</w:t>
      </w:r>
      <w:r w:rsidR="00102813">
        <w:rPr>
          <w:sz w:val="28"/>
          <w:szCs w:val="28"/>
        </w:rPr>
        <w:t>, cu risc înalt de nerecuperare</w:t>
      </w:r>
      <w:r w:rsidRPr="00E76097">
        <w:rPr>
          <w:sz w:val="28"/>
          <w:szCs w:val="28"/>
        </w:rPr>
        <w:t>.</w:t>
      </w:r>
      <w:r w:rsidRPr="00E76097">
        <w:rPr>
          <w:color w:val="000000"/>
          <w:sz w:val="28"/>
          <w:szCs w:val="28"/>
        </w:rPr>
        <w:t xml:space="preserve"> </w:t>
      </w:r>
      <w:r w:rsidRPr="00E76097">
        <w:rPr>
          <w:i/>
          <w:color w:val="000000"/>
          <w:sz w:val="28"/>
          <w:szCs w:val="28"/>
        </w:rPr>
        <w:t>Informația privind dinamica restanțelor cu termen mai mare de 6 ani la BS</w:t>
      </w:r>
      <w:r w:rsidR="00390849">
        <w:rPr>
          <w:i/>
          <w:color w:val="000000"/>
          <w:sz w:val="28"/>
          <w:szCs w:val="28"/>
        </w:rPr>
        <w:t>,</w:t>
      </w:r>
      <w:r w:rsidRPr="00E76097">
        <w:rPr>
          <w:i/>
          <w:color w:val="000000"/>
          <w:sz w:val="28"/>
          <w:szCs w:val="28"/>
        </w:rPr>
        <w:t xml:space="preserve"> administrate de SV</w:t>
      </w:r>
      <w:r w:rsidR="00390849">
        <w:rPr>
          <w:i/>
          <w:color w:val="000000"/>
          <w:sz w:val="28"/>
          <w:szCs w:val="28"/>
        </w:rPr>
        <w:t>,</w:t>
      </w:r>
      <w:r w:rsidRPr="00E76097">
        <w:rPr>
          <w:i/>
          <w:color w:val="000000"/>
          <w:sz w:val="28"/>
          <w:szCs w:val="28"/>
        </w:rPr>
        <w:t xml:space="preserve"> </w:t>
      </w:r>
      <w:r w:rsidR="00390849">
        <w:rPr>
          <w:i/>
          <w:color w:val="000000"/>
          <w:sz w:val="28"/>
          <w:szCs w:val="28"/>
        </w:rPr>
        <w:t>este</w:t>
      </w:r>
      <w:r w:rsidRPr="00E76097">
        <w:rPr>
          <w:i/>
          <w:color w:val="000000"/>
          <w:sz w:val="28"/>
          <w:szCs w:val="28"/>
        </w:rPr>
        <w:t xml:space="preserve"> prez</w:t>
      </w:r>
      <w:r w:rsidR="00390849">
        <w:rPr>
          <w:i/>
          <w:color w:val="000000"/>
          <w:sz w:val="28"/>
          <w:szCs w:val="28"/>
        </w:rPr>
        <w:t>enta</w:t>
      </w:r>
      <w:r w:rsidRPr="00E76097">
        <w:rPr>
          <w:i/>
          <w:color w:val="000000"/>
          <w:sz w:val="28"/>
          <w:szCs w:val="28"/>
        </w:rPr>
        <w:t>tă în Diagrama nr.</w:t>
      </w:r>
      <w:r w:rsidR="00E76097">
        <w:rPr>
          <w:i/>
          <w:color w:val="000000"/>
          <w:sz w:val="28"/>
          <w:szCs w:val="28"/>
        </w:rPr>
        <w:t>13</w:t>
      </w:r>
      <w:r w:rsidR="008150B5" w:rsidRPr="00E76097">
        <w:rPr>
          <w:i/>
          <w:color w:val="000000"/>
          <w:sz w:val="28"/>
          <w:szCs w:val="28"/>
        </w:rPr>
        <w:t>.</w:t>
      </w:r>
    </w:p>
    <w:p w:rsidR="00E76097" w:rsidRDefault="008150B5" w:rsidP="0012392E">
      <w:pPr>
        <w:pStyle w:val="a9"/>
        <w:spacing w:after="0" w:line="276" w:lineRule="auto"/>
        <w:jc w:val="right"/>
        <w:rPr>
          <w:b/>
          <w:i/>
          <w:color w:val="000000"/>
          <w:sz w:val="28"/>
          <w:szCs w:val="28"/>
        </w:rPr>
      </w:pPr>
      <w:r w:rsidRPr="001D0846">
        <w:rPr>
          <w:b/>
          <w:i/>
          <w:color w:val="000000"/>
          <w:sz w:val="28"/>
          <w:szCs w:val="28"/>
        </w:rPr>
        <w:t>Diagrama nr.</w:t>
      </w:r>
      <w:r w:rsidR="00E76097">
        <w:rPr>
          <w:b/>
          <w:i/>
          <w:color w:val="000000"/>
          <w:sz w:val="28"/>
          <w:szCs w:val="28"/>
        </w:rPr>
        <w:t>13</w:t>
      </w:r>
    </w:p>
    <w:p w:rsidR="008150B5" w:rsidRPr="00852CF1" w:rsidRDefault="0012392E" w:rsidP="0012392E">
      <w:pPr>
        <w:pStyle w:val="a9"/>
        <w:spacing w:after="0" w:line="276" w:lineRule="auto"/>
        <w:jc w:val="right"/>
        <w:rPr>
          <w:i/>
          <w:color w:val="000000"/>
          <w:sz w:val="28"/>
          <w:szCs w:val="28"/>
        </w:rPr>
      </w:pPr>
      <w:r w:rsidRPr="001D0846">
        <w:rPr>
          <w:b/>
          <w:i/>
          <w:color w:val="000000"/>
          <w:sz w:val="28"/>
          <w:szCs w:val="28"/>
        </w:rPr>
        <w:t xml:space="preserve"> </w:t>
      </w:r>
      <w:r w:rsidR="008150B5" w:rsidRPr="00852CF1">
        <w:rPr>
          <w:i/>
          <w:color w:val="000000"/>
          <w:sz w:val="28"/>
          <w:szCs w:val="28"/>
        </w:rPr>
        <w:t>(mil.lei)</w:t>
      </w:r>
    </w:p>
    <w:p w:rsidR="008150B5" w:rsidRPr="001D0846" w:rsidRDefault="008150B5" w:rsidP="00E76097">
      <w:pPr>
        <w:pStyle w:val="a9"/>
        <w:spacing w:after="0" w:line="276" w:lineRule="auto"/>
        <w:ind w:left="-90"/>
        <w:jc w:val="center"/>
        <w:rPr>
          <w:color w:val="000000"/>
          <w:sz w:val="28"/>
          <w:szCs w:val="28"/>
        </w:rPr>
      </w:pPr>
      <w:r w:rsidRPr="001D0846">
        <w:rPr>
          <w:noProof/>
          <w:lang w:val="ru-RU" w:eastAsia="ru-RU"/>
        </w:rPr>
        <w:drawing>
          <wp:inline distT="0" distB="0" distL="0" distR="0" wp14:anchorId="76EC6B55" wp14:editId="66DE87ED">
            <wp:extent cx="5935980" cy="2506980"/>
            <wp:effectExtent l="0" t="0" r="7620" b="762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50B5" w:rsidRPr="001D0846" w:rsidRDefault="008150B5" w:rsidP="00E76097">
      <w:pPr>
        <w:spacing w:after="0" w:line="240" w:lineRule="auto"/>
        <w:ind w:right="43"/>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 generalizate de către echipa de audit în baza informațiilor din rapoartele privind datoriile agenților economici față de BS pe anii 2015-2017.</w:t>
      </w:r>
    </w:p>
    <w:p w:rsidR="008150B5" w:rsidRPr="001D0846" w:rsidRDefault="008150B5" w:rsidP="00BD61CA">
      <w:pPr>
        <w:pStyle w:val="a9"/>
        <w:spacing w:after="0" w:line="276" w:lineRule="auto"/>
        <w:jc w:val="both"/>
        <w:rPr>
          <w:b/>
          <w:color w:val="000000"/>
          <w:sz w:val="28"/>
          <w:szCs w:val="28"/>
        </w:rPr>
      </w:pPr>
    </w:p>
    <w:p w:rsidR="00C26C38" w:rsidRPr="001D0846" w:rsidRDefault="00203957" w:rsidP="006358AD">
      <w:pPr>
        <w:pStyle w:val="a9"/>
        <w:spacing w:after="0" w:line="276" w:lineRule="auto"/>
        <w:ind w:firstLine="720"/>
        <w:jc w:val="both"/>
        <w:rPr>
          <w:sz w:val="28"/>
          <w:szCs w:val="28"/>
        </w:rPr>
      </w:pPr>
      <w:r w:rsidRPr="001D0846">
        <w:rPr>
          <w:color w:val="000000"/>
          <w:sz w:val="28"/>
          <w:szCs w:val="28"/>
        </w:rPr>
        <w:t>Audit</w:t>
      </w:r>
      <w:r w:rsidR="00390849">
        <w:rPr>
          <w:color w:val="000000"/>
          <w:sz w:val="28"/>
          <w:szCs w:val="28"/>
        </w:rPr>
        <w:t>ul a constatat</w:t>
      </w:r>
      <w:r w:rsidR="00C26C38" w:rsidRPr="001D0846">
        <w:rPr>
          <w:color w:val="000000"/>
          <w:sz w:val="28"/>
          <w:szCs w:val="28"/>
        </w:rPr>
        <w:t xml:space="preserve"> că</w:t>
      </w:r>
      <w:r w:rsidRPr="001D0846">
        <w:rPr>
          <w:color w:val="000000"/>
          <w:sz w:val="28"/>
          <w:szCs w:val="28"/>
        </w:rPr>
        <w:t>,</w:t>
      </w:r>
      <w:r w:rsidR="00C26C38" w:rsidRPr="001D0846">
        <w:rPr>
          <w:color w:val="000000"/>
          <w:sz w:val="28"/>
          <w:szCs w:val="28"/>
        </w:rPr>
        <w:t xml:space="preserve"> în</w:t>
      </w:r>
      <w:r w:rsidR="00390849">
        <w:rPr>
          <w:color w:val="000000"/>
          <w:sz w:val="28"/>
          <w:szCs w:val="28"/>
        </w:rPr>
        <w:t xml:space="preserve"> anul</w:t>
      </w:r>
      <w:r w:rsidR="00C26C38" w:rsidRPr="001D0846">
        <w:rPr>
          <w:color w:val="000000"/>
          <w:sz w:val="28"/>
          <w:szCs w:val="28"/>
        </w:rPr>
        <w:t xml:space="preserve"> 2017</w:t>
      </w:r>
      <w:r w:rsidR="00390849">
        <w:rPr>
          <w:color w:val="000000"/>
          <w:sz w:val="28"/>
          <w:szCs w:val="28"/>
        </w:rPr>
        <w:t>,</w:t>
      </w:r>
      <w:r w:rsidR="00C26C38" w:rsidRPr="001D0846">
        <w:rPr>
          <w:color w:val="000000"/>
          <w:sz w:val="28"/>
          <w:szCs w:val="28"/>
        </w:rPr>
        <w:t xml:space="preserve"> restanțele cu termen mai mare de 6 ani au crescut cu 19,2 mil</w:t>
      </w:r>
      <w:r w:rsidR="008502CF">
        <w:rPr>
          <w:color w:val="000000"/>
          <w:sz w:val="28"/>
          <w:szCs w:val="28"/>
        </w:rPr>
        <w:t>.</w:t>
      </w:r>
      <w:r w:rsidR="00C26C38" w:rsidRPr="001D0846">
        <w:rPr>
          <w:color w:val="000000"/>
          <w:sz w:val="28"/>
          <w:szCs w:val="28"/>
        </w:rPr>
        <w:t xml:space="preserve">lei față de anul 2016 și cu 19,6 mil.lei față de anul 2015. </w:t>
      </w:r>
      <w:r w:rsidR="008502CF">
        <w:rPr>
          <w:color w:val="000000"/>
          <w:sz w:val="28"/>
          <w:szCs w:val="28"/>
        </w:rPr>
        <w:t>N</w:t>
      </w:r>
      <w:r w:rsidR="00C26C38" w:rsidRPr="001D0846">
        <w:rPr>
          <w:sz w:val="28"/>
          <w:szCs w:val="28"/>
        </w:rPr>
        <w:t>eluarea de măsuri în vederea recuperării acestor restanțe generează risc</w:t>
      </w:r>
      <w:r w:rsidR="008502CF">
        <w:rPr>
          <w:sz w:val="28"/>
          <w:szCs w:val="28"/>
        </w:rPr>
        <w:t>ul</w:t>
      </w:r>
      <w:r w:rsidR="00C26C38" w:rsidRPr="001D0846">
        <w:rPr>
          <w:sz w:val="28"/>
          <w:szCs w:val="28"/>
        </w:rPr>
        <w:t xml:space="preserve"> de formare a restanțelor nerecuperabile și intrarea agenților economici în </w:t>
      </w:r>
      <w:r w:rsidR="00A251F7" w:rsidRPr="001D0846">
        <w:rPr>
          <w:sz w:val="28"/>
          <w:szCs w:val="28"/>
        </w:rPr>
        <w:t>stare specială</w:t>
      </w:r>
      <w:r w:rsidR="00C26C38" w:rsidRPr="001D0846">
        <w:rPr>
          <w:sz w:val="28"/>
          <w:szCs w:val="28"/>
        </w:rPr>
        <w:t xml:space="preserve"> (insolvabilitate, lichidare).</w:t>
      </w:r>
    </w:p>
    <w:p w:rsidR="003E07C3" w:rsidRPr="001D0846" w:rsidRDefault="003E07C3" w:rsidP="00EE1A86">
      <w:pPr>
        <w:spacing w:after="0" w:line="276" w:lineRule="auto"/>
        <w:ind w:firstLine="706"/>
        <w:jc w:val="both"/>
        <w:rPr>
          <w:rFonts w:ascii="Times New Roman" w:hAnsi="Times New Roman"/>
          <w:sz w:val="28"/>
          <w:szCs w:val="28"/>
          <w:lang w:val="ro-MD"/>
        </w:rPr>
      </w:pPr>
      <w:r w:rsidRPr="005F66C3">
        <w:rPr>
          <w:rFonts w:ascii="Times New Roman" w:hAnsi="Times New Roman"/>
          <w:sz w:val="28"/>
          <w:szCs w:val="28"/>
          <w:lang w:val="ro-MD"/>
        </w:rPr>
        <w:lastRenderedPageBreak/>
        <w:t>Potrivit motivației persoanelor responsabile din cadrul SV, în suma debito</w:t>
      </w:r>
      <w:r w:rsidR="005F66C3" w:rsidRPr="005F66C3">
        <w:rPr>
          <w:rFonts w:ascii="Times New Roman" w:hAnsi="Times New Roman"/>
          <w:sz w:val="28"/>
          <w:szCs w:val="28"/>
          <w:lang w:val="ro-MD"/>
        </w:rPr>
        <w:t>are</w:t>
      </w:r>
      <w:r w:rsidRPr="005F66C3">
        <w:rPr>
          <w:rFonts w:ascii="Times New Roman" w:hAnsi="Times New Roman"/>
          <w:sz w:val="28"/>
          <w:szCs w:val="28"/>
          <w:lang w:val="ro-MD"/>
        </w:rPr>
        <w:t xml:space="preserve"> respectivă, c</w:t>
      </w:r>
      <w:r w:rsidR="008502CF" w:rsidRPr="005F66C3">
        <w:rPr>
          <w:rFonts w:ascii="Times New Roman" w:hAnsi="Times New Roman"/>
          <w:sz w:val="28"/>
          <w:szCs w:val="28"/>
          <w:lang w:val="ro-MD"/>
        </w:rPr>
        <w:t>ar</w:t>
      </w:r>
      <w:r w:rsidRPr="005F66C3">
        <w:rPr>
          <w:rFonts w:ascii="Times New Roman" w:hAnsi="Times New Roman"/>
          <w:sz w:val="28"/>
          <w:szCs w:val="28"/>
          <w:lang w:val="ro-MD"/>
        </w:rPr>
        <w:t>e se majorează față de anii precedenți, se cumulează</w:t>
      </w:r>
      <w:r w:rsidRPr="001D0846">
        <w:rPr>
          <w:rFonts w:ascii="Times New Roman" w:hAnsi="Times New Roman"/>
          <w:sz w:val="28"/>
          <w:szCs w:val="28"/>
          <w:lang w:val="ro-MD"/>
        </w:rPr>
        <w:t xml:space="preserve"> și sumele calculate pentru debitorii în privința cărora a fost intentată procedura de insolvabilitate, </w:t>
      </w:r>
      <w:r w:rsidRPr="005F66C3">
        <w:rPr>
          <w:rFonts w:ascii="Times New Roman" w:hAnsi="Times New Roman"/>
          <w:sz w:val="28"/>
          <w:szCs w:val="28"/>
          <w:lang w:val="ro-MD"/>
        </w:rPr>
        <w:t>care</w:t>
      </w:r>
      <w:r w:rsidR="003F4798" w:rsidRPr="005F66C3">
        <w:rPr>
          <w:rFonts w:ascii="Times New Roman" w:hAnsi="Times New Roman"/>
          <w:sz w:val="28"/>
          <w:szCs w:val="28"/>
          <w:lang w:val="ro-MD"/>
        </w:rPr>
        <w:t>,</w:t>
      </w:r>
      <w:r w:rsidRPr="005F66C3">
        <w:rPr>
          <w:rFonts w:ascii="Times New Roman" w:hAnsi="Times New Roman"/>
          <w:sz w:val="28"/>
          <w:szCs w:val="28"/>
          <w:lang w:val="ro-MD"/>
        </w:rPr>
        <w:t xml:space="preserve"> respectiv</w:t>
      </w:r>
      <w:r w:rsidR="008502CF">
        <w:rPr>
          <w:rFonts w:ascii="Times New Roman" w:hAnsi="Times New Roman"/>
          <w:sz w:val="28"/>
          <w:szCs w:val="28"/>
          <w:lang w:val="ro-MD"/>
        </w:rPr>
        <w:t>,</w:t>
      </w:r>
      <w:r w:rsidRPr="001D0846">
        <w:rPr>
          <w:rFonts w:ascii="Times New Roman" w:hAnsi="Times New Roman"/>
          <w:sz w:val="28"/>
          <w:szCs w:val="28"/>
          <w:lang w:val="ro-MD"/>
        </w:rPr>
        <w:t xml:space="preserve"> odată cu intentarea acestei proceduri</w:t>
      </w:r>
      <w:r w:rsidR="008502CF">
        <w:rPr>
          <w:rFonts w:ascii="Times New Roman" w:hAnsi="Times New Roman"/>
          <w:sz w:val="28"/>
          <w:szCs w:val="28"/>
          <w:lang w:val="ro-MD"/>
        </w:rPr>
        <w:t>,</w:t>
      </w:r>
      <w:r w:rsidRPr="001D0846">
        <w:rPr>
          <w:rFonts w:ascii="Times New Roman" w:hAnsi="Times New Roman"/>
          <w:sz w:val="28"/>
          <w:szCs w:val="28"/>
          <w:lang w:val="ro-MD"/>
        </w:rPr>
        <w:t xml:space="preserve"> se interzice urmărirea individuală a </w:t>
      </w:r>
      <w:r w:rsidRPr="003F4798">
        <w:rPr>
          <w:rFonts w:ascii="Times New Roman" w:hAnsi="Times New Roman"/>
          <w:sz w:val="28"/>
          <w:szCs w:val="28"/>
          <w:lang w:val="ro-MD"/>
        </w:rPr>
        <w:t xml:space="preserve">datoriilor </w:t>
      </w:r>
      <w:proofErr w:type="spellStart"/>
      <w:r w:rsidRPr="003F4798">
        <w:rPr>
          <w:rFonts w:ascii="Times New Roman" w:hAnsi="Times New Roman"/>
          <w:sz w:val="28"/>
          <w:szCs w:val="28"/>
          <w:lang w:val="ro-MD"/>
        </w:rPr>
        <w:t>debitoriale</w:t>
      </w:r>
      <w:proofErr w:type="spellEnd"/>
      <w:r w:rsidRPr="001D0846">
        <w:rPr>
          <w:rFonts w:ascii="Times New Roman" w:hAnsi="Times New Roman"/>
          <w:sz w:val="28"/>
          <w:szCs w:val="28"/>
          <w:lang w:val="ro-MD"/>
        </w:rPr>
        <w:t xml:space="preserve"> de către creditori (SV și BV) și se s</w:t>
      </w:r>
      <w:r w:rsidR="00ED3ADD">
        <w:rPr>
          <w:rFonts w:ascii="Times New Roman" w:hAnsi="Times New Roman"/>
          <w:sz w:val="28"/>
          <w:szCs w:val="28"/>
          <w:lang w:val="ro-MD"/>
        </w:rPr>
        <w:t>uspendă termenul de prescripție,</w:t>
      </w:r>
      <w:r w:rsidRPr="001D0846">
        <w:rPr>
          <w:rFonts w:ascii="Times New Roman" w:hAnsi="Times New Roman"/>
          <w:sz w:val="28"/>
          <w:szCs w:val="28"/>
          <w:lang w:val="ro-MD"/>
        </w:rPr>
        <w:t xml:space="preserve"> fapt c</w:t>
      </w:r>
      <w:r w:rsidR="00ED3ADD">
        <w:rPr>
          <w:rFonts w:ascii="Times New Roman" w:hAnsi="Times New Roman"/>
          <w:sz w:val="28"/>
          <w:szCs w:val="28"/>
          <w:lang w:val="ro-MD"/>
        </w:rPr>
        <w:t>ar</w:t>
      </w:r>
      <w:r w:rsidRPr="001D0846">
        <w:rPr>
          <w:rFonts w:ascii="Times New Roman" w:hAnsi="Times New Roman"/>
          <w:sz w:val="28"/>
          <w:szCs w:val="28"/>
          <w:lang w:val="ro-MD"/>
        </w:rPr>
        <w:t>e duce la creșterea datoriilor</w:t>
      </w:r>
      <w:r w:rsidR="0035636A">
        <w:rPr>
          <w:rFonts w:ascii="Times New Roman" w:hAnsi="Times New Roman"/>
          <w:sz w:val="28"/>
          <w:szCs w:val="28"/>
          <w:lang w:val="ro-MD"/>
        </w:rPr>
        <w:t>, dar</w:t>
      </w:r>
      <w:r w:rsidRPr="001D0846">
        <w:rPr>
          <w:rFonts w:ascii="Times New Roman" w:hAnsi="Times New Roman"/>
          <w:sz w:val="28"/>
          <w:szCs w:val="28"/>
          <w:lang w:val="ro-MD"/>
        </w:rPr>
        <w:t xml:space="preserve"> și a timpului de urmă</w:t>
      </w:r>
      <w:r w:rsidR="00ED3ADD">
        <w:rPr>
          <w:rFonts w:ascii="Times New Roman" w:hAnsi="Times New Roman"/>
          <w:sz w:val="28"/>
          <w:szCs w:val="28"/>
          <w:lang w:val="ro-MD"/>
        </w:rPr>
        <w:t>rire și</w:t>
      </w:r>
      <w:r w:rsidR="0035636A">
        <w:rPr>
          <w:rFonts w:ascii="Times New Roman" w:hAnsi="Times New Roman"/>
          <w:sz w:val="28"/>
          <w:szCs w:val="28"/>
          <w:lang w:val="ro-MD"/>
        </w:rPr>
        <w:t>,</w:t>
      </w:r>
      <w:r w:rsidR="00ED3ADD">
        <w:rPr>
          <w:rFonts w:ascii="Times New Roman" w:hAnsi="Times New Roman"/>
          <w:sz w:val="28"/>
          <w:szCs w:val="28"/>
          <w:lang w:val="ro-MD"/>
        </w:rPr>
        <w:t xml:space="preserve"> respectiv</w:t>
      </w:r>
      <w:r w:rsidR="0035636A">
        <w:rPr>
          <w:rFonts w:ascii="Times New Roman" w:hAnsi="Times New Roman"/>
          <w:sz w:val="28"/>
          <w:szCs w:val="28"/>
          <w:lang w:val="ro-MD"/>
        </w:rPr>
        <w:t>, de</w:t>
      </w:r>
      <w:r w:rsidR="00ED3ADD">
        <w:rPr>
          <w:rFonts w:ascii="Times New Roman" w:hAnsi="Times New Roman"/>
          <w:sz w:val="28"/>
          <w:szCs w:val="28"/>
          <w:lang w:val="ro-MD"/>
        </w:rPr>
        <w:t xml:space="preserve"> încasare. Tot</w:t>
      </w:r>
      <w:r w:rsidRPr="001D0846">
        <w:rPr>
          <w:rFonts w:ascii="Times New Roman" w:hAnsi="Times New Roman"/>
          <w:sz w:val="28"/>
          <w:szCs w:val="28"/>
          <w:lang w:val="ro-MD"/>
        </w:rPr>
        <w:t xml:space="preserve">odată, o parte din aceste restanțe se atribuie și debitorilor în privința cărora sunt emise de </w:t>
      </w:r>
      <w:r w:rsidR="00ED3ADD">
        <w:rPr>
          <w:rFonts w:ascii="Times New Roman" w:hAnsi="Times New Roman"/>
          <w:sz w:val="28"/>
          <w:szCs w:val="28"/>
          <w:lang w:val="ro-MD"/>
        </w:rPr>
        <w:t>către instanțele de judecată î</w:t>
      </w:r>
      <w:r w:rsidRPr="001D0846">
        <w:rPr>
          <w:rFonts w:ascii="Times New Roman" w:hAnsi="Times New Roman"/>
          <w:sz w:val="28"/>
          <w:szCs w:val="28"/>
          <w:lang w:val="ro-MD"/>
        </w:rPr>
        <w:t>ncheieri de suspendare a executării silite a obligației vamale.</w:t>
      </w:r>
    </w:p>
    <w:p w:rsidR="00852CF1" w:rsidRDefault="00EE1A86" w:rsidP="00EE1A86">
      <w:pPr>
        <w:spacing w:after="0" w:line="276" w:lineRule="auto"/>
        <w:ind w:firstLine="706"/>
        <w:jc w:val="both"/>
        <w:rPr>
          <w:rFonts w:ascii="Times New Roman" w:hAnsi="Times New Roman"/>
          <w:sz w:val="28"/>
          <w:szCs w:val="28"/>
        </w:rPr>
      </w:pPr>
      <w:r>
        <w:rPr>
          <w:rFonts w:ascii="Times New Roman" w:hAnsi="Times New Roman"/>
          <w:sz w:val="28"/>
          <w:szCs w:val="28"/>
        </w:rPr>
        <w:t>Astfel,</w:t>
      </w:r>
      <w:r w:rsidR="005C69FE" w:rsidRPr="00482C98">
        <w:rPr>
          <w:rFonts w:ascii="Times New Roman" w:hAnsi="Times New Roman"/>
          <w:sz w:val="28"/>
          <w:szCs w:val="28"/>
        </w:rPr>
        <w:t xml:space="preserve"> </w:t>
      </w:r>
      <w:r w:rsidR="00852CF1">
        <w:rPr>
          <w:rFonts w:ascii="Times New Roman" w:hAnsi="Times New Roman"/>
          <w:sz w:val="28"/>
          <w:szCs w:val="28"/>
        </w:rPr>
        <w:t>la situația din</w:t>
      </w:r>
      <w:r w:rsidR="005C69FE">
        <w:rPr>
          <w:rFonts w:ascii="Times New Roman" w:hAnsi="Times New Roman"/>
          <w:sz w:val="28"/>
          <w:szCs w:val="28"/>
        </w:rPr>
        <w:t xml:space="preserve"> 31.12.2017</w:t>
      </w:r>
      <w:r w:rsidR="0035636A">
        <w:rPr>
          <w:rFonts w:ascii="Times New Roman" w:hAnsi="Times New Roman"/>
          <w:sz w:val="28"/>
          <w:szCs w:val="28"/>
        </w:rPr>
        <w:t>,</w:t>
      </w:r>
      <w:r w:rsidR="005C69FE" w:rsidRPr="00482C98">
        <w:rPr>
          <w:rFonts w:ascii="Times New Roman" w:hAnsi="Times New Roman"/>
          <w:sz w:val="28"/>
          <w:szCs w:val="28"/>
        </w:rPr>
        <w:t xml:space="preserve"> </w:t>
      </w:r>
      <w:r w:rsidR="005C69FE">
        <w:rPr>
          <w:rFonts w:ascii="Times New Roman" w:hAnsi="Times New Roman"/>
          <w:sz w:val="28"/>
          <w:szCs w:val="28"/>
        </w:rPr>
        <w:t xml:space="preserve">în </w:t>
      </w:r>
      <w:r w:rsidR="00852CF1">
        <w:rPr>
          <w:rFonts w:ascii="Times New Roman" w:hAnsi="Times New Roman"/>
          <w:sz w:val="28"/>
          <w:szCs w:val="28"/>
        </w:rPr>
        <w:t>proces</w:t>
      </w:r>
      <w:r w:rsidR="005C69FE" w:rsidRPr="00482C98">
        <w:rPr>
          <w:rFonts w:ascii="Times New Roman" w:hAnsi="Times New Roman"/>
          <w:sz w:val="28"/>
          <w:szCs w:val="28"/>
        </w:rPr>
        <w:t xml:space="preserve"> de insolvabilitate</w:t>
      </w:r>
      <w:r w:rsidR="0035636A">
        <w:rPr>
          <w:rFonts w:ascii="Times New Roman" w:hAnsi="Times New Roman"/>
          <w:sz w:val="28"/>
          <w:szCs w:val="28"/>
        </w:rPr>
        <w:t>,</w:t>
      </w:r>
      <w:r w:rsidR="005C69FE" w:rsidRPr="00482C98">
        <w:rPr>
          <w:rFonts w:ascii="Times New Roman" w:hAnsi="Times New Roman"/>
          <w:sz w:val="28"/>
          <w:szCs w:val="28"/>
        </w:rPr>
        <w:t xml:space="preserve"> </w:t>
      </w:r>
      <w:r w:rsidR="00852CF1">
        <w:rPr>
          <w:rFonts w:ascii="Times New Roman" w:hAnsi="Times New Roman"/>
          <w:sz w:val="28"/>
          <w:szCs w:val="28"/>
        </w:rPr>
        <w:t>administrat de către SV</w:t>
      </w:r>
      <w:r w:rsidR="0035636A">
        <w:rPr>
          <w:rFonts w:ascii="Times New Roman" w:hAnsi="Times New Roman"/>
          <w:sz w:val="28"/>
          <w:szCs w:val="28"/>
        </w:rPr>
        <w:t>,</w:t>
      </w:r>
      <w:r w:rsidR="00852CF1">
        <w:rPr>
          <w:rFonts w:ascii="Times New Roman" w:hAnsi="Times New Roman"/>
          <w:sz w:val="28"/>
          <w:szCs w:val="28"/>
        </w:rPr>
        <w:t xml:space="preserve"> se aflau 97 debitori vamali, care înregistrau datorii </w:t>
      </w:r>
      <w:r>
        <w:rPr>
          <w:rFonts w:ascii="Times New Roman" w:hAnsi="Times New Roman"/>
          <w:sz w:val="28"/>
          <w:szCs w:val="28"/>
        </w:rPr>
        <w:t>la</w:t>
      </w:r>
      <w:r w:rsidR="00852CF1">
        <w:rPr>
          <w:rFonts w:ascii="Times New Roman" w:hAnsi="Times New Roman"/>
          <w:sz w:val="28"/>
          <w:szCs w:val="28"/>
        </w:rPr>
        <w:t xml:space="preserve"> BS în sumă </w:t>
      </w:r>
      <w:r>
        <w:rPr>
          <w:rFonts w:ascii="Times New Roman" w:hAnsi="Times New Roman"/>
          <w:sz w:val="28"/>
          <w:szCs w:val="28"/>
        </w:rPr>
        <w:t xml:space="preserve">totală </w:t>
      </w:r>
      <w:r w:rsidR="00852CF1">
        <w:rPr>
          <w:rFonts w:ascii="Times New Roman" w:hAnsi="Times New Roman"/>
          <w:sz w:val="28"/>
          <w:szCs w:val="28"/>
        </w:rPr>
        <w:t>de 53,2 mil.lei.</w:t>
      </w:r>
    </w:p>
    <w:p w:rsidR="00C26C38" w:rsidRDefault="00C26C38" w:rsidP="006358AD">
      <w:pPr>
        <w:spacing w:after="0" w:line="276" w:lineRule="auto"/>
        <w:ind w:firstLine="709"/>
        <w:jc w:val="both"/>
        <w:rPr>
          <w:rFonts w:ascii="Times New Roman" w:eastAsia="Times New Roman" w:hAnsi="Times New Roman" w:cs="Times New Roman"/>
          <w:i/>
          <w:iCs/>
          <w:sz w:val="28"/>
          <w:szCs w:val="28"/>
        </w:rPr>
      </w:pPr>
      <w:r w:rsidRPr="001D0846">
        <w:rPr>
          <w:rFonts w:ascii="Times New Roman" w:eastAsia="Times New Roman" w:hAnsi="Times New Roman" w:cs="Times New Roman"/>
          <w:sz w:val="28"/>
          <w:szCs w:val="28"/>
        </w:rPr>
        <w:t xml:space="preserve">Analiza restanței </w:t>
      </w:r>
      <w:r w:rsidRPr="001D0846">
        <w:rPr>
          <w:rFonts w:ascii="Times New Roman" w:eastAsia="Times New Roman" w:hAnsi="Times New Roman" w:cs="Times New Roman"/>
          <w:iCs/>
          <w:sz w:val="28"/>
          <w:szCs w:val="28"/>
        </w:rPr>
        <w:t xml:space="preserve">în aspectul tipurilor de plăți vamale relevă că cele mai semnificative restanțe au fost înregistrate la TVA, care la 31.12.2017 au constituit 273,2 mil. lei, sau 70% </w:t>
      </w:r>
      <w:r w:rsidR="003D7229">
        <w:rPr>
          <w:rFonts w:ascii="Times New Roman" w:eastAsia="Times New Roman" w:hAnsi="Times New Roman" w:cs="Times New Roman"/>
          <w:iCs/>
          <w:sz w:val="28"/>
          <w:szCs w:val="28"/>
        </w:rPr>
        <w:t>din</w:t>
      </w:r>
      <w:r w:rsidRPr="001D0846">
        <w:rPr>
          <w:rFonts w:ascii="Times New Roman" w:eastAsia="Times New Roman" w:hAnsi="Times New Roman" w:cs="Times New Roman"/>
          <w:iCs/>
          <w:sz w:val="28"/>
          <w:szCs w:val="28"/>
        </w:rPr>
        <w:t xml:space="preserve"> totalul restanțelor BS</w:t>
      </w:r>
      <w:r w:rsidR="003D7229">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administrate de SV. Comparativ cu </w:t>
      </w:r>
      <w:r w:rsidR="003D7229">
        <w:rPr>
          <w:rFonts w:ascii="Times New Roman" w:eastAsia="Times New Roman" w:hAnsi="Times New Roman" w:cs="Times New Roman"/>
          <w:iCs/>
          <w:sz w:val="28"/>
          <w:szCs w:val="28"/>
        </w:rPr>
        <w:t>anii</w:t>
      </w:r>
      <w:r w:rsidRPr="001D0846">
        <w:rPr>
          <w:rFonts w:ascii="Times New Roman" w:eastAsia="Times New Roman" w:hAnsi="Times New Roman" w:cs="Times New Roman"/>
          <w:iCs/>
          <w:sz w:val="28"/>
          <w:szCs w:val="28"/>
        </w:rPr>
        <w:t xml:space="preserve"> 2015</w:t>
      </w:r>
      <w:r w:rsidR="003D7229">
        <w:rPr>
          <w:rFonts w:ascii="Times New Roman" w:eastAsia="Times New Roman" w:hAnsi="Times New Roman" w:cs="Times New Roman"/>
          <w:iCs/>
          <w:sz w:val="28"/>
          <w:szCs w:val="28"/>
        </w:rPr>
        <w:t xml:space="preserve"> și </w:t>
      </w:r>
      <w:r w:rsidRPr="001D0846">
        <w:rPr>
          <w:rFonts w:ascii="Times New Roman" w:eastAsia="Times New Roman" w:hAnsi="Times New Roman" w:cs="Times New Roman"/>
          <w:iCs/>
          <w:sz w:val="28"/>
          <w:szCs w:val="28"/>
        </w:rPr>
        <w:t>2016</w:t>
      </w:r>
      <w:r w:rsidR="003D7229">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restanțele la TVA au crescut cu 53,1 mil. lei și</w:t>
      </w:r>
      <w:r w:rsidR="003D7229">
        <w:rPr>
          <w:rFonts w:ascii="Times New Roman" w:eastAsia="Times New Roman" w:hAnsi="Times New Roman" w:cs="Times New Roman"/>
          <w:iCs/>
          <w:sz w:val="28"/>
          <w:szCs w:val="28"/>
        </w:rPr>
        <w:t>,</w:t>
      </w:r>
      <w:r w:rsidRPr="001D0846">
        <w:rPr>
          <w:rFonts w:ascii="Times New Roman" w:eastAsia="Times New Roman" w:hAnsi="Times New Roman" w:cs="Times New Roman"/>
          <w:iCs/>
          <w:sz w:val="28"/>
          <w:szCs w:val="28"/>
        </w:rPr>
        <w:t xml:space="preserve"> respectiv</w:t>
      </w:r>
      <w:r w:rsidR="003D7229">
        <w:rPr>
          <w:rFonts w:ascii="Times New Roman" w:eastAsia="Times New Roman" w:hAnsi="Times New Roman" w:cs="Times New Roman"/>
          <w:iCs/>
          <w:sz w:val="28"/>
          <w:szCs w:val="28"/>
        </w:rPr>
        <w:t xml:space="preserve">, cu </w:t>
      </w:r>
      <w:r w:rsidRPr="001D0846">
        <w:rPr>
          <w:rFonts w:ascii="Times New Roman" w:eastAsia="Times New Roman" w:hAnsi="Times New Roman" w:cs="Times New Roman"/>
          <w:iCs/>
          <w:sz w:val="28"/>
          <w:szCs w:val="28"/>
        </w:rPr>
        <w:t xml:space="preserve"> 36,5 mil. lei. </w:t>
      </w:r>
      <w:r w:rsidRPr="001D0846">
        <w:rPr>
          <w:rFonts w:ascii="Times New Roman" w:eastAsia="Times New Roman" w:hAnsi="Times New Roman" w:cs="Times New Roman"/>
          <w:sz w:val="28"/>
          <w:szCs w:val="28"/>
        </w:rPr>
        <w:t>O evoluție ascendentă se atestă și în cazul restanțelor la taxe</w:t>
      </w:r>
      <w:r w:rsidR="003D7229">
        <w:rPr>
          <w:rFonts w:ascii="Times New Roman" w:eastAsia="Times New Roman" w:hAnsi="Times New Roman" w:cs="Times New Roman"/>
          <w:sz w:val="28"/>
          <w:szCs w:val="28"/>
        </w:rPr>
        <w:t>le</w:t>
      </w:r>
      <w:r w:rsidRPr="001D0846">
        <w:rPr>
          <w:rFonts w:ascii="Times New Roman" w:eastAsia="Times New Roman" w:hAnsi="Times New Roman" w:cs="Times New Roman"/>
          <w:sz w:val="28"/>
          <w:szCs w:val="28"/>
        </w:rPr>
        <w:t xml:space="preserve"> vamale, amenzi, majorări</w:t>
      </w:r>
      <w:r w:rsidR="003D7229">
        <w:rPr>
          <w:rFonts w:ascii="Times New Roman" w:eastAsia="Times New Roman" w:hAnsi="Times New Roman" w:cs="Times New Roman"/>
          <w:sz w:val="28"/>
          <w:szCs w:val="28"/>
        </w:rPr>
        <w:t>le</w:t>
      </w:r>
      <w:r w:rsidRPr="001D0846">
        <w:rPr>
          <w:rFonts w:ascii="Times New Roman" w:eastAsia="Times New Roman" w:hAnsi="Times New Roman" w:cs="Times New Roman"/>
          <w:sz w:val="28"/>
          <w:szCs w:val="28"/>
        </w:rPr>
        <w:t xml:space="preserve"> de înt</w:t>
      </w:r>
      <w:r w:rsidR="003D7229">
        <w:rPr>
          <w:rFonts w:ascii="Times New Roman" w:eastAsia="Times New Roman" w:hAnsi="Times New Roman" w:cs="Times New Roman"/>
          <w:sz w:val="28"/>
          <w:szCs w:val="28"/>
        </w:rPr>
        <w:t>â</w:t>
      </w:r>
      <w:r w:rsidRPr="001D0846">
        <w:rPr>
          <w:rFonts w:ascii="Times New Roman" w:eastAsia="Times New Roman" w:hAnsi="Times New Roman" w:cs="Times New Roman"/>
          <w:sz w:val="28"/>
          <w:szCs w:val="28"/>
        </w:rPr>
        <w:t>rziere și taxe</w:t>
      </w:r>
      <w:r w:rsidR="003D7229">
        <w:rPr>
          <w:rFonts w:ascii="Times New Roman" w:eastAsia="Times New Roman" w:hAnsi="Times New Roman" w:cs="Times New Roman"/>
          <w:sz w:val="28"/>
          <w:szCs w:val="28"/>
        </w:rPr>
        <w:t>le</w:t>
      </w:r>
      <w:r w:rsidRPr="001D0846">
        <w:rPr>
          <w:rFonts w:ascii="Times New Roman" w:eastAsia="Times New Roman" w:hAnsi="Times New Roman" w:cs="Times New Roman"/>
          <w:sz w:val="28"/>
          <w:szCs w:val="28"/>
        </w:rPr>
        <w:t xml:space="preserve"> pentru procedur</w:t>
      </w:r>
      <w:r w:rsidR="003D7229">
        <w:rPr>
          <w:rFonts w:ascii="Times New Roman" w:eastAsia="Times New Roman" w:hAnsi="Times New Roman" w:cs="Times New Roman"/>
          <w:sz w:val="28"/>
          <w:szCs w:val="28"/>
        </w:rPr>
        <w:t>il</w:t>
      </w:r>
      <w:r w:rsidRPr="001D0846">
        <w:rPr>
          <w:rFonts w:ascii="Times New Roman" w:eastAsia="Times New Roman" w:hAnsi="Times New Roman" w:cs="Times New Roman"/>
          <w:sz w:val="28"/>
          <w:szCs w:val="28"/>
        </w:rPr>
        <w:t>e vamale.</w:t>
      </w:r>
      <w:r w:rsidRPr="001D0846">
        <w:rPr>
          <w:rFonts w:ascii="Times New Roman" w:eastAsia="Times New Roman" w:hAnsi="Times New Roman" w:cs="Times New Roman"/>
          <w:iCs/>
          <w:sz w:val="28"/>
          <w:szCs w:val="28"/>
        </w:rPr>
        <w:t xml:space="preserve"> </w:t>
      </w:r>
      <w:r w:rsidRPr="00EE1A86">
        <w:rPr>
          <w:rFonts w:ascii="Times New Roman" w:eastAsia="Times New Roman" w:hAnsi="Times New Roman" w:cs="Times New Roman"/>
          <w:i/>
          <w:iCs/>
          <w:sz w:val="28"/>
          <w:szCs w:val="28"/>
        </w:rPr>
        <w:t xml:space="preserve">Informația privind evoluția restanțelor în aspectul tipurilor de plăți vamale </w:t>
      </w:r>
      <w:r w:rsidR="003D7229">
        <w:rPr>
          <w:rFonts w:ascii="Times New Roman" w:eastAsia="Times New Roman" w:hAnsi="Times New Roman" w:cs="Times New Roman"/>
          <w:i/>
          <w:iCs/>
          <w:sz w:val="28"/>
          <w:szCs w:val="28"/>
        </w:rPr>
        <w:t>este</w:t>
      </w:r>
      <w:r w:rsidRPr="00EE1A86">
        <w:rPr>
          <w:rFonts w:ascii="Times New Roman" w:eastAsia="Times New Roman" w:hAnsi="Times New Roman" w:cs="Times New Roman"/>
          <w:i/>
          <w:iCs/>
          <w:sz w:val="28"/>
          <w:szCs w:val="28"/>
        </w:rPr>
        <w:t xml:space="preserve"> prez</w:t>
      </w:r>
      <w:r w:rsidR="003D7229">
        <w:rPr>
          <w:rFonts w:ascii="Times New Roman" w:eastAsia="Times New Roman" w:hAnsi="Times New Roman" w:cs="Times New Roman"/>
          <w:i/>
          <w:iCs/>
          <w:sz w:val="28"/>
          <w:szCs w:val="28"/>
        </w:rPr>
        <w:t>enta</w:t>
      </w:r>
      <w:r w:rsidRPr="00EE1A86">
        <w:rPr>
          <w:rFonts w:ascii="Times New Roman" w:eastAsia="Times New Roman" w:hAnsi="Times New Roman" w:cs="Times New Roman"/>
          <w:i/>
          <w:iCs/>
          <w:sz w:val="28"/>
          <w:szCs w:val="28"/>
        </w:rPr>
        <w:t xml:space="preserve">tă în Diagrama </w:t>
      </w:r>
      <w:r w:rsidR="00203957" w:rsidRPr="00EE1A86">
        <w:rPr>
          <w:rFonts w:ascii="Times New Roman" w:eastAsia="Times New Roman" w:hAnsi="Times New Roman" w:cs="Times New Roman"/>
          <w:i/>
          <w:iCs/>
          <w:sz w:val="28"/>
          <w:szCs w:val="28"/>
        </w:rPr>
        <w:t>nr</w:t>
      </w:r>
      <w:r w:rsidR="00385FA6" w:rsidRPr="00EE1A86">
        <w:rPr>
          <w:rFonts w:ascii="Times New Roman" w:eastAsia="Times New Roman" w:hAnsi="Times New Roman" w:cs="Times New Roman"/>
          <w:i/>
          <w:iCs/>
          <w:sz w:val="28"/>
          <w:szCs w:val="28"/>
        </w:rPr>
        <w:t>.1</w:t>
      </w:r>
      <w:r w:rsidR="00EE1A86" w:rsidRPr="00EE1A86">
        <w:rPr>
          <w:rFonts w:ascii="Times New Roman" w:eastAsia="Times New Roman" w:hAnsi="Times New Roman" w:cs="Times New Roman"/>
          <w:i/>
          <w:iCs/>
          <w:sz w:val="28"/>
          <w:szCs w:val="28"/>
        </w:rPr>
        <w:t>4</w:t>
      </w:r>
      <w:r w:rsidR="002C2151" w:rsidRPr="00EE1A86">
        <w:rPr>
          <w:rFonts w:ascii="Times New Roman" w:eastAsia="Times New Roman" w:hAnsi="Times New Roman" w:cs="Times New Roman"/>
          <w:i/>
          <w:iCs/>
          <w:sz w:val="28"/>
          <w:szCs w:val="28"/>
        </w:rPr>
        <w:t xml:space="preserve"> din Anexa nr.4</w:t>
      </w:r>
      <w:r w:rsidR="00203957" w:rsidRPr="00EE1A86">
        <w:rPr>
          <w:rFonts w:ascii="Times New Roman" w:eastAsia="Times New Roman" w:hAnsi="Times New Roman" w:cs="Times New Roman"/>
          <w:i/>
          <w:iCs/>
          <w:sz w:val="28"/>
          <w:szCs w:val="28"/>
        </w:rPr>
        <w:t xml:space="preserve"> la Raport</w:t>
      </w:r>
      <w:r w:rsidR="003D7229">
        <w:rPr>
          <w:rFonts w:ascii="Times New Roman" w:eastAsia="Times New Roman" w:hAnsi="Times New Roman" w:cs="Times New Roman"/>
          <w:i/>
          <w:iCs/>
          <w:sz w:val="28"/>
          <w:szCs w:val="28"/>
        </w:rPr>
        <w:t>ul</w:t>
      </w:r>
      <w:r w:rsidR="00203957" w:rsidRPr="00EE1A86">
        <w:rPr>
          <w:rFonts w:ascii="Times New Roman" w:eastAsia="Times New Roman" w:hAnsi="Times New Roman" w:cs="Times New Roman"/>
          <w:i/>
          <w:iCs/>
          <w:sz w:val="28"/>
          <w:szCs w:val="28"/>
        </w:rPr>
        <w:t xml:space="preserve"> de audit.</w:t>
      </w:r>
    </w:p>
    <w:p w:rsidR="00C26C38" w:rsidRDefault="000C20FC" w:rsidP="00171253">
      <w:pPr>
        <w:spacing w:after="0" w:line="276" w:lineRule="auto"/>
        <w:ind w:firstLine="709"/>
        <w:jc w:val="both"/>
        <w:rPr>
          <w:rFonts w:ascii="Times New Roman" w:hAnsi="Times New Roman" w:cs="Times New Roman"/>
          <w:i/>
          <w:sz w:val="28"/>
          <w:szCs w:val="28"/>
        </w:rPr>
      </w:pPr>
      <w:r>
        <w:rPr>
          <w:rFonts w:ascii="Times New Roman" w:hAnsi="Times New Roman"/>
          <w:color w:val="000000"/>
          <w:sz w:val="28"/>
          <w:szCs w:val="28"/>
        </w:rPr>
        <w:t>Examinarea</w:t>
      </w:r>
      <w:r w:rsidR="00C26C38" w:rsidRPr="001D0846">
        <w:rPr>
          <w:rFonts w:ascii="Times New Roman" w:hAnsi="Times New Roman"/>
          <w:color w:val="000000"/>
          <w:sz w:val="28"/>
          <w:szCs w:val="28"/>
          <w:lang w:val="ro-MD"/>
        </w:rPr>
        <w:t xml:space="preserve"> </w:t>
      </w:r>
      <w:r w:rsidR="00C26C38" w:rsidRPr="001D0846">
        <w:rPr>
          <w:rFonts w:ascii="Times New Roman" w:hAnsi="Times New Roman" w:cs="Times New Roman"/>
          <w:sz w:val="28"/>
          <w:szCs w:val="28"/>
        </w:rPr>
        <w:t xml:space="preserve">modului de formare și </w:t>
      </w:r>
      <w:r>
        <w:rPr>
          <w:rFonts w:ascii="Times New Roman" w:hAnsi="Times New Roman" w:cs="Times New Roman"/>
          <w:sz w:val="28"/>
          <w:szCs w:val="28"/>
        </w:rPr>
        <w:t xml:space="preserve">a </w:t>
      </w:r>
      <w:r w:rsidR="00C26C38" w:rsidRPr="001D0846">
        <w:rPr>
          <w:rFonts w:ascii="Times New Roman" w:hAnsi="Times New Roman" w:cs="Times New Roman"/>
          <w:sz w:val="28"/>
          <w:szCs w:val="28"/>
        </w:rPr>
        <w:t xml:space="preserve">evoluției restanțelor în aspect cronologic </w:t>
      </w:r>
      <w:r>
        <w:rPr>
          <w:rFonts w:ascii="Times New Roman" w:hAnsi="Times New Roman" w:cs="Times New Roman"/>
          <w:sz w:val="28"/>
          <w:szCs w:val="28"/>
        </w:rPr>
        <w:t>denotă</w:t>
      </w:r>
      <w:r w:rsidR="00C26C38" w:rsidRPr="001D0846">
        <w:rPr>
          <w:rFonts w:ascii="Times New Roman" w:hAnsi="Times New Roman" w:cs="Times New Roman"/>
          <w:sz w:val="28"/>
          <w:szCs w:val="28"/>
        </w:rPr>
        <w:t xml:space="preserve"> o dinamică ascendentă a restanțelor istorice. </w:t>
      </w:r>
      <w:r w:rsidR="00C26C38" w:rsidRPr="001D0846">
        <w:rPr>
          <w:rFonts w:ascii="Times New Roman" w:hAnsi="Times New Roman" w:cs="Times New Roman"/>
          <w:i/>
          <w:sz w:val="28"/>
          <w:szCs w:val="28"/>
        </w:rPr>
        <w:t xml:space="preserve">Informația privind evoluția restanțelor istorice </w:t>
      </w:r>
      <w:r w:rsidR="00203957" w:rsidRPr="001D0846">
        <w:rPr>
          <w:rFonts w:ascii="Times New Roman" w:hAnsi="Times New Roman" w:cs="Times New Roman"/>
          <w:i/>
          <w:sz w:val="28"/>
          <w:szCs w:val="28"/>
        </w:rPr>
        <w:t>la BS</w:t>
      </w:r>
      <w:r w:rsidR="003D7229">
        <w:rPr>
          <w:rFonts w:ascii="Times New Roman" w:hAnsi="Times New Roman" w:cs="Times New Roman"/>
          <w:i/>
          <w:sz w:val="28"/>
          <w:szCs w:val="28"/>
        </w:rPr>
        <w:t>,</w:t>
      </w:r>
      <w:r w:rsidR="00203957" w:rsidRPr="001D0846">
        <w:rPr>
          <w:rFonts w:ascii="Times New Roman" w:hAnsi="Times New Roman" w:cs="Times New Roman"/>
          <w:i/>
          <w:sz w:val="28"/>
          <w:szCs w:val="28"/>
        </w:rPr>
        <w:t xml:space="preserve"> administrate de SV</w:t>
      </w:r>
      <w:r w:rsidR="003D7229">
        <w:rPr>
          <w:rFonts w:ascii="Times New Roman" w:hAnsi="Times New Roman" w:cs="Times New Roman"/>
          <w:i/>
          <w:sz w:val="28"/>
          <w:szCs w:val="28"/>
        </w:rPr>
        <w:t>,</w:t>
      </w:r>
      <w:r w:rsidR="00203957" w:rsidRPr="001D0846">
        <w:rPr>
          <w:rFonts w:ascii="Times New Roman" w:hAnsi="Times New Roman" w:cs="Times New Roman"/>
          <w:i/>
          <w:sz w:val="28"/>
          <w:szCs w:val="28"/>
        </w:rPr>
        <w:t xml:space="preserve"> </w:t>
      </w:r>
      <w:r w:rsidR="003D7229">
        <w:rPr>
          <w:rFonts w:ascii="Times New Roman" w:hAnsi="Times New Roman" w:cs="Times New Roman"/>
          <w:i/>
          <w:sz w:val="28"/>
          <w:szCs w:val="28"/>
        </w:rPr>
        <w:t>este</w:t>
      </w:r>
      <w:r w:rsidR="00C26C38" w:rsidRPr="001D0846">
        <w:rPr>
          <w:rFonts w:ascii="Times New Roman" w:hAnsi="Times New Roman" w:cs="Times New Roman"/>
          <w:i/>
          <w:sz w:val="28"/>
          <w:szCs w:val="28"/>
        </w:rPr>
        <w:t xml:space="preserve"> prez</w:t>
      </w:r>
      <w:r w:rsidR="003D7229">
        <w:rPr>
          <w:rFonts w:ascii="Times New Roman" w:hAnsi="Times New Roman" w:cs="Times New Roman"/>
          <w:i/>
          <w:sz w:val="28"/>
          <w:szCs w:val="28"/>
        </w:rPr>
        <w:t>enta</w:t>
      </w:r>
      <w:r w:rsidR="00C26C38" w:rsidRPr="001D0846">
        <w:rPr>
          <w:rFonts w:ascii="Times New Roman" w:hAnsi="Times New Roman" w:cs="Times New Roman"/>
          <w:i/>
          <w:sz w:val="28"/>
          <w:szCs w:val="28"/>
        </w:rPr>
        <w:t xml:space="preserve">tă în Tabelul </w:t>
      </w:r>
      <w:r w:rsidR="002C2151" w:rsidRPr="001D0846">
        <w:rPr>
          <w:rFonts w:ascii="Times New Roman" w:hAnsi="Times New Roman" w:cs="Times New Roman"/>
          <w:i/>
          <w:sz w:val="28"/>
          <w:szCs w:val="28"/>
        </w:rPr>
        <w:t>nr.1</w:t>
      </w:r>
      <w:r w:rsidR="00EE1A86">
        <w:rPr>
          <w:rFonts w:ascii="Times New Roman" w:hAnsi="Times New Roman" w:cs="Times New Roman"/>
          <w:i/>
          <w:sz w:val="28"/>
          <w:szCs w:val="28"/>
        </w:rPr>
        <w:t>8</w:t>
      </w:r>
      <w:r w:rsidR="002C2151" w:rsidRPr="001D0846">
        <w:rPr>
          <w:rFonts w:ascii="Times New Roman" w:hAnsi="Times New Roman" w:cs="Times New Roman"/>
          <w:i/>
          <w:sz w:val="28"/>
          <w:szCs w:val="28"/>
        </w:rPr>
        <w:t xml:space="preserve"> din Anexa nr.3</w:t>
      </w:r>
      <w:r w:rsidR="00203957" w:rsidRPr="001D0846">
        <w:rPr>
          <w:rFonts w:ascii="Times New Roman" w:hAnsi="Times New Roman" w:cs="Times New Roman"/>
          <w:i/>
          <w:sz w:val="28"/>
          <w:szCs w:val="28"/>
        </w:rPr>
        <w:t xml:space="preserve"> la Raport</w:t>
      </w:r>
      <w:r w:rsidR="003D7229">
        <w:rPr>
          <w:rFonts w:ascii="Times New Roman" w:hAnsi="Times New Roman" w:cs="Times New Roman"/>
          <w:i/>
          <w:sz w:val="28"/>
          <w:szCs w:val="28"/>
        </w:rPr>
        <w:t>ul</w:t>
      </w:r>
      <w:r w:rsidR="00203957" w:rsidRPr="001D0846">
        <w:rPr>
          <w:rFonts w:ascii="Times New Roman" w:hAnsi="Times New Roman" w:cs="Times New Roman"/>
          <w:i/>
          <w:sz w:val="28"/>
          <w:szCs w:val="28"/>
        </w:rPr>
        <w:t xml:space="preserve"> de audit</w:t>
      </w:r>
      <w:r w:rsidR="00C26C38" w:rsidRPr="001D0846">
        <w:rPr>
          <w:rFonts w:ascii="Times New Roman" w:hAnsi="Times New Roman" w:cs="Times New Roman"/>
          <w:i/>
          <w:sz w:val="28"/>
          <w:szCs w:val="28"/>
        </w:rPr>
        <w:t>.</w:t>
      </w:r>
    </w:p>
    <w:p w:rsidR="00C26C38" w:rsidRPr="001D0846" w:rsidRDefault="00C26C38" w:rsidP="00826DE7">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Datele prezentate în </w:t>
      </w:r>
      <w:r w:rsidR="000C20FC">
        <w:rPr>
          <w:rFonts w:ascii="Times New Roman" w:hAnsi="Times New Roman" w:cs="Times New Roman"/>
          <w:sz w:val="28"/>
          <w:szCs w:val="28"/>
        </w:rPr>
        <w:t>t</w:t>
      </w:r>
      <w:r w:rsidRPr="001D0846">
        <w:rPr>
          <w:rFonts w:ascii="Times New Roman" w:hAnsi="Times New Roman" w:cs="Times New Roman"/>
          <w:sz w:val="28"/>
          <w:szCs w:val="28"/>
        </w:rPr>
        <w:t xml:space="preserve">abel </w:t>
      </w:r>
      <w:r w:rsidR="000C20FC">
        <w:rPr>
          <w:rFonts w:ascii="Times New Roman" w:hAnsi="Times New Roman" w:cs="Times New Roman"/>
          <w:sz w:val="28"/>
          <w:szCs w:val="28"/>
        </w:rPr>
        <w:t>indică</w:t>
      </w:r>
      <w:r w:rsidRPr="001D0846">
        <w:rPr>
          <w:rFonts w:ascii="Times New Roman" w:hAnsi="Times New Roman" w:cs="Times New Roman"/>
          <w:sz w:val="28"/>
          <w:szCs w:val="28"/>
        </w:rPr>
        <w:t xml:space="preserve"> că 62,3 % din restanța la plățile de bază</w:t>
      </w:r>
      <w:r w:rsidR="000C20FC">
        <w:rPr>
          <w:rFonts w:ascii="Times New Roman" w:hAnsi="Times New Roman" w:cs="Times New Roman"/>
          <w:sz w:val="28"/>
          <w:szCs w:val="28"/>
        </w:rPr>
        <w:t>,</w:t>
      </w:r>
      <w:r w:rsidRPr="001D0846">
        <w:rPr>
          <w:rFonts w:ascii="Times New Roman" w:hAnsi="Times New Roman" w:cs="Times New Roman"/>
          <w:sz w:val="28"/>
          <w:szCs w:val="28"/>
        </w:rPr>
        <w:t xml:space="preserve"> înregistrată la 31.12.2017</w:t>
      </w:r>
      <w:r w:rsidR="000C20FC">
        <w:rPr>
          <w:rFonts w:ascii="Times New Roman" w:hAnsi="Times New Roman" w:cs="Times New Roman"/>
          <w:sz w:val="28"/>
          <w:szCs w:val="28"/>
        </w:rPr>
        <w:t>,</w:t>
      </w:r>
      <w:r w:rsidRPr="001D0846">
        <w:rPr>
          <w:rFonts w:ascii="Times New Roman" w:hAnsi="Times New Roman" w:cs="Times New Roman"/>
          <w:sz w:val="28"/>
          <w:szCs w:val="28"/>
        </w:rPr>
        <w:t xml:space="preserve"> </w:t>
      </w:r>
      <w:r w:rsidR="000C20FC">
        <w:rPr>
          <w:rFonts w:ascii="Times New Roman" w:hAnsi="Times New Roman" w:cs="Times New Roman"/>
          <w:sz w:val="28"/>
          <w:szCs w:val="28"/>
        </w:rPr>
        <w:t xml:space="preserve">s-a </w:t>
      </w:r>
      <w:r w:rsidRPr="001D0846">
        <w:rPr>
          <w:rFonts w:ascii="Times New Roman" w:hAnsi="Times New Roman" w:cs="Times New Roman"/>
          <w:sz w:val="28"/>
          <w:szCs w:val="28"/>
        </w:rPr>
        <w:t>format p</w:t>
      </w:r>
      <w:r w:rsidR="000C20FC">
        <w:rPr>
          <w:rFonts w:ascii="Times New Roman" w:hAnsi="Times New Roman" w:cs="Times New Roman"/>
          <w:sz w:val="28"/>
          <w:szCs w:val="28"/>
        </w:rPr>
        <w:t>â</w:t>
      </w:r>
      <w:r w:rsidRPr="001D0846">
        <w:rPr>
          <w:rFonts w:ascii="Times New Roman" w:hAnsi="Times New Roman" w:cs="Times New Roman"/>
          <w:sz w:val="28"/>
          <w:szCs w:val="28"/>
        </w:rPr>
        <w:t xml:space="preserve">nă în anul 2014, 7,8 % </w:t>
      </w:r>
      <w:r w:rsidR="000C20FC">
        <w:rPr>
          <w:rFonts w:ascii="Times New Roman" w:hAnsi="Times New Roman" w:cs="Times New Roman"/>
          <w:sz w:val="28"/>
          <w:szCs w:val="28"/>
        </w:rPr>
        <w:t xml:space="preserve">- </w:t>
      </w:r>
      <w:r w:rsidRPr="001D0846">
        <w:rPr>
          <w:rFonts w:ascii="Times New Roman" w:hAnsi="Times New Roman" w:cs="Times New Roman"/>
          <w:sz w:val="28"/>
          <w:szCs w:val="28"/>
        </w:rPr>
        <w:t xml:space="preserve">în anul 2015, 11,4 % </w:t>
      </w:r>
      <w:r w:rsidR="000C20FC">
        <w:rPr>
          <w:rFonts w:ascii="Times New Roman" w:hAnsi="Times New Roman" w:cs="Times New Roman"/>
          <w:sz w:val="28"/>
          <w:szCs w:val="28"/>
        </w:rPr>
        <w:t xml:space="preserve">- </w:t>
      </w:r>
      <w:r w:rsidRPr="001D0846">
        <w:rPr>
          <w:rFonts w:ascii="Times New Roman" w:hAnsi="Times New Roman" w:cs="Times New Roman"/>
          <w:sz w:val="28"/>
          <w:szCs w:val="28"/>
        </w:rPr>
        <w:t xml:space="preserve">în anul 2016, iar 18,4 % </w:t>
      </w:r>
      <w:r w:rsidR="000C20FC">
        <w:rPr>
          <w:rFonts w:ascii="Times New Roman" w:hAnsi="Times New Roman" w:cs="Times New Roman"/>
          <w:sz w:val="28"/>
          <w:szCs w:val="28"/>
        </w:rPr>
        <w:t xml:space="preserve">- </w:t>
      </w:r>
      <w:r w:rsidRPr="001D0846">
        <w:rPr>
          <w:rFonts w:ascii="Times New Roman" w:hAnsi="Times New Roman" w:cs="Times New Roman"/>
          <w:sz w:val="28"/>
          <w:szCs w:val="28"/>
        </w:rPr>
        <w:t>în anul 2017. Se atestă o creștere a restanței istorice încep</w:t>
      </w:r>
      <w:r w:rsidR="000C20FC">
        <w:rPr>
          <w:rFonts w:ascii="Times New Roman" w:hAnsi="Times New Roman" w:cs="Times New Roman"/>
          <w:sz w:val="28"/>
          <w:szCs w:val="28"/>
        </w:rPr>
        <w:t>â</w:t>
      </w:r>
      <w:r w:rsidRPr="001D0846">
        <w:rPr>
          <w:rFonts w:ascii="Times New Roman" w:hAnsi="Times New Roman" w:cs="Times New Roman"/>
          <w:sz w:val="28"/>
          <w:szCs w:val="28"/>
        </w:rPr>
        <w:t>nd cu anul 2015, deși în perioadele anterioare dinamica acestor restanțe era în descreștere. Auditul denotă că</w:t>
      </w:r>
      <w:r w:rsidR="000C20FC">
        <w:rPr>
          <w:rFonts w:ascii="Times New Roman" w:hAnsi="Times New Roman" w:cs="Times New Roman"/>
          <w:sz w:val="28"/>
          <w:szCs w:val="28"/>
        </w:rPr>
        <w:t xml:space="preserve"> </w:t>
      </w:r>
      <w:r w:rsidRPr="001D0846">
        <w:rPr>
          <w:rFonts w:ascii="Times New Roman" w:hAnsi="Times New Roman" w:cs="Times New Roman"/>
          <w:sz w:val="28"/>
          <w:szCs w:val="28"/>
        </w:rPr>
        <w:t>neluarea de măsuri în vederea recuperării restanțelor istorice generează risc</w:t>
      </w:r>
      <w:r w:rsidR="000C20FC">
        <w:rPr>
          <w:rFonts w:ascii="Times New Roman" w:hAnsi="Times New Roman" w:cs="Times New Roman"/>
          <w:sz w:val="28"/>
          <w:szCs w:val="28"/>
        </w:rPr>
        <w:t>ul</w:t>
      </w:r>
      <w:r w:rsidRPr="001D0846">
        <w:rPr>
          <w:rFonts w:ascii="Times New Roman" w:hAnsi="Times New Roman" w:cs="Times New Roman"/>
          <w:sz w:val="28"/>
          <w:szCs w:val="28"/>
        </w:rPr>
        <w:t xml:space="preserve"> de formare a restanțelor nerecuperabile și </w:t>
      </w:r>
      <w:r w:rsidR="002B3C32">
        <w:rPr>
          <w:rFonts w:ascii="Times New Roman" w:hAnsi="Times New Roman" w:cs="Times New Roman"/>
          <w:sz w:val="28"/>
          <w:szCs w:val="28"/>
        </w:rPr>
        <w:t xml:space="preserve">de </w:t>
      </w:r>
      <w:r w:rsidRPr="001D0846">
        <w:rPr>
          <w:rFonts w:ascii="Times New Roman" w:hAnsi="Times New Roman" w:cs="Times New Roman"/>
          <w:sz w:val="28"/>
          <w:szCs w:val="28"/>
        </w:rPr>
        <w:t>intrare</w:t>
      </w:r>
      <w:r w:rsidR="002B3C32">
        <w:rPr>
          <w:rFonts w:ascii="Times New Roman" w:hAnsi="Times New Roman" w:cs="Times New Roman"/>
          <w:sz w:val="28"/>
          <w:szCs w:val="28"/>
        </w:rPr>
        <w:t xml:space="preserve"> </w:t>
      </w:r>
      <w:r w:rsidRPr="001D0846">
        <w:rPr>
          <w:rFonts w:ascii="Times New Roman" w:hAnsi="Times New Roman" w:cs="Times New Roman"/>
          <w:sz w:val="28"/>
          <w:szCs w:val="28"/>
        </w:rPr>
        <w:t xml:space="preserve">a agenților economici în </w:t>
      </w:r>
      <w:r w:rsidR="004939BC" w:rsidRPr="001D0846">
        <w:rPr>
          <w:rFonts w:ascii="Times New Roman" w:hAnsi="Times New Roman" w:cs="Times New Roman"/>
          <w:sz w:val="28"/>
          <w:szCs w:val="28"/>
        </w:rPr>
        <w:t>stare specială</w:t>
      </w:r>
      <w:r w:rsidRPr="001D0846">
        <w:rPr>
          <w:rFonts w:ascii="Times New Roman" w:hAnsi="Times New Roman" w:cs="Times New Roman"/>
          <w:sz w:val="28"/>
          <w:szCs w:val="28"/>
        </w:rPr>
        <w:t xml:space="preserve"> (insolvabilitate, lichidare).</w:t>
      </w:r>
    </w:p>
    <w:p w:rsidR="00C26C38" w:rsidRPr="001D0846" w:rsidRDefault="00C26C38" w:rsidP="00826DE7">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t xml:space="preserve"> Analiza nivelului de colectare a restanțelor istorice relevă o descreștere a gradului de recuperare</w:t>
      </w:r>
      <w:r w:rsidR="002B3C32">
        <w:rPr>
          <w:rFonts w:ascii="Times New Roman" w:hAnsi="Times New Roman" w:cs="Times New Roman"/>
          <w:sz w:val="28"/>
          <w:szCs w:val="28"/>
        </w:rPr>
        <w:t>,</w:t>
      </w:r>
      <w:r w:rsidRPr="001D0846">
        <w:rPr>
          <w:rFonts w:ascii="Times New Roman" w:hAnsi="Times New Roman" w:cs="Times New Roman"/>
          <w:sz w:val="28"/>
          <w:szCs w:val="28"/>
        </w:rPr>
        <w:t xml:space="preserve"> care variază de la 18,1 % în anul </w:t>
      </w:r>
      <w:r w:rsidR="006756EE" w:rsidRPr="001D0846">
        <w:rPr>
          <w:rFonts w:ascii="Times New Roman" w:hAnsi="Times New Roman" w:cs="Times New Roman"/>
          <w:sz w:val="28"/>
          <w:szCs w:val="28"/>
        </w:rPr>
        <w:t>2015 până la 11</w:t>
      </w:r>
      <w:r w:rsidR="002B3C32">
        <w:rPr>
          <w:rFonts w:ascii="Times New Roman" w:hAnsi="Times New Roman" w:cs="Times New Roman"/>
          <w:sz w:val="28"/>
          <w:szCs w:val="28"/>
        </w:rPr>
        <w:t>,0</w:t>
      </w:r>
      <w:r w:rsidR="006756EE" w:rsidRPr="001D0846">
        <w:rPr>
          <w:rFonts w:ascii="Times New Roman" w:hAnsi="Times New Roman" w:cs="Times New Roman"/>
          <w:sz w:val="28"/>
          <w:szCs w:val="28"/>
        </w:rPr>
        <w:t xml:space="preserve"> % în anul 2017. </w:t>
      </w:r>
      <w:r w:rsidR="004726E0" w:rsidRPr="001D0846">
        <w:rPr>
          <w:rFonts w:ascii="Times New Roman" w:hAnsi="Times New Roman" w:cs="Times New Roman"/>
          <w:sz w:val="28"/>
          <w:szCs w:val="28"/>
        </w:rPr>
        <w:t xml:space="preserve">Examinările </w:t>
      </w:r>
      <w:r w:rsidR="002B3C32">
        <w:rPr>
          <w:rFonts w:ascii="Times New Roman" w:hAnsi="Times New Roman" w:cs="Times New Roman"/>
          <w:sz w:val="28"/>
          <w:szCs w:val="28"/>
        </w:rPr>
        <w:t xml:space="preserve">efectuate de </w:t>
      </w:r>
      <w:r w:rsidR="004726E0" w:rsidRPr="001D0846">
        <w:rPr>
          <w:rFonts w:ascii="Times New Roman" w:hAnsi="Times New Roman" w:cs="Times New Roman"/>
          <w:sz w:val="28"/>
          <w:szCs w:val="28"/>
        </w:rPr>
        <w:t xml:space="preserve">audit </w:t>
      </w:r>
      <w:r w:rsidR="002B3C32">
        <w:rPr>
          <w:rFonts w:ascii="Times New Roman" w:hAnsi="Times New Roman" w:cs="Times New Roman"/>
          <w:sz w:val="28"/>
          <w:szCs w:val="28"/>
          <w:shd w:val="clear" w:color="auto" w:fill="FFFFFF"/>
        </w:rPr>
        <w:t>denotă</w:t>
      </w:r>
      <w:r w:rsidRPr="001D0846">
        <w:rPr>
          <w:rFonts w:ascii="Times New Roman" w:hAnsi="Times New Roman" w:cs="Times New Roman"/>
          <w:sz w:val="28"/>
          <w:szCs w:val="28"/>
          <w:shd w:val="clear" w:color="auto" w:fill="FFFFFF"/>
        </w:rPr>
        <w:t xml:space="preserve"> că restanțele la plățile vamale formate în anul 2012 au fost recuperate în perioada </w:t>
      </w:r>
      <w:r w:rsidR="002B3C32">
        <w:rPr>
          <w:rFonts w:ascii="Times New Roman" w:hAnsi="Times New Roman" w:cs="Times New Roman"/>
          <w:sz w:val="28"/>
          <w:szCs w:val="28"/>
          <w:shd w:val="clear" w:color="auto" w:fill="FFFFFF"/>
        </w:rPr>
        <w:t xml:space="preserve">anilor </w:t>
      </w:r>
      <w:r w:rsidRPr="001D0846">
        <w:rPr>
          <w:rFonts w:ascii="Times New Roman" w:hAnsi="Times New Roman" w:cs="Times New Roman"/>
          <w:sz w:val="28"/>
          <w:szCs w:val="28"/>
          <w:shd w:val="clear" w:color="auto" w:fill="FFFFFF"/>
        </w:rPr>
        <w:t>2013-2017</w:t>
      </w:r>
      <w:r w:rsidR="002B3C32">
        <w:rPr>
          <w:rFonts w:ascii="Times New Roman" w:hAnsi="Times New Roman" w:cs="Times New Roman"/>
          <w:sz w:val="28"/>
          <w:szCs w:val="28"/>
          <w:shd w:val="clear" w:color="auto" w:fill="FFFFFF"/>
        </w:rPr>
        <w:t>,</w:t>
      </w:r>
      <w:r w:rsidRPr="001D0846">
        <w:rPr>
          <w:rFonts w:ascii="Times New Roman" w:hAnsi="Times New Roman" w:cs="Times New Roman"/>
          <w:sz w:val="28"/>
          <w:szCs w:val="28"/>
          <w:shd w:val="clear" w:color="auto" w:fill="FFFFFF"/>
        </w:rPr>
        <w:t xml:space="preserve"> în proporție de la 17,7% p</w:t>
      </w:r>
      <w:r w:rsidR="002B3C32">
        <w:rPr>
          <w:rFonts w:ascii="Times New Roman" w:hAnsi="Times New Roman" w:cs="Times New Roman"/>
          <w:sz w:val="28"/>
          <w:szCs w:val="28"/>
          <w:shd w:val="clear" w:color="auto" w:fill="FFFFFF"/>
        </w:rPr>
        <w:t>â</w:t>
      </w:r>
      <w:r w:rsidRPr="001D0846">
        <w:rPr>
          <w:rFonts w:ascii="Times New Roman" w:hAnsi="Times New Roman" w:cs="Times New Roman"/>
          <w:sz w:val="28"/>
          <w:szCs w:val="28"/>
          <w:shd w:val="clear" w:color="auto" w:fill="FFFFFF"/>
        </w:rPr>
        <w:t xml:space="preserve">nă la 0,2 %, soldul </w:t>
      </w:r>
      <w:r w:rsidR="00EB1811">
        <w:rPr>
          <w:rFonts w:ascii="Times New Roman" w:hAnsi="Times New Roman" w:cs="Times New Roman"/>
          <w:sz w:val="28"/>
          <w:szCs w:val="28"/>
          <w:shd w:val="clear" w:color="auto" w:fill="FFFFFF"/>
        </w:rPr>
        <w:t xml:space="preserve">lor </w:t>
      </w:r>
      <w:r w:rsidR="002B3C32" w:rsidRPr="00DB0CC5">
        <w:rPr>
          <w:rFonts w:ascii="Times New Roman" w:hAnsi="Times New Roman" w:cs="Times New Roman"/>
          <w:sz w:val="28"/>
          <w:szCs w:val="28"/>
          <w:shd w:val="clear" w:color="auto" w:fill="FFFFFF"/>
        </w:rPr>
        <w:t>la 31.12.2017</w:t>
      </w:r>
      <w:r w:rsidR="00DB0CC5" w:rsidRPr="00DB0CC5">
        <w:rPr>
          <w:rFonts w:ascii="Times New Roman" w:hAnsi="Times New Roman" w:cs="Times New Roman"/>
          <w:sz w:val="28"/>
          <w:szCs w:val="28"/>
          <w:shd w:val="clear" w:color="auto" w:fill="FFFFFF"/>
        </w:rPr>
        <w:t xml:space="preserve"> </w:t>
      </w:r>
      <w:r w:rsidRPr="00DB0CC5">
        <w:rPr>
          <w:rFonts w:ascii="Times New Roman" w:hAnsi="Times New Roman" w:cs="Times New Roman"/>
          <w:sz w:val="28"/>
          <w:szCs w:val="28"/>
          <w:shd w:val="clear" w:color="auto" w:fill="FFFFFF"/>
        </w:rPr>
        <w:t>constitui</w:t>
      </w:r>
      <w:r w:rsidR="002B3C32" w:rsidRPr="00DB0CC5">
        <w:rPr>
          <w:rFonts w:ascii="Times New Roman" w:hAnsi="Times New Roman" w:cs="Times New Roman"/>
          <w:sz w:val="28"/>
          <w:szCs w:val="28"/>
          <w:shd w:val="clear" w:color="auto" w:fill="FFFFFF"/>
        </w:rPr>
        <w:t>nd</w:t>
      </w:r>
      <w:r w:rsidRPr="00DB0CC5">
        <w:rPr>
          <w:rFonts w:ascii="Times New Roman" w:hAnsi="Times New Roman" w:cs="Times New Roman"/>
          <w:sz w:val="28"/>
          <w:szCs w:val="28"/>
          <w:shd w:val="clear" w:color="auto" w:fill="FFFFFF"/>
        </w:rPr>
        <w:t xml:space="preserve"> 51,7 mil.lei. Restanța </w:t>
      </w:r>
      <w:r w:rsidR="00DB0CC5">
        <w:rPr>
          <w:rFonts w:ascii="Times New Roman" w:hAnsi="Times New Roman" w:cs="Times New Roman"/>
          <w:sz w:val="28"/>
          <w:szCs w:val="28"/>
          <w:shd w:val="clear" w:color="auto" w:fill="FFFFFF"/>
        </w:rPr>
        <w:t xml:space="preserve">formată în </w:t>
      </w:r>
      <w:r w:rsidRPr="00DB0CC5">
        <w:rPr>
          <w:rFonts w:ascii="Times New Roman" w:hAnsi="Times New Roman" w:cs="Times New Roman"/>
          <w:sz w:val="28"/>
          <w:szCs w:val="28"/>
          <w:shd w:val="clear" w:color="auto" w:fill="FFFFFF"/>
        </w:rPr>
        <w:t>anul 2013 a fost recuperată în proporție de la 14,1 % până la 1,4 % (sold</w:t>
      </w:r>
      <w:r w:rsidR="00DB0CC5" w:rsidRPr="00DB0CC5">
        <w:rPr>
          <w:rFonts w:ascii="Times New Roman" w:hAnsi="Times New Roman" w:cs="Times New Roman"/>
          <w:sz w:val="28"/>
          <w:szCs w:val="28"/>
          <w:shd w:val="clear" w:color="auto" w:fill="FFFFFF"/>
        </w:rPr>
        <w:t>ul</w:t>
      </w:r>
      <w:r w:rsidRPr="00DB0CC5">
        <w:rPr>
          <w:rFonts w:ascii="Times New Roman" w:hAnsi="Times New Roman" w:cs="Times New Roman"/>
          <w:sz w:val="28"/>
          <w:szCs w:val="28"/>
          <w:shd w:val="clear" w:color="auto" w:fill="FFFFFF"/>
        </w:rPr>
        <w:t xml:space="preserve"> la 31.12.2013 – 37,1 mil.lei). Restanța </w:t>
      </w:r>
      <w:r w:rsidR="00DB0CC5">
        <w:rPr>
          <w:rFonts w:ascii="Times New Roman" w:hAnsi="Times New Roman" w:cs="Times New Roman"/>
          <w:sz w:val="28"/>
          <w:szCs w:val="28"/>
          <w:shd w:val="clear" w:color="auto" w:fill="FFFFFF"/>
        </w:rPr>
        <w:t xml:space="preserve">din </w:t>
      </w:r>
      <w:r w:rsidRPr="00DB0CC5">
        <w:rPr>
          <w:rFonts w:ascii="Times New Roman" w:hAnsi="Times New Roman" w:cs="Times New Roman"/>
          <w:sz w:val="28"/>
          <w:szCs w:val="28"/>
          <w:shd w:val="clear" w:color="auto" w:fill="FFFFFF"/>
        </w:rPr>
        <w:t xml:space="preserve">anul 2014 a fost recuperată în proporție </w:t>
      </w:r>
      <w:r w:rsidRPr="00DB0CC5">
        <w:rPr>
          <w:rFonts w:ascii="Times New Roman" w:hAnsi="Times New Roman" w:cs="Times New Roman"/>
          <w:sz w:val="28"/>
          <w:szCs w:val="28"/>
          <w:shd w:val="clear" w:color="auto" w:fill="FFFFFF"/>
        </w:rPr>
        <w:lastRenderedPageBreak/>
        <w:t>de la 3,2 % până la 2,4 % (sold</w:t>
      </w:r>
      <w:r w:rsidR="00DB0CC5">
        <w:rPr>
          <w:rFonts w:ascii="Times New Roman" w:hAnsi="Times New Roman" w:cs="Times New Roman"/>
          <w:sz w:val="28"/>
          <w:szCs w:val="28"/>
          <w:shd w:val="clear" w:color="auto" w:fill="FFFFFF"/>
        </w:rPr>
        <w:t>ul</w:t>
      </w:r>
      <w:r w:rsidRPr="00DB0CC5">
        <w:rPr>
          <w:rFonts w:ascii="Times New Roman" w:hAnsi="Times New Roman" w:cs="Times New Roman"/>
          <w:sz w:val="28"/>
          <w:szCs w:val="28"/>
          <w:shd w:val="clear" w:color="auto" w:fill="FFFFFF"/>
        </w:rPr>
        <w:t xml:space="preserve"> la 31.12.2014 – 30,2 mil.lei). Restanța </w:t>
      </w:r>
      <w:r w:rsidR="00DB0CC5">
        <w:rPr>
          <w:rFonts w:ascii="Times New Roman" w:hAnsi="Times New Roman" w:cs="Times New Roman"/>
          <w:sz w:val="28"/>
          <w:szCs w:val="28"/>
          <w:shd w:val="clear" w:color="auto" w:fill="FFFFFF"/>
        </w:rPr>
        <w:t xml:space="preserve">formată în </w:t>
      </w:r>
      <w:r w:rsidRPr="00DB0CC5">
        <w:rPr>
          <w:rFonts w:ascii="Times New Roman" w:hAnsi="Times New Roman" w:cs="Times New Roman"/>
          <w:sz w:val="28"/>
          <w:szCs w:val="28"/>
          <w:shd w:val="clear" w:color="auto" w:fill="FFFFFF"/>
        </w:rPr>
        <w:t>anul 2015 a fost recuperată în proporție de la 9,4% p</w:t>
      </w:r>
      <w:r w:rsidR="00DB0CC5">
        <w:rPr>
          <w:rFonts w:ascii="Times New Roman" w:hAnsi="Times New Roman" w:cs="Times New Roman"/>
          <w:sz w:val="28"/>
          <w:szCs w:val="28"/>
          <w:shd w:val="clear" w:color="auto" w:fill="FFFFFF"/>
        </w:rPr>
        <w:t>â</w:t>
      </w:r>
      <w:r w:rsidRPr="00DB0CC5">
        <w:rPr>
          <w:rFonts w:ascii="Times New Roman" w:hAnsi="Times New Roman" w:cs="Times New Roman"/>
          <w:sz w:val="28"/>
          <w:szCs w:val="28"/>
          <w:shd w:val="clear" w:color="auto" w:fill="FFFFFF"/>
        </w:rPr>
        <w:t>nă la 2,9% (sold</w:t>
      </w:r>
      <w:r w:rsidR="00DB0CC5">
        <w:rPr>
          <w:rFonts w:ascii="Times New Roman" w:hAnsi="Times New Roman" w:cs="Times New Roman"/>
          <w:sz w:val="28"/>
          <w:szCs w:val="28"/>
          <w:shd w:val="clear" w:color="auto" w:fill="FFFFFF"/>
        </w:rPr>
        <w:t>ul</w:t>
      </w:r>
      <w:r w:rsidRPr="00DB0CC5">
        <w:rPr>
          <w:rFonts w:ascii="Times New Roman" w:hAnsi="Times New Roman" w:cs="Times New Roman"/>
          <w:sz w:val="28"/>
          <w:szCs w:val="28"/>
          <w:shd w:val="clear" w:color="auto" w:fill="FFFFFF"/>
        </w:rPr>
        <w:t xml:space="preserve"> la 31.12.2015 – 21,6 mil.lei). Restanța </w:t>
      </w:r>
      <w:r w:rsidR="00DB0CC5">
        <w:rPr>
          <w:rFonts w:ascii="Times New Roman" w:hAnsi="Times New Roman" w:cs="Times New Roman"/>
          <w:sz w:val="28"/>
          <w:szCs w:val="28"/>
          <w:shd w:val="clear" w:color="auto" w:fill="FFFFFF"/>
        </w:rPr>
        <w:t xml:space="preserve">din </w:t>
      </w:r>
      <w:r w:rsidRPr="00DB0CC5">
        <w:rPr>
          <w:rFonts w:ascii="Times New Roman" w:hAnsi="Times New Roman" w:cs="Times New Roman"/>
          <w:sz w:val="28"/>
          <w:szCs w:val="28"/>
          <w:shd w:val="clear" w:color="auto" w:fill="FFFFFF"/>
        </w:rPr>
        <w:t>anul 2016 a fost recuperată în proporție de 11% (sold</w:t>
      </w:r>
      <w:r w:rsidR="00DB0CC5">
        <w:rPr>
          <w:rFonts w:ascii="Times New Roman" w:hAnsi="Times New Roman" w:cs="Times New Roman"/>
          <w:sz w:val="28"/>
          <w:szCs w:val="28"/>
          <w:shd w:val="clear" w:color="auto" w:fill="FFFFFF"/>
        </w:rPr>
        <w:t>ul</w:t>
      </w:r>
      <w:r w:rsidRPr="00DB0CC5">
        <w:rPr>
          <w:rFonts w:ascii="Times New Roman" w:hAnsi="Times New Roman" w:cs="Times New Roman"/>
          <w:sz w:val="28"/>
          <w:szCs w:val="28"/>
          <w:shd w:val="clear" w:color="auto" w:fill="FFFFFF"/>
        </w:rPr>
        <w:t xml:space="preserve"> la 31.12.2016 – 31,9 mil.lei).</w:t>
      </w:r>
      <w:r w:rsidRPr="001D0846">
        <w:rPr>
          <w:rFonts w:ascii="Times New Roman" w:hAnsi="Times New Roman" w:cs="Times New Roman"/>
          <w:sz w:val="28"/>
          <w:szCs w:val="28"/>
          <w:shd w:val="clear" w:color="auto" w:fill="FFFFFF"/>
        </w:rPr>
        <w:t xml:space="preserve"> </w:t>
      </w:r>
    </w:p>
    <w:p w:rsidR="00C26C38" w:rsidRPr="001D0846" w:rsidRDefault="00C26C38" w:rsidP="006358AD">
      <w:pPr>
        <w:spacing w:after="0" w:line="276" w:lineRule="auto"/>
        <w:ind w:firstLine="720"/>
        <w:jc w:val="both"/>
        <w:rPr>
          <w:rFonts w:ascii="Times New Roman" w:hAnsi="Times New Roman" w:cs="Times New Roman"/>
          <w:i/>
          <w:sz w:val="28"/>
          <w:szCs w:val="28"/>
          <w:shd w:val="clear" w:color="auto" w:fill="FFFFFF"/>
        </w:rPr>
      </w:pPr>
      <w:r w:rsidRPr="001D0846">
        <w:rPr>
          <w:rFonts w:ascii="Times New Roman" w:hAnsi="Times New Roman" w:cs="Times New Roman"/>
          <w:sz w:val="28"/>
          <w:szCs w:val="28"/>
          <w:shd w:val="clear" w:color="auto" w:fill="FFFFFF"/>
        </w:rPr>
        <w:t xml:space="preserve">O situație similară se atestă și la recuperarea de către SV a majorărilor de întârziere formate în perioada </w:t>
      </w:r>
      <w:r w:rsidR="00EB1811">
        <w:rPr>
          <w:rFonts w:ascii="Times New Roman" w:hAnsi="Times New Roman" w:cs="Times New Roman"/>
          <w:sz w:val="28"/>
          <w:szCs w:val="28"/>
          <w:shd w:val="clear" w:color="auto" w:fill="FFFFFF"/>
        </w:rPr>
        <w:t xml:space="preserve">anilor </w:t>
      </w:r>
      <w:r w:rsidRPr="001D0846">
        <w:rPr>
          <w:rFonts w:ascii="Times New Roman" w:hAnsi="Times New Roman" w:cs="Times New Roman"/>
          <w:sz w:val="28"/>
          <w:szCs w:val="28"/>
          <w:shd w:val="clear" w:color="auto" w:fill="FFFFFF"/>
        </w:rPr>
        <w:t xml:space="preserve">2012-2017, </w:t>
      </w:r>
      <w:r w:rsidR="00EB1811">
        <w:rPr>
          <w:rFonts w:ascii="Times New Roman" w:hAnsi="Times New Roman" w:cs="Times New Roman"/>
          <w:sz w:val="28"/>
          <w:szCs w:val="28"/>
          <w:shd w:val="clear" w:color="auto" w:fill="FFFFFF"/>
        </w:rPr>
        <w:t>a</w:t>
      </w:r>
      <w:r w:rsidR="00EB1811" w:rsidRPr="001D0846">
        <w:rPr>
          <w:rFonts w:ascii="Times New Roman" w:hAnsi="Times New Roman" w:cs="Times New Roman"/>
          <w:sz w:val="28"/>
          <w:szCs w:val="28"/>
          <w:shd w:val="clear" w:color="auto" w:fill="FFFFFF"/>
        </w:rPr>
        <w:t xml:space="preserve">l căror </w:t>
      </w:r>
      <w:r w:rsidRPr="001D0846">
        <w:rPr>
          <w:rFonts w:ascii="Times New Roman" w:hAnsi="Times New Roman" w:cs="Times New Roman"/>
          <w:sz w:val="28"/>
          <w:szCs w:val="28"/>
          <w:shd w:val="clear" w:color="auto" w:fill="FFFFFF"/>
        </w:rPr>
        <w:t>sold</w:t>
      </w:r>
      <w:r w:rsidR="00EB1811">
        <w:rPr>
          <w:rFonts w:ascii="Times New Roman" w:hAnsi="Times New Roman" w:cs="Times New Roman"/>
          <w:sz w:val="28"/>
          <w:szCs w:val="28"/>
          <w:shd w:val="clear" w:color="auto" w:fill="FFFFFF"/>
        </w:rPr>
        <w:t xml:space="preserve"> </w:t>
      </w:r>
      <w:r w:rsidRPr="001D0846">
        <w:rPr>
          <w:rFonts w:ascii="Times New Roman" w:hAnsi="Times New Roman" w:cs="Times New Roman"/>
          <w:sz w:val="28"/>
          <w:szCs w:val="28"/>
          <w:shd w:val="clear" w:color="auto" w:fill="FFFFFF"/>
        </w:rPr>
        <w:t>la 31.12.2017 constituia 82,8 mil.lei</w:t>
      </w:r>
      <w:r w:rsidR="00EB1811">
        <w:rPr>
          <w:rFonts w:ascii="Times New Roman" w:hAnsi="Times New Roman" w:cs="Times New Roman"/>
          <w:i/>
          <w:sz w:val="28"/>
          <w:szCs w:val="28"/>
          <w:shd w:val="clear" w:color="auto" w:fill="FFFFFF"/>
        </w:rPr>
        <w:t>. I</w:t>
      </w:r>
      <w:r w:rsidRPr="001D0846">
        <w:rPr>
          <w:rFonts w:ascii="Times New Roman" w:hAnsi="Times New Roman" w:cs="Times New Roman"/>
          <w:i/>
          <w:sz w:val="28"/>
          <w:szCs w:val="28"/>
          <w:shd w:val="clear" w:color="auto" w:fill="FFFFFF"/>
        </w:rPr>
        <w:t>nformația detali</w:t>
      </w:r>
      <w:r w:rsidR="00EB1811">
        <w:rPr>
          <w:rFonts w:ascii="Times New Roman" w:hAnsi="Times New Roman" w:cs="Times New Roman"/>
          <w:i/>
          <w:sz w:val="28"/>
          <w:szCs w:val="28"/>
          <w:shd w:val="clear" w:color="auto" w:fill="FFFFFF"/>
        </w:rPr>
        <w:t>ată este</w:t>
      </w:r>
      <w:r w:rsidRPr="001D0846">
        <w:rPr>
          <w:rFonts w:ascii="Times New Roman" w:hAnsi="Times New Roman" w:cs="Times New Roman"/>
          <w:i/>
          <w:sz w:val="28"/>
          <w:szCs w:val="28"/>
          <w:shd w:val="clear" w:color="auto" w:fill="FFFFFF"/>
        </w:rPr>
        <w:t xml:space="preserve"> prezentată în Tabelul </w:t>
      </w:r>
      <w:r w:rsidR="006756EE" w:rsidRPr="001D0846">
        <w:rPr>
          <w:rFonts w:ascii="Times New Roman" w:hAnsi="Times New Roman" w:cs="Times New Roman"/>
          <w:i/>
          <w:sz w:val="28"/>
          <w:szCs w:val="28"/>
          <w:shd w:val="clear" w:color="auto" w:fill="FFFFFF"/>
        </w:rPr>
        <w:t>nr.1</w:t>
      </w:r>
      <w:r w:rsidR="00EE1A86">
        <w:rPr>
          <w:rFonts w:ascii="Times New Roman" w:hAnsi="Times New Roman" w:cs="Times New Roman"/>
          <w:i/>
          <w:sz w:val="28"/>
          <w:szCs w:val="28"/>
          <w:shd w:val="clear" w:color="auto" w:fill="FFFFFF"/>
        </w:rPr>
        <w:t>9</w:t>
      </w:r>
      <w:r w:rsidR="006756EE" w:rsidRPr="001D0846">
        <w:rPr>
          <w:rFonts w:ascii="Times New Roman" w:hAnsi="Times New Roman" w:cs="Times New Roman"/>
          <w:i/>
          <w:sz w:val="28"/>
          <w:szCs w:val="28"/>
          <w:shd w:val="clear" w:color="auto" w:fill="FFFFFF"/>
        </w:rPr>
        <w:t xml:space="preserve"> din Anexa nr.3</w:t>
      </w:r>
      <w:r w:rsidR="004726E0" w:rsidRPr="001D0846">
        <w:rPr>
          <w:rFonts w:ascii="Times New Roman" w:hAnsi="Times New Roman" w:cs="Times New Roman"/>
          <w:i/>
          <w:sz w:val="28"/>
          <w:szCs w:val="28"/>
          <w:shd w:val="clear" w:color="auto" w:fill="FFFFFF"/>
        </w:rPr>
        <w:t xml:space="preserve"> la Raport</w:t>
      </w:r>
      <w:r w:rsidR="00EB1811">
        <w:rPr>
          <w:rFonts w:ascii="Times New Roman" w:hAnsi="Times New Roman" w:cs="Times New Roman"/>
          <w:i/>
          <w:sz w:val="28"/>
          <w:szCs w:val="28"/>
          <w:shd w:val="clear" w:color="auto" w:fill="FFFFFF"/>
        </w:rPr>
        <w:t>ul</w:t>
      </w:r>
      <w:r w:rsidR="004726E0" w:rsidRPr="001D0846">
        <w:rPr>
          <w:rFonts w:ascii="Times New Roman" w:hAnsi="Times New Roman" w:cs="Times New Roman"/>
          <w:i/>
          <w:sz w:val="28"/>
          <w:szCs w:val="28"/>
          <w:shd w:val="clear" w:color="auto" w:fill="FFFFFF"/>
        </w:rPr>
        <w:t xml:space="preserve"> de audit</w:t>
      </w:r>
      <w:r w:rsidRPr="001D0846">
        <w:rPr>
          <w:rFonts w:ascii="Times New Roman" w:hAnsi="Times New Roman" w:cs="Times New Roman"/>
          <w:i/>
          <w:sz w:val="28"/>
          <w:szCs w:val="28"/>
          <w:shd w:val="clear" w:color="auto" w:fill="FFFFFF"/>
        </w:rPr>
        <w:t>.</w:t>
      </w:r>
    </w:p>
    <w:p w:rsidR="00DE7EFA" w:rsidRPr="00DE7EFA" w:rsidRDefault="004726E0" w:rsidP="00DE7EFA">
      <w:pPr>
        <w:spacing w:after="0" w:line="276" w:lineRule="auto"/>
        <w:ind w:firstLine="720"/>
        <w:jc w:val="both"/>
        <w:rPr>
          <w:rFonts w:ascii="Times New Roman" w:hAnsi="Times New Roman"/>
          <w:sz w:val="28"/>
          <w:szCs w:val="28"/>
        </w:rPr>
      </w:pPr>
      <w:r w:rsidRPr="00DE7EFA">
        <w:rPr>
          <w:rFonts w:ascii="Times New Roman" w:hAnsi="Times New Roman" w:cs="Times New Roman"/>
          <w:sz w:val="28"/>
          <w:szCs w:val="28"/>
          <w:shd w:val="clear" w:color="auto" w:fill="FFFFFF"/>
        </w:rPr>
        <w:t>Analiza datelor prezentate</w:t>
      </w:r>
      <w:r w:rsidR="00C26C38" w:rsidRPr="00DE7EFA">
        <w:rPr>
          <w:rFonts w:ascii="Times New Roman" w:hAnsi="Times New Roman" w:cs="Times New Roman"/>
          <w:sz w:val="28"/>
          <w:szCs w:val="28"/>
          <w:shd w:val="clear" w:color="auto" w:fill="FFFFFF"/>
        </w:rPr>
        <w:t xml:space="preserve"> în </w:t>
      </w:r>
      <w:r w:rsidR="00EB1811">
        <w:rPr>
          <w:rFonts w:ascii="Times New Roman" w:hAnsi="Times New Roman" w:cs="Times New Roman"/>
          <w:sz w:val="28"/>
          <w:szCs w:val="28"/>
          <w:shd w:val="clear" w:color="auto" w:fill="FFFFFF"/>
        </w:rPr>
        <w:t>t</w:t>
      </w:r>
      <w:r w:rsidR="00C26C38" w:rsidRPr="00DE7EFA">
        <w:rPr>
          <w:rFonts w:ascii="Times New Roman" w:hAnsi="Times New Roman" w:cs="Times New Roman"/>
          <w:sz w:val="28"/>
          <w:szCs w:val="28"/>
          <w:shd w:val="clear" w:color="auto" w:fill="FFFFFF"/>
        </w:rPr>
        <w:t xml:space="preserve">abel relevă o micșorare a penalităților calculate în perioada </w:t>
      </w:r>
      <w:r w:rsidR="00EB1811">
        <w:rPr>
          <w:rFonts w:ascii="Times New Roman" w:hAnsi="Times New Roman" w:cs="Times New Roman"/>
          <w:sz w:val="28"/>
          <w:szCs w:val="28"/>
          <w:shd w:val="clear" w:color="auto" w:fill="FFFFFF"/>
        </w:rPr>
        <w:t xml:space="preserve">anilor </w:t>
      </w:r>
      <w:r w:rsidR="00C26C38" w:rsidRPr="00DE7EFA">
        <w:rPr>
          <w:rFonts w:ascii="Times New Roman" w:hAnsi="Times New Roman" w:cs="Times New Roman"/>
          <w:sz w:val="28"/>
          <w:szCs w:val="28"/>
          <w:shd w:val="clear" w:color="auto" w:fill="FFFFFF"/>
        </w:rPr>
        <w:t xml:space="preserve">2015-2017, fapt cauzat de necalcularea </w:t>
      </w:r>
      <w:r w:rsidR="00DE7EFA" w:rsidRPr="00DE7EFA">
        <w:rPr>
          <w:rFonts w:ascii="Times New Roman" w:hAnsi="Times New Roman" w:cs="Times New Roman"/>
          <w:sz w:val="28"/>
          <w:szCs w:val="28"/>
          <w:shd w:val="clear" w:color="auto" w:fill="FFFFFF"/>
        </w:rPr>
        <w:t xml:space="preserve">automată </w:t>
      </w:r>
      <w:r w:rsidR="00C26C38" w:rsidRPr="00DE7EFA">
        <w:rPr>
          <w:rFonts w:ascii="Times New Roman" w:hAnsi="Times New Roman" w:cs="Times New Roman"/>
          <w:sz w:val="28"/>
          <w:szCs w:val="28"/>
          <w:shd w:val="clear" w:color="auto" w:fill="FFFFFF"/>
        </w:rPr>
        <w:t>de către SIA al SV</w:t>
      </w:r>
      <w:r w:rsidR="00C26C38" w:rsidRPr="00DE7EFA">
        <w:rPr>
          <w:rFonts w:ascii="Times New Roman" w:hAnsi="Times New Roman"/>
          <w:color w:val="000000"/>
          <w:sz w:val="28"/>
          <w:szCs w:val="28"/>
        </w:rPr>
        <w:t xml:space="preserve"> a penalității în mărimea stabilită de </w:t>
      </w:r>
      <w:r w:rsidR="003679A9" w:rsidRPr="00DE7EFA">
        <w:rPr>
          <w:rFonts w:ascii="Times New Roman" w:hAnsi="Times New Roman"/>
          <w:color w:val="000000"/>
          <w:sz w:val="28"/>
          <w:szCs w:val="28"/>
        </w:rPr>
        <w:t>Codul fiscal</w:t>
      </w:r>
      <w:r w:rsidR="00C26C38" w:rsidRPr="00DE7EFA">
        <w:rPr>
          <w:rFonts w:ascii="Times New Roman" w:hAnsi="Times New Roman"/>
          <w:color w:val="000000"/>
          <w:sz w:val="28"/>
          <w:szCs w:val="28"/>
        </w:rPr>
        <w:t xml:space="preserve"> pentru fiecare zi de întârziere la plata drepturilor de import și export, situație constatată și în cadrul auditului precedent efectuat de Curtea de Conturi</w:t>
      </w:r>
      <w:r w:rsidR="00C26C38" w:rsidRPr="00DE7EFA">
        <w:rPr>
          <w:rStyle w:val="a6"/>
          <w:rFonts w:ascii="Times New Roman" w:hAnsi="Times New Roman"/>
          <w:color w:val="000000"/>
          <w:sz w:val="28"/>
          <w:szCs w:val="28"/>
        </w:rPr>
        <w:footnoteReference w:id="18"/>
      </w:r>
      <w:r w:rsidR="00C26C38" w:rsidRPr="00DE7EFA">
        <w:rPr>
          <w:rFonts w:ascii="Times New Roman" w:hAnsi="Times New Roman"/>
          <w:color w:val="000000"/>
          <w:sz w:val="28"/>
          <w:szCs w:val="28"/>
        </w:rPr>
        <w:t xml:space="preserve">. </w:t>
      </w:r>
      <w:r w:rsidR="00DE7EFA" w:rsidRPr="005F66C3">
        <w:rPr>
          <w:rFonts w:ascii="Times New Roman" w:hAnsi="Times New Roman"/>
          <w:color w:val="000000"/>
          <w:sz w:val="28"/>
          <w:szCs w:val="28"/>
        </w:rPr>
        <w:t>Astfel,</w:t>
      </w:r>
      <w:r w:rsidR="00DE7EFA" w:rsidRPr="005F66C3">
        <w:rPr>
          <w:rFonts w:ascii="Times New Roman" w:hAnsi="Times New Roman"/>
          <w:sz w:val="28"/>
          <w:szCs w:val="28"/>
        </w:rPr>
        <w:t xml:space="preserve"> rapoartele întocmite pentru anii 2015-2017 nu includ suma totală a penalităților care urma</w:t>
      </w:r>
      <w:r w:rsidR="00EB1811" w:rsidRPr="005F66C3">
        <w:rPr>
          <w:rFonts w:ascii="Times New Roman" w:hAnsi="Times New Roman"/>
          <w:sz w:val="28"/>
          <w:szCs w:val="28"/>
        </w:rPr>
        <w:t>u</w:t>
      </w:r>
      <w:r w:rsidR="00DE7EFA" w:rsidRPr="005F66C3">
        <w:rPr>
          <w:rFonts w:ascii="Times New Roman" w:hAnsi="Times New Roman"/>
          <w:sz w:val="28"/>
          <w:szCs w:val="28"/>
        </w:rPr>
        <w:t xml:space="preserve"> a fi  calculat</w:t>
      </w:r>
      <w:r w:rsidR="00EB1811" w:rsidRPr="005F66C3">
        <w:rPr>
          <w:rFonts w:ascii="Times New Roman" w:hAnsi="Times New Roman"/>
          <w:sz w:val="28"/>
          <w:szCs w:val="28"/>
        </w:rPr>
        <w:t>e</w:t>
      </w:r>
      <w:r w:rsidR="00DE7EFA" w:rsidRPr="005F66C3">
        <w:rPr>
          <w:rFonts w:ascii="Times New Roman" w:hAnsi="Times New Roman"/>
          <w:sz w:val="28"/>
          <w:szCs w:val="28"/>
        </w:rPr>
        <w:t xml:space="preserve"> la plățile</w:t>
      </w:r>
      <w:r w:rsidR="00DE7EFA">
        <w:rPr>
          <w:rFonts w:ascii="Times New Roman" w:hAnsi="Times New Roman"/>
          <w:sz w:val="28"/>
          <w:szCs w:val="28"/>
        </w:rPr>
        <w:t xml:space="preserve"> de bază, ci </w:t>
      </w:r>
      <w:r w:rsidR="00DE7EFA" w:rsidRPr="00936B3A">
        <w:rPr>
          <w:rFonts w:ascii="Times New Roman" w:hAnsi="Times New Roman"/>
          <w:sz w:val="28"/>
          <w:szCs w:val="28"/>
        </w:rPr>
        <w:t xml:space="preserve">doar penalitatea calculată manual </w:t>
      </w:r>
      <w:r w:rsidR="00DE7EFA" w:rsidRPr="00DE7EFA">
        <w:rPr>
          <w:rFonts w:ascii="Times New Roman" w:hAnsi="Times New Roman"/>
          <w:sz w:val="28"/>
          <w:szCs w:val="28"/>
        </w:rPr>
        <w:t xml:space="preserve">de către persoanele responsabile din cadrul SV pentru cazurile în care plata de bază a plătitorului vamal ajunge la scadență sau se inițiază procedura de încasare silită. </w:t>
      </w:r>
      <w:r w:rsidR="00DE7EFA" w:rsidRPr="00DE7EFA">
        <w:rPr>
          <w:rFonts w:ascii="Times New Roman" w:hAnsi="Times New Roman"/>
          <w:color w:val="000000"/>
          <w:sz w:val="28"/>
          <w:szCs w:val="28"/>
        </w:rPr>
        <w:t xml:space="preserve">Cele menționate cauzează o raportare </w:t>
      </w:r>
      <w:r w:rsidR="006E23A6">
        <w:rPr>
          <w:rFonts w:ascii="Times New Roman" w:hAnsi="Times New Roman"/>
          <w:color w:val="000000"/>
          <w:sz w:val="28"/>
          <w:szCs w:val="28"/>
        </w:rPr>
        <w:t>incompletă</w:t>
      </w:r>
      <w:r w:rsidR="00DE7EFA" w:rsidRPr="00DE7EFA">
        <w:rPr>
          <w:rFonts w:ascii="Times New Roman" w:hAnsi="Times New Roman"/>
          <w:color w:val="000000"/>
          <w:sz w:val="28"/>
          <w:szCs w:val="28"/>
        </w:rPr>
        <w:t xml:space="preserve"> a situației privind restanțele administrate, denatur</w:t>
      </w:r>
      <w:r w:rsidR="00755753">
        <w:rPr>
          <w:rFonts w:ascii="Times New Roman" w:hAnsi="Times New Roman"/>
          <w:color w:val="000000"/>
          <w:sz w:val="28"/>
          <w:szCs w:val="28"/>
        </w:rPr>
        <w:t>â</w:t>
      </w:r>
      <w:r w:rsidR="00DE7EFA" w:rsidRPr="00DE7EFA">
        <w:rPr>
          <w:rFonts w:ascii="Times New Roman" w:hAnsi="Times New Roman"/>
          <w:color w:val="000000"/>
          <w:sz w:val="28"/>
          <w:szCs w:val="28"/>
        </w:rPr>
        <w:t>nd în același timp rapoartele aferente.</w:t>
      </w:r>
    </w:p>
    <w:p w:rsidR="00C26C38" w:rsidRPr="001D0846" w:rsidRDefault="005B1B3A" w:rsidP="00776A3C">
      <w:pPr>
        <w:spacing w:after="0" w:line="276" w:lineRule="auto"/>
        <w:ind w:firstLine="709"/>
        <w:jc w:val="both"/>
        <w:rPr>
          <w:rFonts w:ascii="Times New Roman" w:hAnsi="Times New Roman" w:cs="Times New Roman"/>
          <w:sz w:val="28"/>
          <w:szCs w:val="28"/>
        </w:rPr>
      </w:pPr>
      <w:r w:rsidRPr="006E23A6">
        <w:rPr>
          <w:rFonts w:ascii="Times New Roman" w:hAnsi="Times New Roman" w:cs="Times New Roman"/>
          <w:sz w:val="28"/>
          <w:szCs w:val="28"/>
        </w:rPr>
        <w:t>Potrivit modificărilor operate în Codul vamal prin</w:t>
      </w:r>
      <w:r w:rsidR="00C26C38" w:rsidRPr="006E23A6">
        <w:rPr>
          <w:rFonts w:ascii="Times New Roman" w:hAnsi="Times New Roman" w:cs="Times New Roman"/>
          <w:sz w:val="28"/>
          <w:szCs w:val="28"/>
        </w:rPr>
        <w:t xml:space="preserve"> Legea nr.324 din 23.12.2013</w:t>
      </w:r>
      <w:r w:rsidR="00C26C38" w:rsidRPr="006E23A6">
        <w:rPr>
          <w:rStyle w:val="a6"/>
          <w:rFonts w:ascii="Times New Roman" w:hAnsi="Times New Roman" w:cs="Times New Roman"/>
          <w:iCs/>
          <w:sz w:val="28"/>
          <w:szCs w:val="28"/>
        </w:rPr>
        <w:footnoteReference w:id="19"/>
      </w:r>
      <w:r w:rsidR="00755753">
        <w:rPr>
          <w:rFonts w:ascii="Times New Roman" w:hAnsi="Times New Roman" w:cs="Times New Roman"/>
          <w:sz w:val="28"/>
          <w:szCs w:val="28"/>
        </w:rPr>
        <w:t>,</w:t>
      </w:r>
      <w:r w:rsidR="00C26C38" w:rsidRPr="006E23A6">
        <w:rPr>
          <w:rFonts w:ascii="Times New Roman" w:hAnsi="Times New Roman" w:cs="Times New Roman"/>
          <w:sz w:val="28"/>
          <w:szCs w:val="28"/>
        </w:rPr>
        <w:t xml:space="preserve"> a fost instituit mecanismul de executare silită a obligației vamale, urmare cărui fapt SV i-au </w:t>
      </w:r>
      <w:r w:rsidR="00C31AE0" w:rsidRPr="006E23A6">
        <w:rPr>
          <w:rFonts w:ascii="Times New Roman" w:hAnsi="Times New Roman" w:cs="Times New Roman"/>
          <w:sz w:val="28"/>
          <w:szCs w:val="28"/>
        </w:rPr>
        <w:t xml:space="preserve">fost </w:t>
      </w:r>
      <w:r w:rsidR="00C26C38" w:rsidRPr="006E23A6">
        <w:rPr>
          <w:rFonts w:ascii="Times New Roman" w:hAnsi="Times New Roman" w:cs="Times New Roman"/>
          <w:sz w:val="28"/>
          <w:szCs w:val="28"/>
        </w:rPr>
        <w:t>acordate pârghii suplimentare pentru a asigura</w:t>
      </w:r>
      <w:r w:rsidR="00C26C38" w:rsidRPr="001D0846">
        <w:rPr>
          <w:rFonts w:ascii="Times New Roman" w:hAnsi="Times New Roman" w:cs="Times New Roman"/>
          <w:sz w:val="28"/>
          <w:szCs w:val="28"/>
        </w:rPr>
        <w:t xml:space="preserve"> recuperarea/perceperea forțată a restanțelor la BS. Astfel, organele vamale </w:t>
      </w:r>
      <w:r w:rsidR="006E23A6">
        <w:rPr>
          <w:rFonts w:ascii="Times New Roman" w:hAnsi="Times New Roman" w:cs="Times New Roman"/>
          <w:sz w:val="28"/>
          <w:szCs w:val="28"/>
        </w:rPr>
        <w:t>urmau să aplice</w:t>
      </w:r>
      <w:r w:rsidR="00C26C38" w:rsidRPr="001D0846">
        <w:rPr>
          <w:rFonts w:ascii="Times New Roman" w:hAnsi="Times New Roman" w:cs="Times New Roman"/>
          <w:sz w:val="28"/>
          <w:szCs w:val="28"/>
        </w:rPr>
        <w:t xml:space="preserve"> executarea silită a obligației vamale</w:t>
      </w:r>
      <w:r w:rsidR="00755753">
        <w:rPr>
          <w:rFonts w:ascii="Times New Roman" w:hAnsi="Times New Roman" w:cs="Times New Roman"/>
          <w:sz w:val="28"/>
          <w:szCs w:val="28"/>
        </w:rPr>
        <w:t>,</w:t>
      </w:r>
      <w:r w:rsidR="00C26C38" w:rsidRPr="001D0846">
        <w:rPr>
          <w:rFonts w:ascii="Times New Roman" w:hAnsi="Times New Roman" w:cs="Times New Roman"/>
          <w:sz w:val="28"/>
          <w:szCs w:val="28"/>
        </w:rPr>
        <w:t xml:space="preserve"> prin: </w:t>
      </w:r>
      <w:r w:rsidR="00C26C38" w:rsidRPr="001D0846">
        <w:rPr>
          <w:rFonts w:ascii="Times New Roman" w:hAnsi="Times New Roman" w:cs="Times New Roman"/>
          <w:i/>
          <w:sz w:val="28"/>
          <w:szCs w:val="28"/>
        </w:rPr>
        <w:t>(i)</w:t>
      </w:r>
      <w:r w:rsidR="00C26C38" w:rsidRPr="001D0846">
        <w:rPr>
          <w:rFonts w:ascii="Times New Roman" w:hAnsi="Times New Roman" w:cs="Times New Roman"/>
          <w:b/>
          <w:sz w:val="28"/>
          <w:szCs w:val="28"/>
        </w:rPr>
        <w:t xml:space="preserve"> </w:t>
      </w:r>
      <w:r w:rsidR="00C26C38" w:rsidRPr="001D0846">
        <w:rPr>
          <w:rFonts w:ascii="Times New Roman" w:hAnsi="Times New Roman" w:cs="Times New Roman"/>
          <w:sz w:val="28"/>
          <w:szCs w:val="28"/>
        </w:rPr>
        <w:t xml:space="preserve">încasarea mijloacelor bănești de pe conturile bancare ale plătitorului vamal; </w:t>
      </w:r>
      <w:r w:rsidR="00C26C38" w:rsidRPr="001D0846">
        <w:rPr>
          <w:rFonts w:ascii="Times New Roman" w:hAnsi="Times New Roman" w:cs="Times New Roman"/>
          <w:i/>
          <w:sz w:val="28"/>
          <w:szCs w:val="28"/>
        </w:rPr>
        <w:t>(ii)</w:t>
      </w:r>
      <w:r w:rsidR="00C26C38" w:rsidRPr="001D0846">
        <w:rPr>
          <w:rFonts w:ascii="Times New Roman" w:hAnsi="Times New Roman" w:cs="Times New Roman"/>
          <w:b/>
          <w:sz w:val="28"/>
          <w:szCs w:val="28"/>
        </w:rPr>
        <w:t xml:space="preserve"> </w:t>
      </w:r>
      <w:r w:rsidR="00C26C38" w:rsidRPr="001D0846">
        <w:rPr>
          <w:rFonts w:ascii="Times New Roman" w:hAnsi="Times New Roman" w:cs="Times New Roman"/>
          <w:sz w:val="28"/>
          <w:szCs w:val="28"/>
        </w:rPr>
        <w:t xml:space="preserve">ridicarea mijloacelor bănești în numerar; </w:t>
      </w:r>
      <w:r w:rsidR="00C26C38" w:rsidRPr="001D0846">
        <w:rPr>
          <w:rFonts w:ascii="Times New Roman" w:hAnsi="Times New Roman" w:cs="Times New Roman"/>
          <w:i/>
          <w:sz w:val="28"/>
          <w:szCs w:val="28"/>
        </w:rPr>
        <w:t>(iii)</w:t>
      </w:r>
      <w:r w:rsidR="00C26C38" w:rsidRPr="001D0846">
        <w:rPr>
          <w:rFonts w:ascii="Times New Roman" w:hAnsi="Times New Roman" w:cs="Times New Roman"/>
          <w:b/>
          <w:sz w:val="28"/>
          <w:szCs w:val="28"/>
        </w:rPr>
        <w:t xml:space="preserve"> </w:t>
      </w:r>
      <w:r w:rsidR="00C26C38" w:rsidRPr="001D0846">
        <w:rPr>
          <w:rFonts w:ascii="Times New Roman" w:hAnsi="Times New Roman" w:cs="Times New Roman"/>
          <w:sz w:val="28"/>
          <w:szCs w:val="28"/>
        </w:rPr>
        <w:t xml:space="preserve">urmărirea bunurilor plătitorului vamal; </w:t>
      </w:r>
      <w:r w:rsidR="00C26C38" w:rsidRPr="001D0846">
        <w:rPr>
          <w:rFonts w:ascii="Times New Roman" w:hAnsi="Times New Roman" w:cs="Times New Roman"/>
          <w:i/>
          <w:sz w:val="28"/>
          <w:szCs w:val="28"/>
        </w:rPr>
        <w:t>(iv)</w:t>
      </w:r>
      <w:r w:rsidR="00C26C38" w:rsidRPr="001D0846">
        <w:rPr>
          <w:rFonts w:ascii="Times New Roman" w:hAnsi="Times New Roman" w:cs="Times New Roman"/>
          <w:b/>
          <w:sz w:val="28"/>
          <w:szCs w:val="28"/>
        </w:rPr>
        <w:t xml:space="preserve"> </w:t>
      </w:r>
      <w:r w:rsidR="00C26C38" w:rsidRPr="001D0846">
        <w:rPr>
          <w:rFonts w:ascii="Times New Roman" w:hAnsi="Times New Roman" w:cs="Times New Roman"/>
          <w:sz w:val="28"/>
          <w:szCs w:val="28"/>
        </w:rPr>
        <w:t xml:space="preserve">urmărirea datoriilor debitoare ale plătitorului vamal. </w:t>
      </w:r>
    </w:p>
    <w:p w:rsidR="006E23A6" w:rsidRPr="006E23A6" w:rsidRDefault="00C26C38" w:rsidP="006E23A6">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Se menționează că, în cadrul audit</w:t>
      </w:r>
      <w:r w:rsidR="00755753">
        <w:rPr>
          <w:rFonts w:ascii="Times New Roman" w:hAnsi="Times New Roman" w:cs="Times New Roman"/>
          <w:sz w:val="28"/>
          <w:szCs w:val="28"/>
        </w:rPr>
        <w:t>uri</w:t>
      </w:r>
      <w:r w:rsidRPr="001D0846">
        <w:rPr>
          <w:rFonts w:ascii="Times New Roman" w:hAnsi="Times New Roman" w:cs="Times New Roman"/>
          <w:sz w:val="28"/>
          <w:szCs w:val="28"/>
        </w:rPr>
        <w:t xml:space="preserve">lor anterioare efectuate la SV în perioada </w:t>
      </w:r>
      <w:r w:rsidR="00755753">
        <w:rPr>
          <w:rFonts w:ascii="Times New Roman" w:hAnsi="Times New Roman" w:cs="Times New Roman"/>
          <w:sz w:val="28"/>
          <w:szCs w:val="28"/>
        </w:rPr>
        <w:t xml:space="preserve">anilor </w:t>
      </w:r>
      <w:r w:rsidRPr="001D0846">
        <w:rPr>
          <w:rFonts w:ascii="Times New Roman" w:hAnsi="Times New Roman" w:cs="Times New Roman"/>
          <w:sz w:val="28"/>
          <w:szCs w:val="28"/>
        </w:rPr>
        <w:t xml:space="preserve">2014-2016, Curtea de Conturi a constatat neasigurarea funcționării eficiente a mecanismelor de executare silită a obligației vamale, fiind </w:t>
      </w:r>
      <w:r w:rsidR="00755753">
        <w:rPr>
          <w:rFonts w:ascii="Times New Roman" w:hAnsi="Times New Roman" w:cs="Times New Roman"/>
          <w:sz w:val="28"/>
          <w:szCs w:val="28"/>
        </w:rPr>
        <w:t>atestate</w:t>
      </w:r>
      <w:r w:rsidRPr="001D0846">
        <w:rPr>
          <w:rFonts w:ascii="Times New Roman" w:hAnsi="Times New Roman" w:cs="Times New Roman"/>
          <w:sz w:val="28"/>
          <w:szCs w:val="28"/>
        </w:rPr>
        <w:t xml:space="preserve"> mai multe problem</w:t>
      </w:r>
      <w:r w:rsidR="006E23A6">
        <w:rPr>
          <w:rFonts w:ascii="Times New Roman" w:hAnsi="Times New Roman" w:cs="Times New Roman"/>
          <w:sz w:val="28"/>
          <w:szCs w:val="28"/>
        </w:rPr>
        <w:t xml:space="preserve">atici aferente acestui domeniu. </w:t>
      </w:r>
      <w:r w:rsidRPr="001D0846">
        <w:rPr>
          <w:rFonts w:ascii="Times New Roman" w:hAnsi="Times New Roman" w:cs="Times New Roman"/>
          <w:sz w:val="28"/>
          <w:szCs w:val="28"/>
        </w:rPr>
        <w:t xml:space="preserve">Evaluările și activitățile auditului </w:t>
      </w:r>
      <w:r w:rsidR="006E23A6">
        <w:rPr>
          <w:rFonts w:ascii="Times New Roman" w:hAnsi="Times New Roman" w:cs="Times New Roman"/>
          <w:sz w:val="28"/>
          <w:szCs w:val="28"/>
        </w:rPr>
        <w:t xml:space="preserve">public extern </w:t>
      </w:r>
      <w:r w:rsidRPr="001D0846">
        <w:rPr>
          <w:rFonts w:ascii="Times New Roman" w:hAnsi="Times New Roman" w:cs="Times New Roman"/>
          <w:sz w:val="28"/>
          <w:szCs w:val="28"/>
        </w:rPr>
        <w:t>denotă că</w:t>
      </w:r>
      <w:r w:rsidR="00A057AE">
        <w:rPr>
          <w:rFonts w:ascii="Times New Roman" w:hAnsi="Times New Roman" w:cs="Times New Roman"/>
          <w:sz w:val="28"/>
          <w:szCs w:val="28"/>
        </w:rPr>
        <w:t>,</w:t>
      </w:r>
      <w:r w:rsidRPr="001D0846">
        <w:rPr>
          <w:rFonts w:ascii="Times New Roman" w:hAnsi="Times New Roman" w:cs="Times New Roman"/>
          <w:sz w:val="28"/>
          <w:szCs w:val="28"/>
        </w:rPr>
        <w:t xml:space="preserve"> per sistem, situația cu privire la funcționarea mecanismului de executare silită a obligației vamale nu relevă ameliorări, fapt care are impact asupra eficienței și eficacității administrării obligației vamale. </w:t>
      </w:r>
    </w:p>
    <w:p w:rsidR="00C26C38" w:rsidRPr="001D0846" w:rsidRDefault="00C26C38" w:rsidP="00826DE7">
      <w:pPr>
        <w:spacing w:after="0" w:line="276" w:lineRule="auto"/>
        <w:ind w:firstLine="709"/>
        <w:jc w:val="both"/>
        <w:rPr>
          <w:rFonts w:ascii="Times New Roman" w:hAnsi="Times New Roman" w:cs="Times New Roman"/>
          <w:sz w:val="28"/>
          <w:szCs w:val="28"/>
        </w:rPr>
      </w:pPr>
      <w:r w:rsidRPr="001D0846">
        <w:rPr>
          <w:rFonts w:ascii="Times New Roman" w:hAnsi="Times New Roman" w:cs="Times New Roman"/>
          <w:sz w:val="28"/>
          <w:szCs w:val="28"/>
        </w:rPr>
        <w:lastRenderedPageBreak/>
        <w:t xml:space="preserve">Examinările </w:t>
      </w:r>
      <w:r w:rsidR="00A057AE">
        <w:rPr>
          <w:rFonts w:ascii="Times New Roman" w:hAnsi="Times New Roman" w:cs="Times New Roman"/>
          <w:sz w:val="28"/>
          <w:szCs w:val="28"/>
        </w:rPr>
        <w:t xml:space="preserve">efectuate de </w:t>
      </w:r>
      <w:r w:rsidRPr="001D0846">
        <w:rPr>
          <w:rFonts w:ascii="Times New Roman" w:hAnsi="Times New Roman" w:cs="Times New Roman"/>
          <w:sz w:val="28"/>
          <w:szCs w:val="28"/>
        </w:rPr>
        <w:t xml:space="preserve">audit asupra funcționalității mecanismului de executare silită a obligației vamale în </w:t>
      </w:r>
      <w:r w:rsidR="00A057AE">
        <w:rPr>
          <w:rFonts w:ascii="Times New Roman" w:hAnsi="Times New Roman" w:cs="Times New Roman"/>
          <w:sz w:val="28"/>
          <w:szCs w:val="28"/>
        </w:rPr>
        <w:t>anul</w:t>
      </w:r>
      <w:r w:rsidRPr="001D0846">
        <w:rPr>
          <w:rFonts w:ascii="Times New Roman" w:hAnsi="Times New Roman" w:cs="Times New Roman"/>
          <w:sz w:val="28"/>
          <w:szCs w:val="28"/>
        </w:rPr>
        <w:t xml:space="preserve"> 2017 relevă </w:t>
      </w:r>
      <w:r w:rsidR="006E23A6">
        <w:rPr>
          <w:rFonts w:ascii="Times New Roman" w:hAnsi="Times New Roman" w:cs="Times New Roman"/>
          <w:sz w:val="28"/>
          <w:szCs w:val="28"/>
        </w:rPr>
        <w:t>rezerve</w:t>
      </w:r>
      <w:r w:rsidRPr="001D0846">
        <w:rPr>
          <w:rFonts w:ascii="Times New Roman" w:hAnsi="Times New Roman" w:cs="Times New Roman"/>
          <w:sz w:val="28"/>
          <w:szCs w:val="28"/>
        </w:rPr>
        <w:t xml:space="preserve"> în asigurarea recuperării restanțelor la BS, nefiind aplicate măsurile/pârghiile instituite legal în vederea stingerii obligației vamale. Verificările la acest capitol denotă că în perioada auditată, în vederea încasării plăților restante, organele vamale au întreprins doar măsuri de suspendare a operațiunilor la conturile bancare ale debitorilor, încasând</w:t>
      </w:r>
      <w:r w:rsidR="00A057AE">
        <w:rPr>
          <w:rFonts w:ascii="Times New Roman" w:hAnsi="Times New Roman" w:cs="Times New Roman"/>
          <w:sz w:val="28"/>
          <w:szCs w:val="28"/>
        </w:rPr>
        <w:t>,</w:t>
      </w:r>
      <w:r w:rsidRPr="001D0846">
        <w:rPr>
          <w:rFonts w:ascii="Times New Roman" w:hAnsi="Times New Roman" w:cs="Times New Roman"/>
          <w:sz w:val="28"/>
          <w:szCs w:val="28"/>
        </w:rPr>
        <w:t xml:space="preserve"> prin aplicarea acestei măsuri</w:t>
      </w:r>
      <w:r w:rsidR="00A057AE">
        <w:rPr>
          <w:rFonts w:ascii="Times New Roman" w:hAnsi="Times New Roman" w:cs="Times New Roman"/>
          <w:sz w:val="28"/>
          <w:szCs w:val="28"/>
        </w:rPr>
        <w:t>,</w:t>
      </w:r>
      <w:r w:rsidRPr="001D0846">
        <w:rPr>
          <w:rFonts w:ascii="Times New Roman" w:hAnsi="Times New Roman" w:cs="Times New Roman"/>
          <w:sz w:val="28"/>
          <w:szCs w:val="28"/>
        </w:rPr>
        <w:t xml:space="preserve"> restanțe la plățile administrate în sumă de 11,9 mil.lei, sau 3,7% din totalul restanței la 01.01.2017 (319,5 mil.lei). Analogic, în anii 2015 și 2016 au fost încasate restanțe în sumă de 15,9 mil</w:t>
      </w:r>
      <w:r w:rsidR="00A057AE">
        <w:rPr>
          <w:rFonts w:ascii="Times New Roman" w:hAnsi="Times New Roman" w:cs="Times New Roman"/>
          <w:sz w:val="28"/>
          <w:szCs w:val="28"/>
        </w:rPr>
        <w:t>.</w:t>
      </w:r>
      <w:r w:rsidRPr="001D0846">
        <w:rPr>
          <w:rFonts w:ascii="Times New Roman" w:hAnsi="Times New Roman" w:cs="Times New Roman"/>
          <w:sz w:val="28"/>
          <w:szCs w:val="28"/>
        </w:rPr>
        <w:t xml:space="preserve"> lei și </w:t>
      </w:r>
      <w:r w:rsidR="00A057AE">
        <w:rPr>
          <w:rFonts w:ascii="Times New Roman" w:hAnsi="Times New Roman" w:cs="Times New Roman"/>
          <w:sz w:val="28"/>
          <w:szCs w:val="28"/>
        </w:rPr>
        <w:t xml:space="preserve">de </w:t>
      </w:r>
      <w:r w:rsidRPr="001D0846">
        <w:rPr>
          <w:rFonts w:ascii="Times New Roman" w:hAnsi="Times New Roman" w:cs="Times New Roman"/>
          <w:sz w:val="28"/>
          <w:szCs w:val="28"/>
        </w:rPr>
        <w:t>5,7 mil.lei</w:t>
      </w:r>
      <w:r w:rsidR="00A057AE">
        <w:rPr>
          <w:rFonts w:ascii="Times New Roman" w:hAnsi="Times New Roman" w:cs="Times New Roman"/>
          <w:sz w:val="28"/>
          <w:szCs w:val="28"/>
        </w:rPr>
        <w:t>,</w:t>
      </w:r>
      <w:r w:rsidRPr="001D0846">
        <w:rPr>
          <w:rFonts w:ascii="Times New Roman" w:hAnsi="Times New Roman" w:cs="Times New Roman"/>
          <w:sz w:val="28"/>
          <w:szCs w:val="28"/>
        </w:rPr>
        <w:t xml:space="preserve"> față de restanț</w:t>
      </w:r>
      <w:r w:rsidR="004D38E5">
        <w:rPr>
          <w:rFonts w:ascii="Times New Roman" w:hAnsi="Times New Roman" w:cs="Times New Roman"/>
          <w:sz w:val="28"/>
          <w:szCs w:val="28"/>
        </w:rPr>
        <w:t>ele</w:t>
      </w:r>
      <w:r w:rsidRPr="001D0846">
        <w:rPr>
          <w:rFonts w:ascii="Times New Roman" w:hAnsi="Times New Roman" w:cs="Times New Roman"/>
          <w:sz w:val="28"/>
          <w:szCs w:val="28"/>
        </w:rPr>
        <w:t xml:space="preserve"> la începutul perioadelor respective în sumă de 336,1 mil. lei și</w:t>
      </w:r>
      <w:r w:rsidR="004D38E5">
        <w:rPr>
          <w:rFonts w:ascii="Times New Roman" w:hAnsi="Times New Roman" w:cs="Times New Roman"/>
          <w:sz w:val="28"/>
          <w:szCs w:val="28"/>
        </w:rPr>
        <w:t>,</w:t>
      </w:r>
      <w:r w:rsidRPr="001D0846">
        <w:rPr>
          <w:rFonts w:ascii="Times New Roman" w:hAnsi="Times New Roman" w:cs="Times New Roman"/>
          <w:sz w:val="28"/>
          <w:szCs w:val="28"/>
        </w:rPr>
        <w:t xml:space="preserve"> respectiv</w:t>
      </w:r>
      <w:r w:rsidR="004D38E5">
        <w:rPr>
          <w:rFonts w:ascii="Times New Roman" w:hAnsi="Times New Roman" w:cs="Times New Roman"/>
          <w:sz w:val="28"/>
          <w:szCs w:val="28"/>
        </w:rPr>
        <w:t>,</w:t>
      </w:r>
      <w:r w:rsidRPr="001D0846">
        <w:rPr>
          <w:rFonts w:ascii="Times New Roman" w:hAnsi="Times New Roman" w:cs="Times New Roman"/>
          <w:sz w:val="28"/>
          <w:szCs w:val="28"/>
        </w:rPr>
        <w:t xml:space="preserve"> </w:t>
      </w:r>
      <w:r w:rsidR="004D38E5">
        <w:rPr>
          <w:rFonts w:ascii="Times New Roman" w:hAnsi="Times New Roman" w:cs="Times New Roman"/>
          <w:sz w:val="28"/>
          <w:szCs w:val="28"/>
        </w:rPr>
        <w:t xml:space="preserve">de </w:t>
      </w:r>
      <w:r w:rsidRPr="001D0846">
        <w:rPr>
          <w:rFonts w:ascii="Times New Roman" w:hAnsi="Times New Roman" w:cs="Times New Roman"/>
          <w:sz w:val="28"/>
          <w:szCs w:val="28"/>
        </w:rPr>
        <w:t>307,2 mil. lei.</w:t>
      </w:r>
    </w:p>
    <w:p w:rsidR="006E23A6" w:rsidRPr="001D0846" w:rsidRDefault="004D38E5" w:rsidP="006E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Totodată, se</w:t>
      </w:r>
      <w:r w:rsidR="00C26C38" w:rsidRPr="001D0846">
        <w:rPr>
          <w:rFonts w:ascii="Times New Roman" w:hAnsi="Times New Roman" w:cs="Times New Roman"/>
          <w:sz w:val="28"/>
          <w:szCs w:val="28"/>
        </w:rPr>
        <w:t xml:space="preserve"> relevă că, pe parcursul ultimilor ani</w:t>
      </w:r>
      <w:r>
        <w:rPr>
          <w:rFonts w:ascii="Times New Roman" w:hAnsi="Times New Roman" w:cs="Times New Roman"/>
          <w:sz w:val="28"/>
          <w:szCs w:val="28"/>
        </w:rPr>
        <w:t>,</w:t>
      </w:r>
      <w:r w:rsidR="00C26C38" w:rsidRPr="001D0846">
        <w:rPr>
          <w:rFonts w:ascii="Times New Roman" w:hAnsi="Times New Roman" w:cs="Times New Roman"/>
          <w:sz w:val="28"/>
          <w:szCs w:val="28"/>
        </w:rPr>
        <w:t xml:space="preserve"> organele vamale nu aplică măsura de executare silită ,,urmărirea bunurilor plătitorului vamal”, situație motivată prin problematicile/ dificultățile întâmpinate de SV la comercializarea bunurilor sechestrate. Astfel, interpretarea diferită de către SFS și SV a prevederilor legislației privind comercializarea bunurilor sechestrate în scopul stingerii obligațiilor vamale față de BS a generat stoparea aplicării sechestrelor de către SV, fapt care determină un interes redus al organelor vamale în aplicarea acestei măsuri. </w:t>
      </w:r>
    </w:p>
    <w:p w:rsidR="00FB098C" w:rsidRPr="001D0846" w:rsidRDefault="00FB098C" w:rsidP="00C7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sz w:val="28"/>
          <w:szCs w:val="28"/>
        </w:rPr>
      </w:pPr>
      <w:r w:rsidRPr="001D0846">
        <w:rPr>
          <w:rFonts w:ascii="Times New Roman" w:hAnsi="Times New Roman"/>
          <w:color w:val="000000"/>
          <w:sz w:val="28"/>
          <w:szCs w:val="28"/>
        </w:rPr>
        <w:t>Potrivit motivației persoanelor responsabile din cadrul SV, în proiectul noului C</w:t>
      </w:r>
      <w:r w:rsidR="000C61BF">
        <w:rPr>
          <w:rFonts w:ascii="Times New Roman" w:hAnsi="Times New Roman"/>
          <w:color w:val="000000"/>
          <w:sz w:val="28"/>
          <w:szCs w:val="28"/>
        </w:rPr>
        <w:t>V</w:t>
      </w:r>
      <w:r w:rsidRPr="001D0846">
        <w:rPr>
          <w:rFonts w:ascii="Times New Roman" w:hAnsi="Times New Roman"/>
          <w:color w:val="000000"/>
          <w:sz w:val="28"/>
          <w:szCs w:val="28"/>
        </w:rPr>
        <w:t xml:space="preserve"> a fost reglementat un capitol nou ce ține de comercializarea bunurilor sechestrate de către organul vamal, c</w:t>
      </w:r>
      <w:r w:rsidR="004D38E5">
        <w:rPr>
          <w:rFonts w:ascii="Times New Roman" w:hAnsi="Times New Roman"/>
          <w:color w:val="000000"/>
          <w:sz w:val="28"/>
          <w:szCs w:val="28"/>
        </w:rPr>
        <w:t>eea ce</w:t>
      </w:r>
      <w:r w:rsidRPr="001D0846">
        <w:rPr>
          <w:rFonts w:ascii="Times New Roman" w:hAnsi="Times New Roman"/>
          <w:color w:val="000000"/>
          <w:sz w:val="28"/>
          <w:szCs w:val="28"/>
        </w:rPr>
        <w:t xml:space="preserve"> va eficientiza implicit și activitatea sechestrării, ca măsură a executării silite.</w:t>
      </w:r>
    </w:p>
    <w:p w:rsidR="00C26C38" w:rsidRPr="001D0846" w:rsidRDefault="00C26C38" w:rsidP="00C77119">
      <w:pPr>
        <w:spacing w:after="0" w:line="276" w:lineRule="auto"/>
        <w:ind w:firstLine="709"/>
        <w:jc w:val="both"/>
        <w:rPr>
          <w:rFonts w:ascii="Times New Roman" w:eastAsia="Times New Roman" w:hAnsi="Times New Roman" w:cs="Times New Roman"/>
          <w:sz w:val="28"/>
          <w:szCs w:val="28"/>
        </w:rPr>
      </w:pPr>
      <w:r w:rsidRPr="001D0846">
        <w:rPr>
          <w:rFonts w:ascii="Times New Roman" w:hAnsi="Times New Roman"/>
          <w:sz w:val="28"/>
          <w:szCs w:val="28"/>
        </w:rPr>
        <w:t xml:space="preserve">De asemenea, auditul </w:t>
      </w:r>
      <w:r w:rsidR="00BB3674">
        <w:rPr>
          <w:rFonts w:ascii="Times New Roman" w:hAnsi="Times New Roman"/>
          <w:sz w:val="28"/>
          <w:szCs w:val="28"/>
        </w:rPr>
        <w:t xml:space="preserve">a </w:t>
      </w:r>
      <w:r w:rsidRPr="001D0846">
        <w:rPr>
          <w:rFonts w:ascii="Times New Roman" w:hAnsi="Times New Roman"/>
          <w:sz w:val="28"/>
          <w:szCs w:val="28"/>
        </w:rPr>
        <w:t>constat</w:t>
      </w:r>
      <w:r w:rsidR="00BB3674">
        <w:rPr>
          <w:rFonts w:ascii="Times New Roman" w:hAnsi="Times New Roman"/>
          <w:sz w:val="28"/>
          <w:szCs w:val="28"/>
        </w:rPr>
        <w:t>at</w:t>
      </w:r>
      <w:r w:rsidRPr="001D0846">
        <w:rPr>
          <w:rFonts w:ascii="Times New Roman" w:hAnsi="Times New Roman"/>
          <w:sz w:val="28"/>
          <w:szCs w:val="28"/>
        </w:rPr>
        <w:t xml:space="preserve"> </w:t>
      </w:r>
      <w:r w:rsidR="005B1B3A" w:rsidRPr="001D0846">
        <w:rPr>
          <w:rFonts w:ascii="Times New Roman" w:hAnsi="Times New Roman"/>
          <w:sz w:val="28"/>
          <w:szCs w:val="28"/>
        </w:rPr>
        <w:t>neaplicarea</w:t>
      </w:r>
      <w:r w:rsidRPr="001D0846">
        <w:rPr>
          <w:rFonts w:ascii="Times New Roman" w:hAnsi="Times New Roman"/>
          <w:sz w:val="28"/>
          <w:szCs w:val="28"/>
        </w:rPr>
        <w:t xml:space="preserve"> și altor modalități de executare silită a obligației vamale reglementate de CV</w:t>
      </w:r>
      <w:r w:rsidR="00BB3674">
        <w:rPr>
          <w:rFonts w:ascii="Times New Roman" w:hAnsi="Times New Roman"/>
          <w:sz w:val="28"/>
          <w:szCs w:val="28"/>
        </w:rPr>
        <w:t>,</w:t>
      </w:r>
      <w:r w:rsidRPr="001D0846">
        <w:rPr>
          <w:rFonts w:ascii="Times New Roman" w:hAnsi="Times New Roman"/>
          <w:sz w:val="28"/>
          <w:szCs w:val="28"/>
        </w:rPr>
        <w:t xml:space="preserve"> în scopul încasării restanțelor la BS  (ridicarea mijloacelor bănești în numerar, urmărirea datoriilor debitoare ale plătitorului vamal,</w:t>
      </w:r>
      <w:r w:rsidRPr="001D0846">
        <w:rPr>
          <w:rFonts w:ascii="Times New Roman" w:hAnsi="Times New Roman" w:cs="Times New Roman"/>
          <w:sz w:val="28"/>
          <w:szCs w:val="28"/>
        </w:rPr>
        <w:t xml:space="preserve"> prin aplicarea de interdicții pe bunuri</w:t>
      </w:r>
      <w:r w:rsidRPr="001D0846">
        <w:rPr>
          <w:rFonts w:ascii="Times New Roman" w:hAnsi="Times New Roman"/>
          <w:sz w:val="28"/>
          <w:szCs w:val="28"/>
        </w:rPr>
        <w:t>). Totodată</w:t>
      </w:r>
      <w:r w:rsidR="00BB3674">
        <w:rPr>
          <w:rFonts w:ascii="Times New Roman" w:hAnsi="Times New Roman"/>
          <w:sz w:val="28"/>
          <w:szCs w:val="28"/>
        </w:rPr>
        <w:t>,</w:t>
      </w:r>
      <w:r w:rsidRPr="001D0846">
        <w:rPr>
          <w:rFonts w:ascii="Times New Roman" w:hAnsi="Times New Roman"/>
          <w:sz w:val="28"/>
          <w:szCs w:val="28"/>
        </w:rPr>
        <w:t xml:space="preserve"> se remarcă și </w:t>
      </w:r>
      <w:r w:rsidR="00FE05F4" w:rsidRPr="001D0846">
        <w:rPr>
          <w:rFonts w:ascii="Times New Roman" w:hAnsi="Times New Roman"/>
          <w:sz w:val="28"/>
          <w:szCs w:val="28"/>
        </w:rPr>
        <w:t>lipsa unui</w:t>
      </w:r>
      <w:r w:rsidR="0066297C" w:rsidRPr="001D0846">
        <w:rPr>
          <w:rFonts w:ascii="Times New Roman" w:eastAsia="Times New Roman" w:hAnsi="Times New Roman" w:cs="Times New Roman"/>
          <w:sz w:val="28"/>
          <w:szCs w:val="28"/>
        </w:rPr>
        <w:t xml:space="preserve"> modul</w:t>
      </w:r>
      <w:r w:rsidRPr="001D0846">
        <w:rPr>
          <w:rFonts w:ascii="Times New Roman" w:eastAsia="Times New Roman" w:hAnsi="Times New Roman" w:cs="Times New Roman"/>
          <w:sz w:val="28"/>
          <w:szCs w:val="28"/>
        </w:rPr>
        <w:t xml:space="preserve"> </w:t>
      </w:r>
      <w:r w:rsidR="000C61BF">
        <w:rPr>
          <w:rFonts w:ascii="Times New Roman" w:eastAsia="Times New Roman" w:hAnsi="Times New Roman" w:cs="Times New Roman"/>
          <w:sz w:val="28"/>
          <w:szCs w:val="28"/>
        </w:rPr>
        <w:t>informațional</w:t>
      </w:r>
      <w:r w:rsidRPr="001D0846">
        <w:rPr>
          <w:rFonts w:ascii="Times New Roman" w:eastAsia="Times New Roman" w:hAnsi="Times New Roman" w:cs="Times New Roman"/>
          <w:sz w:val="28"/>
          <w:szCs w:val="28"/>
        </w:rPr>
        <w:t>, care urma să faciliteze aplicarea mecanismului de executare silită a obligației vamale cu utiliz</w:t>
      </w:r>
      <w:r w:rsidR="00B20BD1" w:rsidRPr="001D0846">
        <w:rPr>
          <w:rFonts w:ascii="Times New Roman" w:eastAsia="Times New Roman" w:hAnsi="Times New Roman" w:cs="Times New Roman"/>
          <w:sz w:val="28"/>
          <w:szCs w:val="28"/>
        </w:rPr>
        <w:t>area sistemelor informaționale.</w:t>
      </w:r>
    </w:p>
    <w:p w:rsidR="00C77119" w:rsidRDefault="00C77119" w:rsidP="00C77119">
      <w:pPr>
        <w:pStyle w:val="1"/>
        <w:spacing w:before="0" w:line="276" w:lineRule="auto"/>
        <w:rPr>
          <w:rFonts w:ascii="Times New Roman" w:hAnsi="Times New Roman" w:cs="Times New Roman"/>
          <w:b/>
          <w:color w:val="auto"/>
          <w:sz w:val="28"/>
          <w:szCs w:val="28"/>
        </w:rPr>
      </w:pPr>
    </w:p>
    <w:p w:rsidR="00571853" w:rsidRPr="00C77119" w:rsidRDefault="00A424FC" w:rsidP="003C4B9E">
      <w:pPr>
        <w:pStyle w:val="1"/>
        <w:spacing w:before="0" w:line="276" w:lineRule="auto"/>
        <w:jc w:val="both"/>
        <w:rPr>
          <w:rFonts w:ascii="Times New Roman" w:hAnsi="Times New Roman" w:cs="Times New Roman"/>
          <w:b/>
          <w:color w:val="auto"/>
          <w:sz w:val="28"/>
          <w:szCs w:val="28"/>
        </w:rPr>
      </w:pPr>
      <w:bookmarkStart w:id="14" w:name="_Toc515894892"/>
      <w:r w:rsidRPr="00C77119">
        <w:rPr>
          <w:rFonts w:ascii="Times New Roman" w:hAnsi="Times New Roman" w:cs="Times New Roman"/>
          <w:b/>
          <w:color w:val="auto"/>
          <w:sz w:val="28"/>
          <w:szCs w:val="28"/>
        </w:rPr>
        <w:t>3</w:t>
      </w:r>
      <w:r w:rsidR="00C947DA" w:rsidRPr="00C77119">
        <w:rPr>
          <w:rFonts w:ascii="Times New Roman" w:hAnsi="Times New Roman" w:cs="Times New Roman"/>
          <w:b/>
          <w:color w:val="auto"/>
          <w:sz w:val="28"/>
          <w:szCs w:val="28"/>
        </w:rPr>
        <w:t>.6</w:t>
      </w:r>
      <w:r w:rsidR="004726E0" w:rsidRPr="00C77119">
        <w:rPr>
          <w:rFonts w:ascii="Times New Roman" w:hAnsi="Times New Roman" w:cs="Times New Roman"/>
          <w:b/>
          <w:color w:val="auto"/>
          <w:sz w:val="28"/>
          <w:szCs w:val="28"/>
        </w:rPr>
        <w:t xml:space="preserve">. </w:t>
      </w:r>
      <w:r w:rsidR="00D86926" w:rsidRPr="00C77119">
        <w:rPr>
          <w:rFonts w:ascii="Times New Roman" w:hAnsi="Times New Roman" w:cs="Times New Roman"/>
          <w:b/>
          <w:color w:val="auto"/>
          <w:sz w:val="28"/>
          <w:szCs w:val="28"/>
        </w:rPr>
        <w:t>P</w:t>
      </w:r>
      <w:r w:rsidR="00571853" w:rsidRPr="00C77119">
        <w:rPr>
          <w:rFonts w:ascii="Times New Roman" w:hAnsi="Times New Roman" w:cs="Times New Roman"/>
          <w:b/>
          <w:color w:val="auto"/>
          <w:sz w:val="28"/>
          <w:szCs w:val="28"/>
        </w:rPr>
        <w:t>roce</w:t>
      </w:r>
      <w:r w:rsidR="00D86926" w:rsidRPr="00C77119">
        <w:rPr>
          <w:rFonts w:ascii="Times New Roman" w:hAnsi="Times New Roman" w:cs="Times New Roman"/>
          <w:b/>
          <w:color w:val="auto"/>
          <w:sz w:val="28"/>
          <w:szCs w:val="28"/>
        </w:rPr>
        <w:t>sul</w:t>
      </w:r>
      <w:r w:rsidR="00571853" w:rsidRPr="00C77119">
        <w:rPr>
          <w:rFonts w:ascii="Times New Roman" w:hAnsi="Times New Roman" w:cs="Times New Roman"/>
          <w:b/>
          <w:color w:val="auto"/>
          <w:sz w:val="28"/>
          <w:szCs w:val="28"/>
        </w:rPr>
        <w:t xml:space="preserve"> de c</w:t>
      </w:r>
      <w:r w:rsidR="004726E0" w:rsidRPr="00C77119">
        <w:rPr>
          <w:rFonts w:ascii="Times New Roman" w:hAnsi="Times New Roman" w:cs="Times New Roman"/>
          <w:b/>
          <w:color w:val="auto"/>
          <w:sz w:val="28"/>
          <w:szCs w:val="28"/>
        </w:rPr>
        <w:t xml:space="preserve">onformare voluntară </w:t>
      </w:r>
      <w:r w:rsidR="00571853" w:rsidRPr="00C77119">
        <w:rPr>
          <w:rFonts w:ascii="Times New Roman" w:hAnsi="Times New Roman" w:cs="Times New Roman"/>
          <w:b/>
          <w:color w:val="auto"/>
          <w:sz w:val="28"/>
          <w:szCs w:val="28"/>
        </w:rPr>
        <w:t>la declararea și achitarea impozitelor și taxelor</w:t>
      </w:r>
      <w:r w:rsidR="004A14FE" w:rsidRPr="00C77119">
        <w:rPr>
          <w:rFonts w:ascii="Times New Roman" w:hAnsi="Times New Roman" w:cs="Times New Roman"/>
          <w:b/>
          <w:color w:val="auto"/>
          <w:sz w:val="28"/>
          <w:szCs w:val="28"/>
        </w:rPr>
        <w:t>.</w:t>
      </w:r>
      <w:bookmarkEnd w:id="14"/>
    </w:p>
    <w:p w:rsidR="004726E0" w:rsidRPr="000C61BF" w:rsidRDefault="004726E0" w:rsidP="000C61BF">
      <w:pPr>
        <w:spacing w:after="0" w:line="276" w:lineRule="auto"/>
        <w:ind w:firstLine="720"/>
        <w:contextualSpacing/>
        <w:jc w:val="both"/>
        <w:rPr>
          <w:rFonts w:ascii="Times New Roman" w:hAnsi="Times New Roman" w:cs="Times New Roman"/>
          <w:i/>
          <w:sz w:val="28"/>
          <w:szCs w:val="28"/>
          <w:lang w:val="ro-MD"/>
        </w:rPr>
      </w:pPr>
      <w:r w:rsidRPr="001D0846">
        <w:rPr>
          <w:rFonts w:ascii="Times New Roman" w:hAnsi="Times New Roman" w:cs="Times New Roman"/>
          <w:i/>
          <w:color w:val="000000"/>
          <w:sz w:val="28"/>
          <w:szCs w:val="28"/>
        </w:rPr>
        <w:t xml:space="preserve">Potrivit obiectivelor stabilite în administrarea fiscală și vamală în perioada </w:t>
      </w:r>
      <w:r w:rsidR="00BB3674">
        <w:rPr>
          <w:rFonts w:ascii="Times New Roman" w:hAnsi="Times New Roman" w:cs="Times New Roman"/>
          <w:i/>
          <w:color w:val="000000"/>
          <w:sz w:val="28"/>
          <w:szCs w:val="28"/>
        </w:rPr>
        <w:t xml:space="preserve">anilor </w:t>
      </w:r>
      <w:r w:rsidRPr="001D0846">
        <w:rPr>
          <w:rFonts w:ascii="Times New Roman" w:hAnsi="Times New Roman" w:cs="Times New Roman"/>
          <w:i/>
          <w:color w:val="000000"/>
          <w:sz w:val="28"/>
          <w:szCs w:val="28"/>
        </w:rPr>
        <w:t xml:space="preserve">2015-2017, SFS și SV urmau să asigure </w:t>
      </w:r>
      <w:r w:rsidRPr="001D0846">
        <w:rPr>
          <w:rFonts w:ascii="Times New Roman" w:hAnsi="Times New Roman" w:cs="Times New Roman"/>
          <w:i/>
          <w:sz w:val="28"/>
          <w:szCs w:val="28"/>
        </w:rPr>
        <w:t xml:space="preserve">promovarea continuă a conformării voluntare a contribuabililor la declararea </w:t>
      </w:r>
      <w:proofErr w:type="spellStart"/>
      <w:r w:rsidRPr="001D0846">
        <w:rPr>
          <w:rFonts w:ascii="Times New Roman" w:hAnsi="Times New Roman" w:cs="Times New Roman"/>
          <w:i/>
          <w:sz w:val="28"/>
          <w:szCs w:val="28"/>
        </w:rPr>
        <w:t>şi</w:t>
      </w:r>
      <w:proofErr w:type="spellEnd"/>
      <w:r w:rsidRPr="001D0846">
        <w:rPr>
          <w:rFonts w:ascii="Times New Roman" w:hAnsi="Times New Roman" w:cs="Times New Roman"/>
          <w:i/>
          <w:sz w:val="28"/>
          <w:szCs w:val="28"/>
        </w:rPr>
        <w:t xml:space="preserve"> la plata obligațiilor fiscale/vamale. </w:t>
      </w:r>
      <w:r w:rsidRPr="001D0846">
        <w:rPr>
          <w:rFonts w:ascii="Times New Roman" w:hAnsi="Times New Roman" w:cs="Times New Roman"/>
          <w:i/>
          <w:sz w:val="28"/>
          <w:szCs w:val="28"/>
          <w:lang w:val="ro-MD"/>
        </w:rPr>
        <w:t xml:space="preserve">Deși </w:t>
      </w:r>
      <w:r w:rsidR="00BB3674">
        <w:rPr>
          <w:rFonts w:ascii="Times New Roman" w:hAnsi="Times New Roman" w:cs="Times New Roman"/>
          <w:i/>
          <w:sz w:val="28"/>
          <w:szCs w:val="28"/>
          <w:lang w:val="ro-MD"/>
        </w:rPr>
        <w:t>s-</w:t>
      </w:r>
      <w:r w:rsidRPr="001D0846">
        <w:rPr>
          <w:rFonts w:ascii="Times New Roman" w:hAnsi="Times New Roman" w:cs="Times New Roman"/>
          <w:i/>
          <w:sz w:val="28"/>
          <w:szCs w:val="28"/>
          <w:lang w:val="ro-MD"/>
        </w:rPr>
        <w:t>au</w:t>
      </w:r>
      <w:r w:rsidR="00726B69">
        <w:rPr>
          <w:rFonts w:ascii="Times New Roman" w:hAnsi="Times New Roman" w:cs="Times New Roman"/>
          <w:i/>
          <w:sz w:val="28"/>
          <w:szCs w:val="28"/>
          <w:lang w:val="ro-MD"/>
        </w:rPr>
        <w:t xml:space="preserve"> </w:t>
      </w:r>
      <w:r w:rsidRPr="001D0846">
        <w:rPr>
          <w:rFonts w:ascii="Times New Roman" w:hAnsi="Times New Roman" w:cs="Times New Roman"/>
          <w:i/>
          <w:sz w:val="28"/>
          <w:szCs w:val="28"/>
          <w:lang w:val="ro-MD"/>
        </w:rPr>
        <w:t xml:space="preserve">întreprins măsuri în vederea </w:t>
      </w:r>
      <w:r w:rsidR="000C61BF">
        <w:rPr>
          <w:rFonts w:ascii="Times New Roman" w:hAnsi="Times New Roman" w:cs="Times New Roman"/>
          <w:i/>
          <w:sz w:val="28"/>
          <w:szCs w:val="28"/>
          <w:lang w:val="ro-MD"/>
        </w:rPr>
        <w:t xml:space="preserve">promovării </w:t>
      </w:r>
      <w:r w:rsidRPr="001D0846">
        <w:rPr>
          <w:rFonts w:ascii="Times New Roman" w:hAnsi="Times New Roman" w:cs="Times New Roman"/>
          <w:i/>
          <w:sz w:val="28"/>
          <w:szCs w:val="28"/>
          <w:lang w:val="ro-MD"/>
        </w:rPr>
        <w:t xml:space="preserve">gradului de conformare voluntară, fiind atinse unele rezultate în domeniu, evaluările și activitățile </w:t>
      </w:r>
      <w:r w:rsidRPr="001D0846">
        <w:rPr>
          <w:rFonts w:ascii="Times New Roman" w:hAnsi="Times New Roman" w:cs="Times New Roman"/>
          <w:i/>
          <w:color w:val="000000"/>
          <w:sz w:val="28"/>
          <w:szCs w:val="28"/>
          <w:lang w:val="ro-MD"/>
        </w:rPr>
        <w:t>desfășurate de auditul public extern în cadrul SFS și SV</w:t>
      </w:r>
      <w:r w:rsidR="00BB3674">
        <w:rPr>
          <w:rFonts w:ascii="Times New Roman" w:hAnsi="Times New Roman" w:cs="Times New Roman"/>
          <w:i/>
          <w:color w:val="000000"/>
          <w:sz w:val="28"/>
          <w:szCs w:val="28"/>
          <w:lang w:val="ro-MD"/>
        </w:rPr>
        <w:t xml:space="preserve"> indică</w:t>
      </w:r>
      <w:r w:rsidRPr="001D0846">
        <w:rPr>
          <w:rFonts w:ascii="Times New Roman" w:hAnsi="Times New Roman" w:cs="Times New Roman"/>
          <w:i/>
          <w:color w:val="000000"/>
          <w:sz w:val="28"/>
          <w:szCs w:val="28"/>
          <w:lang w:val="ro-MD"/>
        </w:rPr>
        <w:t xml:space="preserve"> că situația</w:t>
      </w:r>
      <w:r w:rsidRPr="001D0846">
        <w:rPr>
          <w:rFonts w:ascii="Times New Roman" w:hAnsi="Times New Roman" w:cs="Times New Roman"/>
          <w:i/>
          <w:sz w:val="28"/>
          <w:szCs w:val="28"/>
          <w:lang w:val="ro-MD"/>
        </w:rPr>
        <w:t xml:space="preserve"> </w:t>
      </w:r>
      <w:r w:rsidR="00BB3674">
        <w:rPr>
          <w:rFonts w:ascii="Times New Roman" w:hAnsi="Times New Roman" w:cs="Times New Roman"/>
          <w:i/>
          <w:sz w:val="28"/>
          <w:szCs w:val="28"/>
          <w:lang w:val="ro-MD"/>
        </w:rPr>
        <w:t xml:space="preserve">privind </w:t>
      </w:r>
      <w:r w:rsidRPr="001D0846">
        <w:rPr>
          <w:rFonts w:ascii="Times New Roman" w:hAnsi="Times New Roman" w:cs="Times New Roman"/>
          <w:i/>
          <w:sz w:val="28"/>
          <w:szCs w:val="28"/>
          <w:lang w:val="ro-MD"/>
        </w:rPr>
        <w:t>conform</w:t>
      </w:r>
      <w:r w:rsidR="00BB3674">
        <w:rPr>
          <w:rFonts w:ascii="Times New Roman" w:hAnsi="Times New Roman" w:cs="Times New Roman"/>
          <w:i/>
          <w:sz w:val="28"/>
          <w:szCs w:val="28"/>
          <w:lang w:val="ro-MD"/>
        </w:rPr>
        <w:t>area</w:t>
      </w:r>
      <w:r w:rsidRPr="001D0846">
        <w:rPr>
          <w:rFonts w:ascii="Times New Roman" w:hAnsi="Times New Roman" w:cs="Times New Roman"/>
          <w:i/>
          <w:sz w:val="28"/>
          <w:szCs w:val="28"/>
          <w:lang w:val="ro-MD"/>
        </w:rPr>
        <w:t xml:space="preserve"> voluntar</w:t>
      </w:r>
      <w:r w:rsidR="00BB3674">
        <w:rPr>
          <w:rFonts w:ascii="Times New Roman" w:hAnsi="Times New Roman" w:cs="Times New Roman"/>
          <w:i/>
          <w:sz w:val="28"/>
          <w:szCs w:val="28"/>
          <w:lang w:val="ro-MD"/>
        </w:rPr>
        <w:t>ă</w:t>
      </w:r>
      <w:r w:rsidRPr="001D0846">
        <w:rPr>
          <w:rFonts w:ascii="Times New Roman" w:hAnsi="Times New Roman" w:cs="Times New Roman"/>
          <w:i/>
          <w:sz w:val="28"/>
          <w:szCs w:val="28"/>
          <w:lang w:val="ro-MD"/>
        </w:rPr>
        <w:t xml:space="preserve"> a contribuabililor, per ansamblu, rămâne a fi o problemă </w:t>
      </w:r>
      <w:r w:rsidRPr="001D0846">
        <w:rPr>
          <w:rFonts w:ascii="Times New Roman" w:hAnsi="Times New Roman" w:cs="Times New Roman"/>
          <w:i/>
          <w:sz w:val="28"/>
          <w:szCs w:val="28"/>
          <w:lang w:val="ro-MD"/>
        </w:rPr>
        <w:lastRenderedPageBreak/>
        <w:t>sistemică a administratorilor de venituri, care</w:t>
      </w:r>
      <w:r w:rsidR="00726B69">
        <w:rPr>
          <w:rFonts w:ascii="Times New Roman" w:hAnsi="Times New Roman" w:cs="Times New Roman"/>
          <w:i/>
          <w:sz w:val="28"/>
          <w:szCs w:val="28"/>
          <w:lang w:val="ro-MD"/>
        </w:rPr>
        <w:t>,</w:t>
      </w:r>
      <w:r w:rsidRPr="001D0846">
        <w:rPr>
          <w:rFonts w:ascii="Times New Roman" w:hAnsi="Times New Roman" w:cs="Times New Roman"/>
          <w:i/>
          <w:sz w:val="28"/>
          <w:szCs w:val="28"/>
          <w:lang w:val="ro-MD"/>
        </w:rPr>
        <w:t xml:space="preserve"> pe parcursul ultimilor ani</w:t>
      </w:r>
      <w:r w:rsidR="00726B69">
        <w:rPr>
          <w:rFonts w:ascii="Times New Roman" w:hAnsi="Times New Roman" w:cs="Times New Roman"/>
          <w:i/>
          <w:sz w:val="28"/>
          <w:szCs w:val="28"/>
          <w:lang w:val="ro-MD"/>
        </w:rPr>
        <w:t>,</w:t>
      </w:r>
      <w:r w:rsidRPr="001D0846">
        <w:rPr>
          <w:rFonts w:ascii="Times New Roman" w:hAnsi="Times New Roman" w:cs="Times New Roman"/>
          <w:i/>
          <w:sz w:val="28"/>
          <w:szCs w:val="28"/>
          <w:lang w:val="ro-MD"/>
        </w:rPr>
        <w:t xml:space="preserve"> </w:t>
      </w:r>
      <w:r w:rsidR="00726B69" w:rsidRPr="001D0846">
        <w:rPr>
          <w:rFonts w:ascii="Times New Roman" w:hAnsi="Times New Roman" w:cs="Times New Roman"/>
          <w:i/>
          <w:sz w:val="28"/>
          <w:szCs w:val="28"/>
          <w:lang w:val="ro-MD"/>
        </w:rPr>
        <w:t xml:space="preserve">nu </w:t>
      </w:r>
      <w:r w:rsidR="00726B69">
        <w:rPr>
          <w:rFonts w:ascii="Times New Roman" w:hAnsi="Times New Roman" w:cs="Times New Roman"/>
          <w:i/>
          <w:sz w:val="28"/>
          <w:szCs w:val="28"/>
          <w:lang w:val="ro-MD"/>
        </w:rPr>
        <w:t>înregistrează</w:t>
      </w:r>
      <w:r w:rsidR="00726B69" w:rsidRPr="001D0846">
        <w:rPr>
          <w:rFonts w:ascii="Times New Roman" w:hAnsi="Times New Roman" w:cs="Times New Roman"/>
          <w:i/>
          <w:sz w:val="28"/>
          <w:szCs w:val="28"/>
          <w:lang w:val="ro-MD"/>
        </w:rPr>
        <w:t xml:space="preserve"> </w:t>
      </w:r>
      <w:r w:rsidRPr="001D0846">
        <w:rPr>
          <w:rFonts w:ascii="Times New Roman" w:hAnsi="Times New Roman" w:cs="Times New Roman"/>
          <w:i/>
          <w:sz w:val="28"/>
          <w:szCs w:val="28"/>
          <w:lang w:val="ro-MD"/>
        </w:rPr>
        <w:t>ameliorări semnificative. Cele m</w:t>
      </w:r>
      <w:proofErr w:type="spellStart"/>
      <w:r w:rsidRPr="001D0846">
        <w:rPr>
          <w:rFonts w:ascii="Times New Roman" w:hAnsi="Times New Roman" w:cs="Times New Roman"/>
          <w:i/>
          <w:sz w:val="28"/>
          <w:szCs w:val="28"/>
        </w:rPr>
        <w:t>enționate</w:t>
      </w:r>
      <w:proofErr w:type="spellEnd"/>
      <w:r w:rsidRPr="001D0846">
        <w:rPr>
          <w:rFonts w:ascii="Times New Roman" w:hAnsi="Times New Roman" w:cs="Times New Roman"/>
          <w:i/>
          <w:sz w:val="28"/>
          <w:szCs w:val="28"/>
        </w:rPr>
        <w:t xml:space="preserve"> au fost cauzate</w:t>
      </w:r>
      <w:r w:rsidR="00BB3674">
        <w:rPr>
          <w:rFonts w:ascii="Times New Roman" w:hAnsi="Times New Roman" w:cs="Times New Roman"/>
          <w:i/>
          <w:sz w:val="28"/>
          <w:szCs w:val="28"/>
        </w:rPr>
        <w:t>,</w:t>
      </w:r>
      <w:r w:rsidRPr="001D0846">
        <w:rPr>
          <w:rFonts w:ascii="Times New Roman" w:hAnsi="Times New Roman" w:cs="Times New Roman"/>
          <w:i/>
          <w:sz w:val="28"/>
          <w:szCs w:val="28"/>
        </w:rPr>
        <w:t xml:space="preserve"> în general</w:t>
      </w:r>
      <w:r w:rsidR="00BB3674">
        <w:rPr>
          <w:rFonts w:ascii="Times New Roman" w:hAnsi="Times New Roman" w:cs="Times New Roman"/>
          <w:i/>
          <w:sz w:val="28"/>
          <w:szCs w:val="28"/>
        </w:rPr>
        <w:t xml:space="preserve">, </w:t>
      </w:r>
      <w:r w:rsidRPr="001D0846">
        <w:rPr>
          <w:rFonts w:ascii="Times New Roman" w:hAnsi="Times New Roman" w:cs="Times New Roman"/>
          <w:i/>
          <w:sz w:val="28"/>
          <w:szCs w:val="28"/>
        </w:rPr>
        <w:t xml:space="preserve"> </w:t>
      </w:r>
      <w:r w:rsidR="000C61BF">
        <w:rPr>
          <w:rFonts w:ascii="Times New Roman" w:hAnsi="Times New Roman" w:cs="Times New Roman"/>
          <w:i/>
          <w:sz w:val="28"/>
          <w:szCs w:val="28"/>
        </w:rPr>
        <w:t xml:space="preserve">de </w:t>
      </w:r>
      <w:r w:rsidRPr="001D0846">
        <w:rPr>
          <w:rFonts w:ascii="Times New Roman" w:hAnsi="Times New Roman" w:cs="Times New Roman"/>
          <w:i/>
          <w:sz w:val="28"/>
          <w:szCs w:val="28"/>
        </w:rPr>
        <w:t xml:space="preserve">sporirea gradului </w:t>
      </w:r>
      <w:r w:rsidRPr="00B172B4">
        <w:rPr>
          <w:rFonts w:ascii="Times New Roman" w:hAnsi="Times New Roman" w:cs="Times New Roman"/>
          <w:i/>
          <w:sz w:val="28"/>
          <w:szCs w:val="28"/>
        </w:rPr>
        <w:t>de indisciplină a contribuabililor</w:t>
      </w:r>
      <w:r w:rsidRPr="001D0846">
        <w:rPr>
          <w:rFonts w:ascii="Times New Roman" w:hAnsi="Times New Roman" w:cs="Times New Roman"/>
          <w:i/>
          <w:sz w:val="28"/>
          <w:szCs w:val="28"/>
        </w:rPr>
        <w:t xml:space="preserve"> la declararea și achitarea impozitelor și taxelor la BPN, insuficiența</w:t>
      </w:r>
      <w:r w:rsidR="00726B69">
        <w:rPr>
          <w:rFonts w:ascii="Times New Roman" w:hAnsi="Times New Roman" w:cs="Times New Roman"/>
          <w:i/>
          <w:sz w:val="28"/>
          <w:szCs w:val="28"/>
        </w:rPr>
        <w:t>,</w:t>
      </w:r>
      <w:r w:rsidRPr="001D0846">
        <w:rPr>
          <w:rFonts w:ascii="Times New Roman" w:hAnsi="Times New Roman" w:cs="Times New Roman"/>
          <w:i/>
          <w:sz w:val="28"/>
          <w:szCs w:val="28"/>
        </w:rPr>
        <w:t xml:space="preserve"> </w:t>
      </w:r>
      <w:proofErr w:type="spellStart"/>
      <w:r w:rsidRPr="001D0846">
        <w:rPr>
          <w:rFonts w:ascii="Times New Roman" w:hAnsi="Times New Roman" w:cs="Times New Roman"/>
          <w:i/>
          <w:sz w:val="28"/>
          <w:szCs w:val="28"/>
        </w:rPr>
        <w:t>rezultativitatea</w:t>
      </w:r>
      <w:proofErr w:type="spellEnd"/>
      <w:r w:rsidRPr="001D0846">
        <w:rPr>
          <w:rFonts w:ascii="Times New Roman" w:hAnsi="Times New Roman" w:cs="Times New Roman"/>
          <w:i/>
          <w:sz w:val="28"/>
          <w:szCs w:val="28"/>
        </w:rPr>
        <w:t xml:space="preserve"> redusă</w:t>
      </w:r>
      <w:r w:rsidR="00726B69">
        <w:rPr>
          <w:rFonts w:ascii="Times New Roman" w:hAnsi="Times New Roman" w:cs="Times New Roman"/>
          <w:i/>
          <w:sz w:val="28"/>
          <w:szCs w:val="28"/>
        </w:rPr>
        <w:t xml:space="preserve"> și,</w:t>
      </w:r>
      <w:r w:rsidRPr="001D0846">
        <w:rPr>
          <w:rFonts w:ascii="Times New Roman" w:hAnsi="Times New Roman" w:cs="Times New Roman"/>
          <w:i/>
          <w:sz w:val="28"/>
          <w:szCs w:val="28"/>
        </w:rPr>
        <w:t xml:space="preserve"> în unele cazuri</w:t>
      </w:r>
      <w:r w:rsidR="00726B69">
        <w:rPr>
          <w:rFonts w:ascii="Times New Roman" w:hAnsi="Times New Roman" w:cs="Times New Roman"/>
          <w:i/>
          <w:sz w:val="28"/>
          <w:szCs w:val="28"/>
        </w:rPr>
        <w:t>,</w:t>
      </w:r>
      <w:r w:rsidRPr="001D0846">
        <w:rPr>
          <w:rFonts w:ascii="Times New Roman" w:hAnsi="Times New Roman" w:cs="Times New Roman"/>
          <w:i/>
          <w:sz w:val="28"/>
          <w:szCs w:val="28"/>
        </w:rPr>
        <w:t xml:space="preserve"> neaplicarea </w:t>
      </w:r>
      <w:r w:rsidR="000C61BF">
        <w:rPr>
          <w:rFonts w:ascii="Times New Roman" w:hAnsi="Times New Roman" w:cs="Times New Roman"/>
          <w:i/>
          <w:sz w:val="28"/>
          <w:szCs w:val="28"/>
        </w:rPr>
        <w:t>prom</w:t>
      </w:r>
      <w:r w:rsidR="00726B69">
        <w:rPr>
          <w:rFonts w:ascii="Times New Roman" w:hAnsi="Times New Roman" w:cs="Times New Roman"/>
          <w:i/>
          <w:sz w:val="28"/>
          <w:szCs w:val="28"/>
        </w:rPr>
        <w:t>p</w:t>
      </w:r>
      <w:r w:rsidR="000C61BF">
        <w:rPr>
          <w:rFonts w:ascii="Times New Roman" w:hAnsi="Times New Roman" w:cs="Times New Roman"/>
          <w:i/>
          <w:sz w:val="28"/>
          <w:szCs w:val="28"/>
        </w:rPr>
        <w:t xml:space="preserve">tă a </w:t>
      </w:r>
      <w:r w:rsidRPr="001D0846">
        <w:rPr>
          <w:rFonts w:ascii="Times New Roman" w:hAnsi="Times New Roman" w:cs="Times New Roman"/>
          <w:i/>
          <w:sz w:val="28"/>
          <w:szCs w:val="28"/>
        </w:rPr>
        <w:t>măsurilor de către SFS și SV</w:t>
      </w:r>
      <w:r w:rsidR="00726B69">
        <w:rPr>
          <w:rFonts w:ascii="Times New Roman" w:hAnsi="Times New Roman" w:cs="Times New Roman"/>
          <w:i/>
          <w:sz w:val="28"/>
          <w:szCs w:val="28"/>
        </w:rPr>
        <w:t>,</w:t>
      </w:r>
      <w:r w:rsidRPr="001D0846">
        <w:rPr>
          <w:rFonts w:ascii="Times New Roman" w:hAnsi="Times New Roman" w:cs="Times New Roman"/>
          <w:i/>
          <w:sz w:val="28"/>
          <w:szCs w:val="28"/>
        </w:rPr>
        <w:t xml:space="preserve"> în scopul de a asigura conformarea contribuabililor la achitarea obligațiilor fiscale și vamale, fapt care afectează eficiența și eficacitatea administrării fiscale și vamale. </w:t>
      </w:r>
    </w:p>
    <w:p w:rsidR="004726E0" w:rsidRPr="001D0846" w:rsidRDefault="000C61BF" w:rsidP="006358AD">
      <w:pPr>
        <w:spacing w:after="0" w:line="276" w:lineRule="auto"/>
        <w:ind w:firstLine="720"/>
        <w:contextualSpacing/>
        <w:jc w:val="both"/>
        <w:rPr>
          <w:rFonts w:ascii="Times New Roman" w:hAnsi="Times New Roman" w:cs="Times New Roman"/>
          <w:sz w:val="28"/>
          <w:szCs w:val="28"/>
          <w:lang w:val="ro-MD"/>
        </w:rPr>
      </w:pPr>
      <w:r w:rsidRPr="000C61BF">
        <w:rPr>
          <w:rFonts w:ascii="Times New Roman" w:hAnsi="Times New Roman" w:cs="Times New Roman"/>
          <w:b/>
          <w:i/>
          <w:sz w:val="28"/>
          <w:szCs w:val="28"/>
          <w:lang w:val="ro-MD"/>
        </w:rPr>
        <w:t>3.6.1.</w:t>
      </w:r>
      <w:r>
        <w:rPr>
          <w:rFonts w:ascii="Times New Roman" w:hAnsi="Times New Roman" w:cs="Times New Roman"/>
          <w:sz w:val="28"/>
          <w:szCs w:val="28"/>
          <w:lang w:val="ro-MD"/>
        </w:rPr>
        <w:t xml:space="preserve"> </w:t>
      </w:r>
      <w:r w:rsidR="004726E0" w:rsidRPr="000C61BF">
        <w:rPr>
          <w:rFonts w:ascii="Times New Roman" w:hAnsi="Times New Roman" w:cs="Times New Roman"/>
          <w:sz w:val="28"/>
          <w:szCs w:val="28"/>
          <w:lang w:val="ro-MD"/>
        </w:rPr>
        <w:t>În scopul ridicării eficienței administrării fiscale prin popularizarea legislației fiscale</w:t>
      </w:r>
      <w:r w:rsidR="00726B69">
        <w:rPr>
          <w:rFonts w:ascii="Times New Roman" w:hAnsi="Times New Roman" w:cs="Times New Roman"/>
          <w:sz w:val="28"/>
          <w:szCs w:val="28"/>
          <w:lang w:val="ro-MD"/>
        </w:rPr>
        <w:t>,</w:t>
      </w:r>
      <w:r w:rsidR="004726E0" w:rsidRPr="000C61BF">
        <w:rPr>
          <w:rFonts w:ascii="Times New Roman" w:hAnsi="Times New Roman" w:cs="Times New Roman"/>
          <w:sz w:val="28"/>
          <w:szCs w:val="28"/>
          <w:lang w:val="ro-MD"/>
        </w:rPr>
        <w:t xml:space="preserve"> cu </w:t>
      </w:r>
      <w:r w:rsidR="004726E0" w:rsidRPr="00B172B4">
        <w:rPr>
          <w:rFonts w:ascii="Times New Roman" w:hAnsi="Times New Roman" w:cs="Times New Roman"/>
          <w:sz w:val="28"/>
          <w:szCs w:val="28"/>
          <w:lang w:val="ro-MD"/>
        </w:rPr>
        <w:t>acordarea</w:t>
      </w:r>
      <w:r w:rsidR="005F66C3">
        <w:rPr>
          <w:rFonts w:ascii="Times New Roman" w:hAnsi="Times New Roman" w:cs="Times New Roman"/>
          <w:sz w:val="28"/>
          <w:szCs w:val="28"/>
          <w:lang w:val="ro-MD"/>
        </w:rPr>
        <w:t xml:space="preserve"> asistenței</w:t>
      </w:r>
      <w:r w:rsidR="00B172B4" w:rsidRPr="003C4B9E">
        <w:rPr>
          <w:rFonts w:ascii="Times New Roman" w:hAnsi="Times New Roman" w:cs="Times New Roman"/>
          <w:sz w:val="28"/>
          <w:szCs w:val="28"/>
          <w:lang w:val="ro-MD"/>
        </w:rPr>
        <w:t xml:space="preserve"> </w:t>
      </w:r>
      <w:r w:rsidR="004726E0" w:rsidRPr="00B172B4">
        <w:rPr>
          <w:rFonts w:ascii="Times New Roman" w:hAnsi="Times New Roman" w:cs="Times New Roman"/>
          <w:sz w:val="28"/>
          <w:szCs w:val="28"/>
          <w:lang w:val="ro-MD"/>
        </w:rPr>
        <w:t>contribuabililor, prin</w:t>
      </w:r>
      <w:r w:rsidR="004726E0" w:rsidRPr="001D0846">
        <w:rPr>
          <w:rFonts w:ascii="Times New Roman" w:hAnsi="Times New Roman" w:cs="Times New Roman"/>
          <w:sz w:val="28"/>
          <w:szCs w:val="28"/>
          <w:lang w:val="ro-MD"/>
        </w:rPr>
        <w:t xml:space="preserve"> </w:t>
      </w:r>
      <w:r w:rsidR="00726B69">
        <w:rPr>
          <w:rFonts w:ascii="Times New Roman" w:hAnsi="Times New Roman" w:cs="Times New Roman"/>
          <w:sz w:val="28"/>
          <w:szCs w:val="28"/>
          <w:lang w:val="ro-MD"/>
        </w:rPr>
        <w:t>o</w:t>
      </w:r>
      <w:r w:rsidR="004726E0" w:rsidRPr="001D0846">
        <w:rPr>
          <w:rFonts w:ascii="Times New Roman" w:hAnsi="Times New Roman" w:cs="Times New Roman"/>
          <w:sz w:val="28"/>
          <w:szCs w:val="28"/>
          <w:lang w:val="ro-MD"/>
        </w:rPr>
        <w:t>rdinul SFS</w:t>
      </w:r>
      <w:r w:rsidR="004726E0" w:rsidRPr="001D0846">
        <w:rPr>
          <w:rStyle w:val="a6"/>
          <w:rFonts w:ascii="Times New Roman" w:hAnsi="Times New Roman" w:cs="Times New Roman"/>
          <w:sz w:val="28"/>
          <w:szCs w:val="28"/>
          <w:lang w:val="ro-MD"/>
        </w:rPr>
        <w:footnoteReference w:id="20"/>
      </w:r>
      <w:r w:rsidR="00726B69">
        <w:rPr>
          <w:rFonts w:ascii="Times New Roman" w:hAnsi="Times New Roman" w:cs="Times New Roman"/>
          <w:sz w:val="28"/>
          <w:szCs w:val="28"/>
          <w:lang w:val="ro-MD"/>
        </w:rPr>
        <w:t>,</w:t>
      </w:r>
      <w:r w:rsidR="004726E0" w:rsidRPr="001D0846">
        <w:rPr>
          <w:rFonts w:ascii="Times New Roman" w:hAnsi="Times New Roman" w:cs="Times New Roman"/>
          <w:sz w:val="28"/>
          <w:szCs w:val="28"/>
          <w:lang w:val="ro-MD"/>
        </w:rPr>
        <w:t xml:space="preserve"> a fost aprobat Programul de conformare voluntară a contribuabililor pentru anul 2017</w:t>
      </w:r>
      <w:r w:rsidR="00726B69">
        <w:rPr>
          <w:rFonts w:ascii="Times New Roman" w:hAnsi="Times New Roman" w:cs="Times New Roman"/>
          <w:sz w:val="28"/>
          <w:szCs w:val="28"/>
          <w:lang w:val="ro-MD"/>
        </w:rPr>
        <w:t>,</w:t>
      </w:r>
      <w:r w:rsidR="004726E0" w:rsidRPr="001D0846">
        <w:rPr>
          <w:rFonts w:ascii="Times New Roman" w:hAnsi="Times New Roman" w:cs="Times New Roman"/>
          <w:sz w:val="28"/>
          <w:szCs w:val="28"/>
          <w:lang w:val="ro-MD"/>
        </w:rPr>
        <w:t xml:space="preserve"> care prevede politici de asistență și sprijin pentru contribuabili</w:t>
      </w:r>
      <w:r w:rsidR="00726B69">
        <w:rPr>
          <w:rFonts w:ascii="Times New Roman" w:hAnsi="Times New Roman" w:cs="Times New Roman"/>
          <w:sz w:val="28"/>
          <w:szCs w:val="28"/>
          <w:lang w:val="ro-MD"/>
        </w:rPr>
        <w:t>i</w:t>
      </w:r>
      <w:r w:rsidR="004726E0" w:rsidRPr="001D0846">
        <w:rPr>
          <w:rFonts w:ascii="Times New Roman" w:hAnsi="Times New Roman" w:cs="Times New Roman"/>
          <w:sz w:val="28"/>
          <w:szCs w:val="28"/>
          <w:lang w:val="ro-MD"/>
        </w:rPr>
        <w:t xml:space="preserve"> care execută la timp și în volum deplin obligațiile fiscale, precum și politici de detectare și descurajare a contribuabililor care se eschivează conștient de la plata impozitelor, taxelor și a altor plăți obligatorii, cu asigurarea sancționării inevitabile a acestora. Scopul programului este de a face publice inițiativele politice și măsurile în derulare prin care SFS intenționează să majoreze nivelul de conformare voluntară a contribuabililor la declararea și plata obligațiilor fiscale</w:t>
      </w:r>
      <w:r w:rsidR="00726B69">
        <w:rPr>
          <w:rFonts w:ascii="Times New Roman" w:hAnsi="Times New Roman" w:cs="Times New Roman"/>
          <w:sz w:val="28"/>
          <w:szCs w:val="28"/>
          <w:lang w:val="ro-MD"/>
        </w:rPr>
        <w:t>,</w:t>
      </w:r>
      <w:r w:rsidR="004726E0" w:rsidRPr="001D0846">
        <w:rPr>
          <w:rFonts w:ascii="Times New Roman" w:hAnsi="Times New Roman" w:cs="Times New Roman"/>
          <w:sz w:val="28"/>
          <w:szCs w:val="28"/>
          <w:lang w:val="ro-MD"/>
        </w:rPr>
        <w:t xml:space="preserve"> implicând următoarele obiective: a) deservirea calitati</w:t>
      </w:r>
      <w:r w:rsidR="00B72B3E" w:rsidRPr="001D0846">
        <w:rPr>
          <w:rFonts w:ascii="Times New Roman" w:hAnsi="Times New Roman" w:cs="Times New Roman"/>
          <w:sz w:val="28"/>
          <w:szCs w:val="28"/>
          <w:lang w:val="ro-MD"/>
        </w:rPr>
        <w:t>vă a contribuabililor;</w:t>
      </w:r>
      <w:r w:rsidR="004726E0" w:rsidRPr="001D0846">
        <w:rPr>
          <w:rFonts w:ascii="Times New Roman" w:hAnsi="Times New Roman" w:cs="Times New Roman"/>
          <w:sz w:val="28"/>
          <w:szCs w:val="28"/>
          <w:lang w:val="ro-MD"/>
        </w:rPr>
        <w:t xml:space="preserve"> b) micșorarea presiunii asupra contribuabililor onești, care execută la timp și în volum deplin obligațiile fiscale; c) educarea și instruirea contribuabililor în scopul promovării continue a spiritului de conformare voluntară</w:t>
      </w:r>
      <w:r w:rsidR="00726B69">
        <w:rPr>
          <w:rFonts w:ascii="Times New Roman" w:hAnsi="Times New Roman" w:cs="Times New Roman"/>
          <w:sz w:val="28"/>
          <w:szCs w:val="28"/>
          <w:lang w:val="ro-MD"/>
        </w:rPr>
        <w:t>,</w:t>
      </w:r>
      <w:r w:rsidR="004726E0" w:rsidRPr="001D0846">
        <w:rPr>
          <w:rFonts w:ascii="Times New Roman" w:hAnsi="Times New Roman" w:cs="Times New Roman"/>
          <w:sz w:val="28"/>
          <w:szCs w:val="28"/>
          <w:lang w:val="ro-MD"/>
        </w:rPr>
        <w:t xml:space="preserve"> utilizând în acest scop un șir de activități și servicii de calitate; d) asigurarea sporirii nivelului de conformare fiscală.</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rPr>
      </w:pPr>
      <w:r w:rsidRPr="001D0846">
        <w:rPr>
          <w:rFonts w:ascii="Times New Roman" w:hAnsi="Times New Roman" w:cs="Times New Roman"/>
          <w:sz w:val="28"/>
          <w:szCs w:val="28"/>
          <w:lang w:val="ro-MD"/>
        </w:rPr>
        <w:t xml:space="preserve">           Programul de conformare voluntară a contribuabililor include tratamentele de conformare voluntară </w:t>
      </w:r>
      <w:r w:rsidRPr="001D0846">
        <w:rPr>
          <w:rFonts w:ascii="Times New Roman" w:hAnsi="Times New Roman" w:cs="Times New Roman"/>
          <w:b/>
          <w:sz w:val="28"/>
          <w:szCs w:val="28"/>
          <w:lang w:val="ro-MD"/>
        </w:rPr>
        <w:t>-</w:t>
      </w:r>
      <w:r w:rsidRPr="001D0846">
        <w:rPr>
          <w:rFonts w:ascii="Times New Roman" w:hAnsi="Times New Roman" w:cs="Times New Roman"/>
          <w:sz w:val="28"/>
          <w:szCs w:val="28"/>
          <w:lang w:val="ro-MD"/>
        </w:rPr>
        <w:t xml:space="preserve"> măsuri, acțiuni și procedee aplicate contribuabililor de către SFS</w:t>
      </w:r>
      <w:r w:rsidR="00726B69">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care poartă caracter de prevenire (</w:t>
      </w:r>
      <w:r w:rsidRPr="003F2ED8">
        <w:rPr>
          <w:rFonts w:ascii="Times New Roman" w:hAnsi="Times New Roman" w:cs="Times New Roman"/>
          <w:sz w:val="28"/>
          <w:szCs w:val="28"/>
          <w:lang w:val="ro-MD"/>
        </w:rPr>
        <w:t>contactarea</w:t>
      </w:r>
      <w:r w:rsidRPr="001D0846">
        <w:rPr>
          <w:rFonts w:ascii="Times New Roman" w:hAnsi="Times New Roman" w:cs="Times New Roman"/>
          <w:sz w:val="28"/>
          <w:szCs w:val="28"/>
          <w:lang w:val="ro-MD"/>
        </w:rPr>
        <w:t xml:space="preserve"> contribuabilului; organizarea ședințelor de conformare cu persoanele cu funcții de răspundere ale contribuabilului</w:t>
      </w:r>
      <w:r w:rsidR="003F2ED8">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precum și a ședințelor de conformare </w:t>
      </w:r>
      <w:proofErr w:type="spellStart"/>
      <w:r w:rsidRPr="001D0846">
        <w:rPr>
          <w:rFonts w:ascii="Times New Roman" w:hAnsi="Times New Roman" w:cs="Times New Roman"/>
          <w:sz w:val="28"/>
          <w:szCs w:val="28"/>
          <w:lang w:val="ro-MD"/>
        </w:rPr>
        <w:t>ramurale</w:t>
      </w:r>
      <w:proofErr w:type="spellEnd"/>
      <w:r w:rsidRPr="001D0846">
        <w:rPr>
          <w:rFonts w:ascii="Times New Roman" w:hAnsi="Times New Roman" w:cs="Times New Roman"/>
          <w:sz w:val="28"/>
          <w:szCs w:val="28"/>
          <w:lang w:val="ro-MD"/>
        </w:rPr>
        <w:t xml:space="preserve">; organizarea seminarelor de asistență metodologică acordată de SFS în funcție de domeniul de activitate a contribuabilului; efectuarea vizitelor fiscale), precum și tratamentele de conformare forțată </w:t>
      </w:r>
      <w:r w:rsidRPr="001D0846">
        <w:rPr>
          <w:rFonts w:ascii="Times New Roman" w:hAnsi="Times New Roman" w:cs="Times New Roman"/>
          <w:b/>
          <w:sz w:val="28"/>
          <w:szCs w:val="28"/>
          <w:lang w:val="ro-MD"/>
        </w:rPr>
        <w:t xml:space="preserve">– </w:t>
      </w:r>
      <w:r w:rsidRPr="001D0846">
        <w:rPr>
          <w:rFonts w:ascii="Times New Roman" w:hAnsi="Times New Roman" w:cs="Times New Roman"/>
          <w:sz w:val="28"/>
          <w:szCs w:val="28"/>
          <w:lang w:val="ro-MD"/>
        </w:rPr>
        <w:t>măsuri aplicate față de contribuabili</w:t>
      </w:r>
      <w:r w:rsidR="003F2ED8">
        <w:rPr>
          <w:rFonts w:ascii="Times New Roman" w:hAnsi="Times New Roman" w:cs="Times New Roman"/>
          <w:sz w:val="28"/>
          <w:szCs w:val="28"/>
          <w:lang w:val="ro-MD"/>
        </w:rPr>
        <w:t>i</w:t>
      </w:r>
      <w:r w:rsidRPr="001D0846">
        <w:rPr>
          <w:rFonts w:ascii="Times New Roman" w:hAnsi="Times New Roman" w:cs="Times New Roman"/>
          <w:sz w:val="28"/>
          <w:szCs w:val="28"/>
          <w:lang w:val="ro-MD"/>
        </w:rPr>
        <w:t xml:space="preserve"> care nu sunt dispuși în con</w:t>
      </w:r>
      <w:r w:rsidR="00AC71C5" w:rsidRPr="001D0846">
        <w:rPr>
          <w:rFonts w:ascii="Times New Roman" w:hAnsi="Times New Roman" w:cs="Times New Roman"/>
          <w:sz w:val="28"/>
          <w:szCs w:val="28"/>
          <w:lang w:val="ro-MD"/>
        </w:rPr>
        <w:t>tinuare să se conformeze și fac</w:t>
      </w:r>
      <w:r w:rsidRPr="001D0846">
        <w:rPr>
          <w:rFonts w:ascii="Times New Roman" w:hAnsi="Times New Roman" w:cs="Times New Roman"/>
          <w:sz w:val="28"/>
          <w:szCs w:val="28"/>
          <w:lang w:val="ro-MD"/>
        </w:rPr>
        <w:t xml:space="preserve"> acest lucru în mod conștient, asumându-și riscul în mod deliberat (instituirea posturilor fiscale; efectuarea controalelor fiscale; aplicarea măsurilor de executare silită).</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rPr>
      </w:pPr>
      <w:r w:rsidRPr="001D0846">
        <w:rPr>
          <w:rFonts w:ascii="Times New Roman" w:hAnsi="Times New Roman" w:cs="Times New Roman"/>
          <w:sz w:val="28"/>
          <w:szCs w:val="28"/>
          <w:lang w:val="ro-MD"/>
        </w:rPr>
        <w:t xml:space="preserve">           Aceste activități au drept scop majorarea nivelului de disciplină fiscală a contribuabililor, prin promovarea continuă a spiritului de conformare voluntară la declararea și achitarea în termen a obligațiilor fiscale. </w:t>
      </w:r>
      <w:r w:rsidRPr="001D0846">
        <w:rPr>
          <w:rFonts w:ascii="Times New Roman" w:hAnsi="Times New Roman" w:cs="Times New Roman"/>
          <w:sz w:val="28"/>
          <w:szCs w:val="28"/>
        </w:rPr>
        <w:t xml:space="preserve">Activitățile de conformare </w:t>
      </w:r>
      <w:r w:rsidRPr="001D0846">
        <w:rPr>
          <w:rFonts w:ascii="Times New Roman" w:hAnsi="Times New Roman" w:cs="Times New Roman"/>
          <w:sz w:val="28"/>
          <w:szCs w:val="28"/>
        </w:rPr>
        <w:lastRenderedPageBreak/>
        <w:t>voluntară realizate de SFS în anul 2017 au avut ca scop asigurarea prevenirii eschivării de la plata și calculul impozitelor, comiterii încălcărilor fiscale, precum și legalizarea afacerilor din cadrul economiei tenebre prin înregistrarea agenților economici în modul stabilit și atribuirea unui statut legal al genurilor de activitate desfășurate.</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          </w:t>
      </w:r>
      <w:r w:rsidR="003F2ED8">
        <w:rPr>
          <w:rFonts w:ascii="Times New Roman" w:hAnsi="Times New Roman" w:cs="Times New Roman"/>
          <w:sz w:val="28"/>
          <w:szCs w:val="28"/>
          <w:lang w:val="ro-MD"/>
        </w:rPr>
        <w:t>Pentru</w:t>
      </w:r>
      <w:r w:rsidRPr="001D0846">
        <w:rPr>
          <w:rFonts w:ascii="Times New Roman" w:hAnsi="Times New Roman" w:cs="Times New Roman"/>
          <w:sz w:val="28"/>
          <w:szCs w:val="28"/>
          <w:lang w:val="ro-MD"/>
        </w:rPr>
        <w:t xml:space="preserve"> realiz</w:t>
      </w:r>
      <w:r w:rsidR="003F2ED8">
        <w:rPr>
          <w:rFonts w:ascii="Times New Roman" w:hAnsi="Times New Roman" w:cs="Times New Roman"/>
          <w:sz w:val="28"/>
          <w:szCs w:val="28"/>
          <w:lang w:val="ro-MD"/>
        </w:rPr>
        <w:t>area</w:t>
      </w:r>
      <w:r w:rsidRPr="001D0846">
        <w:rPr>
          <w:rFonts w:ascii="Times New Roman" w:hAnsi="Times New Roman" w:cs="Times New Roman"/>
          <w:sz w:val="28"/>
          <w:szCs w:val="28"/>
          <w:lang w:val="ro-MD"/>
        </w:rPr>
        <w:t xml:space="preserve"> </w:t>
      </w:r>
      <w:r w:rsidRPr="00B172B4">
        <w:rPr>
          <w:rFonts w:ascii="Times New Roman" w:hAnsi="Times New Roman" w:cs="Times New Roman"/>
          <w:sz w:val="28"/>
          <w:szCs w:val="28"/>
          <w:lang w:val="ro-MD"/>
        </w:rPr>
        <w:t xml:space="preserve">obiectivelor programului, SFS a stabilit activitățile din economia </w:t>
      </w:r>
      <w:r w:rsidR="00526E16" w:rsidRPr="00B172B4">
        <w:rPr>
          <w:rFonts w:ascii="Times New Roman" w:hAnsi="Times New Roman" w:cs="Times New Roman"/>
          <w:sz w:val="28"/>
          <w:szCs w:val="28"/>
          <w:lang w:val="ro-MD"/>
        </w:rPr>
        <w:t>Republicii Moldova</w:t>
      </w:r>
      <w:r w:rsidRPr="00B172B4">
        <w:rPr>
          <w:rFonts w:ascii="Times New Roman" w:hAnsi="Times New Roman" w:cs="Times New Roman"/>
          <w:sz w:val="28"/>
          <w:szCs w:val="28"/>
          <w:lang w:val="ro-MD"/>
        </w:rPr>
        <w:t xml:space="preserve"> care întrunesc riscuri de neconformare fiscală, cu elaborarea rapoartelor de risc și a listei</w:t>
      </w:r>
      <w:r w:rsidRPr="001D0846">
        <w:rPr>
          <w:rFonts w:ascii="Times New Roman" w:hAnsi="Times New Roman" w:cs="Times New Roman"/>
          <w:sz w:val="28"/>
          <w:szCs w:val="28"/>
          <w:lang w:val="ro-MD"/>
        </w:rPr>
        <w:t xml:space="preserve"> agenților economici</w:t>
      </w:r>
      <w:r w:rsidR="00B172B4">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w:t>
      </w:r>
      <w:r w:rsidRPr="005F66C3">
        <w:rPr>
          <w:rFonts w:ascii="Times New Roman" w:hAnsi="Times New Roman" w:cs="Times New Roman"/>
          <w:sz w:val="28"/>
          <w:szCs w:val="28"/>
          <w:lang w:val="ro-MD"/>
        </w:rPr>
        <w:t xml:space="preserve">care </w:t>
      </w:r>
      <w:r w:rsidR="00B172B4" w:rsidRPr="005F66C3">
        <w:rPr>
          <w:rFonts w:ascii="Times New Roman" w:hAnsi="Times New Roman" w:cs="Times New Roman"/>
          <w:sz w:val="28"/>
          <w:szCs w:val="28"/>
          <w:lang w:val="ro-MD"/>
        </w:rPr>
        <w:t>includ</w:t>
      </w:r>
      <w:r w:rsidRPr="005F66C3">
        <w:rPr>
          <w:rFonts w:ascii="Times New Roman" w:hAnsi="Times New Roman" w:cs="Times New Roman"/>
          <w:sz w:val="28"/>
          <w:szCs w:val="28"/>
          <w:lang w:val="ro-MD"/>
        </w:rPr>
        <w:t xml:space="preserve"> indici de neconformare</w:t>
      </w:r>
      <w:r w:rsidR="00B172B4" w:rsidRPr="005F66C3">
        <w:rPr>
          <w:rFonts w:ascii="Times New Roman" w:hAnsi="Times New Roman" w:cs="Times New Roman"/>
          <w:sz w:val="28"/>
          <w:szCs w:val="28"/>
          <w:lang w:val="ro-MD"/>
        </w:rPr>
        <w:t xml:space="preserve"> și sunt </w:t>
      </w:r>
      <w:r w:rsidRPr="005F66C3">
        <w:rPr>
          <w:rFonts w:ascii="Times New Roman" w:hAnsi="Times New Roman" w:cs="Times New Roman"/>
          <w:sz w:val="28"/>
          <w:szCs w:val="28"/>
          <w:lang w:val="ro-MD"/>
        </w:rPr>
        <w:t>întocmite în baza datelor SI</w:t>
      </w:r>
      <w:r w:rsidR="000C61BF" w:rsidRPr="005F66C3">
        <w:rPr>
          <w:rFonts w:ascii="Times New Roman" w:hAnsi="Times New Roman" w:cs="Times New Roman"/>
          <w:sz w:val="28"/>
          <w:szCs w:val="28"/>
          <w:lang w:val="ro-MD"/>
        </w:rPr>
        <w:t>A</w:t>
      </w:r>
      <w:r w:rsidRPr="005F66C3">
        <w:rPr>
          <w:rFonts w:ascii="Times New Roman" w:hAnsi="Times New Roman" w:cs="Times New Roman"/>
          <w:sz w:val="28"/>
          <w:szCs w:val="28"/>
          <w:lang w:val="ro-MD"/>
        </w:rPr>
        <w:t xml:space="preserve"> al SFS, pr</w:t>
      </w:r>
      <w:r w:rsidR="000C61BF" w:rsidRPr="005F66C3">
        <w:rPr>
          <w:rFonts w:ascii="Times New Roman" w:hAnsi="Times New Roman" w:cs="Times New Roman"/>
          <w:sz w:val="28"/>
          <w:szCs w:val="28"/>
          <w:lang w:val="ro-MD"/>
        </w:rPr>
        <w:t>ecum și a altor</w:t>
      </w:r>
      <w:r w:rsidR="000C61BF">
        <w:rPr>
          <w:rFonts w:ascii="Times New Roman" w:hAnsi="Times New Roman" w:cs="Times New Roman"/>
          <w:sz w:val="28"/>
          <w:szCs w:val="28"/>
          <w:lang w:val="ro-MD"/>
        </w:rPr>
        <w:t xml:space="preserve"> surse de date: MF</w:t>
      </w:r>
      <w:r w:rsidRPr="001D0846">
        <w:rPr>
          <w:rFonts w:ascii="Times New Roman" w:hAnsi="Times New Roman" w:cs="Times New Roman"/>
          <w:sz w:val="28"/>
          <w:szCs w:val="28"/>
          <w:lang w:val="ro-MD"/>
        </w:rPr>
        <w:t>, S</w:t>
      </w:r>
      <w:r w:rsidR="000C61BF">
        <w:rPr>
          <w:rFonts w:ascii="Times New Roman" w:hAnsi="Times New Roman" w:cs="Times New Roman"/>
          <w:sz w:val="28"/>
          <w:szCs w:val="28"/>
          <w:lang w:val="ro-MD"/>
        </w:rPr>
        <w:t>V</w:t>
      </w:r>
      <w:r w:rsidRPr="001D0846">
        <w:rPr>
          <w:rFonts w:ascii="Times New Roman" w:hAnsi="Times New Roman" w:cs="Times New Roman"/>
          <w:sz w:val="28"/>
          <w:szCs w:val="28"/>
          <w:lang w:val="ro-MD"/>
        </w:rPr>
        <w:t>, B</w:t>
      </w:r>
      <w:r w:rsidR="000C61BF">
        <w:rPr>
          <w:rFonts w:ascii="Times New Roman" w:hAnsi="Times New Roman" w:cs="Times New Roman"/>
          <w:sz w:val="28"/>
          <w:szCs w:val="28"/>
          <w:lang w:val="ro-MD"/>
        </w:rPr>
        <w:t>NS</w:t>
      </w:r>
      <w:r w:rsidRPr="001D0846">
        <w:rPr>
          <w:rFonts w:ascii="Times New Roman" w:hAnsi="Times New Roman" w:cs="Times New Roman"/>
          <w:sz w:val="28"/>
          <w:szCs w:val="28"/>
          <w:lang w:val="ro-MD"/>
        </w:rPr>
        <w:t>, instituțiile financiare.</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          În scopul continuității măsurilor de conformare voluntară a contribuabililor, extinderii bazei impozabile și contracarării fenomenului de evaziune fiscală, în special</w:t>
      </w:r>
      <w:r w:rsidR="00526E16">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în domeniile de activitate cu risc sporit de neconformare, SFS evaluează și monitorizează activitatea contribuabililor</w:t>
      </w:r>
      <w:r w:rsidR="00526E16">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în vederea conformării voluntare </w:t>
      </w:r>
      <w:r w:rsidR="000C61BF">
        <w:rPr>
          <w:rFonts w:ascii="Times New Roman" w:hAnsi="Times New Roman" w:cs="Times New Roman"/>
          <w:sz w:val="28"/>
          <w:szCs w:val="28"/>
          <w:lang w:val="ro-MD"/>
        </w:rPr>
        <w:t xml:space="preserve">a </w:t>
      </w:r>
      <w:r w:rsidR="00526E16">
        <w:rPr>
          <w:rFonts w:ascii="Times New Roman" w:hAnsi="Times New Roman" w:cs="Times New Roman"/>
          <w:sz w:val="28"/>
          <w:szCs w:val="28"/>
          <w:lang w:val="ro-MD"/>
        </w:rPr>
        <w:t>acestora</w:t>
      </w:r>
      <w:r w:rsidR="000C61BF">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Astfel, conform Ordinului SFS</w:t>
      </w:r>
      <w:r w:rsidRPr="001D0846">
        <w:rPr>
          <w:rStyle w:val="a6"/>
          <w:rFonts w:ascii="Times New Roman" w:hAnsi="Times New Roman" w:cs="Times New Roman"/>
          <w:sz w:val="28"/>
          <w:szCs w:val="28"/>
          <w:lang w:val="ro-MD"/>
        </w:rPr>
        <w:footnoteReference w:id="21"/>
      </w:r>
      <w:r w:rsidR="00526E16">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a fost aprobată lista contribuabililor cu riscuri de neconformare fiscală, cu modificările ulterioare, în număr de 5700 agenți economici, care</w:t>
      </w:r>
      <w:r w:rsidR="00526E16">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începând cu 01.04.2017</w:t>
      </w:r>
      <w:r w:rsidR="00526E16">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sunt monitorizați de către SFS prin prisma Programului de conformare voluntară. În </w:t>
      </w:r>
      <w:r w:rsidR="00526E16">
        <w:rPr>
          <w:rFonts w:ascii="Times New Roman" w:hAnsi="Times New Roman" w:cs="Times New Roman"/>
          <w:sz w:val="28"/>
          <w:szCs w:val="28"/>
          <w:lang w:val="ro-MD"/>
        </w:rPr>
        <w:t>P</w:t>
      </w:r>
      <w:r w:rsidRPr="001D0846">
        <w:rPr>
          <w:rFonts w:ascii="Times New Roman" w:hAnsi="Times New Roman" w:cs="Times New Roman"/>
          <w:sz w:val="28"/>
          <w:szCs w:val="28"/>
          <w:lang w:val="ro-MD"/>
        </w:rPr>
        <w:t xml:space="preserve">rogram au fost incluse următoarele activități din economia </w:t>
      </w:r>
      <w:r w:rsidR="00526E16">
        <w:rPr>
          <w:rFonts w:ascii="Times New Roman" w:hAnsi="Times New Roman" w:cs="Times New Roman"/>
          <w:sz w:val="28"/>
          <w:szCs w:val="28"/>
          <w:lang w:val="ro-MD"/>
        </w:rPr>
        <w:t xml:space="preserve">Republicii </w:t>
      </w:r>
      <w:r w:rsidRPr="001D0846">
        <w:rPr>
          <w:rFonts w:ascii="Times New Roman" w:hAnsi="Times New Roman" w:cs="Times New Roman"/>
          <w:sz w:val="28"/>
          <w:szCs w:val="28"/>
          <w:lang w:val="ro-MD"/>
        </w:rPr>
        <w:t>Moldov</w:t>
      </w:r>
      <w:r w:rsidR="00526E16">
        <w:rPr>
          <w:rFonts w:ascii="Times New Roman" w:hAnsi="Times New Roman" w:cs="Times New Roman"/>
          <w:sz w:val="28"/>
          <w:szCs w:val="28"/>
          <w:lang w:val="ro-MD"/>
        </w:rPr>
        <w:t>a</w:t>
      </w:r>
      <w:r w:rsidRPr="001D0846">
        <w:rPr>
          <w:rFonts w:ascii="Times New Roman" w:hAnsi="Times New Roman" w:cs="Times New Roman"/>
          <w:sz w:val="28"/>
          <w:szCs w:val="28"/>
          <w:lang w:val="ro-MD"/>
        </w:rPr>
        <w:t>: întreținerea și reparația autovehiculelor (500 agenți economici, sau 9%), agricultura</w:t>
      </w:r>
      <w:r w:rsidR="00B72B3E" w:rsidRPr="001D0846">
        <w:rPr>
          <w:rFonts w:ascii="Times New Roman" w:hAnsi="Times New Roman" w:cs="Times New Roman"/>
          <w:sz w:val="28"/>
          <w:szCs w:val="28"/>
          <w:lang w:val="ro-MD"/>
        </w:rPr>
        <w:t xml:space="preserve"> (2068 agenți economici, sau 36</w:t>
      </w:r>
      <w:r w:rsidRPr="001D0846">
        <w:rPr>
          <w:rFonts w:ascii="Times New Roman" w:hAnsi="Times New Roman" w:cs="Times New Roman"/>
          <w:sz w:val="28"/>
          <w:szCs w:val="28"/>
          <w:lang w:val="ro-MD"/>
        </w:rPr>
        <w:t>%), comerțul cu ridicata și amănuntul (2745 agenți economici, sau 48 %) și construcții (387 agenți economici, sau 7%).</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           Analiza </w:t>
      </w:r>
      <w:r w:rsidR="000C61BF">
        <w:rPr>
          <w:rFonts w:ascii="Times New Roman" w:hAnsi="Times New Roman" w:cs="Times New Roman"/>
          <w:sz w:val="28"/>
          <w:szCs w:val="28"/>
          <w:lang w:val="ro-MD"/>
        </w:rPr>
        <w:t>efectuată de audit asupra</w:t>
      </w:r>
      <w:r w:rsidRPr="001D0846">
        <w:rPr>
          <w:rFonts w:ascii="Times New Roman" w:hAnsi="Times New Roman" w:cs="Times New Roman"/>
          <w:sz w:val="28"/>
          <w:szCs w:val="28"/>
          <w:lang w:val="ro-MD"/>
        </w:rPr>
        <w:t xml:space="preserve"> implementării Programului de conformare voluntară pentru anul 2017, precum și a altor rezultate atinse în domeniu</w:t>
      </w:r>
      <w:r w:rsidR="004B3C17">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care reflectă situația per ansamblu a conformării voluntare a contribuabililor</w:t>
      </w:r>
      <w:r w:rsidR="004B3C17">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relevă următoarele:</w:t>
      </w:r>
    </w:p>
    <w:p w:rsidR="002D4B8D" w:rsidRPr="001D0846" w:rsidRDefault="004726E0" w:rsidP="00224B9A">
      <w:pPr>
        <w:pStyle w:val="a7"/>
        <w:numPr>
          <w:ilvl w:val="0"/>
          <w:numId w:val="10"/>
        </w:numPr>
        <w:tabs>
          <w:tab w:val="left" w:pos="630"/>
        </w:tabs>
        <w:spacing w:after="0" w:line="276" w:lineRule="auto"/>
        <w:ind w:left="0" w:firstLine="27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Ponderea contribuabililor monitorizați prin prisma Programului de conformare voluntară (5700 contribuabili) în totalul contribuabililor înregistrați în R</w:t>
      </w:r>
      <w:r w:rsidR="000C61BF">
        <w:rPr>
          <w:rFonts w:ascii="Times New Roman" w:hAnsi="Times New Roman" w:cs="Times New Roman"/>
          <w:sz w:val="28"/>
          <w:szCs w:val="28"/>
          <w:lang w:val="ro-MD"/>
        </w:rPr>
        <w:t>FS</w:t>
      </w:r>
      <w:r w:rsidRPr="001D0846">
        <w:rPr>
          <w:rFonts w:ascii="Times New Roman" w:hAnsi="Times New Roman" w:cs="Times New Roman"/>
          <w:sz w:val="28"/>
          <w:szCs w:val="28"/>
          <w:lang w:val="ro-MD"/>
        </w:rPr>
        <w:t xml:space="preserve"> la situația </w:t>
      </w:r>
      <w:r w:rsidR="004B3C17">
        <w:rPr>
          <w:rFonts w:ascii="Times New Roman" w:hAnsi="Times New Roman" w:cs="Times New Roman"/>
          <w:sz w:val="28"/>
          <w:szCs w:val="28"/>
          <w:lang w:val="ro-MD"/>
        </w:rPr>
        <w:t xml:space="preserve">din </w:t>
      </w:r>
      <w:r w:rsidRPr="001D0846">
        <w:rPr>
          <w:rFonts w:ascii="Times New Roman" w:hAnsi="Times New Roman" w:cs="Times New Roman"/>
          <w:sz w:val="28"/>
          <w:szCs w:val="28"/>
          <w:lang w:val="ro-MD"/>
        </w:rPr>
        <w:t>31.12.2017 (351110 c</w:t>
      </w:r>
      <w:r w:rsidR="00E8009E" w:rsidRPr="001D0846">
        <w:rPr>
          <w:rFonts w:ascii="Times New Roman" w:hAnsi="Times New Roman" w:cs="Times New Roman"/>
          <w:sz w:val="28"/>
          <w:szCs w:val="28"/>
          <w:lang w:val="ro-MD"/>
        </w:rPr>
        <w:t>ontribuabili) constituie 1,6</w:t>
      </w:r>
      <w:r w:rsidR="002D4B8D" w:rsidRPr="001D0846">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 xml:space="preserve"> </w:t>
      </w:r>
    </w:p>
    <w:p w:rsidR="004726E0" w:rsidRPr="001D0846" w:rsidRDefault="004726E0" w:rsidP="00224B9A">
      <w:pPr>
        <w:pStyle w:val="a7"/>
        <w:numPr>
          <w:ilvl w:val="0"/>
          <w:numId w:val="10"/>
        </w:numPr>
        <w:tabs>
          <w:tab w:val="left" w:pos="630"/>
        </w:tabs>
        <w:spacing w:after="0" w:line="276" w:lineRule="auto"/>
        <w:ind w:left="0" w:firstLine="270"/>
        <w:jc w:val="both"/>
        <w:rPr>
          <w:rFonts w:ascii="Times New Roman" w:hAnsi="Times New Roman" w:cs="Times New Roman"/>
          <w:sz w:val="28"/>
          <w:szCs w:val="28"/>
          <w:lang w:val="ro-MD"/>
        </w:rPr>
      </w:pPr>
      <w:r w:rsidRPr="005F66C3">
        <w:rPr>
          <w:rFonts w:ascii="Times New Roman" w:hAnsi="Times New Roman" w:cs="Times New Roman"/>
          <w:sz w:val="28"/>
          <w:szCs w:val="28"/>
          <w:lang w:val="ro-MD"/>
        </w:rPr>
        <w:t>Modul de raportare de către SFS a realizării programului nu a cuprins o analiză</w:t>
      </w:r>
      <w:r w:rsidR="00967DB7" w:rsidRPr="005F66C3">
        <w:rPr>
          <w:rFonts w:ascii="Times New Roman" w:hAnsi="Times New Roman" w:cs="Times New Roman"/>
          <w:sz w:val="28"/>
          <w:szCs w:val="28"/>
          <w:lang w:val="ro-MD"/>
        </w:rPr>
        <w:t xml:space="preserve"> exhaustivă</w:t>
      </w:r>
      <w:r w:rsidRPr="005F66C3">
        <w:rPr>
          <w:rFonts w:ascii="Times New Roman" w:hAnsi="Times New Roman" w:cs="Times New Roman"/>
          <w:sz w:val="28"/>
          <w:szCs w:val="28"/>
          <w:lang w:val="ro-MD"/>
        </w:rPr>
        <w:t xml:space="preserve"> de evaluare a</w:t>
      </w:r>
      <w:r w:rsidRPr="001D0846">
        <w:rPr>
          <w:rFonts w:ascii="Times New Roman" w:hAnsi="Times New Roman" w:cs="Times New Roman"/>
          <w:sz w:val="28"/>
          <w:szCs w:val="28"/>
          <w:lang w:val="ro-MD"/>
        </w:rPr>
        <w:t xml:space="preserve"> </w:t>
      </w:r>
      <w:r w:rsidR="00967DB7" w:rsidRPr="001D0846">
        <w:rPr>
          <w:rFonts w:ascii="Times New Roman" w:hAnsi="Times New Roman" w:cs="Times New Roman"/>
          <w:sz w:val="28"/>
          <w:szCs w:val="28"/>
          <w:lang w:val="ro-MD"/>
        </w:rPr>
        <w:t xml:space="preserve">nivelului de conformare voluntară a </w:t>
      </w:r>
      <w:r w:rsidRPr="001D0846">
        <w:rPr>
          <w:rFonts w:ascii="Times New Roman" w:hAnsi="Times New Roman" w:cs="Times New Roman"/>
          <w:sz w:val="28"/>
          <w:szCs w:val="28"/>
          <w:lang w:val="ro-MD"/>
        </w:rPr>
        <w:t>contribuabililor</w:t>
      </w:r>
      <w:r w:rsidR="004B3C17">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w:t>
      </w:r>
      <w:r w:rsidR="00967DB7" w:rsidRPr="001D0846">
        <w:rPr>
          <w:rFonts w:ascii="Times New Roman" w:hAnsi="Times New Roman" w:cs="Times New Roman"/>
          <w:sz w:val="28"/>
          <w:szCs w:val="28"/>
          <w:lang w:val="ro-MD"/>
        </w:rPr>
        <w:t xml:space="preserve">precum </w:t>
      </w:r>
      <w:r w:rsidRPr="001D0846">
        <w:rPr>
          <w:rFonts w:ascii="Times New Roman" w:hAnsi="Times New Roman" w:cs="Times New Roman"/>
          <w:sz w:val="28"/>
          <w:szCs w:val="28"/>
          <w:lang w:val="ro-MD"/>
        </w:rPr>
        <w:t xml:space="preserve">și a </w:t>
      </w:r>
      <w:r w:rsidR="00967DB7" w:rsidRPr="001D0846">
        <w:rPr>
          <w:rFonts w:ascii="Times New Roman" w:hAnsi="Times New Roman" w:cs="Times New Roman"/>
          <w:sz w:val="28"/>
          <w:szCs w:val="28"/>
          <w:lang w:val="ro-MD"/>
        </w:rPr>
        <w:t>măsurilor de conformare forțată;</w:t>
      </w:r>
    </w:p>
    <w:p w:rsidR="00E86E19" w:rsidRDefault="004726E0" w:rsidP="00E86E19">
      <w:pPr>
        <w:pStyle w:val="a7"/>
        <w:numPr>
          <w:ilvl w:val="0"/>
          <w:numId w:val="10"/>
        </w:numPr>
        <w:tabs>
          <w:tab w:val="left" w:pos="630"/>
        </w:tabs>
        <w:spacing w:after="0" w:line="276" w:lineRule="auto"/>
        <w:ind w:left="0" w:firstLine="270"/>
        <w:jc w:val="both"/>
        <w:rPr>
          <w:rFonts w:ascii="Times New Roman" w:hAnsi="Times New Roman" w:cs="Times New Roman"/>
          <w:i/>
          <w:sz w:val="28"/>
          <w:szCs w:val="28"/>
          <w:lang w:val="ro-MD"/>
        </w:rPr>
      </w:pPr>
      <w:r w:rsidRPr="001D0846">
        <w:rPr>
          <w:rFonts w:ascii="Times New Roman" w:hAnsi="Times New Roman" w:cs="Times New Roman"/>
          <w:sz w:val="28"/>
          <w:szCs w:val="28"/>
          <w:lang w:val="ro-MD"/>
        </w:rPr>
        <w:t xml:space="preserve">Obligațiile fiscale achitate la BPN de către contribuabilii monitorizați în </w:t>
      </w:r>
      <w:r w:rsidR="004B3C17">
        <w:rPr>
          <w:rFonts w:ascii="Times New Roman" w:hAnsi="Times New Roman" w:cs="Times New Roman"/>
          <w:sz w:val="28"/>
          <w:szCs w:val="28"/>
          <w:lang w:val="ro-MD"/>
        </w:rPr>
        <w:t xml:space="preserve">anul </w:t>
      </w:r>
      <w:r w:rsidRPr="001D0846">
        <w:rPr>
          <w:rFonts w:ascii="Times New Roman" w:hAnsi="Times New Roman" w:cs="Times New Roman"/>
          <w:sz w:val="28"/>
          <w:szCs w:val="28"/>
          <w:lang w:val="ro-MD"/>
        </w:rPr>
        <w:t xml:space="preserve"> 2017</w:t>
      </w:r>
      <w:r w:rsidR="00AB0FA6" w:rsidRPr="001D0846">
        <w:rPr>
          <w:rFonts w:ascii="Times New Roman" w:hAnsi="Times New Roman" w:cs="Times New Roman"/>
          <w:sz w:val="28"/>
          <w:szCs w:val="28"/>
          <w:lang w:val="ro-MD"/>
        </w:rPr>
        <w:t>, conform datelor SFS</w:t>
      </w:r>
      <w:r w:rsidR="004B3C17">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constituie 2050 mil.lei, </w:t>
      </w:r>
      <w:r w:rsidRPr="000C61BF">
        <w:rPr>
          <w:rFonts w:ascii="Times New Roman" w:hAnsi="Times New Roman" w:cs="Times New Roman"/>
          <w:sz w:val="28"/>
          <w:szCs w:val="28"/>
          <w:lang w:val="ro-MD"/>
        </w:rPr>
        <w:t>sau cu 460,8 mil.lei (29%) mai mult comparativ cu perioada similară a anului 2016</w:t>
      </w:r>
      <w:r w:rsidR="004B3C17">
        <w:rPr>
          <w:rFonts w:ascii="Times New Roman" w:hAnsi="Times New Roman" w:cs="Times New Roman"/>
          <w:sz w:val="28"/>
          <w:szCs w:val="28"/>
          <w:lang w:val="ro-MD"/>
        </w:rPr>
        <w:t>;</w:t>
      </w:r>
      <w:r w:rsidRPr="000C61BF">
        <w:rPr>
          <w:rFonts w:ascii="Times New Roman" w:hAnsi="Times New Roman" w:cs="Times New Roman"/>
          <w:sz w:val="28"/>
          <w:szCs w:val="28"/>
          <w:lang w:val="ro-MD"/>
        </w:rPr>
        <w:t xml:space="preserve"> </w:t>
      </w:r>
    </w:p>
    <w:p w:rsidR="005772B2" w:rsidRDefault="00E86E19" w:rsidP="00E86E19">
      <w:pPr>
        <w:pStyle w:val="a7"/>
        <w:numPr>
          <w:ilvl w:val="0"/>
          <w:numId w:val="10"/>
        </w:numPr>
        <w:tabs>
          <w:tab w:val="left" w:pos="630"/>
        </w:tabs>
        <w:spacing w:after="0" w:line="276" w:lineRule="auto"/>
        <w:ind w:left="0" w:firstLine="270"/>
        <w:jc w:val="both"/>
        <w:rPr>
          <w:rFonts w:ascii="Times New Roman" w:hAnsi="Times New Roman" w:cs="Times New Roman"/>
          <w:i/>
          <w:sz w:val="28"/>
          <w:szCs w:val="28"/>
          <w:lang w:val="ro-MD"/>
        </w:rPr>
      </w:pPr>
      <w:r>
        <w:rPr>
          <w:rFonts w:ascii="Times New Roman" w:hAnsi="Times New Roman" w:cs="Times New Roman"/>
          <w:sz w:val="28"/>
          <w:szCs w:val="28"/>
          <w:lang w:val="ro-MD"/>
        </w:rPr>
        <w:lastRenderedPageBreak/>
        <w:t>O</w:t>
      </w:r>
      <w:r w:rsidR="004726E0" w:rsidRPr="00E86E19">
        <w:rPr>
          <w:rFonts w:ascii="Times New Roman" w:hAnsi="Times New Roman" w:cs="Times New Roman"/>
          <w:sz w:val="28"/>
          <w:szCs w:val="28"/>
          <w:lang w:val="ro-MD"/>
        </w:rPr>
        <w:t>bligațiile fiscale calculate la BPN de către contribuabilii monitorizați în anul 2017</w:t>
      </w:r>
      <w:r w:rsidR="004B3C17">
        <w:rPr>
          <w:rFonts w:ascii="Times New Roman" w:hAnsi="Times New Roman" w:cs="Times New Roman"/>
          <w:sz w:val="28"/>
          <w:szCs w:val="28"/>
          <w:lang w:val="ro-MD"/>
        </w:rPr>
        <w:t>,</w:t>
      </w:r>
      <w:r w:rsidR="008B295F" w:rsidRPr="00E86E19">
        <w:rPr>
          <w:rFonts w:ascii="Times New Roman" w:hAnsi="Times New Roman" w:cs="Times New Roman"/>
          <w:sz w:val="28"/>
          <w:szCs w:val="28"/>
          <w:lang w:val="ro-MD"/>
        </w:rPr>
        <w:t xml:space="preserve"> conform datelor SFS</w:t>
      </w:r>
      <w:r w:rsidR="004B3C17">
        <w:rPr>
          <w:rFonts w:ascii="Times New Roman" w:hAnsi="Times New Roman" w:cs="Times New Roman"/>
          <w:sz w:val="28"/>
          <w:szCs w:val="28"/>
          <w:lang w:val="ro-MD"/>
        </w:rPr>
        <w:t>,</w:t>
      </w:r>
      <w:r w:rsidR="004726E0" w:rsidRPr="00E86E19">
        <w:rPr>
          <w:rFonts w:ascii="Times New Roman" w:hAnsi="Times New Roman" w:cs="Times New Roman"/>
          <w:sz w:val="28"/>
          <w:szCs w:val="28"/>
          <w:lang w:val="ro-MD"/>
        </w:rPr>
        <w:t xml:space="preserve"> constituie 1932,6 mil.lei, sau cu 274</w:t>
      </w:r>
      <w:r w:rsidR="004B3C17">
        <w:rPr>
          <w:rFonts w:ascii="Times New Roman" w:hAnsi="Times New Roman" w:cs="Times New Roman"/>
          <w:sz w:val="28"/>
          <w:szCs w:val="28"/>
          <w:lang w:val="ro-MD"/>
        </w:rPr>
        <w:t>,0</w:t>
      </w:r>
      <w:r w:rsidR="004726E0" w:rsidRPr="00E86E19">
        <w:rPr>
          <w:rFonts w:ascii="Times New Roman" w:hAnsi="Times New Roman" w:cs="Times New Roman"/>
          <w:sz w:val="28"/>
          <w:szCs w:val="28"/>
          <w:lang w:val="ro-MD"/>
        </w:rPr>
        <w:t xml:space="preserve"> mil.lei mai mult (16,5%) comparativ cu anul 2016. </w:t>
      </w:r>
      <w:r w:rsidRPr="000C61BF">
        <w:rPr>
          <w:rFonts w:ascii="Times New Roman" w:hAnsi="Times New Roman" w:cs="Times New Roman"/>
          <w:i/>
          <w:sz w:val="28"/>
          <w:szCs w:val="28"/>
          <w:lang w:val="ro-MD"/>
        </w:rPr>
        <w:t>Informația privind obligațiile fiscale</w:t>
      </w:r>
      <w:r>
        <w:rPr>
          <w:rFonts w:ascii="Times New Roman" w:hAnsi="Times New Roman" w:cs="Times New Roman"/>
          <w:i/>
          <w:sz w:val="28"/>
          <w:szCs w:val="28"/>
          <w:lang w:val="ro-MD"/>
        </w:rPr>
        <w:t xml:space="preserve"> calculate și</w:t>
      </w:r>
      <w:r w:rsidRPr="000C61BF">
        <w:rPr>
          <w:rFonts w:ascii="Times New Roman" w:hAnsi="Times New Roman" w:cs="Times New Roman"/>
          <w:i/>
          <w:sz w:val="28"/>
          <w:szCs w:val="28"/>
          <w:lang w:val="ro-MD"/>
        </w:rPr>
        <w:t xml:space="preserve"> achitate la BPN în </w:t>
      </w:r>
      <w:r>
        <w:rPr>
          <w:rFonts w:ascii="Times New Roman" w:hAnsi="Times New Roman" w:cs="Times New Roman"/>
          <w:i/>
          <w:sz w:val="28"/>
          <w:szCs w:val="28"/>
          <w:lang w:val="ro-MD"/>
        </w:rPr>
        <w:t xml:space="preserve">perioada </w:t>
      </w:r>
      <w:r w:rsidR="004B3C17">
        <w:rPr>
          <w:rFonts w:ascii="Times New Roman" w:hAnsi="Times New Roman" w:cs="Times New Roman"/>
          <w:i/>
          <w:sz w:val="28"/>
          <w:szCs w:val="28"/>
          <w:lang w:val="ro-MD"/>
        </w:rPr>
        <w:t xml:space="preserve">anilor </w:t>
      </w:r>
      <w:r>
        <w:rPr>
          <w:rFonts w:ascii="Times New Roman" w:hAnsi="Times New Roman" w:cs="Times New Roman"/>
          <w:i/>
          <w:sz w:val="28"/>
          <w:szCs w:val="28"/>
          <w:lang w:val="ro-MD"/>
        </w:rPr>
        <w:t>2016-2017 de către contribuabilii monitorizați prin prisma Programului de conformare voluntară</w:t>
      </w:r>
      <w:r w:rsidRPr="000C61BF">
        <w:rPr>
          <w:rFonts w:ascii="Times New Roman" w:hAnsi="Times New Roman" w:cs="Times New Roman"/>
          <w:i/>
          <w:sz w:val="28"/>
          <w:szCs w:val="28"/>
          <w:lang w:val="ro-MD"/>
        </w:rPr>
        <w:t xml:space="preserve"> </w:t>
      </w:r>
      <w:r w:rsidR="004B3C17">
        <w:rPr>
          <w:rFonts w:ascii="Times New Roman" w:hAnsi="Times New Roman" w:cs="Times New Roman"/>
          <w:i/>
          <w:sz w:val="28"/>
          <w:szCs w:val="28"/>
          <w:lang w:val="ro-MD"/>
        </w:rPr>
        <w:t>este</w:t>
      </w:r>
      <w:r w:rsidRPr="000C61BF">
        <w:rPr>
          <w:rFonts w:ascii="Times New Roman" w:hAnsi="Times New Roman" w:cs="Times New Roman"/>
          <w:i/>
          <w:sz w:val="28"/>
          <w:szCs w:val="28"/>
          <w:lang w:val="ro-MD"/>
        </w:rPr>
        <w:t xml:space="preserve"> prez</w:t>
      </w:r>
      <w:r w:rsidR="004B3C17">
        <w:rPr>
          <w:rFonts w:ascii="Times New Roman" w:hAnsi="Times New Roman" w:cs="Times New Roman"/>
          <w:i/>
          <w:sz w:val="28"/>
          <w:szCs w:val="28"/>
          <w:lang w:val="ro-MD"/>
        </w:rPr>
        <w:t>enta</w:t>
      </w:r>
      <w:r w:rsidRPr="000C61BF">
        <w:rPr>
          <w:rFonts w:ascii="Times New Roman" w:hAnsi="Times New Roman" w:cs="Times New Roman"/>
          <w:i/>
          <w:sz w:val="28"/>
          <w:szCs w:val="28"/>
          <w:lang w:val="ro-MD"/>
        </w:rPr>
        <w:t>tă în Tabelul nr.21 din Anexa nr.3 la Raport</w:t>
      </w:r>
      <w:r w:rsidR="004B3C17">
        <w:rPr>
          <w:rFonts w:ascii="Times New Roman" w:hAnsi="Times New Roman" w:cs="Times New Roman"/>
          <w:i/>
          <w:sz w:val="28"/>
          <w:szCs w:val="28"/>
          <w:lang w:val="ro-MD"/>
        </w:rPr>
        <w:t>ul</w:t>
      </w:r>
      <w:r w:rsidRPr="000C61BF">
        <w:rPr>
          <w:rFonts w:ascii="Times New Roman" w:hAnsi="Times New Roman" w:cs="Times New Roman"/>
          <w:i/>
          <w:sz w:val="28"/>
          <w:szCs w:val="28"/>
          <w:lang w:val="ro-MD"/>
        </w:rPr>
        <w:t xml:space="preserve"> de audit.</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         Deși SFS a atins unele rezultate în implementarea Programului de conformare voluntară, probele colectate de audit relevă</w:t>
      </w:r>
      <w:r w:rsidR="000C7A31" w:rsidRPr="001D0846">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per ansamblu</w:t>
      </w:r>
      <w:r w:rsidR="000C7A31" w:rsidRPr="001D0846">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un nivel redus de conformare voluntară a contribuabililor la calcularea deplină, achitarea la timp și integral</w:t>
      </w:r>
      <w:r w:rsidR="004B3C17">
        <w:rPr>
          <w:rFonts w:ascii="Times New Roman" w:hAnsi="Times New Roman" w:cs="Times New Roman"/>
          <w:sz w:val="28"/>
          <w:szCs w:val="28"/>
          <w:lang w:val="ro-MD"/>
        </w:rPr>
        <w:t>ă</w:t>
      </w:r>
      <w:r w:rsidRPr="001D0846">
        <w:rPr>
          <w:rFonts w:ascii="Times New Roman" w:hAnsi="Times New Roman" w:cs="Times New Roman"/>
          <w:sz w:val="28"/>
          <w:szCs w:val="28"/>
          <w:lang w:val="ro-MD"/>
        </w:rPr>
        <w:t xml:space="preserve"> la BPN a impozitelor și taxelor, </w:t>
      </w:r>
      <w:r w:rsidR="004B3C17">
        <w:rPr>
          <w:rFonts w:ascii="Times New Roman" w:hAnsi="Times New Roman" w:cs="Times New Roman"/>
          <w:sz w:val="28"/>
          <w:szCs w:val="28"/>
          <w:lang w:val="ro-MD"/>
        </w:rPr>
        <w:t>exprimat</w:t>
      </w:r>
      <w:r w:rsidRPr="001D0846">
        <w:rPr>
          <w:rFonts w:ascii="Times New Roman" w:hAnsi="Times New Roman" w:cs="Times New Roman"/>
          <w:sz w:val="28"/>
          <w:szCs w:val="28"/>
          <w:lang w:val="ro-MD"/>
        </w:rPr>
        <w:t xml:space="preserve"> prin</w:t>
      </w:r>
      <w:r w:rsidR="004B3C17">
        <w:rPr>
          <w:rFonts w:ascii="Times New Roman" w:hAnsi="Times New Roman" w:cs="Times New Roman"/>
          <w:sz w:val="28"/>
          <w:szCs w:val="28"/>
          <w:lang w:val="ro-MD"/>
        </w:rPr>
        <w:t xml:space="preserve"> următoarele</w:t>
      </w:r>
      <w:r w:rsidRPr="001D0846">
        <w:rPr>
          <w:rFonts w:ascii="Times New Roman" w:hAnsi="Times New Roman" w:cs="Times New Roman"/>
          <w:sz w:val="28"/>
          <w:szCs w:val="28"/>
          <w:lang w:val="ro-MD"/>
        </w:rPr>
        <w:t>:</w:t>
      </w:r>
    </w:p>
    <w:p w:rsidR="005F66C3" w:rsidRDefault="005F66C3" w:rsidP="005F66C3">
      <w:pPr>
        <w:tabs>
          <w:tab w:val="left" w:pos="630"/>
          <w:tab w:val="left" w:pos="993"/>
        </w:tabs>
        <w:spacing w:after="0" w:line="276" w:lineRule="auto"/>
        <w:jc w:val="both"/>
        <w:rPr>
          <w:rFonts w:ascii="Times New Roman" w:hAnsi="Times New Roman" w:cs="Times New Roman"/>
          <w:sz w:val="28"/>
          <w:szCs w:val="28"/>
          <w:lang w:val="ro-MD"/>
        </w:rPr>
      </w:pPr>
      <w:r>
        <w:rPr>
          <w:rFonts w:ascii="Times New Roman" w:hAnsi="Times New Roman" w:cs="Times New Roman"/>
          <w:sz w:val="28"/>
          <w:szCs w:val="28"/>
          <w:lang w:val="ro-MD"/>
        </w:rPr>
        <w:tab/>
        <w:t xml:space="preserve">(i) </w:t>
      </w:r>
      <w:r w:rsidR="004726E0" w:rsidRPr="005F66C3">
        <w:rPr>
          <w:rFonts w:ascii="Times New Roman" w:hAnsi="Times New Roman" w:cs="Times New Roman"/>
          <w:sz w:val="28"/>
          <w:szCs w:val="28"/>
          <w:lang w:val="ro-MD"/>
        </w:rPr>
        <w:t>Gradul redus de prezentare de către contribuabili a declarațiilor fiscale (VEN12, IVAO15, UNIF14). Astfel, conform datelor prezentate de SFS, în anul 2016</w:t>
      </w:r>
      <w:r w:rsidR="004B3C17" w:rsidRPr="005F66C3">
        <w:rPr>
          <w:rFonts w:ascii="Times New Roman" w:hAnsi="Times New Roman" w:cs="Times New Roman"/>
          <w:sz w:val="28"/>
          <w:szCs w:val="28"/>
          <w:lang w:val="ro-MD"/>
        </w:rPr>
        <w:t>,</w:t>
      </w:r>
      <w:r w:rsidR="004726E0" w:rsidRPr="005F66C3">
        <w:rPr>
          <w:rFonts w:ascii="Times New Roman" w:hAnsi="Times New Roman" w:cs="Times New Roman"/>
          <w:sz w:val="28"/>
          <w:szCs w:val="28"/>
          <w:lang w:val="ro-MD"/>
        </w:rPr>
        <w:t xml:space="preserve"> din numărul total de 121929 de contribuabili subiecți ai impunerii cu impozit</w:t>
      </w:r>
      <w:r w:rsidR="00B172B4" w:rsidRPr="005F66C3">
        <w:rPr>
          <w:rFonts w:ascii="Times New Roman" w:hAnsi="Times New Roman" w:cs="Times New Roman"/>
          <w:sz w:val="28"/>
          <w:szCs w:val="28"/>
          <w:lang w:val="ro-MD"/>
        </w:rPr>
        <w:t xml:space="preserve">ul </w:t>
      </w:r>
      <w:r w:rsidR="004726E0" w:rsidRPr="005F66C3">
        <w:rPr>
          <w:rFonts w:ascii="Times New Roman" w:hAnsi="Times New Roman" w:cs="Times New Roman"/>
          <w:sz w:val="28"/>
          <w:szCs w:val="28"/>
          <w:lang w:val="ro-MD"/>
        </w:rPr>
        <w:t xml:space="preserve"> pe venit</w:t>
      </w:r>
      <w:r w:rsidR="00BA0862" w:rsidRPr="005F66C3">
        <w:rPr>
          <w:rFonts w:ascii="Times New Roman" w:hAnsi="Times New Roman" w:cs="Times New Roman"/>
          <w:sz w:val="28"/>
          <w:szCs w:val="28"/>
          <w:lang w:val="ro-MD"/>
        </w:rPr>
        <w:t>,</w:t>
      </w:r>
      <w:r w:rsidR="004726E0" w:rsidRPr="005F66C3">
        <w:rPr>
          <w:rFonts w:ascii="Times New Roman" w:hAnsi="Times New Roman" w:cs="Times New Roman"/>
          <w:sz w:val="28"/>
          <w:szCs w:val="28"/>
          <w:lang w:val="ro-MD"/>
        </w:rPr>
        <w:t xml:space="preserve"> conform datelor R</w:t>
      </w:r>
      <w:r w:rsidR="00E86E19" w:rsidRPr="005F66C3">
        <w:rPr>
          <w:rFonts w:ascii="Times New Roman" w:hAnsi="Times New Roman" w:cs="Times New Roman"/>
          <w:sz w:val="28"/>
          <w:szCs w:val="28"/>
          <w:lang w:val="ro-MD"/>
        </w:rPr>
        <w:t>FS</w:t>
      </w:r>
      <w:r w:rsidR="004726E0" w:rsidRPr="005F66C3">
        <w:rPr>
          <w:rFonts w:ascii="Times New Roman" w:hAnsi="Times New Roman" w:cs="Times New Roman"/>
          <w:sz w:val="28"/>
          <w:szCs w:val="28"/>
          <w:lang w:val="ro-MD"/>
        </w:rPr>
        <w:t>, au prezentat declarația VEN12 doar 41842 contribuabili</w:t>
      </w:r>
      <w:r w:rsidR="00E86E19" w:rsidRPr="005F66C3">
        <w:rPr>
          <w:rFonts w:ascii="Times New Roman" w:hAnsi="Times New Roman" w:cs="Times New Roman"/>
          <w:sz w:val="28"/>
          <w:szCs w:val="28"/>
          <w:lang w:val="ro-MD"/>
        </w:rPr>
        <w:t>, sau</w:t>
      </w:r>
      <w:r w:rsidR="004726E0" w:rsidRPr="005F66C3">
        <w:rPr>
          <w:rFonts w:ascii="Times New Roman" w:hAnsi="Times New Roman" w:cs="Times New Roman"/>
          <w:sz w:val="28"/>
          <w:szCs w:val="28"/>
          <w:lang w:val="ro-MD"/>
        </w:rPr>
        <w:t xml:space="preserve"> 34,2 %, iar declarația IVAO15 – 34005 contribuabili, sau 27,9 %. Totodată</w:t>
      </w:r>
      <w:r w:rsidR="00BA0862" w:rsidRPr="005F66C3">
        <w:rPr>
          <w:rFonts w:ascii="Times New Roman" w:hAnsi="Times New Roman" w:cs="Times New Roman"/>
          <w:sz w:val="28"/>
          <w:szCs w:val="28"/>
          <w:lang w:val="ro-MD"/>
        </w:rPr>
        <w:t>,</w:t>
      </w:r>
      <w:r w:rsidR="004726E0" w:rsidRPr="005F66C3">
        <w:rPr>
          <w:rFonts w:ascii="Times New Roman" w:hAnsi="Times New Roman" w:cs="Times New Roman"/>
          <w:sz w:val="28"/>
          <w:szCs w:val="28"/>
          <w:lang w:val="ro-MD"/>
        </w:rPr>
        <w:t xml:space="preserve"> din numărul total de întreprinderi individuale (49423 contribuabili)</w:t>
      </w:r>
      <w:r w:rsidR="00BA0862" w:rsidRPr="005F66C3">
        <w:rPr>
          <w:rFonts w:ascii="Times New Roman" w:hAnsi="Times New Roman" w:cs="Times New Roman"/>
          <w:sz w:val="28"/>
          <w:szCs w:val="28"/>
          <w:lang w:val="ro-MD"/>
        </w:rPr>
        <w:t>,</w:t>
      </w:r>
      <w:r w:rsidR="004726E0" w:rsidRPr="005F66C3">
        <w:rPr>
          <w:rFonts w:ascii="Times New Roman" w:hAnsi="Times New Roman" w:cs="Times New Roman"/>
          <w:sz w:val="28"/>
          <w:szCs w:val="28"/>
          <w:lang w:val="ro-MD"/>
        </w:rPr>
        <w:t xml:space="preserve"> au prezen</w:t>
      </w:r>
      <w:r w:rsidR="00E51A8A">
        <w:rPr>
          <w:rFonts w:ascii="Times New Roman" w:hAnsi="Times New Roman" w:cs="Times New Roman"/>
          <w:sz w:val="28"/>
          <w:szCs w:val="28"/>
          <w:lang w:val="ro-MD"/>
        </w:rPr>
        <w:t>tat declarația UNIF14 doar 19088</w:t>
      </w:r>
      <w:bookmarkStart w:id="15" w:name="_GoBack"/>
      <w:bookmarkEnd w:id="15"/>
      <w:r w:rsidR="004726E0" w:rsidRPr="005F66C3">
        <w:rPr>
          <w:rFonts w:ascii="Times New Roman" w:hAnsi="Times New Roman" w:cs="Times New Roman"/>
          <w:sz w:val="28"/>
          <w:szCs w:val="28"/>
          <w:lang w:val="ro-MD"/>
        </w:rPr>
        <w:t xml:space="preserve"> contribuabili, sau 38,7 %. Analogic, în </w:t>
      </w:r>
      <w:r w:rsidR="00BA0862" w:rsidRPr="005F66C3">
        <w:rPr>
          <w:rFonts w:ascii="Times New Roman" w:hAnsi="Times New Roman" w:cs="Times New Roman"/>
          <w:sz w:val="28"/>
          <w:szCs w:val="28"/>
          <w:lang w:val="ro-MD"/>
        </w:rPr>
        <w:t xml:space="preserve">anul </w:t>
      </w:r>
      <w:r w:rsidR="004726E0" w:rsidRPr="005F66C3">
        <w:rPr>
          <w:rFonts w:ascii="Times New Roman" w:hAnsi="Times New Roman" w:cs="Times New Roman"/>
          <w:sz w:val="28"/>
          <w:szCs w:val="28"/>
          <w:lang w:val="ro-MD"/>
        </w:rPr>
        <w:t xml:space="preserve"> 2015, gradul de prezentare a declarațiilor fiscale VEN12 și IVAO15 a constituit 32,6 % și</w:t>
      </w:r>
      <w:r w:rsidR="00BA0862" w:rsidRPr="005F66C3">
        <w:rPr>
          <w:rFonts w:ascii="Times New Roman" w:hAnsi="Times New Roman" w:cs="Times New Roman"/>
          <w:sz w:val="28"/>
          <w:szCs w:val="28"/>
          <w:lang w:val="ro-MD"/>
        </w:rPr>
        <w:t>,</w:t>
      </w:r>
      <w:r w:rsidR="004726E0" w:rsidRPr="005F66C3">
        <w:rPr>
          <w:rFonts w:ascii="Times New Roman" w:hAnsi="Times New Roman" w:cs="Times New Roman"/>
          <w:sz w:val="28"/>
          <w:szCs w:val="28"/>
          <w:lang w:val="ro-MD"/>
        </w:rPr>
        <w:t xml:space="preserve"> respectiv</w:t>
      </w:r>
      <w:r w:rsidR="00BA0862" w:rsidRPr="005F66C3">
        <w:rPr>
          <w:rFonts w:ascii="Times New Roman" w:hAnsi="Times New Roman" w:cs="Times New Roman"/>
          <w:sz w:val="28"/>
          <w:szCs w:val="28"/>
          <w:lang w:val="ro-MD"/>
        </w:rPr>
        <w:t>,</w:t>
      </w:r>
      <w:r w:rsidR="004726E0" w:rsidRPr="005F66C3">
        <w:rPr>
          <w:rFonts w:ascii="Times New Roman" w:hAnsi="Times New Roman" w:cs="Times New Roman"/>
          <w:sz w:val="28"/>
          <w:szCs w:val="28"/>
          <w:lang w:val="ro-MD"/>
        </w:rPr>
        <w:t xml:space="preserve"> 2</w:t>
      </w:r>
      <w:r w:rsidR="00E86E19" w:rsidRPr="005F66C3">
        <w:rPr>
          <w:rFonts w:ascii="Times New Roman" w:hAnsi="Times New Roman" w:cs="Times New Roman"/>
          <w:sz w:val="28"/>
          <w:szCs w:val="28"/>
          <w:lang w:val="ro-MD"/>
        </w:rPr>
        <w:t>8,4 %, iar a declarațiilor UNIF</w:t>
      </w:r>
      <w:r w:rsidR="004726E0" w:rsidRPr="005F66C3">
        <w:rPr>
          <w:rFonts w:ascii="Times New Roman" w:hAnsi="Times New Roman" w:cs="Times New Roman"/>
          <w:sz w:val="28"/>
          <w:szCs w:val="28"/>
          <w:lang w:val="ro-MD"/>
        </w:rPr>
        <w:t>14 de către întreprinderile individuale – 37,8 %;</w:t>
      </w:r>
    </w:p>
    <w:p w:rsidR="004726E0" w:rsidRPr="005F66C3" w:rsidRDefault="005F66C3" w:rsidP="005F66C3">
      <w:pPr>
        <w:tabs>
          <w:tab w:val="left" w:pos="630"/>
          <w:tab w:val="left" w:pos="993"/>
        </w:tabs>
        <w:spacing w:after="0" w:line="276" w:lineRule="auto"/>
        <w:jc w:val="both"/>
        <w:rPr>
          <w:rFonts w:ascii="Times New Roman" w:hAnsi="Times New Roman" w:cs="Times New Roman"/>
          <w:sz w:val="28"/>
          <w:szCs w:val="28"/>
          <w:lang w:val="ro-MD"/>
        </w:rPr>
      </w:pPr>
      <w:r>
        <w:rPr>
          <w:rFonts w:ascii="Times New Roman" w:hAnsi="Times New Roman" w:cs="Times New Roman"/>
          <w:sz w:val="28"/>
          <w:szCs w:val="28"/>
          <w:lang w:val="ro-MD"/>
        </w:rPr>
        <w:tab/>
        <w:t xml:space="preserve">(ii) </w:t>
      </w:r>
      <w:r w:rsidR="004726E0" w:rsidRPr="005F66C3">
        <w:rPr>
          <w:rFonts w:ascii="Times New Roman" w:hAnsi="Times New Roman" w:cs="Times New Roman"/>
          <w:sz w:val="28"/>
          <w:szCs w:val="28"/>
          <w:lang w:val="ro-MD"/>
        </w:rPr>
        <w:t>Nivelul ridicat al calculelor suplimentare a</w:t>
      </w:r>
      <w:r w:rsidR="00BA0862" w:rsidRPr="005F66C3">
        <w:rPr>
          <w:rFonts w:ascii="Times New Roman" w:hAnsi="Times New Roman" w:cs="Times New Roman"/>
          <w:sz w:val="28"/>
          <w:szCs w:val="28"/>
          <w:lang w:val="ro-MD"/>
        </w:rPr>
        <w:t>le</w:t>
      </w:r>
      <w:r w:rsidR="004726E0" w:rsidRPr="005F66C3">
        <w:rPr>
          <w:rFonts w:ascii="Times New Roman" w:hAnsi="Times New Roman" w:cs="Times New Roman"/>
          <w:sz w:val="28"/>
          <w:szCs w:val="28"/>
          <w:lang w:val="ro-MD"/>
        </w:rPr>
        <w:t xml:space="preserve"> obligației fiscale la BPN în rezultatul controalelor efectuate</w:t>
      </w:r>
      <w:r w:rsidR="00D32613" w:rsidRPr="005F66C3">
        <w:rPr>
          <w:rFonts w:ascii="Times New Roman" w:hAnsi="Times New Roman" w:cs="Times New Roman"/>
          <w:sz w:val="28"/>
          <w:szCs w:val="28"/>
          <w:lang w:val="ro-MD"/>
        </w:rPr>
        <w:t xml:space="preserve"> de către SFS</w:t>
      </w:r>
      <w:r w:rsidR="004726E0" w:rsidRPr="005F66C3">
        <w:rPr>
          <w:rFonts w:ascii="Times New Roman" w:hAnsi="Times New Roman" w:cs="Times New Roman"/>
          <w:sz w:val="28"/>
          <w:szCs w:val="28"/>
          <w:lang w:val="ro-MD"/>
        </w:rPr>
        <w:t xml:space="preserve">. Astfel, probele colectate de audit relevă că, în </w:t>
      </w:r>
      <w:r w:rsidR="00BA0862" w:rsidRPr="005F66C3">
        <w:rPr>
          <w:rFonts w:ascii="Times New Roman" w:hAnsi="Times New Roman" w:cs="Times New Roman"/>
          <w:sz w:val="28"/>
          <w:szCs w:val="28"/>
          <w:lang w:val="ro-MD"/>
        </w:rPr>
        <w:t>anul</w:t>
      </w:r>
      <w:r w:rsidR="004726E0" w:rsidRPr="005F66C3">
        <w:rPr>
          <w:rFonts w:ascii="Times New Roman" w:hAnsi="Times New Roman" w:cs="Times New Roman"/>
          <w:sz w:val="28"/>
          <w:szCs w:val="28"/>
          <w:lang w:val="ro-MD"/>
        </w:rPr>
        <w:t xml:space="preserve"> 2017</w:t>
      </w:r>
      <w:r w:rsidR="00DC0C35" w:rsidRPr="005F66C3">
        <w:rPr>
          <w:rFonts w:ascii="Times New Roman" w:hAnsi="Times New Roman" w:cs="Times New Roman"/>
          <w:sz w:val="28"/>
          <w:szCs w:val="28"/>
          <w:lang w:val="ro-MD"/>
        </w:rPr>
        <w:t>,</w:t>
      </w:r>
      <w:r w:rsidR="004726E0" w:rsidRPr="005F66C3">
        <w:rPr>
          <w:rFonts w:ascii="Times New Roman" w:hAnsi="Times New Roman" w:cs="Times New Roman"/>
          <w:sz w:val="28"/>
          <w:szCs w:val="28"/>
          <w:lang w:val="ro-MD"/>
        </w:rPr>
        <w:t xml:space="preserve"> în rezultatul a 26884 de controale</w:t>
      </w:r>
      <w:r w:rsidR="00DC0C35" w:rsidRPr="005F66C3">
        <w:rPr>
          <w:rFonts w:ascii="Times New Roman" w:hAnsi="Times New Roman" w:cs="Times New Roman"/>
          <w:sz w:val="28"/>
          <w:szCs w:val="28"/>
          <w:lang w:val="ro-MD"/>
        </w:rPr>
        <w:t>,</w:t>
      </w:r>
      <w:r w:rsidR="004726E0" w:rsidRPr="005F66C3">
        <w:rPr>
          <w:rFonts w:ascii="Times New Roman" w:hAnsi="Times New Roman" w:cs="Times New Roman"/>
          <w:sz w:val="28"/>
          <w:szCs w:val="28"/>
          <w:lang w:val="ro-MD"/>
        </w:rPr>
        <w:t xml:space="preserve"> </w:t>
      </w:r>
      <w:r w:rsidR="00DC0C35" w:rsidRPr="005F66C3">
        <w:rPr>
          <w:rFonts w:ascii="Times New Roman" w:hAnsi="Times New Roman" w:cs="Times New Roman"/>
          <w:sz w:val="28"/>
          <w:szCs w:val="28"/>
          <w:lang w:val="ro-MD"/>
        </w:rPr>
        <w:t>s-</w:t>
      </w:r>
      <w:r w:rsidR="004726E0" w:rsidRPr="005F66C3">
        <w:rPr>
          <w:rFonts w:ascii="Times New Roman" w:hAnsi="Times New Roman" w:cs="Times New Roman"/>
          <w:sz w:val="28"/>
          <w:szCs w:val="28"/>
          <w:lang w:val="ro-MD"/>
        </w:rPr>
        <w:t xml:space="preserve">au calculat suplimentar obligații fiscale în sumă de 2045,6 mil.lei, fiind încasate </w:t>
      </w:r>
      <w:r w:rsidR="004726E0" w:rsidRPr="005F66C3">
        <w:rPr>
          <w:rFonts w:ascii="Times New Roman" w:hAnsi="Times New Roman" w:cs="Times New Roman"/>
          <w:sz w:val="28"/>
          <w:szCs w:val="28"/>
        </w:rPr>
        <w:t xml:space="preserve">214,2 mil. lei (10,5%). Analogic, în </w:t>
      </w:r>
      <w:r w:rsidR="00DC0C35" w:rsidRPr="005F66C3">
        <w:rPr>
          <w:rFonts w:ascii="Times New Roman" w:hAnsi="Times New Roman" w:cs="Times New Roman"/>
          <w:sz w:val="28"/>
          <w:szCs w:val="28"/>
        </w:rPr>
        <w:t>anul</w:t>
      </w:r>
      <w:r w:rsidR="004726E0" w:rsidRPr="005F66C3">
        <w:rPr>
          <w:rFonts w:ascii="Times New Roman" w:hAnsi="Times New Roman" w:cs="Times New Roman"/>
          <w:sz w:val="28"/>
          <w:szCs w:val="28"/>
        </w:rPr>
        <w:t xml:space="preserve"> 2016</w:t>
      </w:r>
      <w:r w:rsidR="00DC0C35" w:rsidRPr="005F66C3">
        <w:rPr>
          <w:rFonts w:ascii="Times New Roman" w:hAnsi="Times New Roman" w:cs="Times New Roman"/>
          <w:sz w:val="28"/>
          <w:szCs w:val="28"/>
        </w:rPr>
        <w:t>,</w:t>
      </w:r>
      <w:r w:rsidR="004726E0" w:rsidRPr="005F66C3">
        <w:rPr>
          <w:rFonts w:ascii="Times New Roman" w:hAnsi="Times New Roman" w:cs="Times New Roman"/>
          <w:sz w:val="28"/>
          <w:szCs w:val="28"/>
        </w:rPr>
        <w:t xml:space="preserve"> </w:t>
      </w:r>
      <w:r w:rsidR="004726E0" w:rsidRPr="005F66C3">
        <w:rPr>
          <w:rFonts w:ascii="Times New Roman" w:hAnsi="Times New Roman" w:cs="Times New Roman"/>
          <w:sz w:val="28"/>
          <w:szCs w:val="28"/>
          <w:lang w:val="ro-MD"/>
        </w:rPr>
        <w:t>în rezultatul a 25951 de controale</w:t>
      </w:r>
      <w:r w:rsidR="00DC0C35" w:rsidRPr="005F66C3">
        <w:rPr>
          <w:rFonts w:ascii="Times New Roman" w:hAnsi="Times New Roman" w:cs="Times New Roman"/>
          <w:sz w:val="28"/>
          <w:szCs w:val="28"/>
          <w:lang w:val="ro-MD"/>
        </w:rPr>
        <w:t>,</w:t>
      </w:r>
      <w:r w:rsidR="004726E0" w:rsidRPr="005F66C3">
        <w:rPr>
          <w:rFonts w:ascii="Times New Roman" w:hAnsi="Times New Roman" w:cs="Times New Roman"/>
          <w:sz w:val="28"/>
          <w:szCs w:val="28"/>
          <w:lang w:val="ro-MD"/>
        </w:rPr>
        <w:t xml:space="preserve"> </w:t>
      </w:r>
      <w:r w:rsidR="004726E0" w:rsidRPr="005F66C3">
        <w:rPr>
          <w:rFonts w:ascii="Times New Roman" w:hAnsi="Times New Roman" w:cs="Times New Roman"/>
          <w:sz w:val="28"/>
          <w:szCs w:val="28"/>
        </w:rPr>
        <w:t xml:space="preserve">au fost calculate suplimentar obligații fiscale în sumă de 2897,6 mil.lei, </w:t>
      </w:r>
      <w:r w:rsidR="00DC0C35" w:rsidRPr="005F66C3">
        <w:rPr>
          <w:rFonts w:ascii="Times New Roman" w:hAnsi="Times New Roman" w:cs="Times New Roman"/>
          <w:sz w:val="28"/>
          <w:szCs w:val="28"/>
        </w:rPr>
        <w:t>dar s-au</w:t>
      </w:r>
      <w:r w:rsidR="004726E0" w:rsidRPr="005F66C3">
        <w:rPr>
          <w:rFonts w:ascii="Times New Roman" w:hAnsi="Times New Roman" w:cs="Times New Roman"/>
          <w:sz w:val="28"/>
          <w:szCs w:val="28"/>
        </w:rPr>
        <w:t xml:space="preserve"> încasat 112,8 mil.lei (3,9%), iar în </w:t>
      </w:r>
      <w:r w:rsidR="00DC0C35" w:rsidRPr="005F66C3">
        <w:rPr>
          <w:rFonts w:ascii="Times New Roman" w:hAnsi="Times New Roman" w:cs="Times New Roman"/>
          <w:sz w:val="28"/>
          <w:szCs w:val="28"/>
        </w:rPr>
        <w:t>anul</w:t>
      </w:r>
      <w:r w:rsidR="004726E0" w:rsidRPr="005F66C3">
        <w:rPr>
          <w:rFonts w:ascii="Times New Roman" w:hAnsi="Times New Roman" w:cs="Times New Roman"/>
          <w:sz w:val="28"/>
          <w:szCs w:val="28"/>
        </w:rPr>
        <w:t xml:space="preserve"> 2015</w:t>
      </w:r>
      <w:r w:rsidR="00DC0C35" w:rsidRPr="005F66C3">
        <w:rPr>
          <w:rFonts w:ascii="Times New Roman" w:hAnsi="Times New Roman" w:cs="Times New Roman"/>
          <w:sz w:val="28"/>
          <w:szCs w:val="28"/>
        </w:rPr>
        <w:t>,</w:t>
      </w:r>
      <w:r w:rsidR="004726E0" w:rsidRPr="005F66C3">
        <w:rPr>
          <w:rFonts w:ascii="Times New Roman" w:hAnsi="Times New Roman" w:cs="Times New Roman"/>
          <w:sz w:val="28"/>
          <w:szCs w:val="28"/>
        </w:rPr>
        <w:t xml:space="preserve"> </w:t>
      </w:r>
      <w:r w:rsidR="004726E0" w:rsidRPr="005F66C3">
        <w:rPr>
          <w:rFonts w:ascii="Times New Roman" w:hAnsi="Times New Roman" w:cs="Times New Roman"/>
          <w:sz w:val="28"/>
          <w:szCs w:val="28"/>
          <w:lang w:val="ro-MD"/>
        </w:rPr>
        <w:t>în rezultatul a 33101 de controale</w:t>
      </w:r>
      <w:r w:rsidR="00DC0C35" w:rsidRPr="005F66C3">
        <w:rPr>
          <w:rFonts w:ascii="Times New Roman" w:hAnsi="Times New Roman" w:cs="Times New Roman"/>
          <w:sz w:val="28"/>
          <w:szCs w:val="28"/>
          <w:lang w:val="ro-MD"/>
        </w:rPr>
        <w:t>,</w:t>
      </w:r>
      <w:r w:rsidR="004726E0" w:rsidRPr="005F66C3">
        <w:rPr>
          <w:rFonts w:ascii="Times New Roman" w:hAnsi="Times New Roman" w:cs="Times New Roman"/>
          <w:sz w:val="28"/>
          <w:szCs w:val="28"/>
          <w:lang w:val="ro-MD"/>
        </w:rPr>
        <w:t xml:space="preserve"> </w:t>
      </w:r>
      <w:r w:rsidR="00DC0C35" w:rsidRPr="005F66C3">
        <w:rPr>
          <w:rFonts w:ascii="Times New Roman" w:hAnsi="Times New Roman" w:cs="Times New Roman"/>
          <w:sz w:val="28"/>
          <w:szCs w:val="28"/>
          <w:lang w:val="ro-MD"/>
        </w:rPr>
        <w:t>s-</w:t>
      </w:r>
      <w:r w:rsidR="004726E0" w:rsidRPr="005F66C3">
        <w:rPr>
          <w:rFonts w:ascii="Times New Roman" w:hAnsi="Times New Roman" w:cs="Times New Roman"/>
          <w:sz w:val="28"/>
          <w:szCs w:val="28"/>
          <w:lang w:val="ro-MD"/>
        </w:rPr>
        <w:t xml:space="preserve">au calculat suplimentar obligații fiscale </w:t>
      </w:r>
      <w:r w:rsidR="00DC0C35" w:rsidRPr="005F66C3">
        <w:rPr>
          <w:rFonts w:ascii="Times New Roman" w:hAnsi="Times New Roman" w:cs="Times New Roman"/>
          <w:sz w:val="28"/>
          <w:szCs w:val="28"/>
          <w:lang w:val="ro-MD"/>
        </w:rPr>
        <w:t xml:space="preserve">în sumă de </w:t>
      </w:r>
      <w:r w:rsidR="004726E0" w:rsidRPr="005F66C3">
        <w:rPr>
          <w:rFonts w:ascii="Times New Roman" w:hAnsi="Times New Roman" w:cs="Times New Roman"/>
          <w:sz w:val="28"/>
          <w:szCs w:val="28"/>
        </w:rPr>
        <w:t>1635,4 mil.lei, fiind încasate 133</w:t>
      </w:r>
      <w:r w:rsidR="00DC0C35" w:rsidRPr="005F66C3">
        <w:rPr>
          <w:rFonts w:ascii="Times New Roman" w:hAnsi="Times New Roman" w:cs="Times New Roman"/>
          <w:sz w:val="28"/>
          <w:szCs w:val="28"/>
        </w:rPr>
        <w:t>,0</w:t>
      </w:r>
      <w:r w:rsidR="004726E0" w:rsidRPr="005F66C3">
        <w:rPr>
          <w:rFonts w:ascii="Times New Roman" w:hAnsi="Times New Roman" w:cs="Times New Roman"/>
          <w:sz w:val="28"/>
          <w:szCs w:val="28"/>
        </w:rPr>
        <w:t xml:space="preserve"> mil.lei (9%);</w:t>
      </w:r>
    </w:p>
    <w:p w:rsidR="004726E0" w:rsidRPr="005F66C3" w:rsidRDefault="005F66C3" w:rsidP="005F66C3">
      <w:pPr>
        <w:tabs>
          <w:tab w:val="left" w:pos="630"/>
          <w:tab w:val="left" w:pos="993"/>
        </w:tabs>
        <w:spacing w:after="0" w:line="276" w:lineRule="auto"/>
        <w:jc w:val="both"/>
        <w:rPr>
          <w:rFonts w:ascii="Times New Roman" w:hAnsi="Times New Roman" w:cs="Times New Roman"/>
          <w:sz w:val="28"/>
          <w:szCs w:val="28"/>
          <w:lang w:val="ro-MD"/>
        </w:rPr>
      </w:pPr>
      <w:r>
        <w:rPr>
          <w:rFonts w:ascii="Times New Roman" w:hAnsi="Times New Roman" w:cs="Times New Roman"/>
          <w:sz w:val="28"/>
          <w:szCs w:val="28"/>
          <w:lang w:val="ro-MD"/>
        </w:rPr>
        <w:tab/>
        <w:t xml:space="preserve">(iii) </w:t>
      </w:r>
      <w:r w:rsidR="00DC0C35" w:rsidRPr="005F66C3">
        <w:rPr>
          <w:rFonts w:ascii="Times New Roman" w:hAnsi="Times New Roman" w:cs="Times New Roman"/>
          <w:sz w:val="28"/>
          <w:szCs w:val="28"/>
          <w:lang w:val="ro-MD"/>
        </w:rPr>
        <w:t>R</w:t>
      </w:r>
      <w:r w:rsidR="004726E0" w:rsidRPr="005F66C3">
        <w:rPr>
          <w:rFonts w:ascii="Times New Roman" w:hAnsi="Times New Roman" w:cs="Times New Roman"/>
          <w:sz w:val="28"/>
          <w:szCs w:val="28"/>
          <w:lang w:val="ro-MD"/>
        </w:rPr>
        <w:t>estanțel</w:t>
      </w:r>
      <w:r w:rsidR="00DC0C35" w:rsidRPr="005F66C3">
        <w:rPr>
          <w:rFonts w:ascii="Times New Roman" w:hAnsi="Times New Roman" w:cs="Times New Roman"/>
          <w:sz w:val="28"/>
          <w:szCs w:val="28"/>
          <w:lang w:val="ro-MD"/>
        </w:rPr>
        <w:t>e</w:t>
      </w:r>
      <w:r w:rsidR="004726E0" w:rsidRPr="005F66C3">
        <w:rPr>
          <w:rFonts w:ascii="Times New Roman" w:hAnsi="Times New Roman" w:cs="Times New Roman"/>
          <w:sz w:val="28"/>
          <w:szCs w:val="28"/>
          <w:lang w:val="ro-MD"/>
        </w:rPr>
        <w:t xml:space="preserve"> contribuabililor la BPN</w:t>
      </w:r>
      <w:r w:rsidR="00456909">
        <w:rPr>
          <w:rFonts w:ascii="Times New Roman" w:hAnsi="Times New Roman" w:cs="Times New Roman"/>
          <w:sz w:val="28"/>
          <w:szCs w:val="28"/>
          <w:lang w:val="ro-MD"/>
        </w:rPr>
        <w:t xml:space="preserve"> </w:t>
      </w:r>
      <w:r w:rsidR="004726E0" w:rsidRPr="005F66C3">
        <w:rPr>
          <w:rFonts w:ascii="Times New Roman" w:hAnsi="Times New Roman" w:cs="Times New Roman"/>
          <w:sz w:val="28"/>
          <w:szCs w:val="28"/>
          <w:lang w:val="ro-MD"/>
        </w:rPr>
        <w:t>la 31.12.2017 constituie 2182</w:t>
      </w:r>
      <w:r w:rsidR="00DC0C35" w:rsidRPr="005F66C3">
        <w:rPr>
          <w:rFonts w:ascii="Times New Roman" w:hAnsi="Times New Roman" w:cs="Times New Roman"/>
          <w:sz w:val="28"/>
          <w:szCs w:val="28"/>
          <w:lang w:val="ro-MD"/>
        </w:rPr>
        <w:t>,0</w:t>
      </w:r>
      <w:r w:rsidR="004726E0" w:rsidRPr="005F66C3">
        <w:rPr>
          <w:rFonts w:ascii="Times New Roman" w:hAnsi="Times New Roman" w:cs="Times New Roman"/>
          <w:sz w:val="28"/>
          <w:szCs w:val="28"/>
          <w:lang w:val="ro-MD"/>
        </w:rPr>
        <w:t xml:space="preserve"> mil.lei, fiind în creștere cu 338</w:t>
      </w:r>
      <w:r w:rsidR="00DC0C35" w:rsidRPr="005F66C3">
        <w:rPr>
          <w:rFonts w:ascii="Times New Roman" w:hAnsi="Times New Roman" w:cs="Times New Roman"/>
          <w:sz w:val="28"/>
          <w:szCs w:val="28"/>
          <w:lang w:val="ro-MD"/>
        </w:rPr>
        <w:t>,0</w:t>
      </w:r>
      <w:r w:rsidR="004726E0" w:rsidRPr="005F66C3">
        <w:rPr>
          <w:rFonts w:ascii="Times New Roman" w:hAnsi="Times New Roman" w:cs="Times New Roman"/>
          <w:sz w:val="28"/>
          <w:szCs w:val="28"/>
          <w:lang w:val="ro-MD"/>
        </w:rPr>
        <w:t xml:space="preserve"> mil.lei (15,5%) față de anul 2015 și cu 356</w:t>
      </w:r>
      <w:r w:rsidR="00DC0C35" w:rsidRPr="005F66C3">
        <w:rPr>
          <w:rFonts w:ascii="Times New Roman" w:hAnsi="Times New Roman" w:cs="Times New Roman"/>
          <w:sz w:val="28"/>
          <w:szCs w:val="28"/>
          <w:lang w:val="ro-MD"/>
        </w:rPr>
        <w:t>,0</w:t>
      </w:r>
      <w:r w:rsidR="004726E0" w:rsidRPr="005F66C3">
        <w:rPr>
          <w:rFonts w:ascii="Times New Roman" w:hAnsi="Times New Roman" w:cs="Times New Roman"/>
          <w:sz w:val="28"/>
          <w:szCs w:val="28"/>
          <w:lang w:val="ro-MD"/>
        </w:rPr>
        <w:t xml:space="preserve"> mil.lei (16,3%) față de anul 2016.     </w:t>
      </w:r>
    </w:p>
    <w:p w:rsidR="004726E0" w:rsidRPr="001D0846" w:rsidRDefault="004726E0" w:rsidP="009453E5">
      <w:pPr>
        <w:pStyle w:val="a7"/>
        <w:numPr>
          <w:ilvl w:val="0"/>
          <w:numId w:val="10"/>
        </w:numPr>
        <w:tabs>
          <w:tab w:val="left" w:pos="270"/>
          <w:tab w:val="left" w:pos="993"/>
        </w:tabs>
        <w:spacing w:after="0" w:line="276" w:lineRule="auto"/>
        <w:ind w:left="0" w:firstLine="709"/>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 În </w:t>
      </w:r>
      <w:r w:rsidR="00DC0C35">
        <w:rPr>
          <w:rFonts w:ascii="Times New Roman" w:hAnsi="Times New Roman" w:cs="Times New Roman"/>
          <w:sz w:val="28"/>
          <w:szCs w:val="28"/>
          <w:lang w:val="ro-MD"/>
        </w:rPr>
        <w:t>anii</w:t>
      </w:r>
      <w:r w:rsidRPr="001D0846">
        <w:rPr>
          <w:rFonts w:ascii="Times New Roman" w:hAnsi="Times New Roman" w:cs="Times New Roman"/>
          <w:sz w:val="28"/>
          <w:szCs w:val="28"/>
          <w:lang w:val="ro-MD"/>
        </w:rPr>
        <w:t xml:space="preserve"> 2016-2017</w:t>
      </w:r>
      <w:r w:rsidR="00AC44EE" w:rsidRPr="001D0846">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w:t>
      </w:r>
      <w:r w:rsidR="00AC44EE" w:rsidRPr="001D0846">
        <w:rPr>
          <w:rFonts w:ascii="Times New Roman" w:hAnsi="Times New Roman" w:cs="Times New Roman"/>
          <w:sz w:val="28"/>
          <w:szCs w:val="28"/>
          <w:lang w:val="ro-MD"/>
        </w:rPr>
        <w:t xml:space="preserve">SFS a efectuat verificări asupra aplicării măsurilor de conformare voluntară a contribuabililor în cadrul unor subdiviziuni, </w:t>
      </w:r>
      <w:r w:rsidR="00DC0C35">
        <w:rPr>
          <w:rFonts w:ascii="Times New Roman" w:hAnsi="Times New Roman" w:cs="Times New Roman"/>
          <w:sz w:val="28"/>
          <w:szCs w:val="28"/>
          <w:lang w:val="ro-MD"/>
        </w:rPr>
        <w:t xml:space="preserve">relevând </w:t>
      </w:r>
      <w:r w:rsidR="00AC44EE" w:rsidRPr="001D0846">
        <w:rPr>
          <w:rFonts w:ascii="Times New Roman" w:hAnsi="Times New Roman" w:cs="Times New Roman"/>
          <w:sz w:val="28"/>
          <w:szCs w:val="28"/>
          <w:lang w:val="ro-MD"/>
        </w:rPr>
        <w:t>următoarele</w:t>
      </w:r>
      <w:r w:rsidRPr="001D0846">
        <w:rPr>
          <w:rFonts w:ascii="Times New Roman" w:hAnsi="Times New Roman" w:cs="Times New Roman"/>
          <w:sz w:val="28"/>
          <w:szCs w:val="28"/>
          <w:lang w:val="ro-MD"/>
        </w:rPr>
        <w:t xml:space="preserve"> vulnerabilități: (i) monitorizarea insuficientă de către conducerea subdiviziunilor a procesului de conformare voluntară în secto</w:t>
      </w:r>
      <w:r w:rsidR="00265D49" w:rsidRPr="001D0846">
        <w:rPr>
          <w:rFonts w:ascii="Times New Roman" w:hAnsi="Times New Roman" w:cs="Times New Roman"/>
          <w:sz w:val="28"/>
          <w:szCs w:val="28"/>
          <w:lang w:val="ro-MD"/>
        </w:rPr>
        <w:t xml:space="preserve">rul administrat; </w:t>
      </w:r>
      <w:r w:rsidRPr="001D0846">
        <w:rPr>
          <w:rFonts w:ascii="Times New Roman" w:hAnsi="Times New Roman" w:cs="Times New Roman"/>
          <w:sz w:val="28"/>
          <w:szCs w:val="28"/>
          <w:lang w:val="ro-MD"/>
        </w:rPr>
        <w:t xml:space="preserve">(ii) lipsa consecutivității și continuității măsurilor; (iii) neîntocmirea sau nesemnarea proceselor-verbale în rezultatul ședințelor/întrunirilor de conformare cu participarea contribuabililor; (iv) </w:t>
      </w:r>
      <w:proofErr w:type="spellStart"/>
      <w:r w:rsidRPr="001D0846">
        <w:rPr>
          <w:rFonts w:ascii="Times New Roman" w:hAnsi="Times New Roman" w:cs="Times New Roman"/>
          <w:sz w:val="28"/>
          <w:szCs w:val="28"/>
          <w:lang w:val="ro-MD"/>
        </w:rPr>
        <w:t>nemonitorizarea</w:t>
      </w:r>
      <w:proofErr w:type="spellEnd"/>
      <w:r w:rsidRPr="001D0846">
        <w:rPr>
          <w:rFonts w:ascii="Times New Roman" w:hAnsi="Times New Roman" w:cs="Times New Roman"/>
          <w:sz w:val="28"/>
          <w:szCs w:val="28"/>
          <w:lang w:val="ro-MD"/>
        </w:rPr>
        <w:t xml:space="preserve"> activității agenților economici și a gradului de </w:t>
      </w:r>
      <w:r w:rsidRPr="001D0846">
        <w:rPr>
          <w:rFonts w:ascii="Times New Roman" w:hAnsi="Times New Roman" w:cs="Times New Roman"/>
          <w:sz w:val="28"/>
          <w:szCs w:val="28"/>
          <w:lang w:val="ro-MD"/>
        </w:rPr>
        <w:lastRenderedPageBreak/>
        <w:t>conformare voluntară; (v) neinformarea conducerii subdiviziunilor cu privire la cazurile de activitate ilicită depistate, pentru luarea de atitudin</w:t>
      </w:r>
      <w:r w:rsidR="003C4C19">
        <w:rPr>
          <w:rFonts w:ascii="Times New Roman" w:hAnsi="Times New Roman" w:cs="Times New Roman"/>
          <w:sz w:val="28"/>
          <w:szCs w:val="28"/>
          <w:lang w:val="ro-MD"/>
        </w:rPr>
        <w:t>e</w:t>
      </w:r>
      <w:r w:rsidRPr="001D0846">
        <w:rPr>
          <w:rFonts w:ascii="Times New Roman" w:hAnsi="Times New Roman" w:cs="Times New Roman"/>
          <w:sz w:val="28"/>
          <w:szCs w:val="28"/>
          <w:lang w:val="ro-MD"/>
        </w:rPr>
        <w:t xml:space="preserve"> și a deciziilor de rigoare; (vi) neîntocmirea rapoartelor în rezultatul vizitelor fiscale efectuate în cadrul </w:t>
      </w:r>
      <w:r w:rsidR="00265D49" w:rsidRPr="001D0846">
        <w:rPr>
          <w:rFonts w:ascii="Times New Roman" w:hAnsi="Times New Roman" w:cs="Times New Roman"/>
          <w:sz w:val="28"/>
          <w:szCs w:val="28"/>
          <w:lang w:val="ro-MD"/>
        </w:rPr>
        <w:t>monitorizării contribuabililor;</w:t>
      </w:r>
      <w:r w:rsidRPr="001D0846">
        <w:rPr>
          <w:rFonts w:ascii="Times New Roman" w:hAnsi="Times New Roman" w:cs="Times New Roman"/>
          <w:sz w:val="28"/>
          <w:szCs w:val="28"/>
          <w:lang w:val="ro-MD"/>
        </w:rPr>
        <w:t xml:space="preserve"> (vii) monitorizarea insuficientă a procesului de înregistrare a subdiviziunilor contribuabililor care desfășoară activitate în domeniul agriculturii.</w:t>
      </w:r>
    </w:p>
    <w:p w:rsidR="00385FE6" w:rsidRPr="001D0846" w:rsidRDefault="00385FE6" w:rsidP="00385FE6">
      <w:pPr>
        <w:pStyle w:val="a7"/>
        <w:tabs>
          <w:tab w:val="left" w:pos="270"/>
        </w:tabs>
        <w:spacing w:after="0" w:line="276" w:lineRule="auto"/>
        <w:ind w:left="360"/>
        <w:jc w:val="both"/>
        <w:rPr>
          <w:rFonts w:ascii="Times New Roman" w:hAnsi="Times New Roman" w:cs="Times New Roman"/>
          <w:sz w:val="28"/>
          <w:szCs w:val="28"/>
          <w:lang w:val="ro-MD"/>
        </w:rPr>
      </w:pPr>
    </w:p>
    <w:p w:rsidR="00557D2F" w:rsidRPr="001D0846" w:rsidRDefault="00E86E19" w:rsidP="00E86E19">
      <w:pPr>
        <w:spacing w:after="0" w:line="276" w:lineRule="auto"/>
        <w:ind w:firstLine="709"/>
        <w:jc w:val="both"/>
        <w:rPr>
          <w:rFonts w:ascii="Times New Roman" w:hAnsi="Times New Roman" w:cs="Times New Roman"/>
          <w:b/>
          <w:sz w:val="28"/>
          <w:szCs w:val="28"/>
          <w:lang w:val="ro-MD"/>
        </w:rPr>
      </w:pPr>
      <w:r w:rsidRPr="00E86E19">
        <w:rPr>
          <w:rFonts w:ascii="Times New Roman" w:hAnsi="Times New Roman" w:cs="Times New Roman"/>
          <w:b/>
          <w:i/>
          <w:sz w:val="28"/>
          <w:szCs w:val="28"/>
          <w:lang w:val="ro-MD"/>
        </w:rPr>
        <w:t>3.6.2.</w:t>
      </w:r>
      <w:r>
        <w:rPr>
          <w:rFonts w:ascii="Times New Roman" w:hAnsi="Times New Roman" w:cs="Times New Roman"/>
          <w:i/>
          <w:sz w:val="28"/>
          <w:szCs w:val="28"/>
          <w:lang w:val="ro-MD"/>
        </w:rPr>
        <w:t xml:space="preserve"> </w:t>
      </w:r>
      <w:r w:rsidR="004726E0" w:rsidRPr="00E86E19">
        <w:rPr>
          <w:rFonts w:ascii="Times New Roman" w:hAnsi="Times New Roman" w:cs="Times New Roman"/>
          <w:sz w:val="28"/>
          <w:szCs w:val="28"/>
          <w:lang w:val="ro-MD"/>
        </w:rPr>
        <w:t xml:space="preserve">Potrivit obiectivelor </w:t>
      </w:r>
      <w:r w:rsidR="004726E0" w:rsidRPr="00E86E19">
        <w:rPr>
          <w:rFonts w:ascii="Times New Roman" w:hAnsi="Times New Roman" w:cs="Times New Roman"/>
          <w:sz w:val="28"/>
          <w:szCs w:val="28"/>
        </w:rPr>
        <w:t xml:space="preserve">politicii de administrare vamală din perioada </w:t>
      </w:r>
      <w:r w:rsidR="003C4C19">
        <w:rPr>
          <w:rFonts w:ascii="Times New Roman" w:hAnsi="Times New Roman" w:cs="Times New Roman"/>
          <w:sz w:val="28"/>
          <w:szCs w:val="28"/>
        </w:rPr>
        <w:t xml:space="preserve">anilor </w:t>
      </w:r>
      <w:r w:rsidR="004726E0" w:rsidRPr="00E86E19">
        <w:rPr>
          <w:rFonts w:ascii="Times New Roman" w:hAnsi="Times New Roman" w:cs="Times New Roman"/>
          <w:sz w:val="28"/>
          <w:szCs w:val="28"/>
        </w:rPr>
        <w:t>2015-2017, SV</w:t>
      </w:r>
      <w:r w:rsidR="004726E0" w:rsidRPr="001D0846">
        <w:rPr>
          <w:rFonts w:ascii="Times New Roman" w:hAnsi="Times New Roman" w:cs="Times New Roman"/>
          <w:sz w:val="28"/>
          <w:szCs w:val="28"/>
        </w:rPr>
        <w:t xml:space="preserve"> urma să asigure promovarea conformării voluntare la plata drepturilor de import/export</w:t>
      </w:r>
      <w:r w:rsidR="003C4C19">
        <w:rPr>
          <w:rFonts w:ascii="Times New Roman" w:hAnsi="Times New Roman" w:cs="Times New Roman"/>
          <w:sz w:val="28"/>
          <w:szCs w:val="28"/>
        </w:rPr>
        <w:t>,</w:t>
      </w:r>
      <w:r w:rsidR="004726E0" w:rsidRPr="001D0846">
        <w:rPr>
          <w:rFonts w:ascii="Times New Roman" w:hAnsi="Times New Roman" w:cs="Times New Roman"/>
          <w:sz w:val="28"/>
          <w:szCs w:val="28"/>
        </w:rPr>
        <w:t xml:space="preserve"> prin implementarea procedurilor vamale moderne, care facilitează comerțul extern </w:t>
      </w:r>
      <w:proofErr w:type="spellStart"/>
      <w:r w:rsidR="004726E0" w:rsidRPr="001D0846">
        <w:rPr>
          <w:rFonts w:ascii="Times New Roman" w:hAnsi="Times New Roman" w:cs="Times New Roman"/>
          <w:sz w:val="28"/>
          <w:szCs w:val="28"/>
        </w:rPr>
        <w:t>şi</w:t>
      </w:r>
      <w:proofErr w:type="spellEnd"/>
      <w:r w:rsidR="004726E0" w:rsidRPr="001D0846">
        <w:rPr>
          <w:rFonts w:ascii="Times New Roman" w:hAnsi="Times New Roman" w:cs="Times New Roman"/>
          <w:sz w:val="28"/>
          <w:szCs w:val="28"/>
        </w:rPr>
        <w:t xml:space="preserve"> asigură securitatea lanțului de aprovizionare internațională.</w:t>
      </w:r>
      <w:r w:rsidR="004726E0" w:rsidRPr="001D0846">
        <w:rPr>
          <w:rFonts w:ascii="Times New Roman" w:hAnsi="Times New Roman" w:cs="Times New Roman"/>
          <w:b/>
          <w:sz w:val="28"/>
          <w:szCs w:val="28"/>
          <w:lang w:val="ro-MD"/>
        </w:rPr>
        <w:t xml:space="preserve"> </w:t>
      </w:r>
    </w:p>
    <w:p w:rsidR="004726E0" w:rsidRPr="001D0846" w:rsidRDefault="00557D2F" w:rsidP="00557D2F">
      <w:pPr>
        <w:spacing w:after="0" w:line="276" w:lineRule="auto"/>
        <w:ind w:firstLine="709"/>
        <w:jc w:val="both"/>
        <w:rPr>
          <w:rFonts w:ascii="Times New Roman" w:hAnsi="Times New Roman" w:cs="Times New Roman"/>
          <w:b/>
          <w:sz w:val="28"/>
          <w:szCs w:val="28"/>
          <w:lang w:val="ro-MD"/>
        </w:rPr>
      </w:pPr>
      <w:r w:rsidRPr="001D0846">
        <w:rPr>
          <w:rFonts w:ascii="Times New Roman" w:hAnsi="Times New Roman" w:cs="Times New Roman"/>
          <w:sz w:val="28"/>
          <w:szCs w:val="28"/>
          <w:lang w:val="ro-MD"/>
        </w:rPr>
        <w:t>Deși SV a implementat unele mecanisme de facilitare a traficului transfrontalier</w:t>
      </w:r>
      <w:r w:rsidR="00AC355D" w:rsidRPr="001D0846">
        <w:rPr>
          <w:rStyle w:val="a6"/>
          <w:rFonts w:ascii="Times New Roman" w:hAnsi="Times New Roman" w:cs="Times New Roman"/>
          <w:sz w:val="28"/>
          <w:szCs w:val="28"/>
          <w:lang w:val="ro-MD"/>
        </w:rPr>
        <w:footnoteReference w:id="22"/>
      </w:r>
      <w:r w:rsidR="003C4C19">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care au acordat mai multe beneficii agenților economici care se conformează cadrului normativ în vigoare, a</w:t>
      </w:r>
      <w:r w:rsidR="004726E0" w:rsidRPr="001D0846">
        <w:rPr>
          <w:rFonts w:ascii="Times New Roman" w:hAnsi="Times New Roman" w:cs="Times New Roman"/>
          <w:sz w:val="28"/>
          <w:szCs w:val="28"/>
          <w:lang w:val="ro-MD"/>
        </w:rPr>
        <w:t>uditul denotă că</w:t>
      </w:r>
      <w:r w:rsidR="003C4C19">
        <w:rPr>
          <w:rFonts w:ascii="Times New Roman" w:hAnsi="Times New Roman" w:cs="Times New Roman"/>
          <w:sz w:val="28"/>
          <w:szCs w:val="28"/>
          <w:lang w:val="ro-MD"/>
        </w:rPr>
        <w:t>,</w:t>
      </w:r>
      <w:r w:rsidR="004726E0" w:rsidRPr="001D0846">
        <w:rPr>
          <w:rFonts w:ascii="Times New Roman" w:hAnsi="Times New Roman" w:cs="Times New Roman"/>
          <w:sz w:val="28"/>
          <w:szCs w:val="28"/>
          <w:lang w:val="ro-MD"/>
        </w:rPr>
        <w:t xml:space="preserve"> în perioada analizată, SV nu a elaborat un program </w:t>
      </w:r>
      <w:r w:rsidRPr="001D0846">
        <w:rPr>
          <w:rFonts w:ascii="Times New Roman" w:hAnsi="Times New Roman" w:cs="Times New Roman"/>
          <w:sz w:val="28"/>
          <w:szCs w:val="28"/>
          <w:lang w:val="ro-MD"/>
        </w:rPr>
        <w:t xml:space="preserve">unic </w:t>
      </w:r>
      <w:r w:rsidR="004726E0" w:rsidRPr="001D0846">
        <w:rPr>
          <w:rFonts w:ascii="Times New Roman" w:hAnsi="Times New Roman" w:cs="Times New Roman"/>
          <w:sz w:val="28"/>
          <w:szCs w:val="28"/>
          <w:lang w:val="ro-MD"/>
        </w:rPr>
        <w:t>de conformare voluntară</w:t>
      </w:r>
      <w:r w:rsidR="003C4C19">
        <w:rPr>
          <w:rFonts w:ascii="Times New Roman" w:hAnsi="Times New Roman" w:cs="Times New Roman"/>
          <w:sz w:val="28"/>
          <w:szCs w:val="28"/>
          <w:lang w:val="ro-MD"/>
        </w:rPr>
        <w:t>,</w:t>
      </w:r>
      <w:r w:rsidR="004726E0" w:rsidRPr="001D0846">
        <w:rPr>
          <w:rFonts w:ascii="Times New Roman" w:hAnsi="Times New Roman" w:cs="Times New Roman"/>
          <w:sz w:val="28"/>
          <w:szCs w:val="28"/>
          <w:lang w:val="ro-MD"/>
        </w:rPr>
        <w:t xml:space="preserve"> cu măsuri de asistență pentru plătitorii vamali care achită la timp și integral la buget obligațiile vamale, precum și măsuri de descurajare și sancționare a subiecților care se eschivează conștient de la stingerea obligației vamale, în scopul contracarării fenomenului de evaziune fiscală, în special</w:t>
      </w:r>
      <w:r w:rsidR="003C4C19">
        <w:rPr>
          <w:rFonts w:ascii="Times New Roman" w:hAnsi="Times New Roman" w:cs="Times New Roman"/>
          <w:sz w:val="28"/>
          <w:szCs w:val="28"/>
          <w:lang w:val="ro-MD"/>
        </w:rPr>
        <w:t>,</w:t>
      </w:r>
      <w:r w:rsidR="004726E0" w:rsidRPr="001D0846">
        <w:rPr>
          <w:rFonts w:ascii="Times New Roman" w:hAnsi="Times New Roman" w:cs="Times New Roman"/>
          <w:sz w:val="28"/>
          <w:szCs w:val="28"/>
          <w:lang w:val="ro-MD"/>
        </w:rPr>
        <w:t xml:space="preserve"> în domeniile de activitate cu risc sporit de neconformare.</w:t>
      </w:r>
    </w:p>
    <w:p w:rsidR="004726E0" w:rsidRPr="001D0846" w:rsidRDefault="004726E0" w:rsidP="006358AD">
      <w:pPr>
        <w:tabs>
          <w:tab w:val="left" w:pos="1080"/>
        </w:tabs>
        <w:spacing w:after="0" w:line="276" w:lineRule="auto"/>
        <w:contextualSpacing/>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 xml:space="preserve">          Probele colectate de audit relevă</w:t>
      </w:r>
      <w:r w:rsidR="003C4C19">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per ansamblu</w:t>
      </w:r>
      <w:r w:rsidR="003C4C19">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un nivel redus de conformare voluntară a </w:t>
      </w:r>
      <w:r w:rsidR="00582AA1">
        <w:rPr>
          <w:rFonts w:ascii="Times New Roman" w:hAnsi="Times New Roman" w:cs="Times New Roman"/>
          <w:sz w:val="28"/>
          <w:szCs w:val="28"/>
          <w:lang w:val="ro-MD"/>
        </w:rPr>
        <w:t>plătitorilor vamali</w:t>
      </w:r>
      <w:r w:rsidRPr="001D0846">
        <w:rPr>
          <w:rFonts w:ascii="Times New Roman" w:hAnsi="Times New Roman" w:cs="Times New Roman"/>
          <w:sz w:val="28"/>
          <w:szCs w:val="28"/>
          <w:lang w:val="ro-MD"/>
        </w:rPr>
        <w:t xml:space="preserve"> la calcularea deplină, achitarea la timp și integral</w:t>
      </w:r>
      <w:r w:rsidR="003C4C19">
        <w:rPr>
          <w:rFonts w:ascii="Times New Roman" w:hAnsi="Times New Roman" w:cs="Times New Roman"/>
          <w:sz w:val="28"/>
          <w:szCs w:val="28"/>
          <w:lang w:val="ro-MD"/>
        </w:rPr>
        <w:t>ă</w:t>
      </w:r>
      <w:r w:rsidRPr="001D0846">
        <w:rPr>
          <w:rFonts w:ascii="Times New Roman" w:hAnsi="Times New Roman" w:cs="Times New Roman"/>
          <w:sz w:val="28"/>
          <w:szCs w:val="28"/>
          <w:lang w:val="ro-MD"/>
        </w:rPr>
        <w:t xml:space="preserve"> la B</w:t>
      </w:r>
      <w:r w:rsidR="00582AA1">
        <w:rPr>
          <w:rFonts w:ascii="Times New Roman" w:hAnsi="Times New Roman" w:cs="Times New Roman"/>
          <w:sz w:val="28"/>
          <w:szCs w:val="28"/>
          <w:lang w:val="ro-MD"/>
        </w:rPr>
        <w:t>S</w:t>
      </w:r>
      <w:r w:rsidRPr="001D0846">
        <w:rPr>
          <w:rFonts w:ascii="Times New Roman" w:hAnsi="Times New Roman" w:cs="Times New Roman"/>
          <w:sz w:val="28"/>
          <w:szCs w:val="28"/>
          <w:lang w:val="ro-MD"/>
        </w:rPr>
        <w:t xml:space="preserve"> a impozitelor și taxelor, </w:t>
      </w:r>
      <w:r w:rsidR="003C4C19">
        <w:rPr>
          <w:rFonts w:ascii="Times New Roman" w:hAnsi="Times New Roman" w:cs="Times New Roman"/>
          <w:sz w:val="28"/>
          <w:szCs w:val="28"/>
          <w:lang w:val="ro-MD"/>
        </w:rPr>
        <w:t>exprimat</w:t>
      </w:r>
      <w:r w:rsidRPr="001D0846">
        <w:rPr>
          <w:rFonts w:ascii="Times New Roman" w:hAnsi="Times New Roman" w:cs="Times New Roman"/>
          <w:sz w:val="28"/>
          <w:szCs w:val="28"/>
          <w:lang w:val="ro-MD"/>
        </w:rPr>
        <w:t xml:space="preserve"> prin:</w:t>
      </w:r>
    </w:p>
    <w:p w:rsidR="004726E0" w:rsidRPr="000A59C4" w:rsidRDefault="000A59C4" w:rsidP="000A59C4">
      <w:pPr>
        <w:tabs>
          <w:tab w:val="left" w:pos="630"/>
          <w:tab w:val="left" w:pos="993"/>
        </w:tabs>
        <w:spacing w:after="0" w:line="276" w:lineRule="auto"/>
        <w:jc w:val="both"/>
        <w:rPr>
          <w:rFonts w:ascii="Times New Roman" w:hAnsi="Times New Roman" w:cs="Times New Roman"/>
          <w:sz w:val="28"/>
          <w:szCs w:val="28"/>
          <w:lang w:val="ro-MD"/>
        </w:rPr>
      </w:pPr>
      <w:r>
        <w:rPr>
          <w:rFonts w:ascii="Times New Roman" w:hAnsi="Times New Roman" w:cs="Times New Roman"/>
          <w:sz w:val="28"/>
          <w:szCs w:val="28"/>
          <w:lang w:val="ro-MD"/>
        </w:rPr>
        <w:tab/>
        <w:t xml:space="preserve">(i) </w:t>
      </w:r>
      <w:r w:rsidR="004726E0" w:rsidRPr="000A59C4">
        <w:rPr>
          <w:rFonts w:ascii="Times New Roman" w:hAnsi="Times New Roman" w:cs="Times New Roman"/>
          <w:sz w:val="28"/>
          <w:szCs w:val="28"/>
          <w:lang w:val="ro-MD"/>
        </w:rPr>
        <w:t>Nivelul ridicat al calculelor suplimentare a</w:t>
      </w:r>
      <w:r w:rsidR="003C4C19" w:rsidRPr="000A59C4">
        <w:rPr>
          <w:rFonts w:ascii="Times New Roman" w:hAnsi="Times New Roman" w:cs="Times New Roman"/>
          <w:sz w:val="28"/>
          <w:szCs w:val="28"/>
          <w:lang w:val="ro-MD"/>
        </w:rPr>
        <w:t>le</w:t>
      </w:r>
      <w:r w:rsidR="004726E0" w:rsidRPr="000A59C4">
        <w:rPr>
          <w:rFonts w:ascii="Times New Roman" w:hAnsi="Times New Roman" w:cs="Times New Roman"/>
          <w:sz w:val="28"/>
          <w:szCs w:val="28"/>
          <w:lang w:val="ro-MD"/>
        </w:rPr>
        <w:t xml:space="preserve"> obligației vamale la B</w:t>
      </w:r>
      <w:r w:rsidR="00582AA1" w:rsidRPr="000A59C4">
        <w:rPr>
          <w:rFonts w:ascii="Times New Roman" w:hAnsi="Times New Roman" w:cs="Times New Roman"/>
          <w:sz w:val="28"/>
          <w:szCs w:val="28"/>
          <w:lang w:val="ro-MD"/>
        </w:rPr>
        <w:t xml:space="preserve">S </w:t>
      </w:r>
      <w:r w:rsidR="004726E0" w:rsidRPr="000A59C4">
        <w:rPr>
          <w:rFonts w:ascii="Times New Roman" w:hAnsi="Times New Roman" w:cs="Times New Roman"/>
          <w:sz w:val="28"/>
          <w:szCs w:val="28"/>
          <w:lang w:val="ro-MD"/>
        </w:rPr>
        <w:t xml:space="preserve">în rezultatul controalelor efectuate. Astfel, probele colectate de audit relevă că, în </w:t>
      </w:r>
      <w:r w:rsidR="003C4C19" w:rsidRPr="000A59C4">
        <w:rPr>
          <w:rFonts w:ascii="Times New Roman" w:hAnsi="Times New Roman" w:cs="Times New Roman"/>
          <w:sz w:val="28"/>
          <w:szCs w:val="28"/>
          <w:lang w:val="ro-MD"/>
        </w:rPr>
        <w:t xml:space="preserve">anul </w:t>
      </w:r>
      <w:r w:rsidR="004726E0" w:rsidRPr="000A59C4">
        <w:rPr>
          <w:rFonts w:ascii="Times New Roman" w:hAnsi="Times New Roman" w:cs="Times New Roman"/>
          <w:sz w:val="28"/>
          <w:szCs w:val="28"/>
          <w:lang w:val="ro-MD"/>
        </w:rPr>
        <w:t xml:space="preserve"> 2017</w:t>
      </w:r>
      <w:r w:rsidR="003C4C19" w:rsidRPr="000A59C4">
        <w:rPr>
          <w:rFonts w:ascii="Times New Roman" w:hAnsi="Times New Roman" w:cs="Times New Roman"/>
          <w:sz w:val="28"/>
          <w:szCs w:val="28"/>
          <w:lang w:val="ro-MD"/>
        </w:rPr>
        <w:t>,</w:t>
      </w:r>
      <w:r w:rsidR="00001049" w:rsidRPr="000A59C4">
        <w:rPr>
          <w:rFonts w:ascii="Times New Roman" w:hAnsi="Times New Roman" w:cs="Times New Roman"/>
          <w:sz w:val="28"/>
          <w:szCs w:val="28"/>
          <w:lang w:val="ro-MD"/>
        </w:rPr>
        <w:t xml:space="preserve"> în rezultatul a 237</w:t>
      </w:r>
      <w:r w:rsidR="004726E0" w:rsidRPr="000A59C4">
        <w:rPr>
          <w:rFonts w:ascii="Times New Roman" w:hAnsi="Times New Roman" w:cs="Times New Roman"/>
          <w:sz w:val="28"/>
          <w:szCs w:val="28"/>
          <w:lang w:val="ro-MD"/>
        </w:rPr>
        <w:t xml:space="preserve"> de controale </w:t>
      </w:r>
      <w:r w:rsidR="00001049" w:rsidRPr="000A59C4">
        <w:rPr>
          <w:rFonts w:ascii="Times New Roman" w:hAnsi="Times New Roman" w:cs="Times New Roman"/>
          <w:sz w:val="28"/>
          <w:szCs w:val="28"/>
          <w:lang w:val="ro-MD"/>
        </w:rPr>
        <w:t xml:space="preserve">efectuate de către SV, </w:t>
      </w:r>
      <w:r w:rsidR="004726E0" w:rsidRPr="000A59C4">
        <w:rPr>
          <w:rFonts w:ascii="Times New Roman" w:hAnsi="Times New Roman" w:cs="Times New Roman"/>
          <w:sz w:val="28"/>
          <w:szCs w:val="28"/>
          <w:lang w:val="ro-MD"/>
        </w:rPr>
        <w:t xml:space="preserve">au fost recalculate obligații vamale în sumă de </w:t>
      </w:r>
      <w:r w:rsidR="00001049" w:rsidRPr="000A59C4">
        <w:rPr>
          <w:rFonts w:ascii="Times New Roman" w:hAnsi="Times New Roman" w:cs="Times New Roman"/>
          <w:sz w:val="28"/>
          <w:szCs w:val="28"/>
          <w:lang w:val="ro-MD"/>
        </w:rPr>
        <w:t xml:space="preserve">68,1 mil.lei, </w:t>
      </w:r>
      <w:r w:rsidR="003C4C19" w:rsidRPr="000A59C4">
        <w:rPr>
          <w:rFonts w:ascii="Times New Roman" w:hAnsi="Times New Roman" w:cs="Times New Roman"/>
          <w:sz w:val="28"/>
          <w:szCs w:val="28"/>
          <w:lang w:val="ro-MD"/>
        </w:rPr>
        <w:t>dar s-au</w:t>
      </w:r>
      <w:r w:rsidR="00001049" w:rsidRPr="000A59C4">
        <w:rPr>
          <w:rFonts w:ascii="Times New Roman" w:hAnsi="Times New Roman" w:cs="Times New Roman"/>
          <w:sz w:val="28"/>
          <w:szCs w:val="28"/>
          <w:lang w:val="ro-MD"/>
        </w:rPr>
        <w:t xml:space="preserve"> încasat 24,2 mil.lei (35,5</w:t>
      </w:r>
      <w:r w:rsidR="004726E0" w:rsidRPr="000A59C4">
        <w:rPr>
          <w:rFonts w:ascii="Times New Roman" w:hAnsi="Times New Roman" w:cs="Times New Roman"/>
          <w:sz w:val="28"/>
          <w:szCs w:val="28"/>
          <w:lang w:val="ro-MD"/>
        </w:rPr>
        <w:t xml:space="preserve">%). Analogic, în </w:t>
      </w:r>
      <w:r w:rsidR="003C4C19" w:rsidRPr="000A59C4">
        <w:rPr>
          <w:rFonts w:ascii="Times New Roman" w:hAnsi="Times New Roman" w:cs="Times New Roman"/>
          <w:sz w:val="28"/>
          <w:szCs w:val="28"/>
          <w:lang w:val="ro-MD"/>
        </w:rPr>
        <w:t>anul</w:t>
      </w:r>
      <w:r w:rsidR="004726E0" w:rsidRPr="000A59C4">
        <w:rPr>
          <w:rFonts w:ascii="Times New Roman" w:hAnsi="Times New Roman" w:cs="Times New Roman"/>
          <w:sz w:val="28"/>
          <w:szCs w:val="28"/>
          <w:lang w:val="ro-MD"/>
        </w:rPr>
        <w:t xml:space="preserve"> 2016</w:t>
      </w:r>
      <w:r w:rsidR="003C4C19" w:rsidRPr="000A59C4">
        <w:rPr>
          <w:rFonts w:ascii="Times New Roman" w:hAnsi="Times New Roman" w:cs="Times New Roman"/>
          <w:sz w:val="28"/>
          <w:szCs w:val="28"/>
          <w:lang w:val="ro-MD"/>
        </w:rPr>
        <w:t>,</w:t>
      </w:r>
      <w:r w:rsidR="004726E0" w:rsidRPr="000A59C4">
        <w:rPr>
          <w:rFonts w:ascii="Times New Roman" w:hAnsi="Times New Roman" w:cs="Times New Roman"/>
          <w:sz w:val="28"/>
          <w:szCs w:val="28"/>
          <w:lang w:val="ro-MD"/>
        </w:rPr>
        <w:t xml:space="preserve"> în rezultatul a 143 de controale</w:t>
      </w:r>
      <w:r w:rsidR="003C4C19" w:rsidRPr="000A59C4">
        <w:rPr>
          <w:rFonts w:ascii="Times New Roman" w:hAnsi="Times New Roman" w:cs="Times New Roman"/>
          <w:sz w:val="28"/>
          <w:szCs w:val="28"/>
          <w:lang w:val="ro-MD"/>
        </w:rPr>
        <w:t>, s-</w:t>
      </w:r>
      <w:r w:rsidR="004726E0" w:rsidRPr="000A59C4">
        <w:rPr>
          <w:rFonts w:ascii="Times New Roman" w:hAnsi="Times New Roman" w:cs="Times New Roman"/>
          <w:sz w:val="28"/>
          <w:szCs w:val="28"/>
          <w:lang w:val="ro-MD"/>
        </w:rPr>
        <w:t>au recalculat obligații vamale în sumă de 19,4 mil.lei, fiind încasate 8,6 mil.lei (44,3%), iar în anul 2015</w:t>
      </w:r>
      <w:r w:rsidR="003C4C19" w:rsidRPr="000A59C4">
        <w:rPr>
          <w:rFonts w:ascii="Times New Roman" w:hAnsi="Times New Roman" w:cs="Times New Roman"/>
          <w:sz w:val="28"/>
          <w:szCs w:val="28"/>
          <w:lang w:val="ro-MD"/>
        </w:rPr>
        <w:t xml:space="preserve">, </w:t>
      </w:r>
      <w:r w:rsidR="004726E0" w:rsidRPr="000A59C4">
        <w:rPr>
          <w:rFonts w:ascii="Times New Roman" w:hAnsi="Times New Roman" w:cs="Times New Roman"/>
          <w:sz w:val="28"/>
          <w:szCs w:val="28"/>
          <w:lang w:val="ro-MD"/>
        </w:rPr>
        <w:t xml:space="preserve"> în rezultatul a 245 de controale</w:t>
      </w:r>
      <w:r w:rsidR="003C4C19" w:rsidRPr="000A59C4">
        <w:rPr>
          <w:rFonts w:ascii="Times New Roman" w:hAnsi="Times New Roman" w:cs="Times New Roman"/>
          <w:sz w:val="28"/>
          <w:szCs w:val="28"/>
          <w:lang w:val="ro-MD"/>
        </w:rPr>
        <w:t>,</w:t>
      </w:r>
      <w:r w:rsidR="004726E0" w:rsidRPr="000A59C4">
        <w:rPr>
          <w:rFonts w:ascii="Times New Roman" w:hAnsi="Times New Roman" w:cs="Times New Roman"/>
          <w:sz w:val="28"/>
          <w:szCs w:val="28"/>
          <w:lang w:val="ro-MD"/>
        </w:rPr>
        <w:t xml:space="preserve"> au fost recalculate obligații vamale în sumă de 35,1 mil.lei, </w:t>
      </w:r>
      <w:r w:rsidR="003C4C19" w:rsidRPr="000A59C4">
        <w:rPr>
          <w:rFonts w:ascii="Times New Roman" w:hAnsi="Times New Roman" w:cs="Times New Roman"/>
          <w:sz w:val="28"/>
          <w:szCs w:val="28"/>
          <w:lang w:val="ro-MD"/>
        </w:rPr>
        <w:t>dar s-au</w:t>
      </w:r>
      <w:r w:rsidR="004726E0" w:rsidRPr="000A59C4">
        <w:rPr>
          <w:rFonts w:ascii="Times New Roman" w:hAnsi="Times New Roman" w:cs="Times New Roman"/>
          <w:sz w:val="28"/>
          <w:szCs w:val="28"/>
          <w:lang w:val="ro-MD"/>
        </w:rPr>
        <w:t xml:space="preserve"> încasat 20,4 mil.lei (58,1%);</w:t>
      </w:r>
    </w:p>
    <w:p w:rsidR="004726E0" w:rsidRPr="000A59C4" w:rsidRDefault="000A59C4" w:rsidP="000A59C4">
      <w:pPr>
        <w:tabs>
          <w:tab w:val="left" w:pos="630"/>
          <w:tab w:val="left" w:pos="993"/>
        </w:tabs>
        <w:spacing w:after="0" w:line="276" w:lineRule="auto"/>
        <w:jc w:val="both"/>
        <w:rPr>
          <w:rFonts w:ascii="Times New Roman" w:hAnsi="Times New Roman" w:cs="Times New Roman"/>
          <w:sz w:val="28"/>
          <w:szCs w:val="28"/>
          <w:lang w:val="ro-MD"/>
        </w:rPr>
      </w:pPr>
      <w:r>
        <w:rPr>
          <w:rFonts w:ascii="Times New Roman" w:hAnsi="Times New Roman" w:cs="Times New Roman"/>
          <w:sz w:val="28"/>
          <w:szCs w:val="28"/>
          <w:lang w:val="ro-MD"/>
        </w:rPr>
        <w:tab/>
        <w:t xml:space="preserve">(ii) </w:t>
      </w:r>
      <w:r w:rsidR="003C4C19" w:rsidRPr="000A59C4">
        <w:rPr>
          <w:rFonts w:ascii="Times New Roman" w:hAnsi="Times New Roman" w:cs="Times New Roman"/>
          <w:sz w:val="28"/>
          <w:szCs w:val="28"/>
          <w:lang w:val="ro-MD"/>
        </w:rPr>
        <w:t>R</w:t>
      </w:r>
      <w:r w:rsidR="004726E0" w:rsidRPr="000A59C4">
        <w:rPr>
          <w:rFonts w:ascii="Times New Roman" w:hAnsi="Times New Roman" w:cs="Times New Roman"/>
          <w:sz w:val="28"/>
          <w:szCs w:val="28"/>
          <w:lang w:val="ro-MD"/>
        </w:rPr>
        <w:t>estanțel</w:t>
      </w:r>
      <w:r w:rsidR="003C4C19" w:rsidRPr="000A59C4">
        <w:rPr>
          <w:rFonts w:ascii="Times New Roman" w:hAnsi="Times New Roman" w:cs="Times New Roman"/>
          <w:sz w:val="28"/>
          <w:szCs w:val="28"/>
          <w:lang w:val="ro-MD"/>
        </w:rPr>
        <w:t>e semnificative ale</w:t>
      </w:r>
      <w:r w:rsidR="004726E0" w:rsidRPr="000A59C4">
        <w:rPr>
          <w:rFonts w:ascii="Times New Roman" w:hAnsi="Times New Roman" w:cs="Times New Roman"/>
          <w:sz w:val="28"/>
          <w:szCs w:val="28"/>
          <w:lang w:val="ro-MD"/>
        </w:rPr>
        <w:t xml:space="preserve"> plătitorilor vamali la BS</w:t>
      </w:r>
      <w:r w:rsidR="003C4C19" w:rsidRPr="000A59C4">
        <w:rPr>
          <w:rFonts w:ascii="Times New Roman" w:hAnsi="Times New Roman" w:cs="Times New Roman"/>
          <w:sz w:val="28"/>
          <w:szCs w:val="28"/>
          <w:lang w:val="ro-MD"/>
        </w:rPr>
        <w:t>,</w:t>
      </w:r>
      <w:r w:rsidR="004726E0" w:rsidRPr="000A59C4">
        <w:rPr>
          <w:rFonts w:ascii="Times New Roman" w:hAnsi="Times New Roman" w:cs="Times New Roman"/>
          <w:sz w:val="28"/>
          <w:szCs w:val="28"/>
          <w:lang w:val="ro-MD"/>
        </w:rPr>
        <w:t xml:space="preserve"> care la 31.12.2017 constituie </w:t>
      </w:r>
      <w:r w:rsidR="004726E0" w:rsidRPr="000A59C4">
        <w:rPr>
          <w:rFonts w:ascii="Times New Roman" w:eastAsia="Times New Roman" w:hAnsi="Times New Roman" w:cs="Times New Roman"/>
          <w:sz w:val="28"/>
          <w:szCs w:val="28"/>
        </w:rPr>
        <w:t xml:space="preserve">385,8 mil.lei, fiind în creștere cu </w:t>
      </w:r>
      <w:r w:rsidR="004726E0" w:rsidRPr="000A59C4">
        <w:rPr>
          <w:rFonts w:ascii="Times New Roman" w:hAnsi="Times New Roman" w:cs="Times New Roman"/>
          <w:sz w:val="28"/>
          <w:szCs w:val="28"/>
        </w:rPr>
        <w:t>66,3 mil.lei față de anul 2016 și cu 78,6 mil</w:t>
      </w:r>
      <w:r w:rsidR="003C4C19" w:rsidRPr="000A59C4">
        <w:rPr>
          <w:rFonts w:ascii="Times New Roman" w:hAnsi="Times New Roman" w:cs="Times New Roman"/>
          <w:sz w:val="28"/>
          <w:szCs w:val="28"/>
        </w:rPr>
        <w:t>.</w:t>
      </w:r>
      <w:r w:rsidR="004726E0" w:rsidRPr="000A59C4">
        <w:rPr>
          <w:rFonts w:ascii="Times New Roman" w:hAnsi="Times New Roman" w:cs="Times New Roman"/>
          <w:sz w:val="28"/>
          <w:szCs w:val="28"/>
        </w:rPr>
        <w:t xml:space="preserve"> lei față de anul 2015.</w:t>
      </w:r>
    </w:p>
    <w:p w:rsidR="00266A26" w:rsidRPr="00C77119" w:rsidRDefault="00175939" w:rsidP="003C4B9E">
      <w:pPr>
        <w:pStyle w:val="1"/>
        <w:spacing w:before="0" w:line="276" w:lineRule="auto"/>
        <w:jc w:val="both"/>
        <w:rPr>
          <w:rFonts w:ascii="Times New Roman" w:hAnsi="Times New Roman" w:cs="Times New Roman"/>
          <w:b/>
          <w:color w:val="auto"/>
          <w:sz w:val="28"/>
          <w:szCs w:val="28"/>
        </w:rPr>
      </w:pPr>
      <w:bookmarkStart w:id="16" w:name="_Toc515894893"/>
      <w:r w:rsidRPr="00C87733">
        <w:rPr>
          <w:rFonts w:ascii="Times New Roman" w:hAnsi="Times New Roman" w:cs="Times New Roman"/>
          <w:b/>
          <w:color w:val="auto"/>
          <w:sz w:val="28"/>
          <w:szCs w:val="28"/>
        </w:rPr>
        <w:lastRenderedPageBreak/>
        <w:t>3</w:t>
      </w:r>
      <w:r w:rsidR="00C947DA" w:rsidRPr="00C87733">
        <w:rPr>
          <w:rFonts w:ascii="Times New Roman" w:hAnsi="Times New Roman" w:cs="Times New Roman"/>
          <w:b/>
          <w:color w:val="auto"/>
          <w:sz w:val="28"/>
          <w:szCs w:val="28"/>
        </w:rPr>
        <w:t>.7</w:t>
      </w:r>
      <w:r w:rsidR="005772B2" w:rsidRPr="00C87733">
        <w:rPr>
          <w:rFonts w:ascii="Times New Roman" w:hAnsi="Times New Roman" w:cs="Times New Roman"/>
          <w:b/>
          <w:color w:val="auto"/>
          <w:sz w:val="28"/>
          <w:szCs w:val="28"/>
        </w:rPr>
        <w:t>.</w:t>
      </w:r>
      <w:bookmarkStart w:id="17" w:name="_Toc484003637"/>
      <w:r w:rsidR="005772B2" w:rsidRPr="00C87733">
        <w:rPr>
          <w:rFonts w:ascii="Times New Roman" w:hAnsi="Times New Roman" w:cs="Times New Roman"/>
          <w:b/>
          <w:color w:val="auto"/>
          <w:sz w:val="28"/>
          <w:szCs w:val="28"/>
        </w:rPr>
        <w:t xml:space="preserve"> Rezult</w:t>
      </w:r>
      <w:r w:rsidR="00266A26" w:rsidRPr="00C87733">
        <w:rPr>
          <w:rFonts w:ascii="Times New Roman" w:hAnsi="Times New Roman" w:cs="Times New Roman"/>
          <w:b/>
          <w:color w:val="auto"/>
          <w:sz w:val="28"/>
          <w:szCs w:val="28"/>
        </w:rPr>
        <w:t>at</w:t>
      </w:r>
      <w:r w:rsidR="005477BB" w:rsidRPr="00C87733">
        <w:rPr>
          <w:rFonts w:ascii="Times New Roman" w:hAnsi="Times New Roman" w:cs="Times New Roman"/>
          <w:b/>
          <w:color w:val="auto"/>
          <w:sz w:val="28"/>
          <w:szCs w:val="28"/>
        </w:rPr>
        <w:t>ele</w:t>
      </w:r>
      <w:r w:rsidR="00D10A5A" w:rsidRPr="00C77119">
        <w:rPr>
          <w:rFonts w:ascii="Times New Roman" w:hAnsi="Times New Roman" w:cs="Times New Roman"/>
          <w:b/>
          <w:color w:val="auto"/>
          <w:sz w:val="28"/>
          <w:szCs w:val="28"/>
        </w:rPr>
        <w:t xml:space="preserve"> controale</w:t>
      </w:r>
      <w:r w:rsidR="005477BB" w:rsidRPr="00C77119">
        <w:rPr>
          <w:rFonts w:ascii="Times New Roman" w:hAnsi="Times New Roman" w:cs="Times New Roman"/>
          <w:b/>
          <w:color w:val="auto"/>
          <w:sz w:val="28"/>
          <w:szCs w:val="28"/>
        </w:rPr>
        <w:t>lor</w:t>
      </w:r>
      <w:r w:rsidR="00266A26" w:rsidRPr="00C77119">
        <w:rPr>
          <w:rFonts w:ascii="Times New Roman" w:hAnsi="Times New Roman" w:cs="Times New Roman"/>
          <w:b/>
          <w:color w:val="auto"/>
          <w:sz w:val="28"/>
          <w:szCs w:val="28"/>
        </w:rPr>
        <w:t xml:space="preserve"> fiscale și </w:t>
      </w:r>
      <w:r w:rsidR="005772B2" w:rsidRPr="00C77119">
        <w:rPr>
          <w:rFonts w:ascii="Times New Roman" w:hAnsi="Times New Roman" w:cs="Times New Roman"/>
          <w:b/>
          <w:color w:val="auto"/>
          <w:sz w:val="28"/>
          <w:szCs w:val="28"/>
        </w:rPr>
        <w:t>vamale</w:t>
      </w:r>
      <w:r w:rsidR="005477BB" w:rsidRPr="00C77119">
        <w:rPr>
          <w:rFonts w:ascii="Times New Roman" w:hAnsi="Times New Roman" w:cs="Times New Roman"/>
          <w:b/>
          <w:color w:val="auto"/>
          <w:sz w:val="28"/>
          <w:szCs w:val="28"/>
        </w:rPr>
        <w:t xml:space="preserve"> și impactul acestora </w:t>
      </w:r>
      <w:r w:rsidR="00D10A5A" w:rsidRPr="00C77119">
        <w:rPr>
          <w:rFonts w:ascii="Times New Roman" w:hAnsi="Times New Roman" w:cs="Times New Roman"/>
          <w:b/>
          <w:color w:val="auto"/>
          <w:sz w:val="28"/>
          <w:szCs w:val="28"/>
        </w:rPr>
        <w:t>a</w:t>
      </w:r>
      <w:r w:rsidR="005477BB" w:rsidRPr="00C77119">
        <w:rPr>
          <w:rFonts w:ascii="Times New Roman" w:hAnsi="Times New Roman" w:cs="Times New Roman"/>
          <w:b/>
          <w:color w:val="auto"/>
          <w:sz w:val="28"/>
          <w:szCs w:val="28"/>
        </w:rPr>
        <w:t>supra</w:t>
      </w:r>
      <w:r w:rsidR="00D10A5A" w:rsidRPr="00C77119">
        <w:rPr>
          <w:rFonts w:ascii="Times New Roman" w:hAnsi="Times New Roman" w:cs="Times New Roman"/>
          <w:b/>
          <w:color w:val="auto"/>
          <w:sz w:val="28"/>
          <w:szCs w:val="28"/>
        </w:rPr>
        <w:t xml:space="preserve"> performanțelor</w:t>
      </w:r>
      <w:r w:rsidR="004C4AC6" w:rsidRPr="00C77119">
        <w:rPr>
          <w:rFonts w:ascii="Times New Roman" w:hAnsi="Times New Roman" w:cs="Times New Roman"/>
          <w:b/>
          <w:color w:val="auto"/>
          <w:sz w:val="28"/>
          <w:szCs w:val="28"/>
        </w:rPr>
        <w:t xml:space="preserve"> instituționale.</w:t>
      </w:r>
      <w:bookmarkEnd w:id="16"/>
    </w:p>
    <w:bookmarkEnd w:id="17"/>
    <w:p w:rsidR="00E048A3" w:rsidRDefault="005772B2" w:rsidP="00582AA1">
      <w:pPr>
        <w:spacing w:after="0" w:line="276" w:lineRule="auto"/>
        <w:ind w:firstLine="720"/>
        <w:jc w:val="both"/>
        <w:rPr>
          <w:rFonts w:ascii="Times New Roman" w:hAnsi="Times New Roman" w:cs="Times New Roman"/>
          <w:i/>
          <w:sz w:val="28"/>
          <w:szCs w:val="28"/>
          <w:lang w:val="ro-MD"/>
        </w:rPr>
      </w:pPr>
      <w:r w:rsidRPr="001D0846">
        <w:rPr>
          <w:rFonts w:ascii="Times New Roman" w:eastAsia="Times New Roman" w:hAnsi="Times New Roman" w:cs="Times New Roman"/>
          <w:i/>
          <w:sz w:val="28"/>
          <w:szCs w:val="28"/>
          <w:lang w:eastAsia="ru-RU"/>
        </w:rPr>
        <w:t>În scopul prevenirii și combaterii evaziunii fiscale și vamale, precum și reducer</w:t>
      </w:r>
      <w:r w:rsidR="00C87733">
        <w:rPr>
          <w:rFonts w:ascii="Times New Roman" w:eastAsia="Times New Roman" w:hAnsi="Times New Roman" w:cs="Times New Roman"/>
          <w:i/>
          <w:sz w:val="28"/>
          <w:szCs w:val="28"/>
          <w:lang w:eastAsia="ru-RU"/>
        </w:rPr>
        <w:t>ii</w:t>
      </w:r>
      <w:r w:rsidRPr="001D0846">
        <w:rPr>
          <w:rFonts w:ascii="Times New Roman" w:eastAsia="Times New Roman" w:hAnsi="Times New Roman" w:cs="Times New Roman"/>
          <w:i/>
          <w:sz w:val="28"/>
          <w:szCs w:val="28"/>
          <w:lang w:eastAsia="ru-RU"/>
        </w:rPr>
        <w:t xml:space="preserve"> decalajului fiscal, SFS și SV urmau să asigure efectuarea controalelor fiscale și vamale, cu încasarea sumelor calculate suplimentar la BPN. </w:t>
      </w:r>
      <w:r w:rsidRPr="001D0846">
        <w:rPr>
          <w:rFonts w:ascii="Times New Roman" w:hAnsi="Times New Roman" w:cs="Times New Roman"/>
          <w:i/>
          <w:sz w:val="28"/>
          <w:szCs w:val="28"/>
          <w:lang w:val="ro-MD"/>
        </w:rPr>
        <w:t xml:space="preserve">Deși organele fiscale și vamale </w:t>
      </w:r>
      <w:r w:rsidR="00E048A3" w:rsidRPr="001D0846">
        <w:rPr>
          <w:rFonts w:ascii="Times New Roman" w:hAnsi="Times New Roman" w:cs="Times New Roman"/>
          <w:i/>
          <w:sz w:val="28"/>
          <w:szCs w:val="28"/>
        </w:rPr>
        <w:t xml:space="preserve">au întreprins măsuri </w:t>
      </w:r>
      <w:proofErr w:type="spellStart"/>
      <w:r w:rsidR="00E048A3" w:rsidRPr="001D0846">
        <w:rPr>
          <w:rFonts w:ascii="Times New Roman" w:hAnsi="Times New Roman" w:cs="Times New Roman"/>
          <w:i/>
          <w:sz w:val="28"/>
          <w:szCs w:val="28"/>
        </w:rPr>
        <w:t>antievaziune</w:t>
      </w:r>
      <w:proofErr w:type="spellEnd"/>
      <w:r w:rsidR="00C87733">
        <w:rPr>
          <w:rFonts w:ascii="Times New Roman" w:hAnsi="Times New Roman" w:cs="Times New Roman"/>
          <w:i/>
          <w:sz w:val="28"/>
          <w:szCs w:val="28"/>
        </w:rPr>
        <w:t>,</w:t>
      </w:r>
      <w:r w:rsidR="00E048A3" w:rsidRPr="001D0846">
        <w:rPr>
          <w:rFonts w:ascii="Times New Roman" w:hAnsi="Times New Roman" w:cs="Times New Roman"/>
          <w:i/>
          <w:sz w:val="28"/>
          <w:szCs w:val="28"/>
        </w:rPr>
        <w:t xml:space="preserve"> înregistr</w:t>
      </w:r>
      <w:r w:rsidR="00C87733">
        <w:rPr>
          <w:rFonts w:ascii="Times New Roman" w:hAnsi="Times New Roman" w:cs="Times New Roman"/>
          <w:i/>
          <w:sz w:val="28"/>
          <w:szCs w:val="28"/>
        </w:rPr>
        <w:t>â</w:t>
      </w:r>
      <w:r w:rsidR="00E048A3" w:rsidRPr="001D0846">
        <w:rPr>
          <w:rFonts w:ascii="Times New Roman" w:hAnsi="Times New Roman" w:cs="Times New Roman"/>
          <w:i/>
          <w:sz w:val="28"/>
          <w:szCs w:val="28"/>
        </w:rPr>
        <w:t xml:space="preserve">nd rezultate în acest domeniu, au modernizat și actualizat procesele de control </w:t>
      </w:r>
      <w:r w:rsidRPr="001D0846">
        <w:rPr>
          <w:rFonts w:ascii="Times New Roman" w:hAnsi="Times New Roman" w:cs="Times New Roman"/>
          <w:i/>
          <w:sz w:val="28"/>
          <w:szCs w:val="28"/>
          <w:lang w:val="ro-MD"/>
        </w:rPr>
        <w:t xml:space="preserve">fiscal și vamal, prin îmbunătățirea cadrului normativ-metodologic de planificare și organizare a activităților de control, modernizarea criteriilor de selectivitate </w:t>
      </w:r>
      <w:r w:rsidRPr="001D0846">
        <w:rPr>
          <w:rFonts w:ascii="Times New Roman" w:hAnsi="Times New Roman"/>
          <w:i/>
          <w:sz w:val="28"/>
          <w:szCs w:val="28"/>
          <w:lang w:val="ro-MD" w:eastAsia="zh-CN"/>
        </w:rPr>
        <w:t>bazate pe procedee de analiză a riscurilor</w:t>
      </w:r>
      <w:r w:rsidRPr="001D0846">
        <w:rPr>
          <w:rFonts w:ascii="Times New Roman" w:hAnsi="Times New Roman" w:cs="Times New Roman"/>
          <w:i/>
          <w:sz w:val="28"/>
          <w:szCs w:val="28"/>
          <w:lang w:val="ro-MD"/>
        </w:rPr>
        <w:t>,</w:t>
      </w:r>
      <w:r w:rsidR="00E048A3" w:rsidRPr="001D0846">
        <w:rPr>
          <w:rFonts w:ascii="Times New Roman" w:hAnsi="Times New Roman" w:cs="Times New Roman"/>
          <w:i/>
          <w:sz w:val="28"/>
          <w:szCs w:val="28"/>
          <w:lang w:val="ro-MD"/>
        </w:rPr>
        <w:t xml:space="preserve"> auditul </w:t>
      </w:r>
      <w:r w:rsidR="00C87733">
        <w:rPr>
          <w:rFonts w:ascii="Times New Roman" w:hAnsi="Times New Roman" w:cs="Times New Roman"/>
          <w:i/>
          <w:sz w:val="28"/>
          <w:szCs w:val="28"/>
          <w:lang w:val="ro-MD"/>
        </w:rPr>
        <w:t xml:space="preserve">a </w:t>
      </w:r>
      <w:r w:rsidR="00E048A3" w:rsidRPr="001D0846">
        <w:rPr>
          <w:rFonts w:ascii="Times New Roman" w:hAnsi="Times New Roman" w:cs="Times New Roman"/>
          <w:i/>
          <w:sz w:val="28"/>
          <w:szCs w:val="28"/>
          <w:lang w:val="ro-MD"/>
        </w:rPr>
        <w:t>constat</w:t>
      </w:r>
      <w:r w:rsidR="00C87733">
        <w:rPr>
          <w:rFonts w:ascii="Times New Roman" w:hAnsi="Times New Roman" w:cs="Times New Roman"/>
          <w:i/>
          <w:sz w:val="28"/>
          <w:szCs w:val="28"/>
          <w:lang w:val="ro-MD"/>
        </w:rPr>
        <w:t>at</w:t>
      </w:r>
      <w:r w:rsidR="00E048A3" w:rsidRPr="001D0846">
        <w:rPr>
          <w:rFonts w:ascii="Times New Roman" w:hAnsi="Times New Roman" w:cs="Times New Roman"/>
          <w:i/>
          <w:sz w:val="28"/>
          <w:szCs w:val="28"/>
          <w:lang w:val="ro-MD"/>
        </w:rPr>
        <w:t xml:space="preserve"> lipsa </w:t>
      </w:r>
      <w:r w:rsidR="00502828" w:rsidRPr="001D0846">
        <w:rPr>
          <w:rFonts w:ascii="Times New Roman" w:hAnsi="Times New Roman" w:cs="Times New Roman"/>
          <w:i/>
          <w:sz w:val="28"/>
          <w:szCs w:val="28"/>
          <w:lang w:val="ro-MD"/>
        </w:rPr>
        <w:t>unei metodologii de</w:t>
      </w:r>
      <w:r w:rsidR="00E048A3" w:rsidRPr="001D0846">
        <w:rPr>
          <w:rFonts w:ascii="Times New Roman" w:hAnsi="Times New Roman" w:cs="Times New Roman"/>
          <w:i/>
          <w:sz w:val="28"/>
          <w:szCs w:val="28"/>
          <w:lang w:val="ro-MD"/>
        </w:rPr>
        <w:t xml:space="preserve"> </w:t>
      </w:r>
      <w:r w:rsidR="00502828" w:rsidRPr="001D0846">
        <w:rPr>
          <w:rFonts w:ascii="Times New Roman" w:hAnsi="Times New Roman" w:cs="Times New Roman"/>
          <w:i/>
          <w:sz w:val="28"/>
          <w:szCs w:val="28"/>
          <w:lang w:val="ro-MD"/>
        </w:rPr>
        <w:t>estimare</w:t>
      </w:r>
      <w:r w:rsidR="00C15E18" w:rsidRPr="001D0846">
        <w:rPr>
          <w:rFonts w:ascii="Times New Roman" w:hAnsi="Times New Roman" w:cs="Times New Roman"/>
          <w:i/>
          <w:sz w:val="28"/>
          <w:szCs w:val="28"/>
          <w:lang w:val="ro-MD"/>
        </w:rPr>
        <w:t xml:space="preserve"> a</w:t>
      </w:r>
      <w:r w:rsidR="00E048A3" w:rsidRPr="001D0846">
        <w:rPr>
          <w:rFonts w:ascii="Times New Roman" w:hAnsi="Times New Roman" w:cs="Times New Roman"/>
          <w:i/>
          <w:sz w:val="28"/>
          <w:szCs w:val="28"/>
          <w:lang w:val="ro-MD"/>
        </w:rPr>
        <w:t xml:space="preserve"> evaziunii fiscale</w:t>
      </w:r>
      <w:r w:rsidR="00C87733">
        <w:rPr>
          <w:rFonts w:ascii="Times New Roman" w:hAnsi="Times New Roman" w:cs="Times New Roman"/>
          <w:i/>
          <w:sz w:val="28"/>
          <w:szCs w:val="28"/>
          <w:lang w:val="ro-MD"/>
        </w:rPr>
        <w:t>,</w:t>
      </w:r>
      <w:r w:rsidR="00E048A3" w:rsidRPr="001D0846">
        <w:rPr>
          <w:rFonts w:ascii="Times New Roman" w:hAnsi="Times New Roman" w:cs="Times New Roman"/>
          <w:i/>
          <w:sz w:val="28"/>
          <w:szCs w:val="28"/>
          <w:lang w:val="ro-MD"/>
        </w:rPr>
        <w:t xml:space="preserve"> precum și nerealizarea unor performanțe </w:t>
      </w:r>
      <w:r w:rsidRPr="001D0846">
        <w:rPr>
          <w:rFonts w:ascii="Times New Roman" w:hAnsi="Times New Roman" w:cs="Times New Roman"/>
          <w:i/>
          <w:sz w:val="28"/>
          <w:szCs w:val="28"/>
          <w:lang w:val="ro-MD"/>
        </w:rPr>
        <w:t>stabilite în activitatea de control</w:t>
      </w:r>
      <w:r w:rsidR="00E048A3" w:rsidRPr="001D0846">
        <w:rPr>
          <w:rFonts w:ascii="Times New Roman" w:hAnsi="Times New Roman" w:cs="Times New Roman"/>
          <w:i/>
          <w:sz w:val="28"/>
          <w:szCs w:val="28"/>
          <w:lang w:val="ro-MD"/>
        </w:rPr>
        <w:t>,</w:t>
      </w:r>
      <w:r w:rsidRPr="001D0846">
        <w:rPr>
          <w:rFonts w:ascii="Times New Roman" w:hAnsi="Times New Roman" w:cs="Times New Roman"/>
          <w:i/>
          <w:sz w:val="28"/>
          <w:szCs w:val="28"/>
          <w:lang w:val="ro-MD"/>
        </w:rPr>
        <w:t xml:space="preserve"> </w:t>
      </w:r>
      <w:r w:rsidRPr="001D0846">
        <w:rPr>
          <w:rFonts w:ascii="Times New Roman" w:hAnsi="Times New Roman" w:cs="Times New Roman"/>
          <w:i/>
          <w:sz w:val="28"/>
          <w:szCs w:val="28"/>
        </w:rPr>
        <w:t>fapt care are impact asupra eficienței și eficacității administrării fiscale și vamale.</w:t>
      </w:r>
      <w:r w:rsidRPr="001D0846">
        <w:rPr>
          <w:rFonts w:ascii="Times New Roman" w:hAnsi="Times New Roman" w:cs="Times New Roman"/>
          <w:i/>
          <w:sz w:val="28"/>
          <w:szCs w:val="28"/>
          <w:lang w:val="ro-MD"/>
        </w:rPr>
        <w:t xml:space="preserve"> Cele mențio</w:t>
      </w:r>
      <w:r w:rsidR="00582AA1">
        <w:rPr>
          <w:rFonts w:ascii="Times New Roman" w:hAnsi="Times New Roman" w:cs="Times New Roman"/>
          <w:i/>
          <w:sz w:val="28"/>
          <w:szCs w:val="28"/>
          <w:lang w:val="ro-MD"/>
        </w:rPr>
        <w:t xml:space="preserve">nate </w:t>
      </w:r>
      <w:r w:rsidR="00582AA1" w:rsidRPr="00B172B4">
        <w:rPr>
          <w:rFonts w:ascii="Times New Roman" w:hAnsi="Times New Roman" w:cs="Times New Roman"/>
          <w:i/>
          <w:sz w:val="28"/>
          <w:szCs w:val="28"/>
          <w:lang w:val="ro-MD"/>
        </w:rPr>
        <w:t>sunt cauzate</w:t>
      </w:r>
      <w:r w:rsidR="00BD1E54">
        <w:rPr>
          <w:rFonts w:ascii="Times New Roman" w:hAnsi="Times New Roman" w:cs="Times New Roman"/>
          <w:i/>
          <w:sz w:val="28"/>
          <w:szCs w:val="28"/>
          <w:lang w:val="ro-MD"/>
        </w:rPr>
        <w:t>,</w:t>
      </w:r>
      <w:r w:rsidR="00582AA1">
        <w:rPr>
          <w:rFonts w:ascii="Times New Roman" w:hAnsi="Times New Roman" w:cs="Times New Roman"/>
          <w:i/>
          <w:sz w:val="28"/>
          <w:szCs w:val="28"/>
          <w:lang w:val="ro-MD"/>
        </w:rPr>
        <w:t xml:space="preserve"> în special</w:t>
      </w:r>
      <w:r w:rsidR="00BD1E54">
        <w:rPr>
          <w:rFonts w:ascii="Times New Roman" w:hAnsi="Times New Roman" w:cs="Times New Roman"/>
          <w:i/>
          <w:sz w:val="28"/>
          <w:szCs w:val="28"/>
          <w:lang w:val="ro-MD"/>
        </w:rPr>
        <w:t>,</w:t>
      </w:r>
      <w:r w:rsidR="00582AA1">
        <w:rPr>
          <w:rFonts w:ascii="Times New Roman" w:hAnsi="Times New Roman" w:cs="Times New Roman"/>
          <w:i/>
          <w:sz w:val="28"/>
          <w:szCs w:val="28"/>
          <w:lang w:val="ro-MD"/>
        </w:rPr>
        <w:t xml:space="preserve"> de rezervele stabilite în procesul de monitorizare a activității de control și încasare a sumelor calculate/recalculate, </w:t>
      </w:r>
    </w:p>
    <w:p w:rsidR="00582AA1" w:rsidRPr="00582AA1" w:rsidRDefault="00582AA1" w:rsidP="00582AA1">
      <w:pPr>
        <w:spacing w:after="0" w:line="276" w:lineRule="auto"/>
        <w:jc w:val="both"/>
        <w:rPr>
          <w:rFonts w:ascii="Times New Roman" w:hAnsi="Times New Roman" w:cs="Times New Roman"/>
          <w:i/>
          <w:sz w:val="28"/>
          <w:szCs w:val="28"/>
          <w:lang w:val="ro-MD"/>
        </w:rPr>
      </w:pPr>
      <w:r w:rsidRPr="00582AA1">
        <w:rPr>
          <w:rFonts w:ascii="Times New Roman" w:hAnsi="Times New Roman" w:cs="Times New Roman"/>
          <w:i/>
          <w:sz w:val="28"/>
          <w:szCs w:val="28"/>
          <w:lang w:val="ro-MD"/>
        </w:rPr>
        <w:t xml:space="preserve">precum </w:t>
      </w:r>
      <w:r w:rsidRPr="000A59C4">
        <w:rPr>
          <w:rFonts w:ascii="Times New Roman" w:hAnsi="Times New Roman" w:cs="Times New Roman"/>
          <w:i/>
          <w:sz w:val="28"/>
          <w:szCs w:val="28"/>
          <w:lang w:val="ro-MD"/>
        </w:rPr>
        <w:t>și</w:t>
      </w:r>
      <w:r w:rsidRPr="000A59C4">
        <w:rPr>
          <w:rFonts w:ascii="Times New Roman" w:hAnsi="Times New Roman" w:cs="Times New Roman"/>
          <w:i/>
          <w:sz w:val="28"/>
          <w:szCs w:val="28"/>
        </w:rPr>
        <w:t xml:space="preserve"> </w:t>
      </w:r>
      <w:r w:rsidR="00D84626" w:rsidRPr="000A59C4">
        <w:rPr>
          <w:rFonts w:ascii="Times New Roman" w:hAnsi="Times New Roman" w:cs="Times New Roman"/>
          <w:i/>
          <w:sz w:val="28"/>
          <w:szCs w:val="28"/>
        </w:rPr>
        <w:t xml:space="preserve">de </w:t>
      </w:r>
      <w:r w:rsidRPr="000A59C4">
        <w:rPr>
          <w:rFonts w:ascii="Times New Roman" w:hAnsi="Times New Roman" w:cs="Times New Roman"/>
          <w:i/>
          <w:sz w:val="28"/>
          <w:szCs w:val="28"/>
        </w:rPr>
        <w:t>anularea unor calcule suplimentare la buget în urma examinării contestațiilor/cererilor</w:t>
      </w:r>
      <w:r w:rsidRPr="00582AA1">
        <w:rPr>
          <w:rFonts w:ascii="Times New Roman" w:hAnsi="Times New Roman" w:cs="Times New Roman"/>
          <w:i/>
          <w:sz w:val="28"/>
          <w:szCs w:val="28"/>
        </w:rPr>
        <w:t xml:space="preserve"> de chemare în judecată</w:t>
      </w:r>
      <w:r w:rsidR="00D84626">
        <w:rPr>
          <w:rFonts w:ascii="Times New Roman" w:hAnsi="Times New Roman" w:cs="Times New Roman"/>
          <w:i/>
          <w:sz w:val="28"/>
          <w:szCs w:val="28"/>
        </w:rPr>
        <w:t>,</w:t>
      </w:r>
      <w:r w:rsidRPr="00582AA1">
        <w:rPr>
          <w:rFonts w:ascii="Times New Roman" w:hAnsi="Times New Roman" w:cs="Times New Roman"/>
          <w:i/>
          <w:sz w:val="28"/>
          <w:szCs w:val="28"/>
        </w:rPr>
        <w:t xml:space="preserve"> depuse de contribuabili și plătitorii vamali.</w:t>
      </w:r>
    </w:p>
    <w:p w:rsidR="005772B2" w:rsidRPr="001D0846" w:rsidRDefault="00582AA1" w:rsidP="00A9359B">
      <w:pPr>
        <w:spacing w:after="0" w:line="276" w:lineRule="auto"/>
        <w:ind w:firstLine="709"/>
        <w:jc w:val="both"/>
        <w:rPr>
          <w:rFonts w:ascii="Times New Roman" w:hAnsi="Times New Roman" w:cs="Times New Roman"/>
          <w:i/>
          <w:sz w:val="28"/>
          <w:szCs w:val="28"/>
          <w:lang w:val="ro-MD"/>
        </w:rPr>
      </w:pPr>
      <w:r w:rsidRPr="00582AA1">
        <w:rPr>
          <w:rFonts w:ascii="Times New Roman" w:hAnsi="Times New Roman" w:cs="Times New Roman"/>
          <w:b/>
          <w:i/>
          <w:color w:val="000000" w:themeColor="text1"/>
          <w:sz w:val="28"/>
          <w:szCs w:val="28"/>
        </w:rPr>
        <w:t>3.7.1.</w:t>
      </w:r>
      <w:r w:rsidR="00733CD4" w:rsidRPr="001D0846">
        <w:rPr>
          <w:rFonts w:ascii="Times New Roman" w:hAnsi="Times New Roman" w:cs="Times New Roman"/>
          <w:i/>
          <w:color w:val="000000" w:themeColor="text1"/>
          <w:sz w:val="28"/>
          <w:szCs w:val="28"/>
        </w:rPr>
        <w:t xml:space="preserve"> </w:t>
      </w:r>
      <w:r w:rsidR="005772B2" w:rsidRPr="001D0846">
        <w:rPr>
          <w:rFonts w:ascii="Times New Roman" w:eastAsia="Times New Roman" w:hAnsi="Times New Roman"/>
          <w:sz w:val="28"/>
          <w:szCs w:val="28"/>
          <w:lang w:val="ro-MD" w:eastAsia="ru-RU"/>
        </w:rPr>
        <w:t>În anul 2017</w:t>
      </w:r>
      <w:r w:rsidR="003F314B" w:rsidRPr="001D0846">
        <w:rPr>
          <w:rFonts w:ascii="Times New Roman" w:eastAsia="Times New Roman" w:hAnsi="Times New Roman"/>
          <w:sz w:val="28"/>
          <w:szCs w:val="28"/>
          <w:lang w:val="ro-MD" w:eastAsia="ru-RU"/>
        </w:rPr>
        <w:t>,</w:t>
      </w:r>
      <w:r w:rsidR="005772B2" w:rsidRPr="001D0846">
        <w:rPr>
          <w:rFonts w:ascii="Times New Roman" w:eastAsia="Times New Roman" w:hAnsi="Times New Roman"/>
          <w:sz w:val="28"/>
          <w:szCs w:val="28"/>
          <w:lang w:val="ro-MD" w:eastAsia="ru-RU"/>
        </w:rPr>
        <w:t xml:space="preserve"> SFS a efectuat în total 43843 controale fiscale</w:t>
      </w:r>
      <w:r w:rsidR="00DB5073">
        <w:rPr>
          <w:rFonts w:ascii="Times New Roman" w:eastAsia="Times New Roman" w:hAnsi="Times New Roman"/>
          <w:sz w:val="28"/>
          <w:szCs w:val="28"/>
          <w:lang w:val="ro-MD" w:eastAsia="ru-RU"/>
        </w:rPr>
        <w:t xml:space="preserve"> (</w:t>
      </w:r>
      <w:r w:rsidR="005772B2" w:rsidRPr="001D0846">
        <w:rPr>
          <w:rFonts w:ascii="Times New Roman" w:eastAsia="Times New Roman" w:hAnsi="Times New Roman"/>
          <w:sz w:val="28"/>
          <w:szCs w:val="28"/>
          <w:lang w:val="ro-MD" w:eastAsia="ru-RU"/>
        </w:rPr>
        <w:t xml:space="preserve">cu 2,5 %, sau </w:t>
      </w:r>
      <w:r w:rsidR="00DB5073">
        <w:rPr>
          <w:rFonts w:ascii="Times New Roman" w:eastAsia="Times New Roman" w:hAnsi="Times New Roman"/>
          <w:sz w:val="28"/>
          <w:szCs w:val="28"/>
          <w:lang w:val="ro-MD" w:eastAsia="ru-RU"/>
        </w:rPr>
        <w:t xml:space="preserve">cu </w:t>
      </w:r>
      <w:r w:rsidR="005772B2" w:rsidRPr="001D0846">
        <w:rPr>
          <w:rFonts w:ascii="Times New Roman" w:eastAsia="Times New Roman" w:hAnsi="Times New Roman"/>
          <w:sz w:val="28"/>
          <w:szCs w:val="28"/>
          <w:lang w:val="ro-MD" w:eastAsia="ru-RU"/>
        </w:rPr>
        <w:t>1088 controale</w:t>
      </w:r>
      <w:r w:rsidR="00DB5073">
        <w:rPr>
          <w:rFonts w:ascii="Times New Roman" w:eastAsia="Times New Roman" w:hAnsi="Times New Roman"/>
          <w:sz w:val="28"/>
          <w:szCs w:val="28"/>
          <w:lang w:val="ro-MD" w:eastAsia="ru-RU"/>
        </w:rPr>
        <w:t>,</w:t>
      </w:r>
      <w:r w:rsidR="005772B2" w:rsidRPr="001D0846">
        <w:rPr>
          <w:rFonts w:ascii="Times New Roman" w:eastAsia="Times New Roman" w:hAnsi="Times New Roman"/>
          <w:sz w:val="28"/>
          <w:szCs w:val="28"/>
          <w:lang w:val="ro-MD" w:eastAsia="ru-RU"/>
        </w:rPr>
        <w:t xml:space="preserve"> </w:t>
      </w:r>
      <w:r w:rsidR="00DB5073">
        <w:rPr>
          <w:rFonts w:ascii="Times New Roman" w:eastAsia="Times New Roman" w:hAnsi="Times New Roman"/>
          <w:sz w:val="28"/>
          <w:szCs w:val="28"/>
          <w:lang w:val="ro-MD" w:eastAsia="ru-RU"/>
        </w:rPr>
        <w:t xml:space="preserve">mai mult </w:t>
      </w:r>
      <w:r w:rsidR="005772B2" w:rsidRPr="001D0846">
        <w:rPr>
          <w:rFonts w:ascii="Times New Roman" w:eastAsia="Times New Roman" w:hAnsi="Times New Roman"/>
          <w:sz w:val="28"/>
          <w:szCs w:val="28"/>
          <w:lang w:val="ro-MD" w:eastAsia="ru-RU"/>
        </w:rPr>
        <w:t>față de anul 2016 și cu 23%</w:t>
      </w:r>
      <w:r w:rsidR="00DB5073">
        <w:rPr>
          <w:rFonts w:ascii="Times New Roman" w:eastAsia="Times New Roman" w:hAnsi="Times New Roman"/>
          <w:sz w:val="28"/>
          <w:szCs w:val="28"/>
          <w:lang w:val="ro-MD" w:eastAsia="ru-RU"/>
        </w:rPr>
        <w:t>,</w:t>
      </w:r>
      <w:r w:rsidR="005772B2" w:rsidRPr="001D0846">
        <w:rPr>
          <w:rFonts w:ascii="Times New Roman" w:eastAsia="Times New Roman" w:hAnsi="Times New Roman"/>
          <w:sz w:val="28"/>
          <w:szCs w:val="28"/>
          <w:lang w:val="ro-MD" w:eastAsia="ru-RU"/>
        </w:rPr>
        <w:t xml:space="preserve"> sau </w:t>
      </w:r>
      <w:r w:rsidR="00DB5073">
        <w:rPr>
          <w:rFonts w:ascii="Times New Roman" w:eastAsia="Times New Roman" w:hAnsi="Times New Roman"/>
          <w:sz w:val="28"/>
          <w:szCs w:val="28"/>
          <w:lang w:val="ro-MD" w:eastAsia="ru-RU"/>
        </w:rPr>
        <w:t xml:space="preserve">cu </w:t>
      </w:r>
      <w:r w:rsidR="005772B2" w:rsidRPr="001D0846">
        <w:rPr>
          <w:rFonts w:ascii="Times New Roman" w:eastAsia="Times New Roman" w:hAnsi="Times New Roman"/>
          <w:sz w:val="28"/>
          <w:szCs w:val="28"/>
          <w:lang w:val="ro-MD" w:eastAsia="ru-RU"/>
        </w:rPr>
        <w:t>13093 controale</w:t>
      </w:r>
      <w:r w:rsidR="00DB5073">
        <w:rPr>
          <w:rFonts w:ascii="Times New Roman" w:eastAsia="Times New Roman" w:hAnsi="Times New Roman"/>
          <w:sz w:val="28"/>
          <w:szCs w:val="28"/>
          <w:lang w:val="ro-MD" w:eastAsia="ru-RU"/>
        </w:rPr>
        <w:t>,</w:t>
      </w:r>
      <w:r w:rsidR="005772B2" w:rsidRPr="001D0846">
        <w:rPr>
          <w:rFonts w:ascii="Times New Roman" w:hAnsi="Times New Roman"/>
          <w:sz w:val="28"/>
          <w:szCs w:val="28"/>
        </w:rPr>
        <w:t xml:space="preserve"> </w:t>
      </w:r>
      <w:r w:rsidR="00DB5073" w:rsidRPr="001D0846">
        <w:rPr>
          <w:rFonts w:ascii="Times New Roman" w:eastAsia="Times New Roman" w:hAnsi="Times New Roman"/>
          <w:sz w:val="28"/>
          <w:szCs w:val="28"/>
          <w:lang w:val="ro-MD" w:eastAsia="ru-RU"/>
        </w:rPr>
        <w:t xml:space="preserve">mai puțin </w:t>
      </w:r>
      <w:r w:rsidR="005772B2" w:rsidRPr="001D0846">
        <w:rPr>
          <w:rFonts w:ascii="Times New Roman" w:eastAsia="Times New Roman" w:hAnsi="Times New Roman"/>
          <w:sz w:val="28"/>
          <w:szCs w:val="28"/>
          <w:lang w:val="ro-MD" w:eastAsia="ru-RU"/>
        </w:rPr>
        <w:t>față de anul 2015</w:t>
      </w:r>
      <w:r w:rsidR="00DB5073">
        <w:rPr>
          <w:rFonts w:ascii="Times New Roman" w:eastAsia="Times New Roman" w:hAnsi="Times New Roman"/>
          <w:sz w:val="28"/>
          <w:szCs w:val="28"/>
          <w:lang w:val="ro-MD" w:eastAsia="ru-RU"/>
        </w:rPr>
        <w:t>)</w:t>
      </w:r>
      <w:r w:rsidR="005772B2" w:rsidRPr="001D0846">
        <w:rPr>
          <w:rFonts w:ascii="Times New Roman" w:eastAsia="Times New Roman" w:hAnsi="Times New Roman"/>
          <w:sz w:val="28"/>
          <w:szCs w:val="28"/>
          <w:lang w:val="ro-MD" w:eastAsia="ru-RU"/>
        </w:rPr>
        <w:t>. Totodată, sumele calculate suplimentar la buget</w:t>
      </w:r>
      <w:r w:rsidR="005772B2" w:rsidRPr="001D0846">
        <w:rPr>
          <w:rFonts w:ascii="Times New Roman" w:hAnsi="Times New Roman"/>
          <w:sz w:val="28"/>
          <w:szCs w:val="28"/>
        </w:rPr>
        <w:t xml:space="preserve"> în anul 2017 în urma controalelor fiscale au înregistrat o scădere cu 29,4%, sau cu 852,1 mil.lei</w:t>
      </w:r>
      <w:r w:rsidR="00DB5073">
        <w:rPr>
          <w:rFonts w:ascii="Times New Roman" w:hAnsi="Times New Roman"/>
          <w:sz w:val="28"/>
          <w:szCs w:val="28"/>
        </w:rPr>
        <w:t>,</w:t>
      </w:r>
      <w:r w:rsidR="005772B2" w:rsidRPr="001D0846">
        <w:rPr>
          <w:rFonts w:ascii="Times New Roman" w:hAnsi="Times New Roman"/>
          <w:sz w:val="28"/>
          <w:szCs w:val="28"/>
        </w:rPr>
        <w:t xml:space="preserve"> față de anul 2016 și o creștere cu 20,1%, sau cu 410,2 mil.lei</w:t>
      </w:r>
      <w:r w:rsidR="00DB5073">
        <w:rPr>
          <w:rFonts w:ascii="Times New Roman" w:hAnsi="Times New Roman"/>
          <w:sz w:val="28"/>
          <w:szCs w:val="28"/>
        </w:rPr>
        <w:t>,</w:t>
      </w:r>
      <w:r w:rsidR="005772B2" w:rsidRPr="001D0846">
        <w:rPr>
          <w:rFonts w:ascii="Times New Roman" w:hAnsi="Times New Roman"/>
          <w:sz w:val="28"/>
          <w:szCs w:val="28"/>
        </w:rPr>
        <w:t xml:space="preserve"> față de anul 2015. Ponderea controalelor rezultative în totalul controalelor fiscale efectuate în anul 2017 a constituit 62,3 %, fiind în creștere cu 1,7 </w:t>
      </w:r>
      <w:proofErr w:type="spellStart"/>
      <w:r w:rsidR="005772B2" w:rsidRPr="001D0846">
        <w:rPr>
          <w:rFonts w:ascii="Times New Roman" w:hAnsi="Times New Roman"/>
          <w:sz w:val="28"/>
          <w:szCs w:val="28"/>
        </w:rPr>
        <w:t>p.p.</w:t>
      </w:r>
      <w:proofErr w:type="spellEnd"/>
      <w:r w:rsidR="005772B2" w:rsidRPr="001D0846">
        <w:rPr>
          <w:rFonts w:ascii="Times New Roman" w:hAnsi="Times New Roman"/>
          <w:sz w:val="28"/>
          <w:szCs w:val="28"/>
        </w:rPr>
        <w:t xml:space="preserve"> față de anul 2016 (60,7%) și cu 4,2 </w:t>
      </w:r>
      <w:proofErr w:type="spellStart"/>
      <w:r w:rsidR="005772B2" w:rsidRPr="001D0846">
        <w:rPr>
          <w:rFonts w:ascii="Times New Roman" w:hAnsi="Times New Roman"/>
          <w:sz w:val="28"/>
          <w:szCs w:val="28"/>
        </w:rPr>
        <w:t>p.p.</w:t>
      </w:r>
      <w:proofErr w:type="spellEnd"/>
      <w:r w:rsidR="005772B2" w:rsidRPr="001D0846">
        <w:rPr>
          <w:rFonts w:ascii="Times New Roman" w:hAnsi="Times New Roman"/>
          <w:sz w:val="28"/>
          <w:szCs w:val="28"/>
        </w:rPr>
        <w:t xml:space="preserve"> față de anul 2015 (58,1%).</w:t>
      </w:r>
    </w:p>
    <w:p w:rsidR="005772B2" w:rsidRPr="001D0846" w:rsidRDefault="005772B2" w:rsidP="00175939">
      <w:pPr>
        <w:pStyle w:val="a7"/>
        <w:tabs>
          <w:tab w:val="left" w:pos="0"/>
        </w:tabs>
        <w:spacing w:after="0" w:line="276" w:lineRule="auto"/>
        <w:ind w:left="0" w:firstLine="709"/>
        <w:jc w:val="both"/>
        <w:rPr>
          <w:rFonts w:ascii="Times New Roman" w:hAnsi="Times New Roman"/>
          <w:sz w:val="28"/>
          <w:szCs w:val="28"/>
        </w:rPr>
      </w:pPr>
      <w:r w:rsidRPr="001D0846">
        <w:rPr>
          <w:rFonts w:ascii="Times New Roman" w:hAnsi="Times New Roman"/>
          <w:sz w:val="28"/>
          <w:szCs w:val="28"/>
        </w:rPr>
        <w:tab/>
        <w:t>Auditul relevă un nivel redus de încasare la BPN a sumelor calculate suplimentar în rezultatul controalelor. Astfel, în anul 2017</w:t>
      </w:r>
      <w:r w:rsidR="00880F92">
        <w:rPr>
          <w:rFonts w:ascii="Times New Roman" w:hAnsi="Times New Roman"/>
          <w:sz w:val="28"/>
          <w:szCs w:val="28"/>
        </w:rPr>
        <w:t>,</w:t>
      </w:r>
      <w:r w:rsidRPr="001D0846">
        <w:rPr>
          <w:rFonts w:ascii="Times New Roman" w:hAnsi="Times New Roman"/>
          <w:sz w:val="28"/>
          <w:szCs w:val="28"/>
        </w:rPr>
        <w:t xml:space="preserve"> din totalul sumelor calculate (2045,6 mil.lei) au fost încasate 214,2 mil. lei, sau 10,5%, în anul 2016 </w:t>
      </w:r>
      <w:r w:rsidR="00880F92">
        <w:rPr>
          <w:rFonts w:ascii="Times New Roman" w:hAnsi="Times New Roman"/>
          <w:sz w:val="28"/>
          <w:szCs w:val="28"/>
        </w:rPr>
        <w:t>–</w:t>
      </w:r>
      <w:r w:rsidRPr="001D0846">
        <w:rPr>
          <w:rFonts w:ascii="Times New Roman" w:hAnsi="Times New Roman"/>
          <w:sz w:val="28"/>
          <w:szCs w:val="28"/>
        </w:rPr>
        <w:t xml:space="preserve"> </w:t>
      </w:r>
      <w:r w:rsidR="00880F92">
        <w:rPr>
          <w:rFonts w:ascii="Times New Roman" w:hAnsi="Times New Roman"/>
          <w:sz w:val="28"/>
          <w:szCs w:val="28"/>
        </w:rPr>
        <w:t>respectiv,</w:t>
      </w:r>
      <w:r w:rsidRPr="001D0846">
        <w:rPr>
          <w:rFonts w:ascii="Times New Roman" w:hAnsi="Times New Roman"/>
          <w:sz w:val="28"/>
          <w:szCs w:val="28"/>
        </w:rPr>
        <w:t xml:space="preserve">112,8 mil.lei, sau 3,9 % din totalul de 2897,6 mil.lei, iar în anul 2015 </w:t>
      </w:r>
      <w:r w:rsidR="00E76BB8" w:rsidRPr="001D0846">
        <w:rPr>
          <w:rFonts w:ascii="Times New Roman" w:hAnsi="Times New Roman"/>
          <w:sz w:val="28"/>
          <w:szCs w:val="28"/>
        </w:rPr>
        <w:t>–</w:t>
      </w:r>
      <w:r w:rsidRPr="001D0846">
        <w:rPr>
          <w:rFonts w:ascii="Times New Roman" w:hAnsi="Times New Roman"/>
          <w:sz w:val="28"/>
          <w:szCs w:val="28"/>
        </w:rPr>
        <w:t xml:space="preserve"> 133</w:t>
      </w:r>
      <w:r w:rsidR="00E76BB8" w:rsidRPr="001D0846">
        <w:rPr>
          <w:rFonts w:ascii="Times New Roman" w:hAnsi="Times New Roman"/>
          <w:sz w:val="28"/>
          <w:szCs w:val="28"/>
        </w:rPr>
        <w:t>,0</w:t>
      </w:r>
      <w:r w:rsidRPr="001D0846">
        <w:rPr>
          <w:rFonts w:ascii="Times New Roman" w:hAnsi="Times New Roman"/>
          <w:sz w:val="28"/>
          <w:szCs w:val="28"/>
        </w:rPr>
        <w:t xml:space="preserve"> mil.lei, sau 9% din totalul de </w:t>
      </w:r>
      <w:r w:rsidR="00E10E2E" w:rsidRPr="001D0846">
        <w:rPr>
          <w:rFonts w:ascii="Times New Roman" w:hAnsi="Times New Roman"/>
          <w:sz w:val="28"/>
          <w:szCs w:val="28"/>
        </w:rPr>
        <w:t>1470,21</w:t>
      </w:r>
      <w:r w:rsidRPr="001D0846">
        <w:rPr>
          <w:rFonts w:ascii="Times New Roman" w:hAnsi="Times New Roman"/>
          <w:sz w:val="28"/>
          <w:szCs w:val="28"/>
        </w:rPr>
        <w:t xml:space="preserve"> mil.lei. </w:t>
      </w:r>
      <w:r w:rsidR="00880F92">
        <w:rPr>
          <w:rFonts w:ascii="Times New Roman" w:hAnsi="Times New Roman"/>
          <w:sz w:val="28"/>
          <w:szCs w:val="28"/>
        </w:rPr>
        <w:t>Se</w:t>
      </w:r>
      <w:r w:rsidR="007F0BDA" w:rsidRPr="001D0846">
        <w:rPr>
          <w:rFonts w:ascii="Times New Roman" w:hAnsi="Times New Roman"/>
          <w:sz w:val="28"/>
          <w:szCs w:val="28"/>
        </w:rPr>
        <w:t xml:space="preserve"> me</w:t>
      </w:r>
      <w:r w:rsidR="00880F92">
        <w:rPr>
          <w:rFonts w:ascii="Times New Roman" w:hAnsi="Times New Roman"/>
          <w:sz w:val="28"/>
          <w:szCs w:val="28"/>
        </w:rPr>
        <w:t>n</w:t>
      </w:r>
      <w:r w:rsidR="007F0BDA" w:rsidRPr="001D0846">
        <w:rPr>
          <w:rFonts w:ascii="Times New Roman" w:hAnsi="Times New Roman"/>
          <w:sz w:val="28"/>
          <w:szCs w:val="28"/>
        </w:rPr>
        <w:t xml:space="preserve">ționează că în totalul sumelor calculate suplimentar la buget se includ și calcule cu </w:t>
      </w:r>
      <w:r w:rsidR="00C65598">
        <w:rPr>
          <w:rFonts w:ascii="Times New Roman" w:hAnsi="Times New Roman"/>
          <w:sz w:val="28"/>
          <w:szCs w:val="28"/>
        </w:rPr>
        <w:t>grad</w:t>
      </w:r>
      <w:r w:rsidR="007F0BDA" w:rsidRPr="001D0846">
        <w:rPr>
          <w:rFonts w:ascii="Times New Roman" w:hAnsi="Times New Roman"/>
          <w:sz w:val="28"/>
          <w:szCs w:val="28"/>
        </w:rPr>
        <w:t xml:space="preserve"> redus de recuperare (</w:t>
      </w:r>
      <w:r w:rsidR="00C65598">
        <w:rPr>
          <w:rFonts w:ascii="Times New Roman" w:hAnsi="Times New Roman"/>
          <w:sz w:val="28"/>
          <w:szCs w:val="28"/>
        </w:rPr>
        <w:t>estimări prin metode și surse indirecte</w:t>
      </w:r>
      <w:r w:rsidR="007F0BDA" w:rsidRPr="001D0846">
        <w:rPr>
          <w:rFonts w:ascii="Times New Roman" w:hAnsi="Times New Roman"/>
          <w:sz w:val="28"/>
          <w:szCs w:val="28"/>
        </w:rPr>
        <w:t>, sumele calculate în proces de insolvabilitate).</w:t>
      </w:r>
    </w:p>
    <w:p w:rsidR="005772B2" w:rsidRPr="001D0846" w:rsidRDefault="005772B2" w:rsidP="00175939">
      <w:pPr>
        <w:pStyle w:val="a7"/>
        <w:tabs>
          <w:tab w:val="left" w:pos="0"/>
        </w:tabs>
        <w:spacing w:after="0" w:line="276" w:lineRule="auto"/>
        <w:ind w:left="0" w:firstLine="709"/>
        <w:jc w:val="both"/>
        <w:rPr>
          <w:rFonts w:ascii="Times New Roman" w:hAnsi="Times New Roman"/>
          <w:sz w:val="28"/>
          <w:szCs w:val="28"/>
        </w:rPr>
      </w:pPr>
      <w:r w:rsidRPr="001D0846">
        <w:rPr>
          <w:rFonts w:ascii="Times New Roman" w:hAnsi="Times New Roman"/>
          <w:sz w:val="28"/>
          <w:szCs w:val="28"/>
        </w:rPr>
        <w:tab/>
        <w:t>De asemenea, în cadrul controalelor fiscale efectuate de către SFS în anul 2017 au fost întocmite 18377 de procese-verbale contravenționale</w:t>
      </w:r>
      <w:r w:rsidR="00880F92">
        <w:rPr>
          <w:rFonts w:ascii="Times New Roman" w:hAnsi="Times New Roman"/>
          <w:sz w:val="28"/>
          <w:szCs w:val="28"/>
        </w:rPr>
        <w:t>,</w:t>
      </w:r>
      <w:r w:rsidRPr="001D0846">
        <w:rPr>
          <w:rFonts w:ascii="Times New Roman" w:hAnsi="Times New Roman"/>
          <w:sz w:val="28"/>
          <w:szCs w:val="28"/>
        </w:rPr>
        <w:t xml:space="preserve"> cu aplicarea sancțiunilor în valoare totală de 17</w:t>
      </w:r>
      <w:r w:rsidR="00880F92">
        <w:rPr>
          <w:rFonts w:ascii="Times New Roman" w:hAnsi="Times New Roman"/>
          <w:sz w:val="28"/>
          <w:szCs w:val="28"/>
        </w:rPr>
        <w:t>,0</w:t>
      </w:r>
      <w:r w:rsidRPr="001D0846">
        <w:rPr>
          <w:rFonts w:ascii="Times New Roman" w:hAnsi="Times New Roman"/>
          <w:sz w:val="28"/>
          <w:szCs w:val="28"/>
        </w:rPr>
        <w:t xml:space="preserve"> mil.lei, fiind încasate în buget 8,5 mil.lei</w:t>
      </w:r>
      <w:r w:rsidR="00880F92">
        <w:rPr>
          <w:rFonts w:ascii="Times New Roman" w:hAnsi="Times New Roman"/>
          <w:sz w:val="28"/>
          <w:szCs w:val="28"/>
        </w:rPr>
        <w:t>,</w:t>
      </w:r>
      <w:r w:rsidRPr="001D0846">
        <w:rPr>
          <w:rFonts w:ascii="Times New Roman" w:hAnsi="Times New Roman"/>
          <w:sz w:val="28"/>
          <w:szCs w:val="28"/>
        </w:rPr>
        <w:t xml:space="preserve"> sau 50% din totalul sumelor calculate. Analogic, în </w:t>
      </w:r>
      <w:r w:rsidR="00880F92">
        <w:rPr>
          <w:rFonts w:ascii="Times New Roman" w:hAnsi="Times New Roman"/>
          <w:sz w:val="28"/>
          <w:szCs w:val="28"/>
        </w:rPr>
        <w:t>anul</w:t>
      </w:r>
      <w:r w:rsidRPr="001D0846">
        <w:rPr>
          <w:rFonts w:ascii="Times New Roman" w:hAnsi="Times New Roman"/>
          <w:sz w:val="28"/>
          <w:szCs w:val="28"/>
        </w:rPr>
        <w:t xml:space="preserve"> 2016 au fost întocmite 10662 </w:t>
      </w:r>
      <w:r w:rsidRPr="001D0846">
        <w:rPr>
          <w:rFonts w:ascii="Times New Roman" w:hAnsi="Times New Roman"/>
          <w:sz w:val="28"/>
          <w:szCs w:val="28"/>
        </w:rPr>
        <w:lastRenderedPageBreak/>
        <w:t>de procese-verbale contravenționale</w:t>
      </w:r>
      <w:r w:rsidR="00880F92">
        <w:rPr>
          <w:rFonts w:ascii="Times New Roman" w:hAnsi="Times New Roman"/>
          <w:sz w:val="28"/>
          <w:szCs w:val="28"/>
        </w:rPr>
        <w:t>,</w:t>
      </w:r>
      <w:r w:rsidRPr="001D0846">
        <w:rPr>
          <w:rFonts w:ascii="Times New Roman" w:hAnsi="Times New Roman"/>
          <w:sz w:val="28"/>
          <w:szCs w:val="28"/>
        </w:rPr>
        <w:t xml:space="preserve"> cu aplicarea sancțiunilor în valoare de 9,3 mil.lei, fiind încasate în buget 4,4 mil.lei</w:t>
      </w:r>
      <w:r w:rsidR="00880F92">
        <w:rPr>
          <w:rFonts w:ascii="Times New Roman" w:hAnsi="Times New Roman"/>
          <w:sz w:val="28"/>
          <w:szCs w:val="28"/>
        </w:rPr>
        <w:t>,</w:t>
      </w:r>
      <w:r w:rsidRPr="001D0846">
        <w:rPr>
          <w:rFonts w:ascii="Times New Roman" w:hAnsi="Times New Roman"/>
          <w:sz w:val="28"/>
          <w:szCs w:val="28"/>
        </w:rPr>
        <w:t xml:space="preserve"> sau 47,3 % din totalul sumelor calculate.</w:t>
      </w:r>
    </w:p>
    <w:p w:rsidR="00385FE6" w:rsidRPr="001D0846" w:rsidRDefault="005772B2" w:rsidP="005A5259">
      <w:pPr>
        <w:tabs>
          <w:tab w:val="left" w:pos="0"/>
        </w:tabs>
        <w:spacing w:after="0" w:line="276" w:lineRule="auto"/>
        <w:ind w:firstLine="709"/>
        <w:jc w:val="both"/>
        <w:rPr>
          <w:rFonts w:ascii="Times New Roman" w:hAnsi="Times New Roman"/>
          <w:sz w:val="28"/>
          <w:szCs w:val="28"/>
        </w:rPr>
      </w:pPr>
      <w:r w:rsidRPr="001D0846">
        <w:rPr>
          <w:rFonts w:ascii="Times New Roman" w:hAnsi="Times New Roman"/>
          <w:sz w:val="28"/>
          <w:szCs w:val="28"/>
        </w:rPr>
        <w:tab/>
        <w:t>Auditul remarcă că</w:t>
      </w:r>
      <w:r w:rsidR="00757F86">
        <w:rPr>
          <w:rFonts w:ascii="Times New Roman" w:hAnsi="Times New Roman"/>
          <w:sz w:val="28"/>
          <w:szCs w:val="28"/>
        </w:rPr>
        <w:t>,</w:t>
      </w:r>
      <w:r w:rsidRPr="001D0846">
        <w:rPr>
          <w:rFonts w:ascii="Times New Roman" w:hAnsi="Times New Roman"/>
          <w:sz w:val="28"/>
          <w:szCs w:val="28"/>
        </w:rPr>
        <w:t xml:space="preserve"> din numărul total al sumelor calculate suplimentar la buget în anul 2017 în rezultatul controalelor fiscale, obligațiile fiscale în sumă de 180</w:t>
      </w:r>
      <w:r w:rsidR="00757F86">
        <w:rPr>
          <w:rFonts w:ascii="Times New Roman" w:hAnsi="Times New Roman"/>
          <w:sz w:val="28"/>
          <w:szCs w:val="28"/>
        </w:rPr>
        <w:t>,0</w:t>
      </w:r>
      <w:r w:rsidRPr="001D0846">
        <w:rPr>
          <w:rFonts w:ascii="Times New Roman" w:hAnsi="Times New Roman"/>
          <w:sz w:val="28"/>
          <w:szCs w:val="28"/>
        </w:rPr>
        <w:t xml:space="preserve"> mil.lei au fost contestate, fiind anulate în rezultatul examinării contestațiilor obligații în sumă de 1,1 mil.lei. Analogic</w:t>
      </w:r>
      <w:r w:rsidR="00757F86">
        <w:rPr>
          <w:rFonts w:ascii="Times New Roman" w:hAnsi="Times New Roman"/>
          <w:sz w:val="28"/>
          <w:szCs w:val="28"/>
        </w:rPr>
        <w:t>,</w:t>
      </w:r>
      <w:r w:rsidRPr="001D0846">
        <w:rPr>
          <w:rFonts w:ascii="Times New Roman" w:hAnsi="Times New Roman"/>
          <w:sz w:val="28"/>
          <w:szCs w:val="28"/>
        </w:rPr>
        <w:t xml:space="preserve"> în </w:t>
      </w:r>
      <w:r w:rsidR="00757F86">
        <w:rPr>
          <w:rFonts w:ascii="Times New Roman" w:hAnsi="Times New Roman"/>
          <w:sz w:val="28"/>
          <w:szCs w:val="28"/>
        </w:rPr>
        <w:t>anul</w:t>
      </w:r>
      <w:r w:rsidRPr="001D0846">
        <w:rPr>
          <w:rFonts w:ascii="Times New Roman" w:hAnsi="Times New Roman"/>
          <w:sz w:val="28"/>
          <w:szCs w:val="28"/>
        </w:rPr>
        <w:t xml:space="preserve"> 2016 au fost contestate obligații fiscale calculate suplimentar în sumă de 317,6 mil.lei, fiind anulate obligații în sumă de 7,9 mil.lei.</w:t>
      </w:r>
    </w:p>
    <w:p w:rsidR="000A59C4" w:rsidRDefault="000A59C4" w:rsidP="003F314B">
      <w:pPr>
        <w:pStyle w:val="a7"/>
        <w:tabs>
          <w:tab w:val="left" w:pos="0"/>
        </w:tabs>
        <w:spacing w:after="0" w:line="276" w:lineRule="auto"/>
        <w:ind w:left="0" w:firstLine="709"/>
        <w:jc w:val="both"/>
        <w:rPr>
          <w:rFonts w:ascii="Times New Roman" w:hAnsi="Times New Roman"/>
          <w:b/>
          <w:i/>
          <w:sz w:val="28"/>
          <w:szCs w:val="28"/>
        </w:rPr>
      </w:pPr>
    </w:p>
    <w:p w:rsidR="005772B2" w:rsidRPr="001D0846" w:rsidRDefault="003F314B" w:rsidP="003F314B">
      <w:pPr>
        <w:pStyle w:val="a7"/>
        <w:tabs>
          <w:tab w:val="left" w:pos="0"/>
        </w:tabs>
        <w:spacing w:after="0" w:line="276" w:lineRule="auto"/>
        <w:ind w:left="0" w:firstLine="709"/>
        <w:jc w:val="both"/>
        <w:rPr>
          <w:rFonts w:ascii="Times New Roman" w:eastAsia="Times New Roman" w:hAnsi="Times New Roman"/>
          <w:sz w:val="28"/>
          <w:szCs w:val="28"/>
          <w:lang w:eastAsia="ru-RU"/>
        </w:rPr>
      </w:pPr>
      <w:r w:rsidRPr="001D0846">
        <w:rPr>
          <w:rFonts w:ascii="Times New Roman" w:hAnsi="Times New Roman"/>
          <w:b/>
          <w:i/>
          <w:sz w:val="28"/>
          <w:szCs w:val="28"/>
        </w:rPr>
        <w:tab/>
      </w:r>
      <w:r w:rsidR="00C65598">
        <w:rPr>
          <w:rFonts w:ascii="Times New Roman" w:hAnsi="Times New Roman"/>
          <w:b/>
          <w:i/>
          <w:sz w:val="28"/>
          <w:szCs w:val="28"/>
        </w:rPr>
        <w:t xml:space="preserve">3.7.2. </w:t>
      </w:r>
      <w:r w:rsidR="005772B2" w:rsidRPr="00C65598">
        <w:rPr>
          <w:rFonts w:ascii="Times New Roman" w:hAnsi="Times New Roman"/>
          <w:sz w:val="28"/>
          <w:szCs w:val="28"/>
        </w:rPr>
        <w:t>În anul 2017</w:t>
      </w:r>
      <w:r w:rsidR="00757F86">
        <w:rPr>
          <w:rFonts w:ascii="Times New Roman" w:hAnsi="Times New Roman"/>
          <w:sz w:val="28"/>
          <w:szCs w:val="28"/>
        </w:rPr>
        <w:t>,</w:t>
      </w:r>
      <w:r w:rsidR="005772B2" w:rsidRPr="00C65598">
        <w:rPr>
          <w:rFonts w:ascii="Times New Roman" w:hAnsi="Times New Roman"/>
          <w:sz w:val="28"/>
          <w:szCs w:val="28"/>
        </w:rPr>
        <w:t xml:space="preserve"> SV a efectuat în total 237 controale</w:t>
      </w:r>
      <w:r w:rsidR="00757F86">
        <w:rPr>
          <w:rFonts w:ascii="Times New Roman" w:hAnsi="Times New Roman"/>
          <w:sz w:val="28"/>
          <w:szCs w:val="28"/>
        </w:rPr>
        <w:t xml:space="preserve"> (</w:t>
      </w:r>
      <w:r w:rsidR="005772B2" w:rsidRPr="00C65598">
        <w:rPr>
          <w:rFonts w:ascii="Times New Roman" w:hAnsi="Times New Roman"/>
          <w:sz w:val="28"/>
          <w:szCs w:val="28"/>
        </w:rPr>
        <w:t xml:space="preserve">cu 39,7 %, sau </w:t>
      </w:r>
      <w:r w:rsidR="00757F86">
        <w:rPr>
          <w:rFonts w:ascii="Times New Roman" w:hAnsi="Times New Roman"/>
          <w:sz w:val="28"/>
          <w:szCs w:val="28"/>
        </w:rPr>
        <w:t xml:space="preserve">cu </w:t>
      </w:r>
      <w:r w:rsidR="005772B2" w:rsidRPr="00C65598">
        <w:rPr>
          <w:rFonts w:ascii="Times New Roman" w:hAnsi="Times New Roman"/>
          <w:sz w:val="28"/>
          <w:szCs w:val="28"/>
        </w:rPr>
        <w:t>94</w:t>
      </w:r>
      <w:r w:rsidR="005772B2" w:rsidRPr="001D0846">
        <w:rPr>
          <w:rFonts w:ascii="Times New Roman" w:hAnsi="Times New Roman"/>
          <w:sz w:val="28"/>
          <w:szCs w:val="28"/>
        </w:rPr>
        <w:t xml:space="preserve"> de controale</w:t>
      </w:r>
      <w:r w:rsidR="00757F86">
        <w:rPr>
          <w:rFonts w:ascii="Times New Roman" w:hAnsi="Times New Roman"/>
          <w:sz w:val="28"/>
          <w:szCs w:val="28"/>
        </w:rPr>
        <w:t>,</w:t>
      </w:r>
      <w:r w:rsidR="005772B2" w:rsidRPr="001D0846">
        <w:rPr>
          <w:rFonts w:ascii="Times New Roman" w:hAnsi="Times New Roman"/>
          <w:sz w:val="28"/>
          <w:szCs w:val="28"/>
        </w:rPr>
        <w:t xml:space="preserve"> </w:t>
      </w:r>
      <w:r w:rsidR="00757F86">
        <w:rPr>
          <w:rFonts w:ascii="Times New Roman" w:hAnsi="Times New Roman"/>
          <w:sz w:val="28"/>
          <w:szCs w:val="28"/>
        </w:rPr>
        <w:t xml:space="preserve">mai mult </w:t>
      </w:r>
      <w:r w:rsidR="005772B2" w:rsidRPr="001D0846">
        <w:rPr>
          <w:rFonts w:ascii="Times New Roman" w:hAnsi="Times New Roman"/>
          <w:sz w:val="28"/>
          <w:szCs w:val="28"/>
        </w:rPr>
        <w:t xml:space="preserve">față de anul 2016 și cu 3,3 %, sau </w:t>
      </w:r>
      <w:r w:rsidR="00757F86">
        <w:rPr>
          <w:rFonts w:ascii="Times New Roman" w:hAnsi="Times New Roman"/>
          <w:sz w:val="28"/>
          <w:szCs w:val="28"/>
        </w:rPr>
        <w:t xml:space="preserve">cu </w:t>
      </w:r>
      <w:r w:rsidR="005772B2" w:rsidRPr="001D0846">
        <w:rPr>
          <w:rFonts w:ascii="Times New Roman" w:hAnsi="Times New Roman"/>
          <w:sz w:val="28"/>
          <w:szCs w:val="28"/>
        </w:rPr>
        <w:t>8 controale</w:t>
      </w:r>
      <w:r w:rsidR="00757F86">
        <w:rPr>
          <w:rFonts w:ascii="Times New Roman" w:hAnsi="Times New Roman"/>
          <w:sz w:val="28"/>
          <w:szCs w:val="28"/>
        </w:rPr>
        <w:t>, mai puțin</w:t>
      </w:r>
      <w:r w:rsidR="005772B2" w:rsidRPr="001D0846">
        <w:rPr>
          <w:rFonts w:ascii="Times New Roman" w:hAnsi="Times New Roman"/>
          <w:sz w:val="28"/>
          <w:szCs w:val="28"/>
        </w:rPr>
        <w:t xml:space="preserve"> față de anul 2015</w:t>
      </w:r>
      <w:r w:rsidR="00757F86">
        <w:rPr>
          <w:rFonts w:ascii="Times New Roman" w:hAnsi="Times New Roman"/>
          <w:sz w:val="28"/>
          <w:szCs w:val="28"/>
        </w:rPr>
        <w:t>)</w:t>
      </w:r>
      <w:r w:rsidR="005772B2" w:rsidRPr="001D0846">
        <w:rPr>
          <w:rFonts w:ascii="Times New Roman" w:hAnsi="Times New Roman"/>
          <w:sz w:val="28"/>
          <w:szCs w:val="28"/>
        </w:rPr>
        <w:t xml:space="preserve">. </w:t>
      </w:r>
      <w:r w:rsidR="005772B2" w:rsidRPr="001D0846">
        <w:rPr>
          <w:rFonts w:ascii="Times New Roman" w:eastAsia="Times New Roman" w:hAnsi="Times New Roman"/>
          <w:sz w:val="28"/>
          <w:szCs w:val="28"/>
          <w:lang w:val="ro-MD" w:eastAsia="ru-RU"/>
        </w:rPr>
        <w:t xml:space="preserve">Totodată, valoarea </w:t>
      </w:r>
      <w:proofErr w:type="spellStart"/>
      <w:r w:rsidR="005772B2" w:rsidRPr="001D0846">
        <w:rPr>
          <w:rFonts w:ascii="Times New Roman" w:eastAsia="Times New Roman" w:hAnsi="Times New Roman"/>
          <w:sz w:val="28"/>
          <w:szCs w:val="28"/>
          <w:lang w:val="ro-MD" w:eastAsia="ru-RU"/>
        </w:rPr>
        <w:t>obligațiior</w:t>
      </w:r>
      <w:proofErr w:type="spellEnd"/>
      <w:r w:rsidR="005772B2" w:rsidRPr="001D0846">
        <w:rPr>
          <w:rFonts w:ascii="Times New Roman" w:eastAsia="Times New Roman" w:hAnsi="Times New Roman"/>
          <w:sz w:val="28"/>
          <w:szCs w:val="28"/>
          <w:lang w:val="ro-MD" w:eastAsia="ru-RU"/>
        </w:rPr>
        <w:t xml:space="preserve"> vamale recalculate în rezultatul controalelor a înregistrat în anul 2017 o creștere cu 71,6 %, sau </w:t>
      </w:r>
      <w:r w:rsidR="00757F86">
        <w:rPr>
          <w:rFonts w:ascii="Times New Roman" w:eastAsia="Times New Roman" w:hAnsi="Times New Roman"/>
          <w:sz w:val="28"/>
          <w:szCs w:val="28"/>
          <w:lang w:val="ro-MD" w:eastAsia="ru-RU"/>
        </w:rPr>
        <w:t xml:space="preserve">cu </w:t>
      </w:r>
      <w:r w:rsidR="005772B2" w:rsidRPr="001D0846">
        <w:rPr>
          <w:rFonts w:ascii="Times New Roman" w:eastAsia="Times New Roman" w:hAnsi="Times New Roman"/>
          <w:sz w:val="28"/>
          <w:szCs w:val="28"/>
          <w:lang w:eastAsia="ru-RU"/>
        </w:rPr>
        <w:t>49</w:t>
      </w:r>
      <w:r w:rsidR="00757F86">
        <w:rPr>
          <w:rFonts w:ascii="Times New Roman" w:eastAsia="Times New Roman" w:hAnsi="Times New Roman"/>
          <w:sz w:val="28"/>
          <w:szCs w:val="28"/>
          <w:lang w:eastAsia="ru-RU"/>
        </w:rPr>
        <w:t>,0</w:t>
      </w:r>
      <w:r w:rsidR="005772B2" w:rsidRPr="001D0846">
        <w:rPr>
          <w:rFonts w:ascii="Times New Roman" w:eastAsia="Times New Roman" w:hAnsi="Times New Roman"/>
          <w:sz w:val="28"/>
          <w:szCs w:val="28"/>
          <w:lang w:eastAsia="ru-RU"/>
        </w:rPr>
        <w:t xml:space="preserve"> mil.lei</w:t>
      </w:r>
      <w:r w:rsidR="00757F86">
        <w:rPr>
          <w:rFonts w:ascii="Times New Roman" w:eastAsia="Times New Roman" w:hAnsi="Times New Roman"/>
          <w:sz w:val="28"/>
          <w:szCs w:val="28"/>
          <w:lang w:eastAsia="ru-RU"/>
        </w:rPr>
        <w:t>,</w:t>
      </w:r>
      <w:r w:rsidR="005772B2" w:rsidRPr="001D0846">
        <w:rPr>
          <w:rFonts w:ascii="Times New Roman" w:eastAsia="Times New Roman" w:hAnsi="Times New Roman"/>
          <w:sz w:val="28"/>
          <w:szCs w:val="28"/>
          <w:lang w:eastAsia="ru-RU"/>
        </w:rPr>
        <w:t xml:space="preserve"> față de anul 2016 și cu 48,7 %, sau </w:t>
      </w:r>
      <w:r w:rsidR="00757F86">
        <w:rPr>
          <w:rFonts w:ascii="Times New Roman" w:eastAsia="Times New Roman" w:hAnsi="Times New Roman"/>
          <w:sz w:val="28"/>
          <w:szCs w:val="28"/>
          <w:lang w:eastAsia="ru-RU"/>
        </w:rPr>
        <w:t xml:space="preserve">cu </w:t>
      </w:r>
      <w:r w:rsidR="005772B2" w:rsidRPr="001D0846">
        <w:rPr>
          <w:rFonts w:ascii="Times New Roman" w:eastAsia="Times New Roman" w:hAnsi="Times New Roman"/>
          <w:sz w:val="28"/>
          <w:szCs w:val="28"/>
          <w:lang w:eastAsia="ru-RU"/>
        </w:rPr>
        <w:t>33,3 mil.lei</w:t>
      </w:r>
      <w:r w:rsidR="00757F86">
        <w:rPr>
          <w:rFonts w:ascii="Times New Roman" w:eastAsia="Times New Roman" w:hAnsi="Times New Roman"/>
          <w:sz w:val="28"/>
          <w:szCs w:val="28"/>
          <w:lang w:eastAsia="ru-RU"/>
        </w:rPr>
        <w:t>,</w:t>
      </w:r>
      <w:r w:rsidR="005772B2" w:rsidRPr="001D0846">
        <w:rPr>
          <w:rFonts w:ascii="Times New Roman" w:eastAsia="Times New Roman" w:hAnsi="Times New Roman"/>
          <w:sz w:val="28"/>
          <w:szCs w:val="28"/>
          <w:lang w:eastAsia="ru-RU"/>
        </w:rPr>
        <w:t xml:space="preserve"> față de anul 2015. </w:t>
      </w:r>
      <w:r w:rsidR="005772B2" w:rsidRPr="001D0846">
        <w:rPr>
          <w:rFonts w:ascii="Times New Roman" w:hAnsi="Times New Roman"/>
          <w:sz w:val="28"/>
          <w:szCs w:val="28"/>
        </w:rPr>
        <w:t xml:space="preserve">Ponderea controalelor rezultative în totalul controalelor efectuate în anul 2017 a constituit 82,3 %, fiind în creștere cu 0,5 </w:t>
      </w:r>
      <w:proofErr w:type="spellStart"/>
      <w:r w:rsidR="005772B2" w:rsidRPr="001D0846">
        <w:rPr>
          <w:rFonts w:ascii="Times New Roman" w:hAnsi="Times New Roman"/>
          <w:sz w:val="28"/>
          <w:szCs w:val="28"/>
        </w:rPr>
        <w:t>p.p.</w:t>
      </w:r>
      <w:proofErr w:type="spellEnd"/>
      <w:r w:rsidR="005772B2" w:rsidRPr="001D0846">
        <w:rPr>
          <w:rFonts w:ascii="Times New Roman" w:hAnsi="Times New Roman"/>
          <w:sz w:val="28"/>
          <w:szCs w:val="28"/>
        </w:rPr>
        <w:t xml:space="preserve"> față de anul 2016 (81,8%) și cu 14,5 </w:t>
      </w:r>
      <w:proofErr w:type="spellStart"/>
      <w:r w:rsidR="005772B2" w:rsidRPr="001D0846">
        <w:rPr>
          <w:rFonts w:ascii="Times New Roman" w:hAnsi="Times New Roman"/>
          <w:sz w:val="28"/>
          <w:szCs w:val="28"/>
        </w:rPr>
        <w:t>p.p.</w:t>
      </w:r>
      <w:proofErr w:type="spellEnd"/>
      <w:r w:rsidR="005772B2" w:rsidRPr="001D0846">
        <w:rPr>
          <w:rFonts w:ascii="Times New Roman" w:hAnsi="Times New Roman"/>
          <w:sz w:val="28"/>
          <w:szCs w:val="28"/>
        </w:rPr>
        <w:t xml:space="preserve"> față de anul 2015 (67,8%).</w:t>
      </w:r>
    </w:p>
    <w:p w:rsidR="005772B2" w:rsidRPr="001D0846" w:rsidRDefault="005772B2" w:rsidP="00175939">
      <w:pPr>
        <w:pStyle w:val="a7"/>
        <w:tabs>
          <w:tab w:val="left" w:pos="0"/>
        </w:tabs>
        <w:spacing w:after="0" w:line="276" w:lineRule="auto"/>
        <w:ind w:left="0" w:firstLine="709"/>
        <w:jc w:val="both"/>
        <w:rPr>
          <w:rFonts w:ascii="Times New Roman" w:hAnsi="Times New Roman"/>
          <w:i/>
          <w:color w:val="000000"/>
          <w:sz w:val="28"/>
          <w:szCs w:val="28"/>
          <w:lang w:val="ro-MD"/>
        </w:rPr>
      </w:pPr>
      <w:r w:rsidRPr="001D0846">
        <w:rPr>
          <w:rFonts w:ascii="Times New Roman" w:hAnsi="Times New Roman"/>
          <w:sz w:val="28"/>
          <w:szCs w:val="28"/>
        </w:rPr>
        <w:tab/>
      </w:r>
      <w:r w:rsidRPr="001D0846">
        <w:rPr>
          <w:rFonts w:ascii="Times New Roman" w:hAnsi="Times New Roman"/>
          <w:color w:val="000000"/>
          <w:sz w:val="28"/>
          <w:szCs w:val="28"/>
          <w:lang w:val="ro-MD"/>
        </w:rPr>
        <w:t xml:space="preserve">Analiza efectuată de audit relevă că, deși suma obligațiilor vamale calculate în baza deciziilor de regularizare </w:t>
      </w:r>
      <w:r w:rsidR="00E14DE8">
        <w:rPr>
          <w:rFonts w:ascii="Times New Roman" w:hAnsi="Times New Roman"/>
          <w:color w:val="000000"/>
          <w:sz w:val="28"/>
          <w:szCs w:val="28"/>
          <w:lang w:val="ro-MD"/>
        </w:rPr>
        <w:t>a crescut</w:t>
      </w:r>
      <w:r w:rsidRPr="001D0846">
        <w:rPr>
          <w:rFonts w:ascii="Times New Roman" w:hAnsi="Times New Roman"/>
          <w:color w:val="000000"/>
          <w:sz w:val="28"/>
          <w:szCs w:val="28"/>
          <w:lang w:val="ro-MD"/>
        </w:rPr>
        <w:t xml:space="preserve"> în anul 2017, ponderea sumelor încasate este la un nivel mai redus. Astfel, în anul 2017 au fost întocmite 2190 decizii de regularizare în baza cărora urma a fi încasat</w:t>
      </w:r>
      <w:r w:rsidR="00FF7B60">
        <w:rPr>
          <w:rFonts w:ascii="Times New Roman" w:hAnsi="Times New Roman"/>
          <w:color w:val="000000"/>
          <w:sz w:val="28"/>
          <w:szCs w:val="28"/>
          <w:lang w:val="ro-MD"/>
        </w:rPr>
        <w:t>ă</w:t>
      </w:r>
      <w:r w:rsidRPr="001D0846">
        <w:rPr>
          <w:rFonts w:ascii="Times New Roman" w:hAnsi="Times New Roman"/>
          <w:color w:val="000000"/>
          <w:sz w:val="28"/>
          <w:szCs w:val="28"/>
          <w:lang w:val="ro-MD"/>
        </w:rPr>
        <w:t xml:space="preserve"> la BS </w:t>
      </w:r>
      <w:r w:rsidR="00FF7B60">
        <w:rPr>
          <w:rFonts w:ascii="Times New Roman" w:hAnsi="Times New Roman"/>
          <w:color w:val="000000"/>
          <w:sz w:val="28"/>
          <w:szCs w:val="28"/>
          <w:lang w:val="ro-MD"/>
        </w:rPr>
        <w:t xml:space="preserve">suma de </w:t>
      </w:r>
      <w:r w:rsidRPr="001D0846">
        <w:rPr>
          <w:rFonts w:ascii="Times New Roman" w:hAnsi="Times New Roman"/>
          <w:color w:val="000000"/>
          <w:sz w:val="28"/>
          <w:szCs w:val="28"/>
          <w:lang w:val="ro-MD"/>
        </w:rPr>
        <w:t xml:space="preserve">81,4 mil. lei, </w:t>
      </w:r>
      <w:r w:rsidR="00FF7B60">
        <w:rPr>
          <w:rFonts w:ascii="Times New Roman" w:hAnsi="Times New Roman"/>
          <w:color w:val="000000"/>
          <w:sz w:val="28"/>
          <w:szCs w:val="28"/>
          <w:lang w:val="ro-MD"/>
        </w:rPr>
        <w:t xml:space="preserve">dar </w:t>
      </w:r>
      <w:r w:rsidRPr="001D0846">
        <w:rPr>
          <w:rFonts w:ascii="Times New Roman" w:hAnsi="Times New Roman"/>
          <w:color w:val="000000"/>
          <w:sz w:val="28"/>
          <w:szCs w:val="28"/>
          <w:lang w:val="ro-MD"/>
        </w:rPr>
        <w:t xml:space="preserve">de facto </w:t>
      </w:r>
      <w:r w:rsidR="00FF7B60">
        <w:rPr>
          <w:rFonts w:ascii="Times New Roman" w:hAnsi="Times New Roman"/>
          <w:color w:val="000000"/>
          <w:sz w:val="28"/>
          <w:szCs w:val="28"/>
          <w:lang w:val="ro-MD"/>
        </w:rPr>
        <w:t>s-au</w:t>
      </w:r>
      <w:r w:rsidRPr="001D0846">
        <w:rPr>
          <w:rFonts w:ascii="Times New Roman" w:hAnsi="Times New Roman"/>
          <w:color w:val="000000"/>
          <w:sz w:val="28"/>
          <w:szCs w:val="28"/>
          <w:lang w:val="ro-MD"/>
        </w:rPr>
        <w:t xml:space="preserve"> încasat doar 36,0 mil. lei, sau 44,2% din totalul sumelor calculate, </w:t>
      </w:r>
      <w:r w:rsidR="00FF7B60">
        <w:rPr>
          <w:rFonts w:ascii="Times New Roman" w:hAnsi="Times New Roman"/>
          <w:color w:val="000000"/>
          <w:sz w:val="28"/>
          <w:szCs w:val="28"/>
          <w:lang w:val="ro-MD"/>
        </w:rPr>
        <w:t xml:space="preserve">astfel </w:t>
      </w:r>
      <w:r w:rsidRPr="001D0846">
        <w:rPr>
          <w:rFonts w:ascii="Times New Roman" w:hAnsi="Times New Roman"/>
          <w:color w:val="000000"/>
          <w:sz w:val="28"/>
          <w:szCs w:val="28"/>
          <w:lang w:val="ro-MD"/>
        </w:rPr>
        <w:t xml:space="preserve">formându-se restanțe în sumă de 45,4 mil.lei. Situații similare se atestă și în </w:t>
      </w:r>
      <w:r w:rsidR="00FF7B60">
        <w:rPr>
          <w:rFonts w:ascii="Times New Roman" w:hAnsi="Times New Roman"/>
          <w:color w:val="000000"/>
          <w:sz w:val="28"/>
          <w:szCs w:val="28"/>
          <w:lang w:val="ro-MD"/>
        </w:rPr>
        <w:t xml:space="preserve">anii </w:t>
      </w:r>
      <w:r w:rsidRPr="001D0846">
        <w:rPr>
          <w:rFonts w:ascii="Times New Roman" w:hAnsi="Times New Roman"/>
          <w:color w:val="000000"/>
          <w:sz w:val="28"/>
          <w:szCs w:val="28"/>
          <w:lang w:val="ro-MD"/>
        </w:rPr>
        <w:t xml:space="preserve"> 2015-</w:t>
      </w:r>
      <w:r w:rsidRPr="00C65598">
        <w:rPr>
          <w:rFonts w:ascii="Times New Roman" w:hAnsi="Times New Roman"/>
          <w:color w:val="000000"/>
          <w:sz w:val="28"/>
          <w:szCs w:val="28"/>
          <w:lang w:val="ro-MD"/>
        </w:rPr>
        <w:t xml:space="preserve">2016. </w:t>
      </w:r>
      <w:r w:rsidRPr="00C65598">
        <w:rPr>
          <w:rFonts w:ascii="Times New Roman" w:hAnsi="Times New Roman"/>
          <w:i/>
          <w:color w:val="000000"/>
          <w:sz w:val="28"/>
          <w:szCs w:val="28"/>
          <w:lang w:val="ro-MD"/>
        </w:rPr>
        <w:t>Informația privind numărul deciziilor de regularizare adoptate, obligațiile vamale calculate și înca</w:t>
      </w:r>
      <w:r w:rsidR="00D76189" w:rsidRPr="00C65598">
        <w:rPr>
          <w:rFonts w:ascii="Times New Roman" w:hAnsi="Times New Roman"/>
          <w:i/>
          <w:color w:val="000000"/>
          <w:sz w:val="28"/>
          <w:szCs w:val="28"/>
          <w:lang w:val="ro-MD"/>
        </w:rPr>
        <w:t xml:space="preserve">sate de SV în perioada </w:t>
      </w:r>
      <w:r w:rsidR="00FF7B60">
        <w:rPr>
          <w:rFonts w:ascii="Times New Roman" w:hAnsi="Times New Roman"/>
          <w:i/>
          <w:color w:val="000000"/>
          <w:sz w:val="28"/>
          <w:szCs w:val="28"/>
          <w:lang w:val="ro-MD"/>
        </w:rPr>
        <w:t xml:space="preserve">anilor </w:t>
      </w:r>
      <w:r w:rsidR="00D76189" w:rsidRPr="00C65598">
        <w:rPr>
          <w:rFonts w:ascii="Times New Roman" w:hAnsi="Times New Roman"/>
          <w:i/>
          <w:color w:val="000000"/>
          <w:sz w:val="28"/>
          <w:szCs w:val="28"/>
          <w:lang w:val="ro-MD"/>
        </w:rPr>
        <w:t>2015-2017</w:t>
      </w:r>
      <w:r w:rsidR="00C65598" w:rsidRPr="00C65598">
        <w:rPr>
          <w:rFonts w:ascii="Times New Roman" w:hAnsi="Times New Roman"/>
          <w:i/>
          <w:color w:val="000000"/>
          <w:sz w:val="28"/>
          <w:szCs w:val="28"/>
          <w:lang w:val="ro-MD"/>
        </w:rPr>
        <w:t xml:space="preserve"> </w:t>
      </w:r>
      <w:r w:rsidR="00FF7B60">
        <w:rPr>
          <w:rFonts w:ascii="Times New Roman" w:hAnsi="Times New Roman"/>
          <w:i/>
          <w:color w:val="000000"/>
          <w:sz w:val="28"/>
          <w:szCs w:val="28"/>
          <w:lang w:val="ro-MD"/>
        </w:rPr>
        <w:t xml:space="preserve">este </w:t>
      </w:r>
      <w:r w:rsidR="00C65598" w:rsidRPr="00C65598">
        <w:rPr>
          <w:rFonts w:ascii="Times New Roman" w:hAnsi="Times New Roman"/>
          <w:i/>
          <w:color w:val="000000"/>
          <w:sz w:val="28"/>
          <w:szCs w:val="28"/>
          <w:lang w:val="ro-MD"/>
        </w:rPr>
        <w:t xml:space="preserve"> prez</w:t>
      </w:r>
      <w:r w:rsidR="00FF7B60">
        <w:rPr>
          <w:rFonts w:ascii="Times New Roman" w:hAnsi="Times New Roman"/>
          <w:i/>
          <w:color w:val="000000"/>
          <w:sz w:val="28"/>
          <w:szCs w:val="28"/>
          <w:lang w:val="ro-MD"/>
        </w:rPr>
        <w:t>enta</w:t>
      </w:r>
      <w:r w:rsidR="00C65598" w:rsidRPr="00C65598">
        <w:rPr>
          <w:rFonts w:ascii="Times New Roman" w:hAnsi="Times New Roman"/>
          <w:i/>
          <w:color w:val="000000"/>
          <w:sz w:val="28"/>
          <w:szCs w:val="28"/>
          <w:lang w:val="ro-MD"/>
        </w:rPr>
        <w:t>tă în Tabelul nr.22</w:t>
      </w:r>
      <w:r w:rsidR="001601C4" w:rsidRPr="00C65598">
        <w:rPr>
          <w:rFonts w:ascii="Times New Roman" w:hAnsi="Times New Roman"/>
          <w:i/>
          <w:color w:val="000000"/>
          <w:sz w:val="28"/>
          <w:szCs w:val="28"/>
          <w:lang w:val="ro-MD"/>
        </w:rPr>
        <w:t xml:space="preserve"> din Anexa nr.3</w:t>
      </w:r>
      <w:r w:rsidRPr="00C65598">
        <w:rPr>
          <w:rFonts w:ascii="Times New Roman" w:hAnsi="Times New Roman"/>
          <w:i/>
          <w:color w:val="000000"/>
          <w:sz w:val="28"/>
          <w:szCs w:val="28"/>
          <w:lang w:val="ro-MD"/>
        </w:rPr>
        <w:t xml:space="preserve"> la Raport</w:t>
      </w:r>
      <w:r w:rsidR="00FF7B60">
        <w:rPr>
          <w:rFonts w:ascii="Times New Roman" w:hAnsi="Times New Roman"/>
          <w:i/>
          <w:color w:val="000000"/>
          <w:sz w:val="28"/>
          <w:szCs w:val="28"/>
          <w:lang w:val="ro-MD"/>
        </w:rPr>
        <w:t>ul</w:t>
      </w:r>
      <w:r w:rsidRPr="00C65598">
        <w:rPr>
          <w:rFonts w:ascii="Times New Roman" w:hAnsi="Times New Roman"/>
          <w:i/>
          <w:color w:val="000000"/>
          <w:sz w:val="28"/>
          <w:szCs w:val="28"/>
          <w:lang w:val="ro-MD"/>
        </w:rPr>
        <w:t xml:space="preserve"> de audit.</w:t>
      </w:r>
    </w:p>
    <w:p w:rsidR="005772B2" w:rsidRPr="001D0846" w:rsidRDefault="00FF7B60" w:rsidP="00175939">
      <w:pPr>
        <w:spacing w:after="0" w:line="276" w:lineRule="auto"/>
        <w:ind w:firstLine="709"/>
        <w:jc w:val="both"/>
        <w:rPr>
          <w:rFonts w:ascii="Times New Roman" w:hAnsi="Times New Roman"/>
          <w:i/>
          <w:color w:val="000000"/>
          <w:sz w:val="28"/>
          <w:szCs w:val="28"/>
          <w:lang w:val="ro-MD"/>
        </w:rPr>
      </w:pPr>
      <w:r>
        <w:rPr>
          <w:rFonts w:ascii="Times New Roman" w:hAnsi="Times New Roman"/>
          <w:color w:val="000000"/>
          <w:sz w:val="28"/>
          <w:szCs w:val="28"/>
          <w:lang w:val="ro-MD"/>
        </w:rPr>
        <w:t>D</w:t>
      </w:r>
      <w:r w:rsidR="005772B2" w:rsidRPr="00C65598">
        <w:rPr>
          <w:rFonts w:ascii="Times New Roman" w:hAnsi="Times New Roman"/>
          <w:color w:val="000000"/>
          <w:sz w:val="28"/>
          <w:szCs w:val="28"/>
          <w:lang w:val="ro-MD"/>
        </w:rPr>
        <w:t>atel</w:t>
      </w:r>
      <w:r>
        <w:rPr>
          <w:rFonts w:ascii="Times New Roman" w:hAnsi="Times New Roman"/>
          <w:color w:val="000000"/>
          <w:sz w:val="28"/>
          <w:szCs w:val="28"/>
          <w:lang w:val="ro-MD"/>
        </w:rPr>
        <w:t>e</w:t>
      </w:r>
      <w:r w:rsidR="005772B2" w:rsidRPr="00C65598">
        <w:rPr>
          <w:rFonts w:ascii="Times New Roman" w:hAnsi="Times New Roman"/>
          <w:color w:val="000000"/>
          <w:sz w:val="28"/>
          <w:szCs w:val="28"/>
          <w:lang w:val="ro-MD"/>
        </w:rPr>
        <w:t xml:space="preserve"> prezentate în </w:t>
      </w:r>
      <w:r>
        <w:rPr>
          <w:rFonts w:ascii="Times New Roman" w:hAnsi="Times New Roman"/>
          <w:color w:val="000000"/>
          <w:sz w:val="28"/>
          <w:szCs w:val="28"/>
          <w:lang w:val="ro-MD"/>
        </w:rPr>
        <w:t>t</w:t>
      </w:r>
      <w:r w:rsidR="005772B2" w:rsidRPr="00C65598">
        <w:rPr>
          <w:rFonts w:ascii="Times New Roman" w:hAnsi="Times New Roman"/>
          <w:color w:val="000000"/>
          <w:sz w:val="28"/>
          <w:szCs w:val="28"/>
          <w:lang w:val="ro-MD"/>
        </w:rPr>
        <w:t xml:space="preserve">abel relevă un nivel redus de încasare a plăților vamale calculate în baza deciziilor de regularizare în </w:t>
      </w:r>
      <w:r>
        <w:rPr>
          <w:rFonts w:ascii="Times New Roman" w:hAnsi="Times New Roman"/>
          <w:color w:val="000000"/>
          <w:sz w:val="28"/>
          <w:szCs w:val="28"/>
          <w:lang w:val="ro-MD"/>
        </w:rPr>
        <w:t>anii</w:t>
      </w:r>
      <w:r w:rsidR="005772B2" w:rsidRPr="00C65598">
        <w:rPr>
          <w:rFonts w:ascii="Times New Roman" w:hAnsi="Times New Roman"/>
          <w:color w:val="000000"/>
          <w:sz w:val="28"/>
          <w:szCs w:val="28"/>
          <w:lang w:val="ro-MD"/>
        </w:rPr>
        <w:t xml:space="preserve"> 2015-2017</w:t>
      </w:r>
      <w:r>
        <w:rPr>
          <w:rFonts w:ascii="Times New Roman" w:hAnsi="Times New Roman"/>
          <w:color w:val="000000"/>
          <w:sz w:val="28"/>
          <w:szCs w:val="28"/>
          <w:lang w:val="ro-MD"/>
        </w:rPr>
        <w:t>,</w:t>
      </w:r>
      <w:r w:rsidR="005772B2" w:rsidRPr="00C65598">
        <w:rPr>
          <w:rFonts w:ascii="Times New Roman" w:hAnsi="Times New Roman"/>
          <w:color w:val="000000"/>
          <w:sz w:val="28"/>
          <w:szCs w:val="28"/>
          <w:lang w:val="ro-MD"/>
        </w:rPr>
        <w:t xml:space="preserve"> care</w:t>
      </w:r>
      <w:r>
        <w:rPr>
          <w:rFonts w:ascii="Times New Roman" w:hAnsi="Times New Roman"/>
          <w:color w:val="000000"/>
          <w:sz w:val="28"/>
          <w:szCs w:val="28"/>
          <w:lang w:val="ro-MD"/>
        </w:rPr>
        <w:t>,</w:t>
      </w:r>
      <w:r w:rsidR="005772B2" w:rsidRPr="00C65598">
        <w:rPr>
          <w:rFonts w:ascii="Times New Roman" w:hAnsi="Times New Roman"/>
          <w:color w:val="000000"/>
          <w:sz w:val="28"/>
          <w:szCs w:val="28"/>
          <w:lang w:val="ro-MD"/>
        </w:rPr>
        <w:t xml:space="preserve"> în medi</w:t>
      </w:r>
      <w:r>
        <w:rPr>
          <w:rFonts w:ascii="Times New Roman" w:hAnsi="Times New Roman"/>
          <w:color w:val="000000"/>
          <w:sz w:val="28"/>
          <w:szCs w:val="28"/>
          <w:lang w:val="ro-MD"/>
        </w:rPr>
        <w:t>e,</w:t>
      </w:r>
      <w:r w:rsidR="005772B2" w:rsidRPr="00C65598">
        <w:rPr>
          <w:rFonts w:ascii="Times New Roman" w:hAnsi="Times New Roman"/>
          <w:color w:val="000000"/>
          <w:sz w:val="28"/>
          <w:szCs w:val="28"/>
          <w:lang w:val="ro-MD"/>
        </w:rPr>
        <w:t xml:space="preserve"> a constitu</w:t>
      </w:r>
      <w:r w:rsidR="00E87061">
        <w:rPr>
          <w:rFonts w:ascii="Times New Roman" w:hAnsi="Times New Roman"/>
          <w:color w:val="000000"/>
          <w:sz w:val="28"/>
          <w:szCs w:val="28"/>
          <w:lang w:val="ro-MD"/>
        </w:rPr>
        <w:t>i</w:t>
      </w:r>
      <w:r w:rsidR="005772B2" w:rsidRPr="00C65598">
        <w:rPr>
          <w:rFonts w:ascii="Times New Roman" w:hAnsi="Times New Roman"/>
          <w:color w:val="000000"/>
          <w:sz w:val="28"/>
          <w:szCs w:val="28"/>
          <w:lang w:val="ro-MD"/>
        </w:rPr>
        <w:t>t 43,2 % din totalul sumelor calculate</w:t>
      </w:r>
      <w:r w:rsidR="005772B2" w:rsidRPr="00C65598">
        <w:rPr>
          <w:rFonts w:ascii="Times New Roman" w:hAnsi="Times New Roman"/>
          <w:i/>
          <w:color w:val="000000"/>
          <w:sz w:val="28"/>
          <w:szCs w:val="28"/>
          <w:lang w:val="ro-MD"/>
        </w:rPr>
        <w:t xml:space="preserve">. </w:t>
      </w:r>
      <w:r w:rsidR="00626646" w:rsidRPr="00C65598">
        <w:rPr>
          <w:rFonts w:ascii="Times New Roman" w:hAnsi="Times New Roman"/>
          <w:i/>
          <w:color w:val="000000"/>
          <w:sz w:val="28"/>
          <w:szCs w:val="28"/>
          <w:lang w:val="ro-MD"/>
        </w:rPr>
        <w:t>Evoluția</w:t>
      </w:r>
      <w:r w:rsidR="005772B2" w:rsidRPr="00C65598">
        <w:rPr>
          <w:rFonts w:ascii="Times New Roman" w:hAnsi="Times New Roman"/>
          <w:i/>
          <w:color w:val="000000"/>
          <w:sz w:val="28"/>
          <w:szCs w:val="28"/>
          <w:lang w:val="ro-MD"/>
        </w:rPr>
        <w:t xml:space="preserve"> încasărilor în baza deciziilor de regulariza</w:t>
      </w:r>
      <w:r w:rsidR="00DC02F3" w:rsidRPr="00C65598">
        <w:rPr>
          <w:rFonts w:ascii="Times New Roman" w:hAnsi="Times New Roman"/>
          <w:i/>
          <w:color w:val="000000"/>
          <w:sz w:val="28"/>
          <w:szCs w:val="28"/>
          <w:lang w:val="ro-MD"/>
        </w:rPr>
        <w:t xml:space="preserve">re </w:t>
      </w:r>
      <w:r>
        <w:rPr>
          <w:rFonts w:ascii="Times New Roman" w:hAnsi="Times New Roman"/>
          <w:i/>
          <w:color w:val="000000"/>
          <w:sz w:val="28"/>
          <w:szCs w:val="28"/>
          <w:lang w:val="ro-MD"/>
        </w:rPr>
        <w:t>este redată</w:t>
      </w:r>
      <w:r w:rsidR="00DC02F3" w:rsidRPr="00C65598">
        <w:rPr>
          <w:rFonts w:ascii="Times New Roman" w:hAnsi="Times New Roman"/>
          <w:i/>
          <w:color w:val="000000"/>
          <w:sz w:val="28"/>
          <w:szCs w:val="28"/>
          <w:lang w:val="ro-MD"/>
        </w:rPr>
        <w:t xml:space="preserve"> în Diagrama </w:t>
      </w:r>
      <w:r w:rsidR="00385FA6" w:rsidRPr="00C65598">
        <w:rPr>
          <w:rFonts w:ascii="Times New Roman" w:hAnsi="Times New Roman"/>
          <w:i/>
          <w:color w:val="000000"/>
          <w:sz w:val="28"/>
          <w:szCs w:val="28"/>
          <w:lang w:val="ro-MD"/>
        </w:rPr>
        <w:t>nr.1</w:t>
      </w:r>
      <w:r w:rsidR="00C65598" w:rsidRPr="00C65598">
        <w:rPr>
          <w:rFonts w:ascii="Times New Roman" w:hAnsi="Times New Roman"/>
          <w:i/>
          <w:color w:val="000000"/>
          <w:sz w:val="28"/>
          <w:szCs w:val="28"/>
          <w:lang w:val="ro-MD"/>
        </w:rPr>
        <w:t>5</w:t>
      </w:r>
      <w:r w:rsidR="005772B2" w:rsidRPr="00C65598">
        <w:rPr>
          <w:rFonts w:ascii="Times New Roman" w:hAnsi="Times New Roman"/>
          <w:i/>
          <w:color w:val="000000"/>
          <w:sz w:val="28"/>
          <w:szCs w:val="28"/>
          <w:lang w:val="ro-MD"/>
        </w:rPr>
        <w:t xml:space="preserve"> </w:t>
      </w:r>
      <w:r w:rsidR="00A20D46" w:rsidRPr="00C65598">
        <w:rPr>
          <w:rFonts w:ascii="Times New Roman" w:hAnsi="Times New Roman"/>
          <w:i/>
          <w:color w:val="000000"/>
          <w:sz w:val="28"/>
          <w:szCs w:val="28"/>
          <w:lang w:val="ro-MD"/>
        </w:rPr>
        <w:t>din Anexa nr.4</w:t>
      </w:r>
      <w:r w:rsidR="006627B7" w:rsidRPr="00C65598">
        <w:rPr>
          <w:rFonts w:ascii="Times New Roman" w:hAnsi="Times New Roman"/>
          <w:i/>
          <w:color w:val="000000"/>
          <w:sz w:val="28"/>
          <w:szCs w:val="28"/>
          <w:lang w:val="ro-MD"/>
        </w:rPr>
        <w:t xml:space="preserve"> la </w:t>
      </w:r>
      <w:r w:rsidR="00E87061">
        <w:rPr>
          <w:rFonts w:ascii="Times New Roman" w:hAnsi="Times New Roman"/>
          <w:i/>
          <w:color w:val="000000"/>
          <w:sz w:val="28"/>
          <w:szCs w:val="28"/>
          <w:lang w:val="ro-MD"/>
        </w:rPr>
        <w:t xml:space="preserve">prezentul </w:t>
      </w:r>
      <w:r w:rsidR="006627B7" w:rsidRPr="00C65598">
        <w:rPr>
          <w:rFonts w:ascii="Times New Roman" w:hAnsi="Times New Roman"/>
          <w:i/>
          <w:color w:val="000000"/>
          <w:sz w:val="28"/>
          <w:szCs w:val="28"/>
          <w:lang w:val="ro-MD"/>
        </w:rPr>
        <w:t>Raport de audit</w:t>
      </w:r>
      <w:r w:rsidR="005772B2" w:rsidRPr="00C65598">
        <w:rPr>
          <w:rFonts w:ascii="Times New Roman" w:hAnsi="Times New Roman"/>
          <w:i/>
          <w:color w:val="000000"/>
          <w:sz w:val="28"/>
          <w:szCs w:val="28"/>
          <w:lang w:val="ro-MD"/>
        </w:rPr>
        <w:t>.</w:t>
      </w:r>
    </w:p>
    <w:p w:rsidR="005772B2" w:rsidRPr="001D0846" w:rsidRDefault="005772B2" w:rsidP="00175939">
      <w:pPr>
        <w:spacing w:after="0" w:line="276" w:lineRule="auto"/>
        <w:ind w:firstLine="709"/>
        <w:jc w:val="both"/>
        <w:rPr>
          <w:rFonts w:ascii="Times New Roman" w:hAnsi="Times New Roman"/>
          <w:color w:val="000000"/>
          <w:sz w:val="28"/>
          <w:szCs w:val="28"/>
          <w:lang w:val="ro-MD"/>
        </w:rPr>
      </w:pPr>
      <w:r w:rsidRPr="001D0846">
        <w:rPr>
          <w:rFonts w:ascii="Times New Roman" w:hAnsi="Times New Roman"/>
          <w:color w:val="000000"/>
          <w:sz w:val="28"/>
          <w:szCs w:val="28"/>
          <w:lang w:val="ro-MD"/>
        </w:rPr>
        <w:t>Analiza efectuată asupra deciziilor de regularizare, pe eșantioanele selectate de audit, relevă că</w:t>
      </w:r>
      <w:r w:rsidR="00E87061">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în majoritatea cazurilor</w:t>
      </w:r>
      <w:r w:rsidR="00E87061">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temei</w:t>
      </w:r>
      <w:r w:rsidR="00E87061">
        <w:rPr>
          <w:rFonts w:ascii="Times New Roman" w:hAnsi="Times New Roman"/>
          <w:color w:val="000000"/>
          <w:sz w:val="28"/>
          <w:szCs w:val="28"/>
          <w:lang w:val="ro-MD"/>
        </w:rPr>
        <w:t>ul</w:t>
      </w:r>
      <w:r w:rsidRPr="001D0846">
        <w:rPr>
          <w:rFonts w:ascii="Times New Roman" w:hAnsi="Times New Roman"/>
          <w:color w:val="000000"/>
          <w:sz w:val="28"/>
          <w:szCs w:val="28"/>
          <w:lang w:val="ro-MD"/>
        </w:rPr>
        <w:t xml:space="preserve"> de calculare a obligației vamale ține de nerespectarea de către plătitorii vamali a condițiilor privind facilitățile acordate la importul unor categorii de mărfuri. În acest context</w:t>
      </w:r>
      <w:r w:rsidR="00E87061">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SV a efectuat</w:t>
      </w:r>
      <w:r w:rsidR="00E87061">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în </w:t>
      </w:r>
      <w:r w:rsidR="00E87061">
        <w:rPr>
          <w:rFonts w:ascii="Times New Roman" w:hAnsi="Times New Roman"/>
          <w:color w:val="000000"/>
          <w:sz w:val="28"/>
          <w:szCs w:val="28"/>
          <w:lang w:val="ro-MD"/>
        </w:rPr>
        <w:t xml:space="preserve">anii </w:t>
      </w:r>
      <w:r w:rsidRPr="001D0846">
        <w:rPr>
          <w:rFonts w:ascii="Times New Roman" w:hAnsi="Times New Roman"/>
          <w:color w:val="000000"/>
          <w:sz w:val="28"/>
          <w:szCs w:val="28"/>
          <w:lang w:val="ro-MD"/>
        </w:rPr>
        <w:t xml:space="preserve"> 2015-2017</w:t>
      </w:r>
      <w:r w:rsidR="00E87061">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controale ulterioare</w:t>
      </w:r>
      <w:r w:rsidR="00E87061">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în rezultatul cărora au fost recalculate drepturile de import/export în sumă de 19,3 mil.lei, 12,2 mil. lei și</w:t>
      </w:r>
      <w:r w:rsidR="00E87061">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respectiv</w:t>
      </w:r>
      <w:r w:rsidR="00E87061">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38,5 mil.lei. Astfel, în totalul cazurilor depistate</w:t>
      </w:r>
      <w:r w:rsidR="00E87061">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ponderea majoră o dețin încălcările privind </w:t>
      </w:r>
      <w:r w:rsidRPr="001D0846">
        <w:rPr>
          <w:rFonts w:ascii="Times New Roman" w:hAnsi="Times New Roman"/>
          <w:color w:val="000000"/>
          <w:sz w:val="28"/>
          <w:szCs w:val="28"/>
          <w:lang w:val="ro-MD"/>
        </w:rPr>
        <w:lastRenderedPageBreak/>
        <w:t xml:space="preserve">nerespectarea condițiilor aferente scutirilor aplicate la importul mijloacelor fixe utilizate nemijlocit la fabricarea produselor, prestarea serviciilor sau executarea lucrărilor destinate </w:t>
      </w:r>
      <w:r w:rsidR="00E87061">
        <w:rPr>
          <w:rFonts w:ascii="Times New Roman" w:hAnsi="Times New Roman"/>
          <w:color w:val="000000"/>
          <w:sz w:val="28"/>
          <w:szCs w:val="28"/>
          <w:lang w:val="ro-MD"/>
        </w:rPr>
        <w:t>i</w:t>
      </w:r>
      <w:r w:rsidRPr="001D0846">
        <w:rPr>
          <w:rFonts w:ascii="Times New Roman" w:hAnsi="Times New Roman"/>
          <w:color w:val="000000"/>
          <w:sz w:val="28"/>
          <w:szCs w:val="28"/>
          <w:lang w:val="ro-MD"/>
        </w:rPr>
        <w:t>ntroducerii în capitalul statutar</w:t>
      </w:r>
      <w:r w:rsidR="00E87061">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fiind urmate de încălcările privind nerespectarea condițiilor aferente scutirilor aplicate pentru materia primă </w:t>
      </w:r>
      <w:r w:rsidRPr="001D0846">
        <w:rPr>
          <w:rFonts w:ascii="Times New Roman" w:hAnsi="Times New Roman" w:cs="Times New Roman"/>
          <w:color w:val="000000"/>
          <w:sz w:val="28"/>
          <w:szCs w:val="28"/>
        </w:rPr>
        <w:t>medicamentoasă</w:t>
      </w:r>
      <w:r w:rsidRPr="000A59C4">
        <w:rPr>
          <w:rFonts w:ascii="Times New Roman" w:hAnsi="Times New Roman" w:cs="Times New Roman"/>
          <w:color w:val="000000"/>
          <w:sz w:val="28"/>
          <w:szCs w:val="28"/>
        </w:rPr>
        <w:t>,  a materialelor</w:t>
      </w:r>
      <w:r w:rsidRPr="001D0846">
        <w:rPr>
          <w:rFonts w:ascii="Times New Roman" w:hAnsi="Times New Roman" w:cs="Times New Roman"/>
          <w:color w:val="000000"/>
          <w:sz w:val="28"/>
          <w:szCs w:val="28"/>
        </w:rPr>
        <w:t>, articolelor, ambalajului primar și secundar utilizate la prepararea și producerea medicamentelor, autorizate de M</w:t>
      </w:r>
      <w:r w:rsidR="00C65598">
        <w:rPr>
          <w:rFonts w:ascii="Times New Roman" w:hAnsi="Times New Roman" w:cs="Times New Roman"/>
          <w:color w:val="000000"/>
          <w:sz w:val="28"/>
          <w:szCs w:val="28"/>
        </w:rPr>
        <w:t>S</w:t>
      </w:r>
      <w:r w:rsidRPr="001D0846">
        <w:rPr>
          <w:rFonts w:ascii="Times New Roman" w:hAnsi="Times New Roman" w:cs="Times New Roman"/>
          <w:color w:val="000000"/>
          <w:sz w:val="28"/>
          <w:szCs w:val="28"/>
        </w:rPr>
        <w:t>. Astfel, î</w:t>
      </w:r>
      <w:r w:rsidRPr="001D0846">
        <w:rPr>
          <w:rFonts w:ascii="Times New Roman" w:hAnsi="Times New Roman"/>
          <w:color w:val="000000"/>
          <w:sz w:val="28"/>
          <w:szCs w:val="28"/>
          <w:lang w:val="ro-MD"/>
        </w:rPr>
        <w:t xml:space="preserve">n </w:t>
      </w:r>
      <w:r w:rsidR="000261D8">
        <w:rPr>
          <w:rFonts w:ascii="Times New Roman" w:hAnsi="Times New Roman"/>
          <w:color w:val="000000"/>
          <w:sz w:val="28"/>
          <w:szCs w:val="28"/>
          <w:lang w:val="ro-MD"/>
        </w:rPr>
        <w:t>anul</w:t>
      </w:r>
      <w:r w:rsidRPr="001D0846">
        <w:rPr>
          <w:rFonts w:ascii="Times New Roman" w:hAnsi="Times New Roman"/>
          <w:color w:val="000000"/>
          <w:sz w:val="28"/>
          <w:szCs w:val="28"/>
          <w:lang w:val="ro-MD"/>
        </w:rPr>
        <w:t xml:space="preserve"> 2017</w:t>
      </w:r>
      <w:r w:rsidR="000261D8">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de către SV au fost depistate 47 cazuri </w:t>
      </w:r>
      <w:r w:rsidR="000261D8">
        <w:rPr>
          <w:rFonts w:ascii="Times New Roman" w:hAnsi="Times New Roman"/>
          <w:color w:val="000000"/>
          <w:sz w:val="28"/>
          <w:szCs w:val="28"/>
          <w:lang w:val="ro-MD"/>
        </w:rPr>
        <w:t>de</w:t>
      </w:r>
      <w:r w:rsidRPr="001D0846">
        <w:rPr>
          <w:rFonts w:ascii="Times New Roman" w:hAnsi="Times New Roman"/>
          <w:color w:val="000000"/>
          <w:sz w:val="28"/>
          <w:szCs w:val="28"/>
          <w:lang w:val="ro-MD"/>
        </w:rPr>
        <w:t xml:space="preserve"> nerespectare</w:t>
      </w:r>
      <w:r w:rsidR="000261D8">
        <w:rPr>
          <w:rFonts w:ascii="Times New Roman" w:hAnsi="Times New Roman"/>
          <w:color w:val="000000"/>
          <w:sz w:val="28"/>
          <w:szCs w:val="28"/>
          <w:lang w:val="ro-MD"/>
        </w:rPr>
        <w:t xml:space="preserve"> </w:t>
      </w:r>
      <w:r w:rsidRPr="001D0846">
        <w:rPr>
          <w:rFonts w:ascii="Times New Roman" w:hAnsi="Times New Roman"/>
          <w:color w:val="000000"/>
          <w:sz w:val="28"/>
          <w:szCs w:val="28"/>
          <w:lang w:val="ro-MD"/>
        </w:rPr>
        <w:t xml:space="preserve">a condițiilor aferente scutirilor aplicate la importul mijloacelor fixe destinate </w:t>
      </w:r>
      <w:r w:rsidR="000261D8">
        <w:rPr>
          <w:rFonts w:ascii="Times New Roman" w:hAnsi="Times New Roman"/>
          <w:color w:val="000000"/>
          <w:sz w:val="28"/>
          <w:szCs w:val="28"/>
          <w:lang w:val="ro-MD"/>
        </w:rPr>
        <w:t>i</w:t>
      </w:r>
      <w:r w:rsidRPr="001D0846">
        <w:rPr>
          <w:rFonts w:ascii="Times New Roman" w:hAnsi="Times New Roman"/>
          <w:color w:val="000000"/>
          <w:sz w:val="28"/>
          <w:szCs w:val="28"/>
          <w:lang w:val="ro-MD"/>
        </w:rPr>
        <w:t>ntroducerii în capitalul statutar, fiind recalculate drepturi de import/export în sumă de 18,9 mil.lei. Analogic</w:t>
      </w:r>
      <w:r w:rsidR="000261D8">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în perioada</w:t>
      </w:r>
      <w:r w:rsidR="000261D8">
        <w:rPr>
          <w:rFonts w:ascii="Times New Roman" w:hAnsi="Times New Roman"/>
          <w:color w:val="000000"/>
          <w:sz w:val="28"/>
          <w:szCs w:val="28"/>
          <w:lang w:val="ro-MD"/>
        </w:rPr>
        <w:t xml:space="preserve"> anilor</w:t>
      </w:r>
      <w:r w:rsidRPr="001D0846">
        <w:rPr>
          <w:rFonts w:ascii="Times New Roman" w:hAnsi="Times New Roman"/>
          <w:color w:val="000000"/>
          <w:sz w:val="28"/>
          <w:szCs w:val="28"/>
          <w:lang w:val="ro-MD"/>
        </w:rPr>
        <w:t xml:space="preserve"> 2015</w:t>
      </w:r>
      <w:r w:rsidR="000261D8">
        <w:rPr>
          <w:rFonts w:ascii="Times New Roman" w:hAnsi="Times New Roman"/>
          <w:color w:val="000000"/>
          <w:sz w:val="28"/>
          <w:szCs w:val="28"/>
          <w:lang w:val="ro-MD"/>
        </w:rPr>
        <w:t xml:space="preserve"> și </w:t>
      </w:r>
      <w:r w:rsidRPr="001D0846">
        <w:rPr>
          <w:rFonts w:ascii="Times New Roman" w:hAnsi="Times New Roman"/>
          <w:color w:val="000000"/>
          <w:sz w:val="28"/>
          <w:szCs w:val="28"/>
          <w:lang w:val="ro-MD"/>
        </w:rPr>
        <w:t xml:space="preserve">2016 </w:t>
      </w:r>
      <w:r w:rsidR="000261D8">
        <w:rPr>
          <w:rFonts w:ascii="Times New Roman" w:hAnsi="Times New Roman"/>
          <w:color w:val="000000"/>
          <w:sz w:val="28"/>
          <w:szCs w:val="28"/>
          <w:lang w:val="ro-MD"/>
        </w:rPr>
        <w:t>s-</w:t>
      </w:r>
      <w:r w:rsidRPr="001D0846">
        <w:rPr>
          <w:rFonts w:ascii="Times New Roman" w:hAnsi="Times New Roman"/>
          <w:color w:val="000000"/>
          <w:sz w:val="28"/>
          <w:szCs w:val="28"/>
          <w:lang w:val="ro-MD"/>
        </w:rPr>
        <w:t>au depistat 92 cazuri și</w:t>
      </w:r>
      <w:r w:rsidR="000261D8">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respectiv</w:t>
      </w:r>
      <w:r w:rsidR="000261D8">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51</w:t>
      </w:r>
      <w:r w:rsidR="000261D8">
        <w:rPr>
          <w:rFonts w:ascii="Times New Roman" w:hAnsi="Times New Roman"/>
          <w:color w:val="000000"/>
          <w:sz w:val="28"/>
          <w:szCs w:val="28"/>
          <w:lang w:val="ro-MD"/>
        </w:rPr>
        <w:t xml:space="preserve"> </w:t>
      </w:r>
      <w:r w:rsidRPr="001D0846">
        <w:rPr>
          <w:rFonts w:ascii="Times New Roman" w:hAnsi="Times New Roman"/>
          <w:color w:val="000000"/>
          <w:sz w:val="28"/>
          <w:szCs w:val="28"/>
          <w:lang w:val="ro-MD"/>
        </w:rPr>
        <w:t>cazuri, fiind calculate suplimentar obligații vamale în sumă de 10,9 mil.lei și</w:t>
      </w:r>
      <w:r w:rsidR="000261D8">
        <w:rPr>
          <w:rFonts w:ascii="Times New Roman" w:hAnsi="Times New Roman"/>
          <w:color w:val="000000"/>
          <w:sz w:val="28"/>
          <w:szCs w:val="28"/>
          <w:lang w:val="ro-MD"/>
        </w:rPr>
        <w:t>,</w:t>
      </w:r>
      <w:r w:rsidRPr="001D0846">
        <w:rPr>
          <w:rFonts w:ascii="Times New Roman" w:hAnsi="Times New Roman"/>
          <w:color w:val="000000"/>
          <w:sz w:val="28"/>
          <w:szCs w:val="28"/>
          <w:lang w:val="ro-MD"/>
        </w:rPr>
        <w:t xml:space="preserve"> respectiv</w:t>
      </w:r>
      <w:r w:rsidR="000261D8">
        <w:rPr>
          <w:rFonts w:ascii="Times New Roman" w:hAnsi="Times New Roman"/>
          <w:color w:val="000000"/>
          <w:sz w:val="28"/>
          <w:szCs w:val="28"/>
          <w:lang w:val="ro-MD"/>
        </w:rPr>
        <w:t xml:space="preserve">, </w:t>
      </w:r>
      <w:r w:rsidRPr="001D0846">
        <w:rPr>
          <w:rFonts w:ascii="Times New Roman" w:hAnsi="Times New Roman"/>
          <w:color w:val="000000"/>
          <w:sz w:val="28"/>
          <w:szCs w:val="28"/>
          <w:lang w:val="ro-MD"/>
        </w:rPr>
        <w:t>7,8 mil.lei. Totodată, la 7 agenți economici c</w:t>
      </w:r>
      <w:r w:rsidR="000261D8">
        <w:rPr>
          <w:rFonts w:ascii="Times New Roman" w:hAnsi="Times New Roman"/>
          <w:color w:val="000000"/>
          <w:sz w:val="28"/>
          <w:szCs w:val="28"/>
          <w:lang w:val="ro-MD"/>
        </w:rPr>
        <w:t>ar</w:t>
      </w:r>
      <w:r w:rsidRPr="001D0846">
        <w:rPr>
          <w:rFonts w:ascii="Times New Roman" w:hAnsi="Times New Roman"/>
          <w:color w:val="000000"/>
          <w:sz w:val="28"/>
          <w:szCs w:val="28"/>
          <w:lang w:val="ro-MD"/>
        </w:rPr>
        <w:t>e practică activitate farmaceutică au fost recalculate în anul 2017 drepturile de import/export prin calcularea suplimentară a obligației vamale în sumă de 15,9 mil.lei pentru nerespectarea condițiilor aferente scutirilor aplicate în domeniu</w:t>
      </w:r>
      <w:r w:rsidR="000261D8">
        <w:rPr>
          <w:rFonts w:ascii="Times New Roman" w:hAnsi="Times New Roman"/>
          <w:color w:val="000000"/>
          <w:sz w:val="28"/>
          <w:szCs w:val="28"/>
          <w:lang w:val="ro-MD"/>
        </w:rPr>
        <w:t>l</w:t>
      </w:r>
      <w:r w:rsidRPr="001D0846">
        <w:rPr>
          <w:rFonts w:ascii="Times New Roman" w:hAnsi="Times New Roman"/>
          <w:color w:val="000000"/>
          <w:sz w:val="28"/>
          <w:szCs w:val="28"/>
          <w:lang w:val="ro-MD"/>
        </w:rPr>
        <w:t xml:space="preserve"> menționat.</w:t>
      </w:r>
    </w:p>
    <w:p w:rsidR="005772B2" w:rsidRPr="001D0846" w:rsidRDefault="005772B2" w:rsidP="00C77119">
      <w:pPr>
        <w:tabs>
          <w:tab w:val="left" w:pos="0"/>
        </w:tabs>
        <w:spacing w:after="0" w:line="276" w:lineRule="auto"/>
        <w:ind w:firstLine="709"/>
        <w:jc w:val="both"/>
        <w:rPr>
          <w:rFonts w:ascii="Times New Roman" w:hAnsi="Times New Roman"/>
          <w:sz w:val="28"/>
          <w:szCs w:val="28"/>
        </w:rPr>
      </w:pPr>
      <w:r w:rsidRPr="001D0846">
        <w:rPr>
          <w:rFonts w:ascii="Times New Roman" w:hAnsi="Times New Roman"/>
          <w:sz w:val="28"/>
          <w:szCs w:val="28"/>
        </w:rPr>
        <w:tab/>
        <w:t xml:space="preserve">Auditul remarcă că în </w:t>
      </w:r>
      <w:r w:rsidR="000261D8">
        <w:rPr>
          <w:rFonts w:ascii="Times New Roman" w:hAnsi="Times New Roman"/>
          <w:sz w:val="28"/>
          <w:szCs w:val="28"/>
        </w:rPr>
        <w:t>anul</w:t>
      </w:r>
      <w:r w:rsidRPr="001D0846">
        <w:rPr>
          <w:rFonts w:ascii="Times New Roman" w:hAnsi="Times New Roman"/>
          <w:sz w:val="28"/>
          <w:szCs w:val="28"/>
        </w:rPr>
        <w:t xml:space="preserve"> 2017</w:t>
      </w:r>
      <w:r w:rsidR="00135D3E">
        <w:rPr>
          <w:rFonts w:ascii="Times New Roman" w:hAnsi="Times New Roman"/>
          <w:sz w:val="28"/>
          <w:szCs w:val="28"/>
        </w:rPr>
        <w:t>,</w:t>
      </w:r>
      <w:r w:rsidRPr="001D0846">
        <w:rPr>
          <w:rFonts w:ascii="Times New Roman" w:hAnsi="Times New Roman"/>
          <w:sz w:val="28"/>
          <w:szCs w:val="28"/>
        </w:rPr>
        <w:t xml:space="preserve"> din numărul total al obligațiilor vamale recalculate, </w:t>
      </w:r>
      <w:r w:rsidR="00135D3E" w:rsidRPr="001D0846">
        <w:rPr>
          <w:rFonts w:ascii="Times New Roman" w:hAnsi="Times New Roman"/>
          <w:sz w:val="28"/>
          <w:szCs w:val="28"/>
        </w:rPr>
        <w:t xml:space="preserve">au fost contestate </w:t>
      </w:r>
      <w:r w:rsidRPr="001D0846">
        <w:rPr>
          <w:rFonts w:ascii="Times New Roman" w:hAnsi="Times New Roman"/>
          <w:sz w:val="28"/>
          <w:szCs w:val="28"/>
        </w:rPr>
        <w:t>obligații în sumă de 18,7 mil.lei, în rezultatul examinării c</w:t>
      </w:r>
      <w:r w:rsidR="00135D3E">
        <w:rPr>
          <w:rFonts w:ascii="Times New Roman" w:hAnsi="Times New Roman"/>
          <w:sz w:val="28"/>
          <w:szCs w:val="28"/>
        </w:rPr>
        <w:t>ărora</w:t>
      </w:r>
      <w:r w:rsidRPr="001D0846">
        <w:rPr>
          <w:rFonts w:ascii="Times New Roman" w:hAnsi="Times New Roman"/>
          <w:sz w:val="28"/>
          <w:szCs w:val="28"/>
        </w:rPr>
        <w:t xml:space="preserve"> </w:t>
      </w:r>
      <w:r w:rsidR="00135D3E">
        <w:rPr>
          <w:rFonts w:ascii="Times New Roman" w:hAnsi="Times New Roman"/>
          <w:sz w:val="28"/>
          <w:szCs w:val="28"/>
        </w:rPr>
        <w:t xml:space="preserve">s-au anulat </w:t>
      </w:r>
      <w:r w:rsidRPr="001D0846">
        <w:rPr>
          <w:rFonts w:ascii="Times New Roman" w:hAnsi="Times New Roman"/>
          <w:sz w:val="28"/>
          <w:szCs w:val="28"/>
        </w:rPr>
        <w:t>obligații în sumă de 3,7 mil.lei. Totodată, în baza hotăr</w:t>
      </w:r>
      <w:r w:rsidR="00135D3E">
        <w:rPr>
          <w:rFonts w:ascii="Times New Roman" w:hAnsi="Times New Roman"/>
          <w:sz w:val="28"/>
          <w:szCs w:val="28"/>
        </w:rPr>
        <w:t>â</w:t>
      </w:r>
      <w:r w:rsidRPr="001D0846">
        <w:rPr>
          <w:rFonts w:ascii="Times New Roman" w:hAnsi="Times New Roman"/>
          <w:sz w:val="28"/>
          <w:szCs w:val="28"/>
        </w:rPr>
        <w:t>rilor de judecată</w:t>
      </w:r>
      <w:r w:rsidR="00135D3E">
        <w:rPr>
          <w:rFonts w:ascii="Times New Roman" w:hAnsi="Times New Roman"/>
          <w:sz w:val="28"/>
          <w:szCs w:val="28"/>
        </w:rPr>
        <w:t>,</w:t>
      </w:r>
      <w:r w:rsidRPr="001D0846">
        <w:rPr>
          <w:rFonts w:ascii="Times New Roman" w:hAnsi="Times New Roman"/>
          <w:sz w:val="28"/>
          <w:szCs w:val="28"/>
        </w:rPr>
        <w:t xml:space="preserve"> </w:t>
      </w:r>
      <w:r w:rsidR="00135D3E">
        <w:rPr>
          <w:rFonts w:ascii="Times New Roman" w:hAnsi="Times New Roman"/>
          <w:sz w:val="28"/>
          <w:szCs w:val="28"/>
        </w:rPr>
        <w:t>s-</w:t>
      </w:r>
      <w:r w:rsidRPr="001D0846">
        <w:rPr>
          <w:rFonts w:ascii="Times New Roman" w:hAnsi="Times New Roman"/>
          <w:sz w:val="28"/>
          <w:szCs w:val="28"/>
        </w:rPr>
        <w:t>au anulat obligații vamale recalculate în sumă de 7,2 mil.lei. Analogic</w:t>
      </w:r>
      <w:r w:rsidR="00135D3E">
        <w:rPr>
          <w:rFonts w:ascii="Times New Roman" w:hAnsi="Times New Roman"/>
          <w:sz w:val="28"/>
          <w:szCs w:val="28"/>
        </w:rPr>
        <w:t>,</w:t>
      </w:r>
      <w:r w:rsidRPr="001D0846">
        <w:rPr>
          <w:rFonts w:ascii="Times New Roman" w:hAnsi="Times New Roman"/>
          <w:sz w:val="28"/>
          <w:szCs w:val="28"/>
        </w:rPr>
        <w:t xml:space="preserve"> în </w:t>
      </w:r>
      <w:r w:rsidR="00135D3E">
        <w:rPr>
          <w:rFonts w:ascii="Times New Roman" w:hAnsi="Times New Roman"/>
          <w:sz w:val="28"/>
          <w:szCs w:val="28"/>
        </w:rPr>
        <w:t>anul</w:t>
      </w:r>
      <w:r w:rsidRPr="001D0846">
        <w:rPr>
          <w:rFonts w:ascii="Times New Roman" w:hAnsi="Times New Roman"/>
          <w:sz w:val="28"/>
          <w:szCs w:val="28"/>
        </w:rPr>
        <w:t xml:space="preserve"> 2016 au fost contestate obligații vamale în sumă de 17,7 mil.lei</w:t>
      </w:r>
      <w:r w:rsidR="00135D3E">
        <w:rPr>
          <w:rFonts w:ascii="Times New Roman" w:hAnsi="Times New Roman"/>
          <w:sz w:val="28"/>
          <w:szCs w:val="28"/>
        </w:rPr>
        <w:t xml:space="preserve"> și</w:t>
      </w:r>
      <w:r w:rsidRPr="001D0846">
        <w:rPr>
          <w:rFonts w:ascii="Times New Roman" w:hAnsi="Times New Roman"/>
          <w:sz w:val="28"/>
          <w:szCs w:val="28"/>
        </w:rPr>
        <w:t xml:space="preserve"> </w:t>
      </w:r>
      <w:r w:rsidR="00135D3E" w:rsidRPr="001D0846">
        <w:rPr>
          <w:rFonts w:ascii="Times New Roman" w:hAnsi="Times New Roman"/>
          <w:sz w:val="28"/>
          <w:szCs w:val="28"/>
        </w:rPr>
        <w:t>în rezul</w:t>
      </w:r>
      <w:r w:rsidR="00135D3E">
        <w:rPr>
          <w:rFonts w:ascii="Times New Roman" w:hAnsi="Times New Roman"/>
          <w:sz w:val="28"/>
          <w:szCs w:val="28"/>
        </w:rPr>
        <w:t>tatul examinării lor</w:t>
      </w:r>
      <w:r w:rsidRPr="001D0846">
        <w:rPr>
          <w:rFonts w:ascii="Times New Roman" w:hAnsi="Times New Roman"/>
          <w:sz w:val="28"/>
          <w:szCs w:val="28"/>
        </w:rPr>
        <w:t xml:space="preserve"> </w:t>
      </w:r>
      <w:r w:rsidR="00135D3E">
        <w:rPr>
          <w:rFonts w:ascii="Times New Roman" w:hAnsi="Times New Roman"/>
          <w:sz w:val="28"/>
          <w:szCs w:val="28"/>
        </w:rPr>
        <w:t xml:space="preserve">s-au </w:t>
      </w:r>
      <w:r w:rsidRPr="001D0846">
        <w:rPr>
          <w:rFonts w:ascii="Times New Roman" w:hAnsi="Times New Roman"/>
          <w:sz w:val="28"/>
          <w:szCs w:val="28"/>
        </w:rPr>
        <w:t xml:space="preserve">anulat obligații în sumă de 0,8 mil.lei. </w:t>
      </w:r>
      <w:r w:rsidR="000A59C4">
        <w:rPr>
          <w:rFonts w:ascii="Times New Roman" w:hAnsi="Times New Roman"/>
          <w:sz w:val="28"/>
          <w:szCs w:val="28"/>
        </w:rPr>
        <w:t>În</w:t>
      </w:r>
      <w:r w:rsidRPr="001D0846">
        <w:rPr>
          <w:rFonts w:ascii="Times New Roman" w:hAnsi="Times New Roman"/>
          <w:sz w:val="28"/>
          <w:szCs w:val="28"/>
        </w:rPr>
        <w:t xml:space="preserve"> baza hotăr</w:t>
      </w:r>
      <w:r w:rsidR="00135D3E">
        <w:rPr>
          <w:rFonts w:ascii="Times New Roman" w:hAnsi="Times New Roman"/>
          <w:sz w:val="28"/>
          <w:szCs w:val="28"/>
        </w:rPr>
        <w:t>â</w:t>
      </w:r>
      <w:r w:rsidRPr="001D0846">
        <w:rPr>
          <w:rFonts w:ascii="Times New Roman" w:hAnsi="Times New Roman"/>
          <w:sz w:val="28"/>
          <w:szCs w:val="28"/>
        </w:rPr>
        <w:t>rilor de judecată</w:t>
      </w:r>
      <w:r w:rsidR="00135D3E">
        <w:rPr>
          <w:rFonts w:ascii="Times New Roman" w:hAnsi="Times New Roman"/>
          <w:sz w:val="28"/>
          <w:szCs w:val="28"/>
        </w:rPr>
        <w:t>,</w:t>
      </w:r>
      <w:r w:rsidRPr="001D0846">
        <w:rPr>
          <w:rFonts w:ascii="Times New Roman" w:hAnsi="Times New Roman"/>
          <w:sz w:val="28"/>
          <w:szCs w:val="28"/>
        </w:rPr>
        <w:t xml:space="preserve"> au fost anulate obligații vamale recalculate în sumă de 8,8 mil.lei.</w:t>
      </w:r>
    </w:p>
    <w:p w:rsidR="003C4B9E" w:rsidRDefault="003C4B9E" w:rsidP="00C77119">
      <w:pPr>
        <w:pStyle w:val="1"/>
        <w:spacing w:before="0" w:line="276" w:lineRule="auto"/>
        <w:ind w:firstLine="709"/>
        <w:jc w:val="both"/>
        <w:rPr>
          <w:rFonts w:ascii="Times New Roman" w:hAnsi="Times New Roman" w:cs="Times New Roman"/>
          <w:b/>
          <w:color w:val="auto"/>
          <w:sz w:val="28"/>
          <w:szCs w:val="28"/>
        </w:rPr>
      </w:pPr>
    </w:p>
    <w:p w:rsidR="00C77119" w:rsidRPr="00C77119" w:rsidRDefault="00C77119" w:rsidP="00CA01B8">
      <w:pPr>
        <w:pStyle w:val="1"/>
        <w:spacing w:before="0" w:line="276" w:lineRule="auto"/>
        <w:jc w:val="both"/>
        <w:rPr>
          <w:rFonts w:ascii="Times New Roman" w:hAnsi="Times New Roman" w:cs="Times New Roman"/>
          <w:b/>
          <w:color w:val="auto"/>
          <w:sz w:val="28"/>
          <w:szCs w:val="28"/>
        </w:rPr>
      </w:pPr>
      <w:bookmarkStart w:id="18" w:name="_Toc515894894"/>
      <w:r w:rsidRPr="00C77119">
        <w:rPr>
          <w:rFonts w:ascii="Times New Roman" w:hAnsi="Times New Roman" w:cs="Times New Roman"/>
          <w:b/>
          <w:color w:val="auto"/>
          <w:sz w:val="28"/>
          <w:szCs w:val="28"/>
        </w:rPr>
        <w:t>3.8. Implementarea de către organele fiscale și vamale a recomandărilor auditurilor precedente ale Curții de Conturi.</w:t>
      </w:r>
      <w:bookmarkEnd w:id="18"/>
    </w:p>
    <w:p w:rsidR="002F3B1F" w:rsidRPr="00FE0B45" w:rsidRDefault="00FE0B45" w:rsidP="00C77119">
      <w:pPr>
        <w:spacing w:after="0" w:line="276" w:lineRule="auto"/>
        <w:ind w:firstLine="709"/>
        <w:jc w:val="both"/>
        <w:rPr>
          <w:rFonts w:ascii="Times New Roman" w:hAnsi="Times New Roman" w:cs="Times New Roman"/>
          <w:i/>
          <w:sz w:val="28"/>
          <w:szCs w:val="28"/>
          <w:lang w:val="ro-MD"/>
        </w:rPr>
      </w:pPr>
      <w:r w:rsidRPr="00FE0B45">
        <w:rPr>
          <w:rFonts w:ascii="Times New Roman" w:eastAsia="Times New Roman" w:hAnsi="Times New Roman"/>
          <w:b/>
          <w:i/>
          <w:sz w:val="28"/>
          <w:szCs w:val="28"/>
          <w:lang w:val="ro-MD" w:eastAsia="ru-RU"/>
        </w:rPr>
        <w:t>3.8.1.</w:t>
      </w:r>
      <w:r>
        <w:rPr>
          <w:rFonts w:ascii="Times New Roman" w:eastAsia="Times New Roman" w:hAnsi="Times New Roman"/>
          <w:sz w:val="28"/>
          <w:szCs w:val="28"/>
          <w:lang w:val="ro-MD" w:eastAsia="ru-RU"/>
        </w:rPr>
        <w:t xml:space="preserve"> </w:t>
      </w:r>
      <w:r w:rsidR="00C77119" w:rsidRPr="00C77119">
        <w:rPr>
          <w:rFonts w:ascii="Times New Roman" w:eastAsia="Times New Roman" w:hAnsi="Times New Roman"/>
          <w:sz w:val="28"/>
          <w:szCs w:val="28"/>
          <w:lang w:val="ro-MD" w:eastAsia="ru-RU"/>
        </w:rPr>
        <w:t xml:space="preserve">Verificarea </w:t>
      </w:r>
      <w:r w:rsidR="004621B8">
        <w:rPr>
          <w:rFonts w:ascii="Times New Roman" w:eastAsia="Times New Roman" w:hAnsi="Times New Roman"/>
          <w:sz w:val="28"/>
          <w:szCs w:val="28"/>
          <w:lang w:val="ro-MD" w:eastAsia="ru-RU"/>
        </w:rPr>
        <w:t xml:space="preserve">executării cerințelor și </w:t>
      </w:r>
      <w:r w:rsidR="002F3B1F">
        <w:rPr>
          <w:rFonts w:ascii="Times New Roman" w:eastAsia="Times New Roman" w:hAnsi="Times New Roman"/>
          <w:sz w:val="28"/>
          <w:szCs w:val="28"/>
          <w:lang w:val="ro-MD" w:eastAsia="ru-RU"/>
        </w:rPr>
        <w:t>implementării</w:t>
      </w:r>
      <w:r w:rsidR="00C77119" w:rsidRPr="00C77119">
        <w:rPr>
          <w:rFonts w:ascii="Times New Roman" w:hAnsi="Times New Roman"/>
          <w:sz w:val="28"/>
          <w:szCs w:val="28"/>
          <w:lang w:val="ro-MD"/>
        </w:rPr>
        <w:t xml:space="preserve"> recomandărilor din </w:t>
      </w:r>
      <w:r w:rsidR="00C77119" w:rsidRPr="00FE0B45">
        <w:rPr>
          <w:rFonts w:ascii="Times New Roman" w:hAnsi="Times New Roman" w:cs="Times New Roman"/>
          <w:i/>
          <w:sz w:val="28"/>
          <w:szCs w:val="28"/>
          <w:lang w:val="ro-MD"/>
        </w:rPr>
        <w:t>Hotărârea Curții de</w:t>
      </w:r>
      <w:r w:rsidR="002F3B1F" w:rsidRPr="00FE0B45">
        <w:rPr>
          <w:rFonts w:ascii="Times New Roman" w:hAnsi="Times New Roman" w:cs="Times New Roman"/>
          <w:i/>
          <w:sz w:val="28"/>
          <w:szCs w:val="28"/>
          <w:lang w:val="ro-MD"/>
        </w:rPr>
        <w:t xml:space="preserve"> Conturi nr.44 din 20.11.2015</w:t>
      </w:r>
      <w:r>
        <w:rPr>
          <w:rFonts w:ascii="Times New Roman" w:hAnsi="Times New Roman" w:cs="Times New Roman"/>
          <w:i/>
          <w:sz w:val="28"/>
          <w:szCs w:val="28"/>
          <w:lang w:val="ro-MD"/>
        </w:rPr>
        <w:t xml:space="preserve"> </w:t>
      </w:r>
      <w:r w:rsidR="00C77119" w:rsidRPr="00FE0B45">
        <w:rPr>
          <w:rFonts w:ascii="Times New Roman" w:hAnsi="Times New Roman" w:cs="Times New Roman"/>
          <w:i/>
          <w:sz w:val="28"/>
          <w:szCs w:val="28"/>
          <w:lang w:val="ro-MD"/>
        </w:rPr>
        <w:t>privind Raportul auditului performanței sistemului ad</w:t>
      </w:r>
      <w:r w:rsidR="002F3B1F" w:rsidRPr="00FE0B45">
        <w:rPr>
          <w:rFonts w:ascii="Times New Roman" w:hAnsi="Times New Roman" w:cs="Times New Roman"/>
          <w:i/>
          <w:sz w:val="28"/>
          <w:szCs w:val="28"/>
          <w:lang w:val="ro-MD"/>
        </w:rPr>
        <w:t>ministrării veniturilor publice</w:t>
      </w:r>
      <w:r w:rsidR="002F3B1F">
        <w:rPr>
          <w:rFonts w:ascii="Times New Roman" w:hAnsi="Times New Roman" w:cs="Times New Roman"/>
          <w:sz w:val="28"/>
          <w:szCs w:val="28"/>
          <w:lang w:val="ro-MD"/>
        </w:rPr>
        <w:t xml:space="preserve"> (</w:t>
      </w:r>
      <w:r>
        <w:rPr>
          <w:rFonts w:ascii="Times New Roman" w:hAnsi="Times New Roman" w:cs="Times New Roman"/>
          <w:sz w:val="28"/>
          <w:szCs w:val="28"/>
          <w:lang w:val="ro-MD"/>
        </w:rPr>
        <w:t>termen</w:t>
      </w:r>
      <w:r w:rsidR="00135D3E">
        <w:rPr>
          <w:rFonts w:ascii="Times New Roman" w:hAnsi="Times New Roman" w:cs="Times New Roman"/>
          <w:sz w:val="28"/>
          <w:szCs w:val="28"/>
          <w:lang w:val="ro-MD"/>
        </w:rPr>
        <w:t>ul</w:t>
      </w:r>
      <w:r w:rsidR="00C77119" w:rsidRPr="001D0846">
        <w:rPr>
          <w:rFonts w:ascii="Times New Roman" w:hAnsi="Times New Roman" w:cs="Times New Roman"/>
          <w:sz w:val="28"/>
          <w:szCs w:val="28"/>
          <w:lang w:val="ro-MD"/>
        </w:rPr>
        <w:t xml:space="preserve"> de executare 18 luni din data publicării în M.O. al RM  din 15.01.2016</w:t>
      </w:r>
      <w:r w:rsidR="002F3B1F">
        <w:rPr>
          <w:rFonts w:ascii="Times New Roman" w:hAnsi="Times New Roman" w:cs="Times New Roman"/>
          <w:sz w:val="28"/>
          <w:szCs w:val="28"/>
          <w:lang w:val="ro-MD"/>
        </w:rPr>
        <w:t>)</w:t>
      </w:r>
      <w:r w:rsidR="00C77119" w:rsidRPr="001D0846">
        <w:rPr>
          <w:rFonts w:ascii="Times New Roman" w:hAnsi="Times New Roman" w:cs="Times New Roman"/>
          <w:sz w:val="28"/>
          <w:szCs w:val="28"/>
          <w:lang w:val="ro-MD"/>
        </w:rPr>
        <w:t xml:space="preserve"> relevă că</w:t>
      </w:r>
      <w:r w:rsidR="00135D3E">
        <w:rPr>
          <w:rFonts w:ascii="Times New Roman" w:hAnsi="Times New Roman" w:cs="Times New Roman"/>
          <w:sz w:val="28"/>
          <w:szCs w:val="28"/>
          <w:lang w:val="ro-MD"/>
        </w:rPr>
        <w:t>,</w:t>
      </w:r>
      <w:r w:rsidR="00C77119" w:rsidRPr="001D0846">
        <w:rPr>
          <w:rFonts w:ascii="Times New Roman" w:hAnsi="Times New Roman" w:cs="Times New Roman"/>
          <w:sz w:val="28"/>
          <w:szCs w:val="28"/>
          <w:lang w:val="ro-MD"/>
        </w:rPr>
        <w:t xml:space="preserve"> în total</w:t>
      </w:r>
      <w:r w:rsidR="00135D3E">
        <w:rPr>
          <w:rFonts w:ascii="Times New Roman" w:hAnsi="Times New Roman" w:cs="Times New Roman"/>
          <w:sz w:val="28"/>
          <w:szCs w:val="28"/>
          <w:lang w:val="ro-MD"/>
        </w:rPr>
        <w:t>,</w:t>
      </w:r>
      <w:r w:rsidR="00C77119" w:rsidRPr="001D0846">
        <w:rPr>
          <w:rFonts w:ascii="Times New Roman" w:hAnsi="Times New Roman" w:cs="Times New Roman"/>
          <w:sz w:val="28"/>
          <w:szCs w:val="28"/>
          <w:lang w:val="ro-MD"/>
        </w:rPr>
        <w:t xml:space="preserve"> au fost înaintate 12 cerințe și 35 recomandări, dintre care MF, SFS și S</w:t>
      </w:r>
      <w:r w:rsidR="002F3B1F">
        <w:rPr>
          <w:rFonts w:ascii="Times New Roman" w:hAnsi="Times New Roman" w:cs="Times New Roman"/>
          <w:sz w:val="28"/>
          <w:szCs w:val="28"/>
          <w:lang w:val="ro-MD"/>
        </w:rPr>
        <w:t xml:space="preserve">V - 5 cerințe și 30 recomandări, nivelul de executare </w:t>
      </w:r>
      <w:r>
        <w:rPr>
          <w:rFonts w:ascii="Times New Roman" w:hAnsi="Times New Roman" w:cs="Times New Roman"/>
          <w:sz w:val="28"/>
          <w:szCs w:val="28"/>
          <w:lang w:val="ro-MD"/>
        </w:rPr>
        <w:t xml:space="preserve">a acestora </w:t>
      </w:r>
      <w:r w:rsidR="002F3B1F">
        <w:rPr>
          <w:rFonts w:ascii="Times New Roman" w:hAnsi="Times New Roman" w:cs="Times New Roman"/>
          <w:sz w:val="28"/>
          <w:szCs w:val="28"/>
          <w:lang w:val="ro-MD"/>
        </w:rPr>
        <w:t>constituind</w:t>
      </w:r>
      <w:r>
        <w:rPr>
          <w:rFonts w:ascii="Times New Roman" w:hAnsi="Times New Roman" w:cs="Times New Roman"/>
          <w:sz w:val="28"/>
          <w:szCs w:val="28"/>
          <w:lang w:val="ro-MD"/>
        </w:rPr>
        <w:t xml:space="preserve"> </w:t>
      </w:r>
      <w:r w:rsidR="002F3B1F">
        <w:rPr>
          <w:rFonts w:ascii="Times New Roman" w:hAnsi="Times New Roman" w:cs="Times New Roman"/>
          <w:sz w:val="28"/>
          <w:szCs w:val="28"/>
          <w:lang w:val="ro-MD"/>
        </w:rPr>
        <w:t xml:space="preserve">57,2%. </w:t>
      </w:r>
      <w:r w:rsidRPr="00FE0B45">
        <w:rPr>
          <w:rFonts w:ascii="Times New Roman" w:hAnsi="Times New Roman" w:cs="Times New Roman"/>
          <w:i/>
          <w:sz w:val="28"/>
          <w:szCs w:val="28"/>
          <w:lang w:val="ro-MD"/>
        </w:rPr>
        <w:t xml:space="preserve">Informația privind </w:t>
      </w:r>
      <w:r>
        <w:rPr>
          <w:rFonts w:ascii="Times New Roman" w:hAnsi="Times New Roman" w:cs="Times New Roman"/>
          <w:i/>
          <w:sz w:val="28"/>
          <w:szCs w:val="28"/>
          <w:lang w:val="ro-MD"/>
        </w:rPr>
        <w:t xml:space="preserve">nivelul de </w:t>
      </w:r>
      <w:r w:rsidRPr="00FE0B45">
        <w:rPr>
          <w:rFonts w:ascii="Times New Roman" w:hAnsi="Times New Roman" w:cs="Times New Roman"/>
          <w:i/>
          <w:sz w:val="28"/>
          <w:szCs w:val="28"/>
          <w:lang w:val="ro-MD"/>
        </w:rPr>
        <w:t>executare</w:t>
      </w:r>
      <w:r>
        <w:rPr>
          <w:rFonts w:ascii="Times New Roman" w:hAnsi="Times New Roman" w:cs="Times New Roman"/>
          <w:i/>
          <w:sz w:val="28"/>
          <w:szCs w:val="28"/>
          <w:lang w:val="ro-MD"/>
        </w:rPr>
        <w:t xml:space="preserve"> </w:t>
      </w:r>
      <w:r w:rsidRPr="00FE0B45">
        <w:rPr>
          <w:rFonts w:ascii="Times New Roman" w:hAnsi="Times New Roman" w:cs="Times New Roman"/>
          <w:i/>
          <w:sz w:val="28"/>
          <w:szCs w:val="28"/>
          <w:lang w:val="ro-MD"/>
        </w:rPr>
        <w:t xml:space="preserve">a hotărârii menționate </w:t>
      </w:r>
      <w:r w:rsidR="00135D3E">
        <w:rPr>
          <w:rFonts w:ascii="Times New Roman" w:hAnsi="Times New Roman" w:cs="Times New Roman"/>
          <w:i/>
          <w:sz w:val="28"/>
          <w:szCs w:val="28"/>
          <w:lang w:val="ro-MD"/>
        </w:rPr>
        <w:t>este</w:t>
      </w:r>
      <w:r w:rsidRPr="00FE0B45">
        <w:rPr>
          <w:rFonts w:ascii="Times New Roman" w:hAnsi="Times New Roman" w:cs="Times New Roman"/>
          <w:i/>
          <w:sz w:val="28"/>
          <w:szCs w:val="28"/>
          <w:lang w:val="ro-MD"/>
        </w:rPr>
        <w:t xml:space="preserve"> prez</w:t>
      </w:r>
      <w:r w:rsidR="00135D3E">
        <w:rPr>
          <w:rFonts w:ascii="Times New Roman" w:hAnsi="Times New Roman" w:cs="Times New Roman"/>
          <w:i/>
          <w:sz w:val="28"/>
          <w:szCs w:val="28"/>
          <w:lang w:val="ro-MD"/>
        </w:rPr>
        <w:t>enta</w:t>
      </w:r>
      <w:r w:rsidRPr="00FE0B45">
        <w:rPr>
          <w:rFonts w:ascii="Times New Roman" w:hAnsi="Times New Roman" w:cs="Times New Roman"/>
          <w:i/>
          <w:sz w:val="28"/>
          <w:szCs w:val="28"/>
          <w:lang w:val="ro-MD"/>
        </w:rPr>
        <w:t>tă după cum urmează:</w:t>
      </w:r>
    </w:p>
    <w:p w:rsidR="00BF2FD8" w:rsidRDefault="00BF2FD8" w:rsidP="00C77119">
      <w:pPr>
        <w:pStyle w:val="a7"/>
        <w:tabs>
          <w:tab w:val="left" w:pos="360"/>
        </w:tabs>
        <w:spacing w:after="0" w:line="276" w:lineRule="auto"/>
        <w:ind w:left="360" w:firstLine="349"/>
        <w:jc w:val="both"/>
        <w:rPr>
          <w:rFonts w:ascii="Times New Roman" w:hAnsi="Times New Roman" w:cs="Times New Roman"/>
          <w:i/>
          <w:sz w:val="28"/>
          <w:szCs w:val="28"/>
          <w:u w:val="single"/>
          <w:lang w:val="ro-MD"/>
        </w:rPr>
      </w:pPr>
    </w:p>
    <w:p w:rsidR="00C77119" w:rsidRPr="00BF2FD8" w:rsidRDefault="00C77119" w:rsidP="00C77119">
      <w:pPr>
        <w:pStyle w:val="a7"/>
        <w:tabs>
          <w:tab w:val="left" w:pos="360"/>
        </w:tabs>
        <w:spacing w:after="0" w:line="276" w:lineRule="auto"/>
        <w:ind w:left="360" w:firstLine="349"/>
        <w:jc w:val="both"/>
        <w:rPr>
          <w:rFonts w:ascii="Times New Roman" w:hAnsi="Times New Roman" w:cs="Times New Roman"/>
          <w:i/>
          <w:sz w:val="28"/>
          <w:szCs w:val="28"/>
          <w:lang w:val="ro-MD"/>
        </w:rPr>
      </w:pPr>
      <w:r w:rsidRPr="00BF2FD8">
        <w:rPr>
          <w:rFonts w:ascii="Times New Roman" w:hAnsi="Times New Roman" w:cs="Times New Roman"/>
          <w:i/>
          <w:sz w:val="28"/>
          <w:szCs w:val="28"/>
          <w:lang w:val="ro-MD"/>
        </w:rPr>
        <w:t>Cerințe înaintate:</w:t>
      </w:r>
    </w:p>
    <w:p w:rsidR="00C77119" w:rsidRPr="00BF2FD8" w:rsidRDefault="00C77119" w:rsidP="00C77119">
      <w:pPr>
        <w:pStyle w:val="a7"/>
        <w:numPr>
          <w:ilvl w:val="0"/>
          <w:numId w:val="12"/>
        </w:numPr>
        <w:tabs>
          <w:tab w:val="left" w:pos="360"/>
        </w:tabs>
        <w:spacing w:after="0" w:line="276" w:lineRule="auto"/>
        <w:ind w:left="0" w:firstLine="360"/>
        <w:jc w:val="both"/>
        <w:rPr>
          <w:rFonts w:ascii="Times New Roman" w:hAnsi="Times New Roman" w:cs="Times New Roman"/>
          <w:sz w:val="28"/>
          <w:szCs w:val="28"/>
          <w:lang w:val="ro-MD"/>
        </w:rPr>
      </w:pPr>
      <w:r w:rsidRPr="00BF2FD8">
        <w:rPr>
          <w:rFonts w:ascii="Times New Roman" w:hAnsi="Times New Roman" w:cs="Times New Roman"/>
          <w:sz w:val="28"/>
          <w:szCs w:val="28"/>
          <w:lang w:val="ro-MD"/>
        </w:rPr>
        <w:t xml:space="preserve">MF – 3 cerințe, dintre care 1 </w:t>
      </w:r>
      <w:r w:rsidR="000A59C4" w:rsidRPr="00BF2FD8">
        <w:rPr>
          <w:rFonts w:ascii="Times New Roman" w:hAnsi="Times New Roman" w:cs="Times New Roman"/>
          <w:sz w:val="28"/>
          <w:szCs w:val="28"/>
          <w:lang w:val="ro-MD"/>
        </w:rPr>
        <w:t xml:space="preserve">- </w:t>
      </w:r>
      <w:r w:rsidRPr="00BF2FD8">
        <w:rPr>
          <w:rFonts w:ascii="Times New Roman" w:hAnsi="Times New Roman" w:cs="Times New Roman"/>
          <w:sz w:val="28"/>
          <w:szCs w:val="28"/>
          <w:lang w:val="ro-MD"/>
        </w:rPr>
        <w:t xml:space="preserve">realizată, 1 </w:t>
      </w:r>
      <w:r w:rsidR="00135D3E" w:rsidRPr="00BF2FD8">
        <w:rPr>
          <w:rFonts w:ascii="Times New Roman" w:hAnsi="Times New Roman" w:cs="Times New Roman"/>
          <w:sz w:val="28"/>
          <w:szCs w:val="28"/>
          <w:lang w:val="ro-MD"/>
        </w:rPr>
        <w:t xml:space="preserve">- </w:t>
      </w:r>
      <w:r w:rsidRPr="00BF2FD8">
        <w:rPr>
          <w:rFonts w:ascii="Times New Roman" w:hAnsi="Times New Roman" w:cs="Times New Roman"/>
          <w:sz w:val="28"/>
          <w:szCs w:val="28"/>
          <w:lang w:val="ro-MD"/>
        </w:rPr>
        <w:t>parțial realizată</w:t>
      </w:r>
      <w:r w:rsidR="00135D3E" w:rsidRPr="00BF2FD8">
        <w:rPr>
          <w:rFonts w:ascii="Times New Roman" w:hAnsi="Times New Roman" w:cs="Times New Roman"/>
          <w:sz w:val="28"/>
          <w:szCs w:val="28"/>
          <w:lang w:val="ro-MD"/>
        </w:rPr>
        <w:t>,</w:t>
      </w:r>
      <w:r w:rsidRPr="00BF2FD8">
        <w:rPr>
          <w:rFonts w:ascii="Times New Roman" w:hAnsi="Times New Roman" w:cs="Times New Roman"/>
          <w:sz w:val="28"/>
          <w:szCs w:val="28"/>
          <w:lang w:val="ro-MD"/>
        </w:rPr>
        <w:t xml:space="preserve"> și 1</w:t>
      </w:r>
      <w:r w:rsidR="00135D3E" w:rsidRPr="00BF2FD8">
        <w:rPr>
          <w:rFonts w:ascii="Times New Roman" w:hAnsi="Times New Roman" w:cs="Times New Roman"/>
          <w:sz w:val="28"/>
          <w:szCs w:val="28"/>
          <w:lang w:val="ro-MD"/>
        </w:rPr>
        <w:t xml:space="preserve">- </w:t>
      </w:r>
      <w:r w:rsidRPr="00BF2FD8">
        <w:rPr>
          <w:rFonts w:ascii="Times New Roman" w:hAnsi="Times New Roman" w:cs="Times New Roman"/>
          <w:sz w:val="28"/>
          <w:szCs w:val="28"/>
          <w:lang w:val="ro-MD"/>
        </w:rPr>
        <w:t xml:space="preserve"> nerealizată.</w:t>
      </w:r>
    </w:p>
    <w:p w:rsidR="00C77119" w:rsidRPr="00BF2FD8" w:rsidRDefault="00C77119" w:rsidP="00C77119">
      <w:pPr>
        <w:pStyle w:val="a7"/>
        <w:numPr>
          <w:ilvl w:val="0"/>
          <w:numId w:val="12"/>
        </w:numPr>
        <w:tabs>
          <w:tab w:val="left" w:pos="360"/>
        </w:tabs>
        <w:spacing w:after="0" w:line="276" w:lineRule="auto"/>
        <w:ind w:left="0" w:firstLine="360"/>
        <w:jc w:val="both"/>
        <w:rPr>
          <w:rFonts w:ascii="Times New Roman" w:hAnsi="Times New Roman" w:cs="Times New Roman"/>
          <w:sz w:val="28"/>
          <w:szCs w:val="28"/>
          <w:lang w:val="ro-MD"/>
        </w:rPr>
      </w:pPr>
      <w:r w:rsidRPr="00BF2FD8">
        <w:rPr>
          <w:rFonts w:ascii="Times New Roman" w:hAnsi="Times New Roman" w:cs="Times New Roman"/>
          <w:sz w:val="28"/>
          <w:szCs w:val="28"/>
          <w:lang w:val="ro-MD"/>
        </w:rPr>
        <w:t>SFS și SV – 2 cerințe realizate.</w:t>
      </w:r>
    </w:p>
    <w:p w:rsidR="00C77119" w:rsidRPr="00BF2FD8" w:rsidRDefault="00C77119" w:rsidP="00C77119">
      <w:pPr>
        <w:pStyle w:val="a7"/>
        <w:numPr>
          <w:ilvl w:val="0"/>
          <w:numId w:val="12"/>
        </w:numPr>
        <w:tabs>
          <w:tab w:val="left" w:pos="360"/>
        </w:tabs>
        <w:spacing w:after="0" w:line="276" w:lineRule="auto"/>
        <w:ind w:left="0" w:firstLine="360"/>
        <w:jc w:val="both"/>
        <w:rPr>
          <w:rFonts w:ascii="Times New Roman" w:hAnsi="Times New Roman" w:cs="Times New Roman"/>
          <w:sz w:val="28"/>
          <w:szCs w:val="28"/>
          <w:lang w:val="ro-MD"/>
        </w:rPr>
      </w:pPr>
      <w:r w:rsidRPr="00BF2FD8">
        <w:rPr>
          <w:rFonts w:ascii="Times New Roman" w:hAnsi="Times New Roman" w:cs="Times New Roman"/>
          <w:sz w:val="28"/>
          <w:szCs w:val="28"/>
          <w:lang w:val="ro-MD"/>
        </w:rPr>
        <w:t>ME</w:t>
      </w:r>
      <w:r w:rsidR="00135D3E" w:rsidRPr="00BF2FD8">
        <w:rPr>
          <w:rFonts w:ascii="Times New Roman" w:hAnsi="Times New Roman" w:cs="Times New Roman"/>
          <w:sz w:val="28"/>
          <w:szCs w:val="28"/>
          <w:lang w:val="ro-MD"/>
        </w:rPr>
        <w:t>,</w:t>
      </w:r>
      <w:r w:rsidRPr="00BF2FD8">
        <w:rPr>
          <w:rFonts w:ascii="Times New Roman" w:hAnsi="Times New Roman" w:cs="Times New Roman"/>
          <w:sz w:val="28"/>
          <w:szCs w:val="28"/>
          <w:lang w:val="ro-MD"/>
        </w:rPr>
        <w:t xml:space="preserve"> în comun cu MF – 2 cerințe parțial realizate.</w:t>
      </w:r>
    </w:p>
    <w:p w:rsidR="00C77119" w:rsidRPr="00BF2FD8" w:rsidRDefault="00C77119" w:rsidP="00C77119">
      <w:pPr>
        <w:pStyle w:val="a7"/>
        <w:tabs>
          <w:tab w:val="left" w:pos="720"/>
        </w:tabs>
        <w:spacing w:after="0" w:line="276" w:lineRule="auto"/>
        <w:ind w:left="0" w:firstLine="709"/>
        <w:jc w:val="both"/>
        <w:rPr>
          <w:rFonts w:ascii="Times New Roman" w:hAnsi="Times New Roman" w:cs="Times New Roman"/>
          <w:i/>
          <w:sz w:val="28"/>
          <w:szCs w:val="28"/>
          <w:lang w:val="ro-MD"/>
        </w:rPr>
      </w:pPr>
      <w:r w:rsidRPr="00BF2FD8">
        <w:rPr>
          <w:rFonts w:ascii="Times New Roman" w:hAnsi="Times New Roman" w:cs="Times New Roman"/>
          <w:i/>
          <w:sz w:val="28"/>
          <w:szCs w:val="28"/>
          <w:lang w:val="ro-MD"/>
        </w:rPr>
        <w:lastRenderedPageBreak/>
        <w:t>Din 35 recomandări înaintate</w:t>
      </w:r>
      <w:r w:rsidR="00135D3E" w:rsidRPr="00BF2FD8">
        <w:rPr>
          <w:rFonts w:ascii="Times New Roman" w:hAnsi="Times New Roman" w:cs="Times New Roman"/>
          <w:i/>
          <w:sz w:val="28"/>
          <w:szCs w:val="28"/>
          <w:lang w:val="ro-MD"/>
        </w:rPr>
        <w:t>,</w:t>
      </w:r>
      <w:r w:rsidR="00FE0B45" w:rsidRPr="00BF2FD8">
        <w:rPr>
          <w:rFonts w:ascii="Times New Roman" w:hAnsi="Times New Roman" w:cs="Times New Roman"/>
          <w:i/>
          <w:sz w:val="28"/>
          <w:szCs w:val="28"/>
          <w:lang w:val="ro-MD"/>
        </w:rPr>
        <w:t xml:space="preserve"> 11 au fost reiterate din Hotărâ</w:t>
      </w:r>
      <w:r w:rsidRPr="00BF2FD8">
        <w:rPr>
          <w:rFonts w:ascii="Times New Roman" w:hAnsi="Times New Roman" w:cs="Times New Roman"/>
          <w:i/>
          <w:sz w:val="28"/>
          <w:szCs w:val="28"/>
          <w:lang w:val="ro-MD"/>
        </w:rPr>
        <w:t xml:space="preserve">rile </w:t>
      </w:r>
      <w:r w:rsidR="00135D3E" w:rsidRPr="00BF2FD8">
        <w:rPr>
          <w:rFonts w:ascii="Times New Roman" w:hAnsi="Times New Roman" w:cs="Times New Roman"/>
          <w:i/>
          <w:sz w:val="28"/>
          <w:szCs w:val="28"/>
          <w:lang w:val="ro-MD"/>
        </w:rPr>
        <w:t xml:space="preserve">precedente ale </w:t>
      </w:r>
      <w:r w:rsidRPr="00BF2FD8">
        <w:rPr>
          <w:rFonts w:ascii="Times New Roman" w:hAnsi="Times New Roman" w:cs="Times New Roman"/>
          <w:i/>
          <w:sz w:val="28"/>
          <w:szCs w:val="28"/>
          <w:lang w:val="ro-MD"/>
        </w:rPr>
        <w:t>C</w:t>
      </w:r>
      <w:r w:rsidR="00135D3E" w:rsidRPr="00BF2FD8">
        <w:rPr>
          <w:rFonts w:ascii="Times New Roman" w:hAnsi="Times New Roman" w:cs="Times New Roman"/>
          <w:i/>
          <w:sz w:val="28"/>
          <w:szCs w:val="28"/>
          <w:lang w:val="ro-MD"/>
        </w:rPr>
        <w:t xml:space="preserve">urții de </w:t>
      </w:r>
      <w:r w:rsidRPr="00BF2FD8">
        <w:rPr>
          <w:rFonts w:ascii="Times New Roman" w:hAnsi="Times New Roman" w:cs="Times New Roman"/>
          <w:i/>
          <w:sz w:val="28"/>
          <w:szCs w:val="28"/>
          <w:lang w:val="ro-MD"/>
        </w:rPr>
        <w:t>C</w:t>
      </w:r>
      <w:r w:rsidR="00135D3E" w:rsidRPr="00BF2FD8">
        <w:rPr>
          <w:rFonts w:ascii="Times New Roman" w:hAnsi="Times New Roman" w:cs="Times New Roman"/>
          <w:i/>
          <w:sz w:val="28"/>
          <w:szCs w:val="28"/>
          <w:lang w:val="ro-MD"/>
        </w:rPr>
        <w:t>onturi</w:t>
      </w:r>
      <w:r w:rsidRPr="00BF2FD8">
        <w:rPr>
          <w:rFonts w:ascii="Times New Roman" w:hAnsi="Times New Roman" w:cs="Times New Roman"/>
          <w:i/>
          <w:sz w:val="28"/>
          <w:szCs w:val="28"/>
          <w:lang w:val="ro-MD"/>
        </w:rPr>
        <w:t>:</w:t>
      </w:r>
    </w:p>
    <w:p w:rsidR="00C77119" w:rsidRPr="001D0846" w:rsidRDefault="00C77119" w:rsidP="00C77119">
      <w:pPr>
        <w:pStyle w:val="a7"/>
        <w:numPr>
          <w:ilvl w:val="0"/>
          <w:numId w:val="13"/>
        </w:numPr>
        <w:tabs>
          <w:tab w:val="left" w:pos="720"/>
        </w:tabs>
        <w:spacing w:after="0" w:line="276" w:lineRule="auto"/>
        <w:ind w:left="0" w:firstLine="36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MF – 8 recomandări</w:t>
      </w:r>
      <w:r w:rsidR="00135D3E">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dintre care 3 sunt implementate, 1 </w:t>
      </w:r>
      <w:r w:rsidR="00135D3E">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 xml:space="preserve">parțial implementată, 1 </w:t>
      </w:r>
      <w:r w:rsidR="00135D3E">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neimplementată</w:t>
      </w:r>
      <w:r w:rsidR="00135D3E">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și 3 </w:t>
      </w:r>
      <w:r w:rsidR="00135D3E">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neimplementate</w:t>
      </w:r>
    </w:p>
    <w:p w:rsidR="00C77119" w:rsidRPr="001D0846" w:rsidRDefault="00C77119" w:rsidP="00C77119">
      <w:pPr>
        <w:pStyle w:val="a7"/>
        <w:numPr>
          <w:ilvl w:val="0"/>
          <w:numId w:val="13"/>
        </w:numPr>
        <w:tabs>
          <w:tab w:val="left" w:pos="720"/>
        </w:tabs>
        <w:spacing w:after="0" w:line="276" w:lineRule="auto"/>
        <w:ind w:left="0" w:firstLine="36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MF</w:t>
      </w:r>
      <w:r w:rsidR="00062548">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în comun cu SFS și SV – 2</w:t>
      </w:r>
      <w:r w:rsidR="00062548">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dintre care 1 este implementată și 1 </w:t>
      </w:r>
      <w:r w:rsidR="00062548">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parțial implementată.</w:t>
      </w:r>
    </w:p>
    <w:p w:rsidR="00C77119" w:rsidRPr="001D0846" w:rsidRDefault="00C77119" w:rsidP="00C77119">
      <w:pPr>
        <w:pStyle w:val="a7"/>
        <w:numPr>
          <w:ilvl w:val="0"/>
          <w:numId w:val="13"/>
        </w:numPr>
        <w:tabs>
          <w:tab w:val="left" w:pos="720"/>
        </w:tabs>
        <w:spacing w:after="0" w:line="276" w:lineRule="auto"/>
        <w:ind w:left="0" w:firstLine="36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SFS – 11 recomandări</w:t>
      </w:r>
      <w:r w:rsidR="00062548">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dintre care 10 sunt implementate și 1 </w:t>
      </w:r>
      <w:r w:rsidR="00062548">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neimplementată.</w:t>
      </w:r>
    </w:p>
    <w:p w:rsidR="00C77119" w:rsidRPr="001D0846" w:rsidRDefault="00C77119" w:rsidP="00C77119">
      <w:pPr>
        <w:pStyle w:val="a7"/>
        <w:numPr>
          <w:ilvl w:val="0"/>
          <w:numId w:val="13"/>
        </w:numPr>
        <w:tabs>
          <w:tab w:val="left" w:pos="720"/>
        </w:tabs>
        <w:spacing w:after="0" w:line="276" w:lineRule="auto"/>
        <w:ind w:left="0" w:firstLine="36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SV – 9 recomandări</w:t>
      </w:r>
      <w:r w:rsidR="00062548">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dintre care 5 sunt implementate și 4 </w:t>
      </w:r>
      <w:r w:rsidR="00062548">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parțial implementate.</w:t>
      </w:r>
    </w:p>
    <w:p w:rsidR="00C77119" w:rsidRDefault="00C77119" w:rsidP="00C77119">
      <w:pPr>
        <w:pStyle w:val="a7"/>
        <w:numPr>
          <w:ilvl w:val="0"/>
          <w:numId w:val="13"/>
        </w:numPr>
        <w:tabs>
          <w:tab w:val="left" w:pos="720"/>
        </w:tabs>
        <w:spacing w:after="0" w:line="276" w:lineRule="auto"/>
        <w:ind w:left="0" w:firstLine="36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SFS și SV – 1 parțial implementată.</w:t>
      </w:r>
    </w:p>
    <w:p w:rsidR="00C77119" w:rsidRPr="001D0846" w:rsidRDefault="00FE0B45" w:rsidP="00FE0B45">
      <w:pPr>
        <w:pStyle w:val="a7"/>
        <w:tabs>
          <w:tab w:val="left" w:pos="720"/>
        </w:tabs>
        <w:spacing w:after="0" w:line="276" w:lineRule="auto"/>
        <w:ind w:left="0"/>
        <w:jc w:val="both"/>
        <w:rPr>
          <w:rFonts w:ascii="Times New Roman" w:hAnsi="Times New Roman" w:cs="Times New Roman"/>
          <w:sz w:val="28"/>
          <w:szCs w:val="28"/>
          <w:lang w:val="ro-MD"/>
        </w:rPr>
      </w:pPr>
      <w:r>
        <w:rPr>
          <w:rFonts w:ascii="Times New Roman" w:hAnsi="Times New Roman" w:cs="Times New Roman"/>
          <w:sz w:val="28"/>
          <w:szCs w:val="28"/>
          <w:lang w:val="ro-MD"/>
        </w:rPr>
        <w:tab/>
      </w:r>
      <w:r w:rsidRPr="00FE0B45">
        <w:rPr>
          <w:rFonts w:ascii="Times New Roman" w:hAnsi="Times New Roman" w:cs="Times New Roman"/>
          <w:b/>
          <w:i/>
          <w:sz w:val="28"/>
          <w:szCs w:val="28"/>
          <w:lang w:val="ro-MD"/>
        </w:rPr>
        <w:t>3.8.2.</w:t>
      </w:r>
      <w:r>
        <w:rPr>
          <w:rFonts w:ascii="Times New Roman" w:hAnsi="Times New Roman" w:cs="Times New Roman"/>
          <w:sz w:val="28"/>
          <w:szCs w:val="28"/>
          <w:lang w:val="ro-MD"/>
        </w:rPr>
        <w:t xml:space="preserve"> </w:t>
      </w:r>
      <w:r w:rsidR="00C77119" w:rsidRPr="00FE0B45">
        <w:rPr>
          <w:rFonts w:ascii="Times New Roman" w:hAnsi="Times New Roman" w:cs="Times New Roman"/>
          <w:sz w:val="28"/>
          <w:szCs w:val="28"/>
          <w:lang w:val="ro-MD"/>
        </w:rPr>
        <w:t xml:space="preserve">Urmare analizei </w:t>
      </w:r>
      <w:r w:rsidR="00C77119" w:rsidRPr="00FE0B45">
        <w:rPr>
          <w:rFonts w:ascii="Times New Roman" w:hAnsi="Times New Roman" w:cs="Times New Roman"/>
          <w:i/>
          <w:sz w:val="28"/>
          <w:szCs w:val="28"/>
          <w:lang w:val="ro-MD"/>
        </w:rPr>
        <w:t xml:space="preserve">Hotărârii Curții de Conturi </w:t>
      </w:r>
      <w:r w:rsidRPr="00FE0B45">
        <w:rPr>
          <w:rFonts w:ascii="Times New Roman" w:hAnsi="Times New Roman" w:cs="Times New Roman"/>
          <w:i/>
          <w:sz w:val="28"/>
          <w:szCs w:val="28"/>
          <w:lang w:val="ro-MD"/>
        </w:rPr>
        <w:t xml:space="preserve">nr.34 din 29.07.2016 </w:t>
      </w:r>
      <w:r w:rsidR="00C77119" w:rsidRPr="00FE0B45">
        <w:rPr>
          <w:rFonts w:ascii="Times New Roman" w:hAnsi="Times New Roman" w:cs="Times New Roman"/>
          <w:i/>
          <w:sz w:val="28"/>
          <w:szCs w:val="28"/>
          <w:lang w:val="ro-MD"/>
        </w:rPr>
        <w:t xml:space="preserve">privind Raportul auditului de conformitate asociat auditului de performanță al sistemului facilităților fiscale și vamale </w:t>
      </w:r>
      <w:r>
        <w:rPr>
          <w:rFonts w:ascii="Times New Roman" w:hAnsi="Times New Roman" w:cs="Times New Roman"/>
          <w:sz w:val="28"/>
          <w:szCs w:val="28"/>
          <w:lang w:val="ro-MD"/>
        </w:rPr>
        <w:t>(</w:t>
      </w:r>
      <w:r w:rsidR="00C77119" w:rsidRPr="001D0846">
        <w:rPr>
          <w:rFonts w:ascii="Times New Roman" w:hAnsi="Times New Roman" w:cs="Times New Roman"/>
          <w:sz w:val="28"/>
          <w:szCs w:val="28"/>
          <w:lang w:val="ro-MD"/>
        </w:rPr>
        <w:t>termen</w:t>
      </w:r>
      <w:r w:rsidR="00062548">
        <w:rPr>
          <w:rFonts w:ascii="Times New Roman" w:hAnsi="Times New Roman" w:cs="Times New Roman"/>
          <w:sz w:val="28"/>
          <w:szCs w:val="28"/>
          <w:lang w:val="ro-MD"/>
        </w:rPr>
        <w:t>ul</w:t>
      </w:r>
      <w:r w:rsidR="00C77119" w:rsidRPr="001D0846">
        <w:rPr>
          <w:rFonts w:ascii="Times New Roman" w:hAnsi="Times New Roman" w:cs="Times New Roman"/>
          <w:sz w:val="28"/>
          <w:szCs w:val="28"/>
          <w:lang w:val="ro-MD"/>
        </w:rPr>
        <w:t xml:space="preserve"> de </w:t>
      </w:r>
      <w:r>
        <w:rPr>
          <w:rFonts w:ascii="Times New Roman" w:hAnsi="Times New Roman" w:cs="Times New Roman"/>
          <w:sz w:val="28"/>
          <w:szCs w:val="28"/>
          <w:lang w:val="ro-MD"/>
        </w:rPr>
        <w:t xml:space="preserve">executare </w:t>
      </w:r>
      <w:r w:rsidR="00C77119" w:rsidRPr="001D0846">
        <w:rPr>
          <w:rFonts w:ascii="Times New Roman" w:hAnsi="Times New Roman" w:cs="Times New Roman"/>
          <w:sz w:val="28"/>
          <w:szCs w:val="28"/>
          <w:lang w:val="ro-MD"/>
        </w:rPr>
        <w:t>18 luni din data publicării în M</w:t>
      </w:r>
      <w:r>
        <w:rPr>
          <w:rFonts w:ascii="Times New Roman" w:hAnsi="Times New Roman" w:cs="Times New Roman"/>
          <w:sz w:val="28"/>
          <w:szCs w:val="28"/>
          <w:lang w:val="ro-MD"/>
        </w:rPr>
        <w:t>.</w:t>
      </w:r>
      <w:r w:rsidR="00C77119" w:rsidRPr="001D0846">
        <w:rPr>
          <w:rFonts w:ascii="Times New Roman" w:hAnsi="Times New Roman" w:cs="Times New Roman"/>
          <w:sz w:val="28"/>
          <w:szCs w:val="28"/>
          <w:lang w:val="ro-MD"/>
        </w:rPr>
        <w:t>O</w:t>
      </w:r>
      <w:r>
        <w:rPr>
          <w:rFonts w:ascii="Times New Roman" w:hAnsi="Times New Roman" w:cs="Times New Roman"/>
          <w:sz w:val="28"/>
          <w:szCs w:val="28"/>
          <w:lang w:val="ro-MD"/>
        </w:rPr>
        <w:t>.</w:t>
      </w:r>
      <w:r w:rsidR="00C77119" w:rsidRPr="001D0846">
        <w:rPr>
          <w:rFonts w:ascii="Times New Roman" w:hAnsi="Times New Roman" w:cs="Times New Roman"/>
          <w:sz w:val="28"/>
          <w:szCs w:val="28"/>
          <w:lang w:val="ro-MD"/>
        </w:rPr>
        <w:t xml:space="preserve"> al RM </w:t>
      </w:r>
      <w:r w:rsidR="00062548">
        <w:rPr>
          <w:rFonts w:ascii="Times New Roman" w:hAnsi="Times New Roman" w:cs="Times New Roman"/>
          <w:sz w:val="28"/>
          <w:szCs w:val="28"/>
          <w:lang w:val="ro-MD"/>
        </w:rPr>
        <w:t xml:space="preserve">din </w:t>
      </w:r>
      <w:r w:rsidR="00C77119" w:rsidRPr="001D0846">
        <w:rPr>
          <w:rFonts w:ascii="Times New Roman" w:hAnsi="Times New Roman" w:cs="Times New Roman"/>
          <w:sz w:val="28"/>
          <w:szCs w:val="28"/>
          <w:lang w:val="ro-MD"/>
        </w:rPr>
        <w:t>04.11.2016</w:t>
      </w:r>
      <w:r>
        <w:rPr>
          <w:rFonts w:ascii="Times New Roman" w:hAnsi="Times New Roman" w:cs="Times New Roman"/>
          <w:sz w:val="28"/>
          <w:szCs w:val="28"/>
          <w:lang w:val="ro-MD"/>
        </w:rPr>
        <w:t>)</w:t>
      </w:r>
      <w:r w:rsidR="00C77119" w:rsidRPr="001D0846">
        <w:rPr>
          <w:rFonts w:ascii="Times New Roman" w:hAnsi="Times New Roman" w:cs="Times New Roman"/>
          <w:sz w:val="28"/>
          <w:szCs w:val="28"/>
          <w:lang w:val="ro-MD"/>
        </w:rPr>
        <w:t xml:space="preserve">, </w:t>
      </w:r>
      <w:r w:rsidR="004621B8">
        <w:rPr>
          <w:rFonts w:ascii="Times New Roman" w:hAnsi="Times New Roman" w:cs="Times New Roman"/>
          <w:sz w:val="28"/>
          <w:szCs w:val="28"/>
          <w:lang w:val="ro-MD"/>
        </w:rPr>
        <w:t>se menționează</w:t>
      </w:r>
      <w:r w:rsidR="00C77119" w:rsidRPr="001D0846">
        <w:rPr>
          <w:rFonts w:ascii="Times New Roman" w:hAnsi="Times New Roman" w:cs="Times New Roman"/>
          <w:sz w:val="28"/>
          <w:szCs w:val="28"/>
          <w:lang w:val="ro-MD"/>
        </w:rPr>
        <w:t xml:space="preserve"> că au fost înaintate 4 cerințe și 11 recomandări, termenul </w:t>
      </w:r>
      <w:r w:rsidR="00062548">
        <w:rPr>
          <w:rFonts w:ascii="Times New Roman" w:hAnsi="Times New Roman" w:cs="Times New Roman"/>
          <w:sz w:val="28"/>
          <w:szCs w:val="28"/>
          <w:lang w:val="ro-MD"/>
        </w:rPr>
        <w:t>de executare</w:t>
      </w:r>
      <w:r w:rsidR="00C77119" w:rsidRPr="001D0846">
        <w:rPr>
          <w:rFonts w:ascii="Times New Roman" w:hAnsi="Times New Roman" w:cs="Times New Roman"/>
          <w:sz w:val="28"/>
          <w:szCs w:val="28"/>
          <w:lang w:val="ro-MD"/>
        </w:rPr>
        <w:t xml:space="preserve"> expir</w:t>
      </w:r>
      <w:r w:rsidR="00062548">
        <w:rPr>
          <w:rFonts w:ascii="Times New Roman" w:hAnsi="Times New Roman" w:cs="Times New Roman"/>
          <w:sz w:val="28"/>
          <w:szCs w:val="28"/>
          <w:lang w:val="ro-MD"/>
        </w:rPr>
        <w:t>ând</w:t>
      </w:r>
      <w:r w:rsidR="00C77119" w:rsidRPr="001D0846">
        <w:rPr>
          <w:rFonts w:ascii="Times New Roman" w:hAnsi="Times New Roman" w:cs="Times New Roman"/>
          <w:sz w:val="28"/>
          <w:szCs w:val="28"/>
          <w:lang w:val="ro-MD"/>
        </w:rPr>
        <w:t xml:space="preserve"> la data de 04.05.2018</w:t>
      </w:r>
      <w:r w:rsidR="00062548">
        <w:rPr>
          <w:rFonts w:ascii="Times New Roman" w:hAnsi="Times New Roman" w:cs="Times New Roman"/>
          <w:sz w:val="28"/>
          <w:szCs w:val="28"/>
          <w:lang w:val="ro-MD"/>
        </w:rPr>
        <w:t>,</w:t>
      </w:r>
      <w:r w:rsidR="00C77119" w:rsidRPr="001D0846">
        <w:rPr>
          <w:rFonts w:ascii="Times New Roman" w:hAnsi="Times New Roman" w:cs="Times New Roman"/>
          <w:sz w:val="28"/>
          <w:szCs w:val="28"/>
          <w:lang w:val="ro-MD"/>
        </w:rPr>
        <w:t xml:space="preserve"> sau la etapa de raportare a </w:t>
      </w:r>
      <w:r w:rsidR="004621B8">
        <w:rPr>
          <w:rFonts w:ascii="Times New Roman" w:hAnsi="Times New Roman" w:cs="Times New Roman"/>
          <w:sz w:val="28"/>
          <w:szCs w:val="28"/>
          <w:lang w:val="ro-MD"/>
        </w:rPr>
        <w:t>prezentei misiuni de audit,</w:t>
      </w:r>
      <w:r w:rsidR="00C77119" w:rsidRPr="001D0846">
        <w:rPr>
          <w:rFonts w:ascii="Times New Roman" w:hAnsi="Times New Roman" w:cs="Times New Roman"/>
          <w:sz w:val="28"/>
          <w:szCs w:val="28"/>
          <w:lang w:val="ro-MD"/>
        </w:rPr>
        <w:t xml:space="preserve"> entitățile urm</w:t>
      </w:r>
      <w:r w:rsidR="00062548">
        <w:rPr>
          <w:rFonts w:ascii="Times New Roman" w:hAnsi="Times New Roman" w:cs="Times New Roman"/>
          <w:sz w:val="28"/>
          <w:szCs w:val="28"/>
          <w:lang w:val="ro-MD"/>
        </w:rPr>
        <w:t>â</w:t>
      </w:r>
      <w:r w:rsidR="00C77119" w:rsidRPr="001D0846">
        <w:rPr>
          <w:rFonts w:ascii="Times New Roman" w:hAnsi="Times New Roman" w:cs="Times New Roman"/>
          <w:sz w:val="28"/>
          <w:szCs w:val="28"/>
          <w:lang w:val="ro-MD"/>
        </w:rPr>
        <w:t>nd să prezinte informațiile actualizate la data respectivă.</w:t>
      </w:r>
    </w:p>
    <w:p w:rsidR="004621B8" w:rsidRPr="00BF2FD8" w:rsidRDefault="00C77119" w:rsidP="004621B8">
      <w:pPr>
        <w:tabs>
          <w:tab w:val="left" w:pos="0"/>
        </w:tabs>
        <w:spacing w:after="0" w:line="276" w:lineRule="auto"/>
        <w:jc w:val="both"/>
        <w:rPr>
          <w:rFonts w:ascii="Times New Roman" w:hAnsi="Times New Roman" w:cs="Times New Roman"/>
          <w:i/>
          <w:sz w:val="28"/>
          <w:szCs w:val="28"/>
          <w:lang w:val="ro-MD"/>
        </w:rPr>
      </w:pPr>
      <w:r w:rsidRPr="001D0846">
        <w:rPr>
          <w:rFonts w:ascii="Times New Roman" w:hAnsi="Times New Roman" w:cs="Times New Roman"/>
          <w:lang w:val="ro-MD"/>
        </w:rPr>
        <w:tab/>
      </w:r>
      <w:r w:rsidR="004621B8" w:rsidRPr="004621B8">
        <w:rPr>
          <w:rFonts w:ascii="Times New Roman" w:hAnsi="Times New Roman" w:cs="Times New Roman"/>
          <w:b/>
          <w:i/>
          <w:sz w:val="28"/>
          <w:szCs w:val="28"/>
          <w:lang w:val="ro-MD"/>
        </w:rPr>
        <w:t>3.8.</w:t>
      </w:r>
      <w:r w:rsidR="003C4B9E">
        <w:rPr>
          <w:rFonts w:ascii="Times New Roman" w:hAnsi="Times New Roman" w:cs="Times New Roman"/>
          <w:b/>
          <w:i/>
          <w:sz w:val="28"/>
          <w:szCs w:val="28"/>
          <w:lang w:val="ro-MD"/>
        </w:rPr>
        <w:t>3</w:t>
      </w:r>
      <w:r w:rsidR="004621B8" w:rsidRPr="004621B8">
        <w:rPr>
          <w:rFonts w:ascii="Times New Roman" w:hAnsi="Times New Roman" w:cs="Times New Roman"/>
          <w:b/>
          <w:i/>
          <w:sz w:val="28"/>
          <w:szCs w:val="28"/>
          <w:lang w:val="ro-MD"/>
        </w:rPr>
        <w:t>.</w:t>
      </w:r>
      <w:r w:rsidR="004621B8">
        <w:rPr>
          <w:rFonts w:ascii="Times New Roman" w:hAnsi="Times New Roman" w:cs="Times New Roman"/>
          <w:lang w:val="ro-MD"/>
        </w:rPr>
        <w:t xml:space="preserve"> </w:t>
      </w:r>
      <w:r w:rsidRPr="001D0846">
        <w:rPr>
          <w:rFonts w:ascii="Times New Roman" w:eastAsia="Times New Roman" w:hAnsi="Times New Roman"/>
          <w:sz w:val="28"/>
          <w:szCs w:val="28"/>
          <w:lang w:val="ro-MD" w:eastAsia="ru-RU"/>
        </w:rPr>
        <w:t xml:space="preserve">Verificarea </w:t>
      </w:r>
      <w:r w:rsidRPr="001D0846">
        <w:rPr>
          <w:rFonts w:ascii="Times New Roman" w:hAnsi="Times New Roman"/>
          <w:sz w:val="28"/>
          <w:szCs w:val="28"/>
          <w:lang w:val="ro-MD"/>
        </w:rPr>
        <w:t xml:space="preserve">executării </w:t>
      </w:r>
      <w:proofErr w:type="spellStart"/>
      <w:r w:rsidRPr="001D0846">
        <w:rPr>
          <w:rFonts w:ascii="Times New Roman" w:hAnsi="Times New Roman"/>
          <w:sz w:val="28"/>
          <w:szCs w:val="28"/>
          <w:lang w:val="ro-MD"/>
        </w:rPr>
        <w:t>cerinţelor</w:t>
      </w:r>
      <w:proofErr w:type="spellEnd"/>
      <w:r w:rsidRPr="001D0846">
        <w:rPr>
          <w:rFonts w:ascii="Times New Roman" w:hAnsi="Times New Roman"/>
          <w:sz w:val="28"/>
          <w:szCs w:val="28"/>
          <w:lang w:val="ro-MD"/>
        </w:rPr>
        <w:t xml:space="preserve"> </w:t>
      </w:r>
      <w:proofErr w:type="spellStart"/>
      <w:r w:rsidRPr="001D0846">
        <w:rPr>
          <w:rFonts w:ascii="Times New Roman" w:hAnsi="Times New Roman"/>
          <w:sz w:val="28"/>
          <w:szCs w:val="28"/>
          <w:lang w:val="ro-MD"/>
        </w:rPr>
        <w:t>şi</w:t>
      </w:r>
      <w:proofErr w:type="spellEnd"/>
      <w:r w:rsidRPr="001D0846">
        <w:rPr>
          <w:rFonts w:ascii="Times New Roman" w:hAnsi="Times New Roman"/>
          <w:sz w:val="28"/>
          <w:szCs w:val="28"/>
          <w:lang w:val="ro-MD"/>
        </w:rPr>
        <w:t xml:space="preserve"> implementării recomandărilor din </w:t>
      </w:r>
      <w:r w:rsidRPr="004621B8">
        <w:rPr>
          <w:rFonts w:ascii="Times New Roman" w:hAnsi="Times New Roman" w:cs="Times New Roman"/>
          <w:i/>
          <w:sz w:val="28"/>
          <w:szCs w:val="28"/>
          <w:lang w:val="ro-MD"/>
        </w:rPr>
        <w:t xml:space="preserve">Hotărârea Curții de Conturi nr.20 din 26.05.2017 privind Raportul auditului performanței ,,Relevanța instrumentelor de gestiune silită a obligației fiscale/vamale pentru anii 2014-2016” </w:t>
      </w:r>
      <w:r w:rsidRPr="001D0846">
        <w:rPr>
          <w:rFonts w:ascii="Times New Roman" w:hAnsi="Times New Roman" w:cs="Times New Roman"/>
          <w:sz w:val="28"/>
          <w:szCs w:val="28"/>
          <w:lang w:val="ro-MD"/>
        </w:rPr>
        <w:t xml:space="preserve">relevă că au fost înaintate 19 cerințe și 16 recomandări, dintre care MF, SFS și </w:t>
      </w:r>
      <w:r w:rsidR="004621B8">
        <w:rPr>
          <w:rFonts w:ascii="Times New Roman" w:hAnsi="Times New Roman" w:cs="Times New Roman"/>
          <w:sz w:val="28"/>
          <w:szCs w:val="28"/>
          <w:lang w:val="ro-MD"/>
        </w:rPr>
        <w:t xml:space="preserve">SV </w:t>
      </w:r>
      <w:r w:rsidR="00062548">
        <w:rPr>
          <w:rFonts w:ascii="Times New Roman" w:hAnsi="Times New Roman" w:cs="Times New Roman"/>
          <w:sz w:val="28"/>
          <w:szCs w:val="28"/>
          <w:lang w:val="ro-MD"/>
        </w:rPr>
        <w:t xml:space="preserve">- </w:t>
      </w:r>
      <w:r w:rsidR="004621B8">
        <w:rPr>
          <w:rFonts w:ascii="Times New Roman" w:hAnsi="Times New Roman" w:cs="Times New Roman"/>
          <w:sz w:val="28"/>
          <w:szCs w:val="28"/>
          <w:lang w:val="ro-MD"/>
        </w:rPr>
        <w:t xml:space="preserve">8 cerințe și 10 recomandări, nivelul de executare a acestora constituind </w:t>
      </w:r>
      <w:r w:rsidR="004621B8" w:rsidRPr="001D0846">
        <w:rPr>
          <w:rFonts w:ascii="Times New Roman" w:hAnsi="Times New Roman" w:cs="Times New Roman"/>
          <w:sz w:val="28"/>
          <w:szCs w:val="28"/>
          <w:lang w:val="ro-MD"/>
        </w:rPr>
        <w:t>77,8%</w:t>
      </w:r>
      <w:r w:rsidR="004621B8">
        <w:rPr>
          <w:rFonts w:ascii="Times New Roman" w:hAnsi="Times New Roman" w:cs="Times New Roman"/>
          <w:sz w:val="28"/>
          <w:szCs w:val="28"/>
          <w:lang w:val="ro-MD"/>
        </w:rPr>
        <w:t xml:space="preserve">. </w:t>
      </w:r>
      <w:r w:rsidR="004621B8" w:rsidRPr="00FE0B45">
        <w:rPr>
          <w:rFonts w:ascii="Times New Roman" w:hAnsi="Times New Roman" w:cs="Times New Roman"/>
          <w:i/>
          <w:sz w:val="28"/>
          <w:szCs w:val="28"/>
          <w:lang w:val="ro-MD"/>
        </w:rPr>
        <w:t xml:space="preserve">Informația privind </w:t>
      </w:r>
      <w:r w:rsidR="004621B8">
        <w:rPr>
          <w:rFonts w:ascii="Times New Roman" w:hAnsi="Times New Roman" w:cs="Times New Roman"/>
          <w:i/>
          <w:sz w:val="28"/>
          <w:szCs w:val="28"/>
          <w:lang w:val="ro-MD"/>
        </w:rPr>
        <w:t xml:space="preserve">nivelul de </w:t>
      </w:r>
      <w:r w:rsidR="004621B8" w:rsidRPr="00FE0B45">
        <w:rPr>
          <w:rFonts w:ascii="Times New Roman" w:hAnsi="Times New Roman" w:cs="Times New Roman"/>
          <w:i/>
          <w:sz w:val="28"/>
          <w:szCs w:val="28"/>
          <w:lang w:val="ro-MD"/>
        </w:rPr>
        <w:t>executare</w:t>
      </w:r>
      <w:r w:rsidR="004621B8">
        <w:rPr>
          <w:rFonts w:ascii="Times New Roman" w:hAnsi="Times New Roman" w:cs="Times New Roman"/>
          <w:i/>
          <w:sz w:val="28"/>
          <w:szCs w:val="28"/>
          <w:lang w:val="ro-MD"/>
        </w:rPr>
        <w:t xml:space="preserve"> </w:t>
      </w:r>
      <w:r w:rsidR="004621B8" w:rsidRPr="00FE0B45">
        <w:rPr>
          <w:rFonts w:ascii="Times New Roman" w:hAnsi="Times New Roman" w:cs="Times New Roman"/>
          <w:i/>
          <w:sz w:val="28"/>
          <w:szCs w:val="28"/>
          <w:lang w:val="ro-MD"/>
        </w:rPr>
        <w:t xml:space="preserve">a hotărârii menționate </w:t>
      </w:r>
      <w:r w:rsidR="00062548">
        <w:rPr>
          <w:rFonts w:ascii="Times New Roman" w:hAnsi="Times New Roman" w:cs="Times New Roman"/>
          <w:i/>
          <w:sz w:val="28"/>
          <w:szCs w:val="28"/>
          <w:lang w:val="ro-MD"/>
        </w:rPr>
        <w:t>este</w:t>
      </w:r>
      <w:r w:rsidR="004621B8" w:rsidRPr="00FE0B45">
        <w:rPr>
          <w:rFonts w:ascii="Times New Roman" w:hAnsi="Times New Roman" w:cs="Times New Roman"/>
          <w:i/>
          <w:sz w:val="28"/>
          <w:szCs w:val="28"/>
          <w:lang w:val="ro-MD"/>
        </w:rPr>
        <w:t xml:space="preserve"> </w:t>
      </w:r>
      <w:r w:rsidR="004621B8" w:rsidRPr="00BF2FD8">
        <w:rPr>
          <w:rFonts w:ascii="Times New Roman" w:hAnsi="Times New Roman" w:cs="Times New Roman"/>
          <w:i/>
          <w:sz w:val="28"/>
          <w:szCs w:val="28"/>
          <w:lang w:val="ro-MD"/>
        </w:rPr>
        <w:t>prez</w:t>
      </w:r>
      <w:r w:rsidR="00062548" w:rsidRPr="00BF2FD8">
        <w:rPr>
          <w:rFonts w:ascii="Times New Roman" w:hAnsi="Times New Roman" w:cs="Times New Roman"/>
          <w:i/>
          <w:sz w:val="28"/>
          <w:szCs w:val="28"/>
          <w:lang w:val="ro-MD"/>
        </w:rPr>
        <w:t>enta</w:t>
      </w:r>
      <w:r w:rsidR="004621B8" w:rsidRPr="00BF2FD8">
        <w:rPr>
          <w:rFonts w:ascii="Times New Roman" w:hAnsi="Times New Roman" w:cs="Times New Roman"/>
          <w:i/>
          <w:sz w:val="28"/>
          <w:szCs w:val="28"/>
          <w:lang w:val="ro-MD"/>
        </w:rPr>
        <w:t>tă după cum urmează:</w:t>
      </w:r>
    </w:p>
    <w:p w:rsidR="004621B8" w:rsidRPr="00BF2FD8" w:rsidRDefault="004621B8" w:rsidP="004621B8">
      <w:pPr>
        <w:tabs>
          <w:tab w:val="left" w:pos="0"/>
        </w:tabs>
        <w:spacing w:after="0" w:line="276" w:lineRule="auto"/>
        <w:jc w:val="both"/>
        <w:rPr>
          <w:rFonts w:ascii="Times New Roman" w:hAnsi="Times New Roman" w:cs="Times New Roman"/>
          <w:i/>
          <w:sz w:val="28"/>
          <w:szCs w:val="28"/>
          <w:lang w:val="ro-MD"/>
        </w:rPr>
      </w:pPr>
    </w:p>
    <w:p w:rsidR="00C77119" w:rsidRPr="00BF2FD8" w:rsidRDefault="00C77119" w:rsidP="00C77119">
      <w:pPr>
        <w:pStyle w:val="a7"/>
        <w:tabs>
          <w:tab w:val="left" w:pos="360"/>
        </w:tabs>
        <w:spacing w:after="0" w:line="276" w:lineRule="auto"/>
        <w:ind w:left="360"/>
        <w:jc w:val="both"/>
        <w:rPr>
          <w:rFonts w:ascii="Times New Roman" w:hAnsi="Times New Roman" w:cs="Times New Roman"/>
          <w:sz w:val="28"/>
          <w:szCs w:val="28"/>
          <w:lang w:val="ro-MD"/>
        </w:rPr>
      </w:pPr>
      <w:r w:rsidRPr="00BF2FD8">
        <w:rPr>
          <w:rFonts w:ascii="Times New Roman" w:hAnsi="Times New Roman" w:cs="Times New Roman"/>
          <w:sz w:val="28"/>
          <w:szCs w:val="28"/>
          <w:lang w:val="ro-MD"/>
        </w:rPr>
        <w:t>Cerințe și recomandări înaintate:</w:t>
      </w:r>
    </w:p>
    <w:p w:rsidR="00C77119" w:rsidRPr="001D0846" w:rsidRDefault="00C77119" w:rsidP="00C77119">
      <w:pPr>
        <w:pStyle w:val="a7"/>
        <w:numPr>
          <w:ilvl w:val="0"/>
          <w:numId w:val="14"/>
        </w:numPr>
        <w:tabs>
          <w:tab w:val="left" w:pos="810"/>
        </w:tabs>
        <w:spacing w:after="0" w:line="276" w:lineRule="auto"/>
        <w:ind w:left="0" w:firstLine="36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SFS – au fost înaintate 4 cerințe și 6 recomandări</w:t>
      </w:r>
      <w:r w:rsidR="00062548">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care </w:t>
      </w:r>
      <w:r w:rsidR="00B96397">
        <w:rPr>
          <w:rFonts w:ascii="Times New Roman" w:hAnsi="Times New Roman" w:cs="Times New Roman"/>
          <w:sz w:val="28"/>
          <w:szCs w:val="28"/>
          <w:lang w:val="ro-MD"/>
        </w:rPr>
        <w:t>s-</w:t>
      </w:r>
      <w:r w:rsidRPr="001D0846">
        <w:rPr>
          <w:rFonts w:ascii="Times New Roman" w:hAnsi="Times New Roman" w:cs="Times New Roman"/>
          <w:sz w:val="28"/>
          <w:szCs w:val="28"/>
          <w:lang w:val="ro-MD"/>
        </w:rPr>
        <w:t>au implementat în termenul stabilit;</w:t>
      </w:r>
    </w:p>
    <w:p w:rsidR="00C77119" w:rsidRPr="001D0846" w:rsidRDefault="00C77119" w:rsidP="00C77119">
      <w:pPr>
        <w:pStyle w:val="a7"/>
        <w:numPr>
          <w:ilvl w:val="0"/>
          <w:numId w:val="14"/>
        </w:numPr>
        <w:tabs>
          <w:tab w:val="left" w:pos="810"/>
        </w:tabs>
        <w:spacing w:after="0" w:line="276" w:lineRule="auto"/>
        <w:ind w:left="0" w:firstLine="36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SV – au fost înaintate 3 cerințe</w:t>
      </w:r>
      <w:r w:rsidR="00062548">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din</w:t>
      </w:r>
      <w:r w:rsidR="00062548">
        <w:rPr>
          <w:rFonts w:ascii="Times New Roman" w:hAnsi="Times New Roman" w:cs="Times New Roman"/>
          <w:sz w:val="28"/>
          <w:szCs w:val="28"/>
          <w:lang w:val="ro-MD"/>
        </w:rPr>
        <w:t>tre</w:t>
      </w:r>
      <w:r w:rsidRPr="001D0846">
        <w:rPr>
          <w:rFonts w:ascii="Times New Roman" w:hAnsi="Times New Roman" w:cs="Times New Roman"/>
          <w:sz w:val="28"/>
          <w:szCs w:val="28"/>
          <w:lang w:val="ro-MD"/>
        </w:rPr>
        <w:t xml:space="preserve"> care 1-</w:t>
      </w:r>
      <w:r w:rsidR="00062548">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realizată, 1-</w:t>
      </w:r>
      <w:r w:rsidR="00062548">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parțial realizată, 1-</w:t>
      </w:r>
      <w:r w:rsidR="00062548">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nerealizată</w:t>
      </w:r>
      <w:r w:rsidR="00062548">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și 4 recomandări</w:t>
      </w:r>
      <w:r w:rsidR="00062548">
        <w:rPr>
          <w:rFonts w:ascii="Times New Roman" w:hAnsi="Times New Roman" w:cs="Times New Roman"/>
          <w:sz w:val="28"/>
          <w:szCs w:val="28"/>
          <w:lang w:val="ro-MD"/>
        </w:rPr>
        <w:t>,</w:t>
      </w:r>
      <w:r w:rsidR="000A59C4">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din</w:t>
      </w:r>
      <w:r w:rsidR="00B96397">
        <w:rPr>
          <w:rFonts w:ascii="Times New Roman" w:hAnsi="Times New Roman" w:cs="Times New Roman"/>
          <w:sz w:val="28"/>
          <w:szCs w:val="28"/>
          <w:lang w:val="ro-MD"/>
        </w:rPr>
        <w:t>tre</w:t>
      </w:r>
      <w:r w:rsidRPr="001D0846">
        <w:rPr>
          <w:rFonts w:ascii="Times New Roman" w:hAnsi="Times New Roman" w:cs="Times New Roman"/>
          <w:sz w:val="28"/>
          <w:szCs w:val="28"/>
          <w:lang w:val="ro-MD"/>
        </w:rPr>
        <w:t xml:space="preserve"> care 2 s</w:t>
      </w:r>
      <w:r w:rsidR="00B96397">
        <w:rPr>
          <w:rFonts w:ascii="Times New Roman" w:hAnsi="Times New Roman" w:cs="Times New Roman"/>
          <w:sz w:val="28"/>
          <w:szCs w:val="28"/>
          <w:lang w:val="ro-MD"/>
        </w:rPr>
        <w:t>u</w:t>
      </w:r>
      <w:r w:rsidRPr="001D0846">
        <w:rPr>
          <w:rFonts w:ascii="Times New Roman" w:hAnsi="Times New Roman" w:cs="Times New Roman"/>
          <w:sz w:val="28"/>
          <w:szCs w:val="28"/>
          <w:lang w:val="ro-MD"/>
        </w:rPr>
        <w:t xml:space="preserve">nt implementate, 1 </w:t>
      </w:r>
      <w:r w:rsidR="00B96397">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parțial implementată</w:t>
      </w:r>
      <w:r w:rsidR="00B96397">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și 1 </w:t>
      </w:r>
      <w:r w:rsidR="00B96397">
        <w:rPr>
          <w:rFonts w:ascii="Times New Roman" w:hAnsi="Times New Roman" w:cs="Times New Roman"/>
          <w:sz w:val="28"/>
          <w:szCs w:val="28"/>
          <w:lang w:val="ro-MD"/>
        </w:rPr>
        <w:t xml:space="preserve">- </w:t>
      </w:r>
      <w:r w:rsidRPr="001D0846">
        <w:rPr>
          <w:rFonts w:ascii="Times New Roman" w:hAnsi="Times New Roman" w:cs="Times New Roman"/>
          <w:sz w:val="28"/>
          <w:szCs w:val="28"/>
          <w:lang w:val="ro-MD"/>
        </w:rPr>
        <w:t>n</w:t>
      </w:r>
      <w:r w:rsidR="00B96397">
        <w:rPr>
          <w:rFonts w:ascii="Times New Roman" w:hAnsi="Times New Roman" w:cs="Times New Roman"/>
          <w:sz w:val="28"/>
          <w:szCs w:val="28"/>
          <w:lang w:val="ro-MD"/>
        </w:rPr>
        <w:t>e</w:t>
      </w:r>
      <w:r w:rsidRPr="001D0846">
        <w:rPr>
          <w:rFonts w:ascii="Times New Roman" w:hAnsi="Times New Roman" w:cs="Times New Roman"/>
          <w:sz w:val="28"/>
          <w:szCs w:val="28"/>
          <w:lang w:val="ro-MD"/>
        </w:rPr>
        <w:t>implementată.</w:t>
      </w:r>
    </w:p>
    <w:p w:rsidR="00C77119" w:rsidRPr="001D0846" w:rsidRDefault="00C77119" w:rsidP="00C77119">
      <w:pPr>
        <w:pStyle w:val="a7"/>
        <w:numPr>
          <w:ilvl w:val="0"/>
          <w:numId w:val="12"/>
        </w:numPr>
        <w:tabs>
          <w:tab w:val="left" w:pos="0"/>
          <w:tab w:val="left" w:pos="810"/>
        </w:tabs>
        <w:spacing w:after="0" w:line="276" w:lineRule="auto"/>
        <w:ind w:left="0" w:firstLine="360"/>
        <w:jc w:val="both"/>
        <w:rPr>
          <w:rFonts w:ascii="Times New Roman" w:hAnsi="Times New Roman" w:cs="Times New Roman"/>
          <w:sz w:val="28"/>
          <w:szCs w:val="28"/>
        </w:rPr>
      </w:pPr>
      <w:r w:rsidRPr="001D0846">
        <w:rPr>
          <w:rFonts w:ascii="Times New Roman" w:hAnsi="Times New Roman" w:cs="Times New Roman"/>
          <w:sz w:val="28"/>
          <w:szCs w:val="28"/>
        </w:rPr>
        <w:t xml:space="preserve">MF </w:t>
      </w:r>
      <w:r w:rsidR="00B96397">
        <w:rPr>
          <w:rFonts w:ascii="Times New Roman" w:hAnsi="Times New Roman" w:cs="Times New Roman"/>
          <w:sz w:val="28"/>
          <w:szCs w:val="28"/>
        </w:rPr>
        <w:t>i-</w:t>
      </w:r>
      <w:r w:rsidRPr="001D0846">
        <w:rPr>
          <w:rFonts w:ascii="Times New Roman" w:hAnsi="Times New Roman" w:cs="Times New Roman"/>
          <w:sz w:val="28"/>
          <w:szCs w:val="28"/>
        </w:rPr>
        <w:t xml:space="preserve">a fost înaintată </w:t>
      </w:r>
      <w:r w:rsidR="00B96397">
        <w:rPr>
          <w:rFonts w:ascii="Times New Roman" w:hAnsi="Times New Roman" w:cs="Times New Roman"/>
          <w:sz w:val="28"/>
          <w:szCs w:val="28"/>
        </w:rPr>
        <w:t>1</w:t>
      </w:r>
      <w:r w:rsidRPr="001D0846">
        <w:rPr>
          <w:rFonts w:ascii="Times New Roman" w:hAnsi="Times New Roman" w:cs="Times New Roman"/>
          <w:sz w:val="28"/>
          <w:szCs w:val="28"/>
        </w:rPr>
        <w:t xml:space="preserve"> cerință</w:t>
      </w:r>
      <w:r w:rsidR="00B96397">
        <w:rPr>
          <w:rFonts w:ascii="Times New Roman" w:hAnsi="Times New Roman" w:cs="Times New Roman"/>
          <w:sz w:val="28"/>
          <w:szCs w:val="28"/>
        </w:rPr>
        <w:t>,</w:t>
      </w:r>
      <w:r w:rsidRPr="001D0846">
        <w:rPr>
          <w:rFonts w:ascii="Times New Roman" w:hAnsi="Times New Roman" w:cs="Times New Roman"/>
          <w:sz w:val="28"/>
          <w:szCs w:val="28"/>
        </w:rPr>
        <w:t xml:space="preserve"> care </w:t>
      </w:r>
      <w:r w:rsidR="00B96397">
        <w:rPr>
          <w:rFonts w:ascii="Times New Roman" w:hAnsi="Times New Roman" w:cs="Times New Roman"/>
          <w:sz w:val="28"/>
          <w:szCs w:val="28"/>
        </w:rPr>
        <w:t>s-</w:t>
      </w:r>
      <w:r w:rsidRPr="001D0846">
        <w:rPr>
          <w:rFonts w:ascii="Times New Roman" w:hAnsi="Times New Roman" w:cs="Times New Roman"/>
          <w:sz w:val="28"/>
          <w:szCs w:val="28"/>
        </w:rPr>
        <w:t xml:space="preserve">a </w:t>
      </w:r>
      <w:r w:rsidR="00B96397">
        <w:rPr>
          <w:rFonts w:ascii="Times New Roman" w:hAnsi="Times New Roman" w:cs="Times New Roman"/>
          <w:sz w:val="28"/>
          <w:szCs w:val="28"/>
        </w:rPr>
        <w:t>executat,</w:t>
      </w:r>
      <w:r w:rsidRPr="001D0846">
        <w:rPr>
          <w:rFonts w:ascii="Times New Roman" w:hAnsi="Times New Roman" w:cs="Times New Roman"/>
          <w:sz w:val="28"/>
          <w:szCs w:val="28"/>
        </w:rPr>
        <w:t xml:space="preserve"> și </w:t>
      </w:r>
      <w:r w:rsidR="00B96397">
        <w:rPr>
          <w:rFonts w:ascii="Times New Roman" w:hAnsi="Times New Roman" w:cs="Times New Roman"/>
          <w:sz w:val="28"/>
          <w:szCs w:val="28"/>
        </w:rPr>
        <w:t>1</w:t>
      </w:r>
      <w:r w:rsidRPr="001D0846">
        <w:rPr>
          <w:rFonts w:ascii="Times New Roman" w:hAnsi="Times New Roman" w:cs="Times New Roman"/>
          <w:sz w:val="28"/>
          <w:szCs w:val="28"/>
        </w:rPr>
        <w:t xml:space="preserve"> cerință </w:t>
      </w:r>
      <w:r w:rsidR="00B96397">
        <w:rPr>
          <w:rFonts w:ascii="Times New Roman" w:hAnsi="Times New Roman" w:cs="Times New Roman"/>
          <w:sz w:val="28"/>
          <w:szCs w:val="28"/>
        </w:rPr>
        <w:t xml:space="preserve">- </w:t>
      </w:r>
      <w:r w:rsidRPr="001D0846">
        <w:rPr>
          <w:rFonts w:ascii="Times New Roman" w:hAnsi="Times New Roman" w:cs="Times New Roman"/>
          <w:sz w:val="28"/>
          <w:szCs w:val="28"/>
        </w:rPr>
        <w:t xml:space="preserve">MF </w:t>
      </w:r>
      <w:r w:rsidR="00B96397">
        <w:rPr>
          <w:rFonts w:ascii="Times New Roman" w:hAnsi="Times New Roman" w:cs="Times New Roman"/>
          <w:sz w:val="28"/>
          <w:szCs w:val="28"/>
        </w:rPr>
        <w:t>în</w:t>
      </w:r>
      <w:r w:rsidRPr="001D0846">
        <w:rPr>
          <w:rFonts w:ascii="Times New Roman" w:hAnsi="Times New Roman" w:cs="Times New Roman"/>
          <w:sz w:val="28"/>
          <w:szCs w:val="28"/>
        </w:rPr>
        <w:t xml:space="preserve"> comun cu MJ</w:t>
      </w:r>
      <w:r w:rsidR="00B96397">
        <w:rPr>
          <w:rFonts w:ascii="Times New Roman" w:hAnsi="Times New Roman" w:cs="Times New Roman"/>
          <w:sz w:val="28"/>
          <w:szCs w:val="28"/>
        </w:rPr>
        <w:t>,</w:t>
      </w:r>
      <w:r w:rsidRPr="001D0846">
        <w:rPr>
          <w:rFonts w:ascii="Times New Roman" w:hAnsi="Times New Roman" w:cs="Times New Roman"/>
          <w:sz w:val="28"/>
          <w:szCs w:val="28"/>
        </w:rPr>
        <w:t xml:space="preserve"> care </w:t>
      </w:r>
      <w:r w:rsidR="00B96397">
        <w:rPr>
          <w:rFonts w:ascii="Times New Roman" w:hAnsi="Times New Roman" w:cs="Times New Roman"/>
          <w:sz w:val="28"/>
          <w:szCs w:val="28"/>
        </w:rPr>
        <w:t>până în prezent</w:t>
      </w:r>
      <w:r w:rsidR="00B96397" w:rsidRPr="001D0846">
        <w:rPr>
          <w:rFonts w:ascii="Times New Roman" w:hAnsi="Times New Roman" w:cs="Times New Roman"/>
          <w:sz w:val="28"/>
          <w:szCs w:val="28"/>
        </w:rPr>
        <w:t xml:space="preserve"> </w:t>
      </w:r>
      <w:r w:rsidRPr="001D0846">
        <w:rPr>
          <w:rFonts w:ascii="Times New Roman" w:hAnsi="Times New Roman" w:cs="Times New Roman"/>
          <w:sz w:val="28"/>
          <w:szCs w:val="28"/>
        </w:rPr>
        <w:t xml:space="preserve">nu a fost </w:t>
      </w:r>
      <w:r w:rsidR="00B96397">
        <w:rPr>
          <w:rFonts w:ascii="Times New Roman" w:hAnsi="Times New Roman" w:cs="Times New Roman"/>
          <w:sz w:val="28"/>
          <w:szCs w:val="28"/>
        </w:rPr>
        <w:t>executată</w:t>
      </w:r>
      <w:r w:rsidRPr="001D0846">
        <w:rPr>
          <w:rFonts w:ascii="Times New Roman" w:hAnsi="Times New Roman" w:cs="Times New Roman"/>
          <w:sz w:val="28"/>
          <w:szCs w:val="28"/>
        </w:rPr>
        <w:t>.</w:t>
      </w:r>
    </w:p>
    <w:p w:rsidR="00C77119" w:rsidRPr="001D0846" w:rsidRDefault="00C77119" w:rsidP="00C77119">
      <w:pPr>
        <w:tabs>
          <w:tab w:val="left" w:pos="810"/>
        </w:tabs>
        <w:spacing w:after="0" w:line="276" w:lineRule="auto"/>
        <w:ind w:firstLine="360"/>
        <w:jc w:val="both"/>
        <w:rPr>
          <w:rFonts w:ascii="Times New Roman" w:hAnsi="Times New Roman" w:cs="Times New Roman"/>
        </w:rPr>
      </w:pPr>
    </w:p>
    <w:p w:rsidR="00C77119" w:rsidRPr="001D0846" w:rsidRDefault="00C77119" w:rsidP="00C77119">
      <w:pPr>
        <w:spacing w:after="0" w:line="276" w:lineRule="auto"/>
        <w:ind w:right="7" w:firstLine="709"/>
        <w:jc w:val="both"/>
        <w:rPr>
          <w:rFonts w:ascii="Times New Roman" w:hAnsi="Times New Roman"/>
          <w:sz w:val="28"/>
          <w:szCs w:val="28"/>
        </w:rPr>
      </w:pPr>
      <w:r w:rsidRPr="001D0846">
        <w:rPr>
          <w:rFonts w:ascii="Times New Roman" w:eastAsia="Times New Roman" w:hAnsi="Times New Roman"/>
          <w:sz w:val="28"/>
          <w:szCs w:val="28"/>
          <w:lang w:eastAsia="ru-RU"/>
        </w:rPr>
        <w:t>Se remarcă că, deși factorii de decizie a</w:t>
      </w:r>
      <w:r w:rsidR="00B96397">
        <w:rPr>
          <w:rFonts w:ascii="Times New Roman" w:eastAsia="Times New Roman" w:hAnsi="Times New Roman"/>
          <w:sz w:val="28"/>
          <w:szCs w:val="28"/>
          <w:lang w:eastAsia="ru-RU"/>
        </w:rPr>
        <w:t>i</w:t>
      </w:r>
      <w:r w:rsidRPr="001D0846">
        <w:rPr>
          <w:rFonts w:ascii="Times New Roman" w:eastAsia="Times New Roman" w:hAnsi="Times New Roman"/>
          <w:sz w:val="28"/>
          <w:szCs w:val="28"/>
          <w:lang w:eastAsia="ru-RU"/>
        </w:rPr>
        <w:t xml:space="preserve"> entităților auditate a</w:t>
      </w:r>
      <w:r w:rsidRPr="001D0846">
        <w:rPr>
          <w:rFonts w:ascii="Times New Roman" w:hAnsi="Times New Roman"/>
          <w:sz w:val="28"/>
          <w:szCs w:val="28"/>
        </w:rPr>
        <w:t xml:space="preserve">u întreprins anumite </w:t>
      </w:r>
      <w:proofErr w:type="spellStart"/>
      <w:r w:rsidRPr="001D0846">
        <w:rPr>
          <w:rFonts w:ascii="Times New Roman" w:hAnsi="Times New Roman"/>
          <w:sz w:val="28"/>
          <w:szCs w:val="28"/>
        </w:rPr>
        <w:t>acţiuni</w:t>
      </w:r>
      <w:proofErr w:type="spellEnd"/>
      <w:r w:rsidRPr="001D0846">
        <w:rPr>
          <w:rFonts w:ascii="Times New Roman" w:hAnsi="Times New Roman"/>
          <w:sz w:val="28"/>
          <w:szCs w:val="28"/>
        </w:rPr>
        <w:t xml:space="preserve"> în vederea remedierii vulnerabilităților/problematicilor/  neconformităților constatate de misiunile de audit precedente, având ca scop </w:t>
      </w:r>
      <w:r w:rsidRPr="001D0846">
        <w:rPr>
          <w:rFonts w:ascii="Times New Roman" w:hAnsi="Times New Roman"/>
          <w:sz w:val="28"/>
          <w:szCs w:val="28"/>
        </w:rPr>
        <w:lastRenderedPageBreak/>
        <w:t xml:space="preserve">consolidarea capacităților instituționale în administrarea veniturilor publice, evaluările și activitățile desfășurate de auditul public extern relevă persistența unor vulnerabilități și problematici, acestea fiind cauzate de </w:t>
      </w:r>
      <w:proofErr w:type="spellStart"/>
      <w:r w:rsidRPr="001D0846">
        <w:rPr>
          <w:rFonts w:ascii="Times New Roman" w:hAnsi="Times New Roman"/>
          <w:sz w:val="28"/>
          <w:szCs w:val="28"/>
        </w:rPr>
        <w:t>insuficienţa</w:t>
      </w:r>
      <w:proofErr w:type="spellEnd"/>
      <w:r w:rsidRPr="001D0846">
        <w:rPr>
          <w:rFonts w:ascii="Times New Roman" w:hAnsi="Times New Roman"/>
          <w:sz w:val="28"/>
          <w:szCs w:val="28"/>
        </w:rPr>
        <w:t xml:space="preserve"> măsurilor întreprinse</w:t>
      </w:r>
      <w:r w:rsidR="00B96397">
        <w:rPr>
          <w:rFonts w:ascii="Times New Roman" w:hAnsi="Times New Roman"/>
          <w:sz w:val="28"/>
          <w:szCs w:val="28"/>
        </w:rPr>
        <w:t>,</w:t>
      </w:r>
      <w:r w:rsidRPr="001D0846">
        <w:rPr>
          <w:rFonts w:ascii="Times New Roman" w:hAnsi="Times New Roman"/>
          <w:sz w:val="28"/>
          <w:szCs w:val="28"/>
        </w:rPr>
        <w:t xml:space="preserve"> precum și </w:t>
      </w:r>
      <w:r w:rsidR="00B96397">
        <w:rPr>
          <w:rFonts w:ascii="Times New Roman" w:hAnsi="Times New Roman"/>
          <w:sz w:val="28"/>
          <w:szCs w:val="28"/>
        </w:rPr>
        <w:t xml:space="preserve">de </w:t>
      </w:r>
      <w:r w:rsidRPr="001D0846">
        <w:rPr>
          <w:rFonts w:ascii="Times New Roman" w:hAnsi="Times New Roman"/>
          <w:sz w:val="28"/>
          <w:szCs w:val="28"/>
        </w:rPr>
        <w:t xml:space="preserve">nefuncționarea unor elemente ale sistemului de control intern </w:t>
      </w:r>
      <w:r w:rsidR="00B96397">
        <w:rPr>
          <w:rFonts w:ascii="Times New Roman" w:hAnsi="Times New Roman"/>
          <w:sz w:val="28"/>
          <w:szCs w:val="28"/>
        </w:rPr>
        <w:t>în</w:t>
      </w:r>
      <w:r w:rsidRPr="001D0846">
        <w:rPr>
          <w:rFonts w:ascii="Times New Roman" w:hAnsi="Times New Roman"/>
          <w:sz w:val="28"/>
          <w:szCs w:val="28"/>
        </w:rPr>
        <w:t xml:space="preserve"> domeniul respectiv. </w:t>
      </w:r>
    </w:p>
    <w:p w:rsidR="00C77119" w:rsidRPr="001D0846" w:rsidRDefault="00C77119" w:rsidP="00C77119">
      <w:pPr>
        <w:spacing w:after="0" w:line="276" w:lineRule="auto"/>
        <w:ind w:right="7" w:firstLine="709"/>
        <w:jc w:val="both"/>
        <w:rPr>
          <w:rFonts w:ascii="Times New Roman" w:hAnsi="Times New Roman" w:cs="Times New Roman"/>
          <w:sz w:val="28"/>
          <w:szCs w:val="28"/>
          <w:lang w:val="ro-MD"/>
        </w:rPr>
      </w:pPr>
      <w:r w:rsidRPr="001D0846">
        <w:rPr>
          <w:rFonts w:ascii="Times New Roman" w:hAnsi="Times New Roman"/>
          <w:sz w:val="28"/>
          <w:szCs w:val="28"/>
        </w:rPr>
        <w:t xml:space="preserve">Auditul menționează că </w:t>
      </w:r>
      <w:r w:rsidRPr="001D0846">
        <w:rPr>
          <w:rFonts w:ascii="Times New Roman" w:hAnsi="Times New Roman" w:cs="Times New Roman"/>
          <w:i/>
          <w:sz w:val="28"/>
          <w:szCs w:val="28"/>
          <w:lang w:val="ro-MD"/>
        </w:rPr>
        <w:t xml:space="preserve">Hotărârea Curții de Conturi nr.44 din 20.11.2015, Hotărârea Curții </w:t>
      </w:r>
      <w:r w:rsidR="004621B8">
        <w:rPr>
          <w:rFonts w:ascii="Times New Roman" w:hAnsi="Times New Roman" w:cs="Times New Roman"/>
          <w:i/>
          <w:sz w:val="28"/>
          <w:szCs w:val="28"/>
          <w:lang w:val="ro-MD"/>
        </w:rPr>
        <w:t>de Conturi nr.34 din 29.07.2016 și</w:t>
      </w:r>
      <w:r w:rsidRPr="001D0846">
        <w:rPr>
          <w:rFonts w:ascii="Times New Roman" w:hAnsi="Times New Roman" w:cs="Times New Roman"/>
          <w:i/>
          <w:sz w:val="28"/>
          <w:szCs w:val="28"/>
          <w:lang w:val="ro-MD"/>
        </w:rPr>
        <w:t xml:space="preserve"> Hotărârea Curții de Conturi nr.20 din 26.05.2017</w:t>
      </w:r>
      <w:r w:rsidRPr="001D0846">
        <w:rPr>
          <w:rFonts w:ascii="Times New Roman" w:hAnsi="Times New Roman" w:cs="Times New Roman"/>
          <w:b/>
          <w:sz w:val="28"/>
          <w:szCs w:val="28"/>
          <w:lang w:val="ro-MD"/>
        </w:rPr>
        <w:t xml:space="preserve"> </w:t>
      </w:r>
      <w:r w:rsidRPr="001D0846">
        <w:rPr>
          <w:rFonts w:ascii="Times New Roman" w:hAnsi="Times New Roman" w:cs="Times New Roman"/>
          <w:sz w:val="28"/>
          <w:szCs w:val="28"/>
          <w:lang w:val="ro-MD"/>
        </w:rPr>
        <w:t>includ cerințe și recomandări înaintate entităților auditat</w:t>
      </w:r>
      <w:r w:rsidR="004621B8">
        <w:rPr>
          <w:rFonts w:ascii="Times New Roman" w:hAnsi="Times New Roman" w:cs="Times New Roman"/>
          <w:sz w:val="28"/>
          <w:szCs w:val="28"/>
          <w:lang w:val="ro-MD"/>
        </w:rPr>
        <w:t>e în cadrul prezentului audit</w:t>
      </w:r>
      <w:r w:rsidR="006C20B7">
        <w:rPr>
          <w:rFonts w:ascii="Times New Roman" w:hAnsi="Times New Roman" w:cs="Times New Roman"/>
          <w:sz w:val="28"/>
          <w:szCs w:val="28"/>
          <w:lang w:val="ro-MD"/>
        </w:rPr>
        <w:t>,</w:t>
      </w:r>
      <w:r w:rsidR="004621B8">
        <w:rPr>
          <w:rFonts w:ascii="Times New Roman" w:hAnsi="Times New Roman" w:cs="Times New Roman"/>
          <w:sz w:val="28"/>
          <w:szCs w:val="28"/>
          <w:lang w:val="ro-MD"/>
        </w:rPr>
        <w:t xml:space="preserve"> </w:t>
      </w:r>
      <w:r w:rsidR="006C20B7">
        <w:rPr>
          <w:rFonts w:ascii="Times New Roman" w:hAnsi="Times New Roman" w:cs="Times New Roman"/>
          <w:sz w:val="28"/>
          <w:szCs w:val="28"/>
          <w:lang w:val="ro-MD"/>
        </w:rPr>
        <w:t>precum</w:t>
      </w:r>
      <w:r w:rsidRPr="001D0846">
        <w:rPr>
          <w:rFonts w:ascii="Times New Roman" w:hAnsi="Times New Roman" w:cs="Times New Roman"/>
          <w:sz w:val="28"/>
          <w:szCs w:val="28"/>
          <w:lang w:val="ro-MD"/>
        </w:rPr>
        <w:t xml:space="preserve"> și altor </w:t>
      </w:r>
      <w:r w:rsidR="004621B8">
        <w:rPr>
          <w:rFonts w:ascii="Times New Roman" w:hAnsi="Times New Roman" w:cs="Times New Roman"/>
          <w:sz w:val="28"/>
          <w:szCs w:val="28"/>
          <w:lang w:val="ro-MD"/>
        </w:rPr>
        <w:t>entități/</w:t>
      </w:r>
      <w:r w:rsidRPr="001D0846">
        <w:rPr>
          <w:rFonts w:ascii="Times New Roman" w:hAnsi="Times New Roman" w:cs="Times New Roman"/>
          <w:sz w:val="28"/>
          <w:szCs w:val="28"/>
          <w:lang w:val="ro-MD"/>
        </w:rPr>
        <w:t xml:space="preserve">administratori de venituri. Astfel, deoarece </w:t>
      </w:r>
      <w:r w:rsidR="004621B8">
        <w:rPr>
          <w:rFonts w:ascii="Times New Roman" w:hAnsi="Times New Roman" w:cs="Times New Roman"/>
          <w:sz w:val="28"/>
          <w:szCs w:val="28"/>
          <w:lang w:val="ro-MD"/>
        </w:rPr>
        <w:t>prezentul audit</w:t>
      </w:r>
      <w:r w:rsidRPr="001D0846">
        <w:rPr>
          <w:rFonts w:ascii="Times New Roman" w:hAnsi="Times New Roman" w:cs="Times New Roman"/>
          <w:sz w:val="28"/>
          <w:szCs w:val="28"/>
          <w:lang w:val="ro-MD"/>
        </w:rPr>
        <w:t xml:space="preserve"> s-a desfășurat doar la principalii administratori de impozite și taxe (SFS și SV), implementarea cerințelor și recomandărilor </w:t>
      </w:r>
      <w:r w:rsidR="004621B8">
        <w:rPr>
          <w:rFonts w:ascii="Times New Roman" w:hAnsi="Times New Roman" w:cs="Times New Roman"/>
          <w:sz w:val="28"/>
          <w:szCs w:val="28"/>
          <w:lang w:val="ro-MD"/>
        </w:rPr>
        <w:t>înaintate altor</w:t>
      </w:r>
      <w:r w:rsidRPr="001D0846">
        <w:rPr>
          <w:rFonts w:ascii="Times New Roman" w:hAnsi="Times New Roman" w:cs="Times New Roman"/>
          <w:sz w:val="28"/>
          <w:szCs w:val="28"/>
          <w:lang w:val="ro-MD"/>
        </w:rPr>
        <w:t xml:space="preserve"> administratori vizați în H</w:t>
      </w:r>
      <w:r w:rsidR="006C20B7">
        <w:rPr>
          <w:rFonts w:ascii="Times New Roman" w:hAnsi="Times New Roman" w:cs="Times New Roman"/>
          <w:sz w:val="28"/>
          <w:szCs w:val="28"/>
          <w:lang w:val="ro-MD"/>
        </w:rPr>
        <w:t xml:space="preserve">otărârile </w:t>
      </w:r>
      <w:proofErr w:type="spellStart"/>
      <w:r w:rsidRPr="001D0846">
        <w:rPr>
          <w:rFonts w:ascii="Times New Roman" w:hAnsi="Times New Roman" w:cs="Times New Roman"/>
          <w:sz w:val="28"/>
          <w:szCs w:val="28"/>
          <w:lang w:val="ro-MD"/>
        </w:rPr>
        <w:t>C</w:t>
      </w:r>
      <w:r w:rsidR="006C20B7">
        <w:rPr>
          <w:rFonts w:ascii="Times New Roman" w:hAnsi="Times New Roman" w:cs="Times New Roman"/>
          <w:sz w:val="28"/>
          <w:szCs w:val="28"/>
          <w:lang w:val="ro-MD"/>
        </w:rPr>
        <w:t>utții</w:t>
      </w:r>
      <w:proofErr w:type="spellEnd"/>
      <w:r w:rsidR="006C20B7">
        <w:rPr>
          <w:rFonts w:ascii="Times New Roman" w:hAnsi="Times New Roman" w:cs="Times New Roman"/>
          <w:sz w:val="28"/>
          <w:szCs w:val="28"/>
          <w:lang w:val="ro-MD"/>
        </w:rPr>
        <w:t xml:space="preserve"> de </w:t>
      </w:r>
      <w:r w:rsidRPr="001D0846">
        <w:rPr>
          <w:rFonts w:ascii="Times New Roman" w:hAnsi="Times New Roman" w:cs="Times New Roman"/>
          <w:sz w:val="28"/>
          <w:szCs w:val="28"/>
          <w:lang w:val="ro-MD"/>
        </w:rPr>
        <w:t>C</w:t>
      </w:r>
      <w:r w:rsidR="006C20B7">
        <w:rPr>
          <w:rFonts w:ascii="Times New Roman" w:hAnsi="Times New Roman" w:cs="Times New Roman"/>
          <w:sz w:val="28"/>
          <w:szCs w:val="28"/>
          <w:lang w:val="ro-MD"/>
        </w:rPr>
        <w:t>onturi</w:t>
      </w:r>
      <w:r w:rsidRPr="001D0846">
        <w:rPr>
          <w:rFonts w:ascii="Times New Roman" w:hAnsi="Times New Roman" w:cs="Times New Roman"/>
          <w:sz w:val="28"/>
          <w:szCs w:val="28"/>
          <w:lang w:val="ro-MD"/>
        </w:rPr>
        <w:t xml:space="preserve"> menționate nu a fost verificat</w:t>
      </w:r>
      <w:r w:rsidR="006C20B7">
        <w:rPr>
          <w:rFonts w:ascii="Times New Roman" w:hAnsi="Times New Roman" w:cs="Times New Roman"/>
          <w:sz w:val="28"/>
          <w:szCs w:val="28"/>
          <w:lang w:val="ro-MD"/>
        </w:rPr>
        <w:t>ă</w:t>
      </w:r>
      <w:r w:rsidRPr="001D0846">
        <w:rPr>
          <w:rFonts w:ascii="Times New Roman" w:hAnsi="Times New Roman" w:cs="Times New Roman"/>
          <w:sz w:val="28"/>
          <w:szCs w:val="28"/>
          <w:lang w:val="ro-MD"/>
        </w:rPr>
        <w:t>. Totoda</w:t>
      </w:r>
      <w:r w:rsidR="004621B8">
        <w:rPr>
          <w:rFonts w:ascii="Times New Roman" w:hAnsi="Times New Roman" w:cs="Times New Roman"/>
          <w:sz w:val="28"/>
          <w:szCs w:val="28"/>
          <w:lang w:val="ro-MD"/>
        </w:rPr>
        <w:t>tă, având în vedere faptul că h</w:t>
      </w:r>
      <w:r w:rsidRPr="001D0846">
        <w:rPr>
          <w:rFonts w:ascii="Times New Roman" w:hAnsi="Times New Roman" w:cs="Times New Roman"/>
          <w:sz w:val="28"/>
          <w:szCs w:val="28"/>
          <w:lang w:val="ro-MD"/>
        </w:rPr>
        <w:t>otăr</w:t>
      </w:r>
      <w:r w:rsidR="006C20B7">
        <w:rPr>
          <w:rFonts w:ascii="Times New Roman" w:hAnsi="Times New Roman" w:cs="Times New Roman"/>
          <w:sz w:val="28"/>
          <w:szCs w:val="28"/>
          <w:lang w:val="ro-MD"/>
        </w:rPr>
        <w:t>â</w:t>
      </w:r>
      <w:r w:rsidRPr="001D0846">
        <w:rPr>
          <w:rFonts w:ascii="Times New Roman" w:hAnsi="Times New Roman" w:cs="Times New Roman"/>
          <w:sz w:val="28"/>
          <w:szCs w:val="28"/>
          <w:lang w:val="ro-MD"/>
        </w:rPr>
        <w:t xml:space="preserve">rile menționate includ și recomandări reiterate din auditurile precedente, precum și faptul că unele </w:t>
      </w:r>
      <w:r w:rsidR="004621B8">
        <w:rPr>
          <w:rFonts w:ascii="Times New Roman" w:hAnsi="Times New Roman" w:cs="Times New Roman"/>
          <w:sz w:val="28"/>
          <w:szCs w:val="28"/>
          <w:lang w:val="ro-MD"/>
        </w:rPr>
        <w:t>entități vizate</w:t>
      </w:r>
      <w:r w:rsidRPr="001D0846">
        <w:rPr>
          <w:rFonts w:ascii="Times New Roman" w:hAnsi="Times New Roman" w:cs="Times New Roman"/>
          <w:sz w:val="28"/>
          <w:szCs w:val="28"/>
          <w:lang w:val="ro-MD"/>
        </w:rPr>
        <w:t xml:space="preserve"> au fost reorganizate prin absorbție, auditul </w:t>
      </w:r>
      <w:r w:rsidR="000A59C4">
        <w:rPr>
          <w:rFonts w:ascii="Times New Roman" w:hAnsi="Times New Roman" w:cs="Times New Roman"/>
          <w:sz w:val="28"/>
          <w:szCs w:val="28"/>
          <w:lang w:val="ro-MD"/>
        </w:rPr>
        <w:t xml:space="preserve">consideră oportun efectuarea unei misiuni </w:t>
      </w:r>
      <w:r w:rsidRPr="001D0846">
        <w:rPr>
          <w:rFonts w:ascii="Times New Roman" w:hAnsi="Times New Roman" w:cs="Times New Roman"/>
          <w:sz w:val="28"/>
          <w:szCs w:val="28"/>
          <w:lang w:val="ro-MD"/>
        </w:rPr>
        <w:t xml:space="preserve">de audit </w:t>
      </w:r>
      <w:proofErr w:type="spellStart"/>
      <w:r w:rsidRPr="001D0846">
        <w:rPr>
          <w:rFonts w:ascii="Times New Roman" w:hAnsi="Times New Roman" w:cs="Times New Roman"/>
          <w:sz w:val="28"/>
          <w:szCs w:val="28"/>
          <w:lang w:val="ro-MD"/>
        </w:rPr>
        <w:t>follow-up</w:t>
      </w:r>
      <w:proofErr w:type="spellEnd"/>
      <w:r w:rsidRPr="001D0846">
        <w:rPr>
          <w:rFonts w:ascii="Times New Roman" w:hAnsi="Times New Roman" w:cs="Times New Roman"/>
          <w:sz w:val="28"/>
          <w:szCs w:val="28"/>
          <w:lang w:val="ro-MD"/>
        </w:rPr>
        <w:t xml:space="preserve"> </w:t>
      </w:r>
      <w:r w:rsidR="004621B8">
        <w:rPr>
          <w:rFonts w:ascii="Times New Roman" w:hAnsi="Times New Roman" w:cs="Times New Roman"/>
          <w:sz w:val="28"/>
          <w:szCs w:val="28"/>
          <w:lang w:val="ro-MD"/>
        </w:rPr>
        <w:t>privind executarea integrală a h</w:t>
      </w:r>
      <w:r w:rsidRPr="001D0846">
        <w:rPr>
          <w:rFonts w:ascii="Times New Roman" w:hAnsi="Times New Roman" w:cs="Times New Roman"/>
          <w:sz w:val="28"/>
          <w:szCs w:val="28"/>
          <w:lang w:val="ro-MD"/>
        </w:rPr>
        <w:t>otăr</w:t>
      </w:r>
      <w:r w:rsidR="006C20B7">
        <w:rPr>
          <w:rFonts w:ascii="Times New Roman" w:hAnsi="Times New Roman" w:cs="Times New Roman"/>
          <w:sz w:val="28"/>
          <w:szCs w:val="28"/>
          <w:lang w:val="ro-MD"/>
        </w:rPr>
        <w:t>â</w:t>
      </w:r>
      <w:r w:rsidRPr="001D0846">
        <w:rPr>
          <w:rFonts w:ascii="Times New Roman" w:hAnsi="Times New Roman" w:cs="Times New Roman"/>
          <w:sz w:val="28"/>
          <w:szCs w:val="28"/>
          <w:lang w:val="ro-MD"/>
        </w:rPr>
        <w:t xml:space="preserve">rilor menționate.   </w:t>
      </w:r>
    </w:p>
    <w:p w:rsidR="00C77119" w:rsidRDefault="00C77119" w:rsidP="00C77119">
      <w:pPr>
        <w:tabs>
          <w:tab w:val="left" w:pos="0"/>
        </w:tabs>
        <w:spacing w:after="0" w:line="276" w:lineRule="auto"/>
        <w:ind w:firstLine="709"/>
        <w:jc w:val="both"/>
        <w:rPr>
          <w:rFonts w:ascii="Times New Roman" w:hAnsi="Times New Roman"/>
          <w:sz w:val="28"/>
          <w:szCs w:val="28"/>
          <w:lang w:val="ro-MD"/>
        </w:rPr>
      </w:pPr>
    </w:p>
    <w:p w:rsidR="00C77119" w:rsidRPr="007116A5" w:rsidRDefault="00C947DA" w:rsidP="003C4B9E">
      <w:pPr>
        <w:pStyle w:val="1"/>
        <w:spacing w:before="0" w:line="276" w:lineRule="auto"/>
        <w:jc w:val="both"/>
        <w:rPr>
          <w:rFonts w:ascii="Times New Roman" w:hAnsi="Times New Roman" w:cs="Times New Roman"/>
          <w:b/>
          <w:color w:val="auto"/>
          <w:sz w:val="28"/>
          <w:szCs w:val="28"/>
          <w:lang w:val="ro-MD"/>
        </w:rPr>
      </w:pPr>
      <w:bookmarkStart w:id="19" w:name="_Toc515894895"/>
      <w:bookmarkStart w:id="20" w:name="_Toc505603941"/>
      <w:r w:rsidRPr="007116A5">
        <w:rPr>
          <w:rFonts w:ascii="Times New Roman" w:eastAsia="Times New Roman" w:hAnsi="Times New Roman" w:cs="Times New Roman"/>
          <w:b/>
          <w:color w:val="auto"/>
          <w:sz w:val="28"/>
          <w:szCs w:val="28"/>
        </w:rPr>
        <w:t>3.</w:t>
      </w:r>
      <w:r w:rsidR="00C77119" w:rsidRPr="007116A5">
        <w:rPr>
          <w:rFonts w:ascii="Times New Roman" w:eastAsia="Times New Roman" w:hAnsi="Times New Roman" w:cs="Times New Roman"/>
          <w:b/>
          <w:color w:val="auto"/>
          <w:sz w:val="28"/>
          <w:szCs w:val="28"/>
        </w:rPr>
        <w:t>9</w:t>
      </w:r>
      <w:r w:rsidR="009E21CF" w:rsidRPr="007116A5">
        <w:rPr>
          <w:rFonts w:ascii="Times New Roman" w:eastAsia="Times New Roman" w:hAnsi="Times New Roman" w:cs="Times New Roman"/>
          <w:b/>
          <w:color w:val="auto"/>
          <w:sz w:val="28"/>
          <w:szCs w:val="28"/>
        </w:rPr>
        <w:t xml:space="preserve">. </w:t>
      </w:r>
      <w:r w:rsidR="005477BB" w:rsidRPr="007116A5">
        <w:rPr>
          <w:rFonts w:ascii="Times New Roman" w:hAnsi="Times New Roman" w:cs="Times New Roman"/>
          <w:b/>
          <w:color w:val="auto"/>
          <w:sz w:val="28"/>
          <w:szCs w:val="28"/>
          <w:lang w:val="ro-MD"/>
        </w:rPr>
        <w:t xml:space="preserve">Organizarea și implementarea de către organele fiscale și vamale a </w:t>
      </w:r>
      <w:r w:rsidR="00C77119" w:rsidRPr="007116A5">
        <w:rPr>
          <w:rFonts w:ascii="Times New Roman" w:hAnsi="Times New Roman" w:cs="Times New Roman"/>
          <w:b/>
          <w:color w:val="auto"/>
          <w:sz w:val="28"/>
          <w:szCs w:val="28"/>
          <w:lang w:val="ro-MD"/>
        </w:rPr>
        <w:t>sistemului de control intern.</w:t>
      </w:r>
      <w:bookmarkEnd w:id="19"/>
    </w:p>
    <w:bookmarkEnd w:id="20"/>
    <w:p w:rsidR="009E21CF" w:rsidRDefault="009E21CF" w:rsidP="007116A5">
      <w:pPr>
        <w:tabs>
          <w:tab w:val="left" w:pos="450"/>
          <w:tab w:val="left" w:pos="990"/>
          <w:tab w:val="left" w:pos="1695"/>
        </w:tabs>
        <w:spacing w:after="0" w:line="276" w:lineRule="auto"/>
        <w:ind w:right="9"/>
        <w:jc w:val="both"/>
        <w:rPr>
          <w:rFonts w:ascii="Times New Roman" w:hAnsi="Times New Roman" w:cs="Times New Roman"/>
          <w:i/>
          <w:sz w:val="28"/>
          <w:szCs w:val="28"/>
        </w:rPr>
      </w:pPr>
      <w:r w:rsidRPr="001D0846">
        <w:rPr>
          <w:rFonts w:ascii="Times New Roman" w:eastAsia="Times New Roman" w:hAnsi="Times New Roman" w:cs="Times New Roman"/>
          <w:sz w:val="28"/>
          <w:szCs w:val="28"/>
          <w:lang w:eastAsia="ru-RU"/>
        </w:rPr>
        <w:tab/>
        <w:t xml:space="preserve">    </w:t>
      </w:r>
      <w:r w:rsidRPr="001D0846">
        <w:rPr>
          <w:rFonts w:ascii="Times New Roman" w:eastAsia="Times New Roman" w:hAnsi="Times New Roman" w:cs="Times New Roman"/>
          <w:i/>
          <w:sz w:val="28"/>
          <w:szCs w:val="28"/>
          <w:lang w:eastAsia="ru-RU"/>
        </w:rPr>
        <w:t xml:space="preserve">Asigurarea unui management instituțional </w:t>
      </w:r>
      <w:r w:rsidR="004621B8">
        <w:rPr>
          <w:rFonts w:ascii="Times New Roman" w:eastAsia="Times New Roman" w:hAnsi="Times New Roman" w:cs="Times New Roman"/>
          <w:i/>
          <w:sz w:val="28"/>
          <w:szCs w:val="28"/>
          <w:lang w:eastAsia="ru-RU"/>
        </w:rPr>
        <w:t>adecvat</w:t>
      </w:r>
      <w:r w:rsidR="006C20B7">
        <w:rPr>
          <w:rFonts w:ascii="Times New Roman" w:eastAsia="Times New Roman" w:hAnsi="Times New Roman" w:cs="Times New Roman"/>
          <w:i/>
          <w:sz w:val="28"/>
          <w:szCs w:val="28"/>
          <w:lang w:eastAsia="ru-RU"/>
        </w:rPr>
        <w:t>,</w:t>
      </w:r>
      <w:r w:rsidR="004621B8">
        <w:rPr>
          <w:rFonts w:ascii="Times New Roman" w:eastAsia="Times New Roman" w:hAnsi="Times New Roman" w:cs="Times New Roman"/>
          <w:i/>
          <w:sz w:val="28"/>
          <w:szCs w:val="28"/>
          <w:lang w:eastAsia="ru-RU"/>
        </w:rPr>
        <w:t xml:space="preserve"> </w:t>
      </w:r>
      <w:r w:rsidRPr="001D0846">
        <w:rPr>
          <w:rFonts w:ascii="Times New Roman" w:eastAsia="Times New Roman" w:hAnsi="Times New Roman" w:cs="Times New Roman"/>
          <w:i/>
          <w:sz w:val="28"/>
          <w:szCs w:val="28"/>
          <w:lang w:eastAsia="ru-RU"/>
        </w:rPr>
        <w:t xml:space="preserve">menit să asigure realizarea </w:t>
      </w:r>
      <w:r w:rsidRPr="001D0846">
        <w:rPr>
          <w:rFonts w:ascii="Times New Roman" w:hAnsi="Times New Roman" w:cs="Times New Roman"/>
          <w:i/>
          <w:sz w:val="28"/>
          <w:szCs w:val="28"/>
        </w:rPr>
        <w:t xml:space="preserve">obiectivelor și atingerea performanțelor în administrarea impozitelor și taxelor, constituie o prioritate strategică pentru organele fiscale și </w:t>
      </w:r>
      <w:r w:rsidRPr="001D0846">
        <w:rPr>
          <w:rFonts w:ascii="Times New Roman" w:hAnsi="Times New Roman" w:cs="Times New Roman"/>
          <w:i/>
          <w:sz w:val="28"/>
          <w:szCs w:val="28"/>
          <w:lang w:val="ro-MD"/>
        </w:rPr>
        <w:t>vamale. Deși</w:t>
      </w:r>
      <w:r w:rsidR="006C20B7">
        <w:rPr>
          <w:rFonts w:ascii="Times New Roman" w:hAnsi="Times New Roman" w:cs="Times New Roman"/>
          <w:i/>
          <w:sz w:val="28"/>
          <w:szCs w:val="28"/>
          <w:lang w:val="ro-MD"/>
        </w:rPr>
        <w:t xml:space="preserve"> </w:t>
      </w:r>
      <w:r w:rsidRPr="001D0846">
        <w:rPr>
          <w:rFonts w:ascii="Times New Roman" w:hAnsi="Times New Roman" w:cs="Times New Roman"/>
          <w:i/>
          <w:sz w:val="28"/>
          <w:szCs w:val="28"/>
          <w:lang w:val="ro-MD"/>
        </w:rPr>
        <w:t xml:space="preserve"> SFS și SV au asigurat condițiile de instituire și organizare a sistemului de control intern</w:t>
      </w:r>
      <w:r w:rsidR="006C20B7">
        <w:rPr>
          <w:rFonts w:ascii="Times New Roman" w:hAnsi="Times New Roman" w:cs="Times New Roman"/>
          <w:i/>
          <w:sz w:val="28"/>
          <w:szCs w:val="28"/>
          <w:lang w:val="ro-MD"/>
        </w:rPr>
        <w:t>,</w:t>
      </w:r>
      <w:r w:rsidRPr="001D0846">
        <w:rPr>
          <w:rFonts w:ascii="Times New Roman" w:hAnsi="Times New Roman" w:cs="Times New Roman"/>
          <w:i/>
          <w:sz w:val="28"/>
          <w:szCs w:val="28"/>
          <w:lang w:val="ro-MD"/>
        </w:rPr>
        <w:t xml:space="preserve"> </w:t>
      </w:r>
      <w:r w:rsidRPr="001D0846">
        <w:rPr>
          <w:rFonts w:ascii="Times New Roman" w:hAnsi="Times New Roman" w:cs="Times New Roman"/>
          <w:i/>
          <w:color w:val="000000"/>
          <w:sz w:val="28"/>
          <w:szCs w:val="28"/>
          <w:lang w:val="ro-MD"/>
        </w:rPr>
        <w:t>pentru a</w:t>
      </w:r>
      <w:r w:rsidRPr="001D0846">
        <w:rPr>
          <w:rFonts w:ascii="Times New Roman" w:hAnsi="Times New Roman" w:cs="Times New Roman"/>
          <w:i/>
          <w:sz w:val="28"/>
          <w:szCs w:val="28"/>
          <w:lang w:val="ro-MD"/>
        </w:rPr>
        <w:t xml:space="preserve"> oferi o asigurare rezonabilă privind atingerea obiectivelor și rezultatelor planificate, evaluările și activitățile desfășurate de auditul public extern relevă </w:t>
      </w:r>
      <w:r w:rsidR="00CD356B" w:rsidRPr="001D0846">
        <w:rPr>
          <w:rFonts w:ascii="Times New Roman" w:hAnsi="Times New Roman" w:cs="Times New Roman"/>
          <w:i/>
          <w:sz w:val="28"/>
          <w:szCs w:val="28"/>
          <w:lang w:val="ro-MD"/>
        </w:rPr>
        <w:t xml:space="preserve">unele rezerve în implementarea/funcționarea  sistemului de control intern în cadrul SFS și SV. </w:t>
      </w:r>
      <w:r w:rsidR="006C20B7">
        <w:rPr>
          <w:rFonts w:ascii="Times New Roman" w:hAnsi="Times New Roman" w:cs="Times New Roman"/>
          <w:i/>
          <w:sz w:val="28"/>
          <w:szCs w:val="28"/>
          <w:lang w:val="ro-MD"/>
        </w:rPr>
        <w:t>În consecință,</w:t>
      </w:r>
      <w:r w:rsidRPr="001D0846">
        <w:rPr>
          <w:rFonts w:ascii="Times New Roman" w:hAnsi="Times New Roman" w:cs="Times New Roman"/>
          <w:i/>
          <w:sz w:val="28"/>
          <w:szCs w:val="28"/>
          <w:lang w:val="ro-MD"/>
        </w:rPr>
        <w:t xml:space="preserve"> auditul </w:t>
      </w:r>
      <w:r w:rsidR="00B06CA5">
        <w:rPr>
          <w:rFonts w:ascii="Times New Roman" w:hAnsi="Times New Roman" w:cs="Times New Roman"/>
          <w:i/>
          <w:sz w:val="28"/>
          <w:szCs w:val="28"/>
          <w:lang w:val="ro-MD"/>
        </w:rPr>
        <w:t xml:space="preserve">a </w:t>
      </w:r>
      <w:r w:rsidRPr="001D0846">
        <w:rPr>
          <w:rFonts w:ascii="Times New Roman" w:hAnsi="Times New Roman" w:cs="Times New Roman"/>
          <w:i/>
          <w:sz w:val="28"/>
          <w:szCs w:val="28"/>
          <w:lang w:val="ro-MD"/>
        </w:rPr>
        <w:t>relev</w:t>
      </w:r>
      <w:r w:rsidR="00B06CA5">
        <w:rPr>
          <w:rFonts w:ascii="Times New Roman" w:hAnsi="Times New Roman" w:cs="Times New Roman"/>
          <w:i/>
          <w:sz w:val="28"/>
          <w:szCs w:val="28"/>
          <w:lang w:val="ro-MD"/>
        </w:rPr>
        <w:t xml:space="preserve">at unele </w:t>
      </w:r>
      <w:r w:rsidRPr="001D0846">
        <w:rPr>
          <w:rFonts w:ascii="Times New Roman" w:hAnsi="Times New Roman" w:cs="Times New Roman"/>
          <w:i/>
          <w:sz w:val="28"/>
          <w:szCs w:val="28"/>
          <w:lang w:val="ro-MD"/>
        </w:rPr>
        <w:t xml:space="preserve">nerealizări/realizări parțiale ale unor performanțe în domeniul administrării fiscale și vamale, fapt care limitează </w:t>
      </w:r>
      <w:proofErr w:type="spellStart"/>
      <w:r w:rsidRPr="001D0846">
        <w:rPr>
          <w:rFonts w:ascii="Times New Roman" w:hAnsi="Times New Roman" w:cs="Times New Roman"/>
          <w:i/>
          <w:sz w:val="28"/>
          <w:szCs w:val="28"/>
          <w:lang w:val="ro-MD"/>
        </w:rPr>
        <w:t>rezultativitatea</w:t>
      </w:r>
      <w:proofErr w:type="spellEnd"/>
      <w:r w:rsidRPr="001D0846">
        <w:rPr>
          <w:rFonts w:ascii="Times New Roman" w:hAnsi="Times New Roman" w:cs="Times New Roman"/>
          <w:i/>
          <w:sz w:val="28"/>
          <w:szCs w:val="28"/>
          <w:lang w:val="ro-MD"/>
        </w:rPr>
        <w:t xml:space="preserve"> operațională aferentă administrării impozitelor și taxelor. Cele</w:t>
      </w:r>
      <w:r w:rsidRPr="001D0846">
        <w:rPr>
          <w:rFonts w:ascii="Times New Roman" w:hAnsi="Times New Roman" w:cs="Times New Roman"/>
          <w:i/>
          <w:sz w:val="28"/>
          <w:szCs w:val="28"/>
        </w:rPr>
        <w:t xml:space="preserve"> menționate sunt cauzate</w:t>
      </w:r>
      <w:r w:rsidR="006C20B7">
        <w:rPr>
          <w:rFonts w:ascii="Times New Roman" w:hAnsi="Times New Roman" w:cs="Times New Roman"/>
          <w:i/>
          <w:sz w:val="28"/>
          <w:szCs w:val="28"/>
        </w:rPr>
        <w:t>,</w:t>
      </w:r>
      <w:r w:rsidRPr="001D0846">
        <w:rPr>
          <w:rFonts w:ascii="Times New Roman" w:hAnsi="Times New Roman" w:cs="Times New Roman"/>
          <w:i/>
          <w:sz w:val="28"/>
          <w:szCs w:val="28"/>
        </w:rPr>
        <w:t xml:space="preserve"> în general</w:t>
      </w:r>
      <w:r w:rsidR="006C20B7">
        <w:rPr>
          <w:rFonts w:ascii="Times New Roman" w:hAnsi="Times New Roman" w:cs="Times New Roman"/>
          <w:i/>
          <w:sz w:val="28"/>
          <w:szCs w:val="28"/>
        </w:rPr>
        <w:t>,</w:t>
      </w:r>
      <w:r w:rsidRPr="001D0846">
        <w:rPr>
          <w:rFonts w:ascii="Times New Roman" w:hAnsi="Times New Roman" w:cs="Times New Roman"/>
          <w:i/>
          <w:sz w:val="28"/>
          <w:szCs w:val="28"/>
        </w:rPr>
        <w:t xml:space="preserve"> de insuficiența unor activități de control/ decizii de management în cadrul SFS și SV</w:t>
      </w:r>
      <w:r w:rsidR="006C20B7">
        <w:rPr>
          <w:rFonts w:ascii="Times New Roman" w:hAnsi="Times New Roman" w:cs="Times New Roman"/>
          <w:i/>
          <w:sz w:val="28"/>
          <w:szCs w:val="28"/>
        </w:rPr>
        <w:t>,</w:t>
      </w:r>
      <w:r w:rsidRPr="001D0846">
        <w:rPr>
          <w:rFonts w:ascii="Times New Roman" w:hAnsi="Times New Roman" w:cs="Times New Roman"/>
          <w:i/>
          <w:sz w:val="28"/>
          <w:szCs w:val="28"/>
        </w:rPr>
        <w:t xml:space="preserve"> care să asigure consolidarea capacităților și mobilizarea eforturilor în realizarea performanțelor instituționale în administrarea impozitelor și taxelor.</w:t>
      </w:r>
    </w:p>
    <w:p w:rsidR="009E21CF" w:rsidRPr="001D0846" w:rsidRDefault="009E21CF" w:rsidP="009E21CF">
      <w:pPr>
        <w:spacing w:after="0" w:line="276" w:lineRule="auto"/>
        <w:ind w:firstLine="720"/>
        <w:jc w:val="both"/>
        <w:rPr>
          <w:rFonts w:ascii="Times New Roman" w:hAnsi="Times New Roman" w:cs="Times New Roman"/>
          <w:color w:val="000000"/>
          <w:sz w:val="28"/>
          <w:szCs w:val="28"/>
        </w:rPr>
      </w:pPr>
      <w:r w:rsidRPr="001D0846">
        <w:rPr>
          <w:rFonts w:ascii="Times New Roman" w:hAnsi="Times New Roman" w:cs="Times New Roman"/>
          <w:sz w:val="28"/>
          <w:szCs w:val="28"/>
        </w:rPr>
        <w:t>În anul 2017</w:t>
      </w:r>
      <w:r w:rsidR="006C20B7">
        <w:rPr>
          <w:rFonts w:ascii="Times New Roman" w:hAnsi="Times New Roman" w:cs="Times New Roman"/>
          <w:sz w:val="28"/>
          <w:szCs w:val="28"/>
        </w:rPr>
        <w:t>,</w:t>
      </w:r>
      <w:r w:rsidRPr="001D0846">
        <w:rPr>
          <w:rFonts w:ascii="Times New Roman" w:hAnsi="Times New Roman" w:cs="Times New Roman"/>
          <w:sz w:val="28"/>
          <w:szCs w:val="28"/>
        </w:rPr>
        <w:t xml:space="preserve"> SFS și SV au activat în baza unor noi organigrame, elaborate în contextul reformelor instituționale implementate pe parcursul </w:t>
      </w:r>
      <w:r w:rsidR="006C20B7">
        <w:rPr>
          <w:rFonts w:ascii="Times New Roman" w:hAnsi="Times New Roman" w:cs="Times New Roman"/>
          <w:sz w:val="28"/>
          <w:szCs w:val="28"/>
        </w:rPr>
        <w:t>anilor</w:t>
      </w:r>
      <w:r w:rsidRPr="001D0846">
        <w:rPr>
          <w:rFonts w:ascii="Times New Roman" w:hAnsi="Times New Roman" w:cs="Times New Roman"/>
          <w:sz w:val="28"/>
          <w:szCs w:val="28"/>
        </w:rPr>
        <w:t xml:space="preserve"> 2016-2017, care au avut ca scop dezvoltarea structurilor instituționale capabile să asigure o administrare fiscală și vamală eficientă la nivel strategic </w:t>
      </w:r>
      <w:proofErr w:type="spellStart"/>
      <w:r w:rsidRPr="001D0846">
        <w:rPr>
          <w:rFonts w:ascii="Times New Roman" w:hAnsi="Times New Roman" w:cs="Times New Roman"/>
          <w:sz w:val="28"/>
          <w:szCs w:val="28"/>
        </w:rPr>
        <w:t>şi</w:t>
      </w:r>
      <w:proofErr w:type="spellEnd"/>
      <w:r w:rsidRPr="001D0846">
        <w:rPr>
          <w:rFonts w:ascii="Times New Roman" w:hAnsi="Times New Roman" w:cs="Times New Roman"/>
          <w:sz w:val="28"/>
          <w:szCs w:val="28"/>
        </w:rPr>
        <w:t xml:space="preserve"> </w:t>
      </w:r>
      <w:r w:rsidR="00CE3749">
        <w:rPr>
          <w:rFonts w:ascii="Times New Roman" w:hAnsi="Times New Roman" w:cs="Times New Roman"/>
          <w:sz w:val="28"/>
          <w:szCs w:val="28"/>
        </w:rPr>
        <w:t>nivel</w:t>
      </w:r>
      <w:r w:rsidRPr="001D0846">
        <w:rPr>
          <w:rFonts w:ascii="Times New Roman" w:hAnsi="Times New Roman" w:cs="Times New Roman"/>
          <w:sz w:val="28"/>
          <w:szCs w:val="28"/>
        </w:rPr>
        <w:t xml:space="preserve"> operațional, </w:t>
      </w:r>
      <w:r w:rsidRPr="001D0846">
        <w:rPr>
          <w:rFonts w:ascii="Times New Roman" w:hAnsi="Times New Roman" w:cs="Times New Roman"/>
          <w:sz w:val="28"/>
          <w:szCs w:val="28"/>
          <w:lang w:eastAsia="ru-RU"/>
        </w:rPr>
        <w:t xml:space="preserve">sporirea gradului de conformare voluntară a contribuabililor și maximizarea </w:t>
      </w:r>
      <w:r w:rsidRPr="001D0846">
        <w:rPr>
          <w:rFonts w:ascii="Times New Roman" w:hAnsi="Times New Roman" w:cs="Times New Roman"/>
          <w:sz w:val="28"/>
          <w:szCs w:val="28"/>
          <w:lang w:eastAsia="ru-RU"/>
        </w:rPr>
        <w:lastRenderedPageBreak/>
        <w:t xml:space="preserve">veniturilor bugetare. În perioada de referință, administrațiile fiscale și vamale au definit structurile instituționale, misiunea, </w:t>
      </w:r>
      <w:proofErr w:type="spellStart"/>
      <w:r w:rsidRPr="001D0846">
        <w:rPr>
          <w:rFonts w:ascii="Times New Roman" w:hAnsi="Times New Roman" w:cs="Times New Roman"/>
          <w:color w:val="000000"/>
          <w:sz w:val="28"/>
          <w:szCs w:val="28"/>
        </w:rPr>
        <w:t>competenţele</w:t>
      </w:r>
      <w:proofErr w:type="spellEnd"/>
      <w:r w:rsidRPr="001D0846">
        <w:rPr>
          <w:rFonts w:ascii="Times New Roman" w:hAnsi="Times New Roman" w:cs="Times New Roman"/>
          <w:color w:val="000000"/>
          <w:sz w:val="28"/>
          <w:szCs w:val="28"/>
        </w:rPr>
        <w:t xml:space="preserve">, </w:t>
      </w:r>
      <w:proofErr w:type="spellStart"/>
      <w:r w:rsidRPr="001D0846">
        <w:rPr>
          <w:rFonts w:ascii="Times New Roman" w:hAnsi="Times New Roman" w:cs="Times New Roman"/>
          <w:color w:val="000000"/>
          <w:sz w:val="28"/>
          <w:szCs w:val="28"/>
        </w:rPr>
        <w:t>responsabilităţile</w:t>
      </w:r>
      <w:proofErr w:type="spellEnd"/>
      <w:r w:rsidRPr="001D0846">
        <w:rPr>
          <w:rFonts w:ascii="Times New Roman" w:hAnsi="Times New Roman" w:cs="Times New Roman"/>
          <w:color w:val="000000"/>
          <w:sz w:val="28"/>
          <w:szCs w:val="28"/>
        </w:rPr>
        <w:t xml:space="preserve">, sarcinile </w:t>
      </w:r>
      <w:proofErr w:type="spellStart"/>
      <w:r w:rsidRPr="001D0846">
        <w:rPr>
          <w:rFonts w:ascii="Times New Roman" w:hAnsi="Times New Roman" w:cs="Times New Roman"/>
          <w:color w:val="000000"/>
          <w:sz w:val="28"/>
          <w:szCs w:val="28"/>
        </w:rPr>
        <w:t>şi</w:t>
      </w:r>
      <w:proofErr w:type="spellEnd"/>
      <w:r w:rsidRPr="001D0846">
        <w:rPr>
          <w:rFonts w:ascii="Times New Roman" w:hAnsi="Times New Roman" w:cs="Times New Roman"/>
          <w:color w:val="000000"/>
          <w:sz w:val="28"/>
          <w:szCs w:val="28"/>
        </w:rPr>
        <w:t xml:space="preserve"> </w:t>
      </w:r>
      <w:proofErr w:type="spellStart"/>
      <w:r w:rsidRPr="001D0846">
        <w:rPr>
          <w:rFonts w:ascii="Times New Roman" w:hAnsi="Times New Roman" w:cs="Times New Roman"/>
          <w:color w:val="000000"/>
          <w:sz w:val="28"/>
          <w:szCs w:val="28"/>
        </w:rPr>
        <w:t>obligaţiile</w:t>
      </w:r>
      <w:proofErr w:type="spellEnd"/>
      <w:r w:rsidRPr="001D0846">
        <w:rPr>
          <w:rFonts w:ascii="Times New Roman" w:hAnsi="Times New Roman" w:cs="Times New Roman"/>
          <w:color w:val="000000"/>
          <w:sz w:val="28"/>
          <w:szCs w:val="28"/>
        </w:rPr>
        <w:t xml:space="preserve"> de raportare ale fiecărei subdiviziuni structurale. De asemenea, atât </w:t>
      </w:r>
      <w:r w:rsidRPr="001D0846">
        <w:rPr>
          <w:rFonts w:ascii="Times New Roman" w:hAnsi="Times New Roman" w:cs="Times New Roman"/>
          <w:sz w:val="28"/>
          <w:szCs w:val="28"/>
        </w:rPr>
        <w:t>SFS</w:t>
      </w:r>
      <w:r w:rsidR="00CE3749">
        <w:rPr>
          <w:rFonts w:ascii="Times New Roman" w:hAnsi="Times New Roman" w:cs="Times New Roman"/>
          <w:sz w:val="28"/>
          <w:szCs w:val="28"/>
        </w:rPr>
        <w:t>,</w:t>
      </w:r>
      <w:r w:rsidRPr="001D0846">
        <w:rPr>
          <w:rFonts w:ascii="Times New Roman" w:hAnsi="Times New Roman" w:cs="Times New Roman"/>
          <w:sz w:val="28"/>
          <w:szCs w:val="28"/>
        </w:rPr>
        <w:t xml:space="preserve"> cât </w:t>
      </w:r>
      <w:r w:rsidR="00CE3749">
        <w:rPr>
          <w:rFonts w:ascii="Times New Roman" w:hAnsi="Times New Roman" w:cs="Times New Roman"/>
          <w:sz w:val="28"/>
          <w:szCs w:val="28"/>
        </w:rPr>
        <w:t xml:space="preserve">și </w:t>
      </w:r>
      <w:r w:rsidRPr="001D0846">
        <w:rPr>
          <w:rFonts w:ascii="Times New Roman" w:hAnsi="Times New Roman" w:cs="Times New Roman"/>
          <w:sz w:val="28"/>
          <w:szCs w:val="28"/>
        </w:rPr>
        <w:t>SV au asigurat definirea obiectivelor strategice și stabilirea indicatorilor de performanță în domeniul administrării impozitelor și taxelor, care derivă din obiectivele politicii de administrare fiscală și vamală, cu transpunerea acestora în planurile anuale de activitate și planurile de acțiuni</w:t>
      </w:r>
      <w:r w:rsidR="00CE3749">
        <w:rPr>
          <w:rFonts w:ascii="Times New Roman" w:hAnsi="Times New Roman" w:cs="Times New Roman"/>
          <w:sz w:val="28"/>
          <w:szCs w:val="28"/>
        </w:rPr>
        <w:t>,</w:t>
      </w:r>
      <w:r w:rsidRPr="001D0846">
        <w:rPr>
          <w:rFonts w:ascii="Times New Roman" w:hAnsi="Times New Roman" w:cs="Times New Roman"/>
          <w:sz w:val="28"/>
          <w:szCs w:val="28"/>
        </w:rPr>
        <w:t xml:space="preserve"> în vederea realizării activităților stabilite, cu evaluarea finală a rezultatelor/ performanțelor atinse.</w:t>
      </w:r>
    </w:p>
    <w:p w:rsidR="009E21CF" w:rsidRPr="001D0846" w:rsidRDefault="009E21CF" w:rsidP="009E21CF">
      <w:pPr>
        <w:spacing w:after="0" w:line="276" w:lineRule="auto"/>
        <w:ind w:firstLine="720"/>
        <w:jc w:val="both"/>
        <w:rPr>
          <w:rFonts w:ascii="Times New Roman" w:hAnsi="Times New Roman" w:cs="Times New Roman"/>
          <w:color w:val="000000"/>
          <w:sz w:val="28"/>
          <w:szCs w:val="28"/>
        </w:rPr>
      </w:pPr>
      <w:r w:rsidRPr="001D0846">
        <w:rPr>
          <w:rFonts w:ascii="Times New Roman" w:hAnsi="Times New Roman" w:cs="Times New Roman"/>
          <w:color w:val="000000"/>
          <w:sz w:val="28"/>
          <w:szCs w:val="28"/>
          <w:lang w:val="ro-MD"/>
        </w:rPr>
        <w:t>În scopul asigur</w:t>
      </w:r>
      <w:r w:rsidR="00CE3749">
        <w:rPr>
          <w:rFonts w:ascii="Times New Roman" w:hAnsi="Times New Roman" w:cs="Times New Roman"/>
          <w:color w:val="000000"/>
          <w:sz w:val="28"/>
          <w:szCs w:val="28"/>
          <w:lang w:val="ro-MD"/>
        </w:rPr>
        <w:t>ării</w:t>
      </w:r>
      <w:r w:rsidRPr="001D0846">
        <w:rPr>
          <w:rFonts w:ascii="Times New Roman" w:hAnsi="Times New Roman" w:cs="Times New Roman"/>
          <w:color w:val="000000"/>
          <w:sz w:val="28"/>
          <w:szCs w:val="28"/>
          <w:lang w:val="ro-MD"/>
        </w:rPr>
        <w:t xml:space="preserve"> un</w:t>
      </w:r>
      <w:r w:rsidR="00CE3749">
        <w:rPr>
          <w:rFonts w:ascii="Times New Roman" w:hAnsi="Times New Roman" w:cs="Times New Roman"/>
          <w:color w:val="000000"/>
          <w:sz w:val="28"/>
          <w:szCs w:val="28"/>
          <w:lang w:val="ro-MD"/>
        </w:rPr>
        <w:t>ui</w:t>
      </w:r>
      <w:r w:rsidRPr="001D0846">
        <w:rPr>
          <w:rFonts w:ascii="Times New Roman" w:hAnsi="Times New Roman" w:cs="Times New Roman"/>
          <w:color w:val="000000"/>
          <w:sz w:val="28"/>
          <w:szCs w:val="28"/>
          <w:lang w:val="ro-MD"/>
        </w:rPr>
        <w:t xml:space="preserve"> management eficient al riscurilor în administrarea impozitelor și taxelor</w:t>
      </w:r>
      <w:r w:rsidR="00CE3749">
        <w:rPr>
          <w:rFonts w:ascii="Times New Roman" w:hAnsi="Times New Roman" w:cs="Times New Roman"/>
          <w:color w:val="000000"/>
          <w:sz w:val="28"/>
          <w:szCs w:val="28"/>
          <w:lang w:val="ro-MD"/>
        </w:rPr>
        <w:t>,</w:t>
      </w:r>
      <w:r w:rsidRPr="001D0846">
        <w:rPr>
          <w:rFonts w:ascii="Times New Roman" w:hAnsi="Times New Roman" w:cs="Times New Roman"/>
          <w:color w:val="000000"/>
          <w:sz w:val="28"/>
          <w:szCs w:val="28"/>
          <w:lang w:val="ro-MD"/>
        </w:rPr>
        <w:t xml:space="preserve"> au fost elaborate, atât la nivel central, c</w:t>
      </w:r>
      <w:r w:rsidR="00CE3749">
        <w:rPr>
          <w:rFonts w:ascii="Times New Roman" w:hAnsi="Times New Roman" w:cs="Times New Roman"/>
          <w:color w:val="000000"/>
          <w:sz w:val="28"/>
          <w:szCs w:val="28"/>
          <w:lang w:val="ro-MD"/>
        </w:rPr>
        <w:t>â</w:t>
      </w:r>
      <w:r w:rsidRPr="001D0846">
        <w:rPr>
          <w:rFonts w:ascii="Times New Roman" w:hAnsi="Times New Roman" w:cs="Times New Roman"/>
          <w:color w:val="000000"/>
          <w:sz w:val="28"/>
          <w:szCs w:val="28"/>
          <w:lang w:val="ro-MD"/>
        </w:rPr>
        <w:t xml:space="preserve">t și la nivelul </w:t>
      </w:r>
      <w:proofErr w:type="spellStart"/>
      <w:r w:rsidRPr="001D0846">
        <w:rPr>
          <w:rFonts w:ascii="Times New Roman" w:hAnsi="Times New Roman" w:cs="Times New Roman"/>
          <w:color w:val="000000"/>
          <w:sz w:val="28"/>
          <w:szCs w:val="28"/>
          <w:lang w:val="ro-MD"/>
        </w:rPr>
        <w:t>subdivizunilor</w:t>
      </w:r>
      <w:proofErr w:type="spellEnd"/>
      <w:r w:rsidRPr="001D0846">
        <w:rPr>
          <w:rFonts w:ascii="Times New Roman" w:hAnsi="Times New Roman" w:cs="Times New Roman"/>
          <w:color w:val="000000"/>
          <w:sz w:val="28"/>
          <w:szCs w:val="28"/>
          <w:lang w:val="ro-MD"/>
        </w:rPr>
        <w:t xml:space="preserve"> structurale ale SFS și SV</w:t>
      </w:r>
      <w:r w:rsidR="00CE3749">
        <w:rPr>
          <w:rFonts w:ascii="Times New Roman" w:hAnsi="Times New Roman" w:cs="Times New Roman"/>
          <w:color w:val="000000"/>
          <w:sz w:val="28"/>
          <w:szCs w:val="28"/>
          <w:lang w:val="ro-MD"/>
        </w:rPr>
        <w:t>,</w:t>
      </w:r>
      <w:r w:rsidRPr="001D0846">
        <w:rPr>
          <w:rFonts w:ascii="Times New Roman" w:hAnsi="Times New Roman" w:cs="Times New Roman"/>
          <w:color w:val="000000"/>
          <w:sz w:val="28"/>
          <w:szCs w:val="28"/>
          <w:lang w:val="ro-MD"/>
        </w:rPr>
        <w:t xml:space="preserve"> registre ale riscurilor</w:t>
      </w:r>
      <w:r w:rsidR="00CE3749">
        <w:rPr>
          <w:rFonts w:ascii="Times New Roman" w:hAnsi="Times New Roman" w:cs="Times New Roman"/>
          <w:color w:val="000000"/>
          <w:sz w:val="28"/>
          <w:szCs w:val="28"/>
          <w:lang w:val="ro-MD"/>
        </w:rPr>
        <w:t>,</w:t>
      </w:r>
      <w:r w:rsidRPr="001D0846">
        <w:rPr>
          <w:rFonts w:ascii="Times New Roman" w:hAnsi="Times New Roman" w:cs="Times New Roman"/>
          <w:color w:val="000000"/>
          <w:sz w:val="28"/>
          <w:szCs w:val="28"/>
          <w:lang w:val="ro-MD"/>
        </w:rPr>
        <w:t xml:space="preserve"> care includ acțiuni de identificare, evaluare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control al riscurilor provenite din surse interne și externe, care pot </w:t>
      </w:r>
      <w:proofErr w:type="spellStart"/>
      <w:r w:rsidRPr="001D0846">
        <w:rPr>
          <w:rFonts w:ascii="Times New Roman" w:hAnsi="Times New Roman" w:cs="Times New Roman"/>
          <w:color w:val="000000"/>
          <w:sz w:val="28"/>
          <w:szCs w:val="28"/>
          <w:lang w:val="ro-MD"/>
        </w:rPr>
        <w:t>influenţa</w:t>
      </w:r>
      <w:proofErr w:type="spellEnd"/>
      <w:r w:rsidRPr="001D0846">
        <w:rPr>
          <w:rFonts w:ascii="Times New Roman" w:hAnsi="Times New Roman" w:cs="Times New Roman"/>
          <w:color w:val="000000"/>
          <w:sz w:val="28"/>
          <w:szCs w:val="28"/>
          <w:lang w:val="ro-MD"/>
        </w:rPr>
        <w:t xml:space="preserve"> atingerea obiectivelor și performanțelor instituționale. Totodată, au fost stabilite activități de control la toate nivelurile și în toate subdiviziunile structurale, </w:t>
      </w:r>
      <w:r w:rsidRPr="001D0846">
        <w:rPr>
          <w:rFonts w:ascii="Times New Roman" w:hAnsi="Times New Roman" w:cs="Times New Roman"/>
          <w:sz w:val="28"/>
          <w:szCs w:val="28"/>
          <w:lang w:val="ro-MD"/>
        </w:rPr>
        <w:t xml:space="preserve">prin elaborarea de </w:t>
      </w:r>
      <w:r w:rsidRPr="001D0846">
        <w:rPr>
          <w:rFonts w:ascii="Times New Roman" w:hAnsi="Times New Roman" w:cs="Times New Roman"/>
          <w:color w:val="000000"/>
          <w:sz w:val="28"/>
          <w:szCs w:val="28"/>
          <w:lang w:val="ro-MD"/>
        </w:rPr>
        <w:t xml:space="preserve">politici și proceduri, reguli interne, procese operaționale de bază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activităţi</w:t>
      </w:r>
      <w:proofErr w:type="spellEnd"/>
      <w:r w:rsidRPr="001D0846">
        <w:rPr>
          <w:rFonts w:ascii="Times New Roman" w:hAnsi="Times New Roman" w:cs="Times New Roman"/>
          <w:color w:val="000000"/>
          <w:sz w:val="28"/>
          <w:szCs w:val="28"/>
          <w:lang w:val="ro-MD"/>
        </w:rPr>
        <w:t xml:space="preserve"> în cadrul </w:t>
      </w:r>
      <w:proofErr w:type="spellStart"/>
      <w:r w:rsidRPr="001D0846">
        <w:rPr>
          <w:rFonts w:ascii="Times New Roman" w:hAnsi="Times New Roman" w:cs="Times New Roman"/>
          <w:color w:val="000000"/>
          <w:sz w:val="28"/>
          <w:szCs w:val="28"/>
          <w:lang w:val="ro-MD"/>
        </w:rPr>
        <w:t>entităţilor</w:t>
      </w:r>
      <w:proofErr w:type="spellEnd"/>
      <w:r w:rsidR="00CE3749">
        <w:rPr>
          <w:rFonts w:ascii="Times New Roman" w:hAnsi="Times New Roman" w:cs="Times New Roman"/>
          <w:color w:val="000000"/>
          <w:sz w:val="28"/>
          <w:szCs w:val="28"/>
          <w:lang w:val="ro-MD"/>
        </w:rPr>
        <w:t>, în scopul de</w:t>
      </w:r>
      <w:r w:rsidRPr="001D0846">
        <w:rPr>
          <w:rFonts w:ascii="Times New Roman" w:hAnsi="Times New Roman" w:cs="Times New Roman"/>
          <w:color w:val="000000"/>
          <w:sz w:val="28"/>
          <w:szCs w:val="28"/>
          <w:lang w:val="ro-MD"/>
        </w:rPr>
        <w:t xml:space="preserve"> a</w:t>
      </w:r>
      <w:r w:rsidRPr="001D0846">
        <w:rPr>
          <w:rFonts w:ascii="Times New Roman" w:hAnsi="Times New Roman" w:cs="Times New Roman"/>
          <w:color w:val="000000"/>
          <w:sz w:val="28"/>
          <w:szCs w:val="28"/>
        </w:rPr>
        <w:t xml:space="preserve"> asigura gestionarea riscurilor </w:t>
      </w:r>
      <w:proofErr w:type="spellStart"/>
      <w:r w:rsidRPr="001D0846">
        <w:rPr>
          <w:rFonts w:ascii="Times New Roman" w:hAnsi="Times New Roman" w:cs="Times New Roman"/>
          <w:color w:val="000000"/>
          <w:sz w:val="28"/>
          <w:szCs w:val="28"/>
        </w:rPr>
        <w:t>şi</w:t>
      </w:r>
      <w:proofErr w:type="spellEnd"/>
      <w:r w:rsidRPr="001D0846">
        <w:rPr>
          <w:rFonts w:ascii="Times New Roman" w:hAnsi="Times New Roman" w:cs="Times New Roman"/>
          <w:color w:val="000000"/>
          <w:sz w:val="28"/>
          <w:szCs w:val="28"/>
        </w:rPr>
        <w:t xml:space="preserve"> </w:t>
      </w:r>
      <w:r w:rsidR="00107E8A">
        <w:rPr>
          <w:rFonts w:ascii="Times New Roman" w:hAnsi="Times New Roman" w:cs="Times New Roman"/>
          <w:color w:val="000000"/>
          <w:sz w:val="28"/>
          <w:szCs w:val="28"/>
        </w:rPr>
        <w:t>de a</w:t>
      </w:r>
      <w:r w:rsidRPr="001D0846">
        <w:rPr>
          <w:rFonts w:ascii="Times New Roman" w:hAnsi="Times New Roman" w:cs="Times New Roman"/>
          <w:color w:val="000000"/>
          <w:sz w:val="28"/>
          <w:szCs w:val="28"/>
        </w:rPr>
        <w:t xml:space="preserve"> realiz</w:t>
      </w:r>
      <w:r w:rsidR="00107E8A">
        <w:rPr>
          <w:rFonts w:ascii="Times New Roman" w:hAnsi="Times New Roman" w:cs="Times New Roman"/>
          <w:color w:val="000000"/>
          <w:sz w:val="28"/>
          <w:szCs w:val="28"/>
        </w:rPr>
        <w:t>a</w:t>
      </w:r>
      <w:r w:rsidRPr="001D0846">
        <w:rPr>
          <w:rFonts w:ascii="Times New Roman" w:hAnsi="Times New Roman" w:cs="Times New Roman"/>
          <w:color w:val="000000"/>
          <w:sz w:val="28"/>
          <w:szCs w:val="28"/>
        </w:rPr>
        <w:t xml:space="preserve"> obiectivel</w:t>
      </w:r>
      <w:r w:rsidR="00107E8A">
        <w:rPr>
          <w:rFonts w:ascii="Times New Roman" w:hAnsi="Times New Roman" w:cs="Times New Roman"/>
          <w:color w:val="000000"/>
          <w:sz w:val="28"/>
          <w:szCs w:val="28"/>
        </w:rPr>
        <w:t>e</w:t>
      </w:r>
      <w:r w:rsidRPr="001D0846">
        <w:rPr>
          <w:rFonts w:ascii="Times New Roman" w:hAnsi="Times New Roman" w:cs="Times New Roman"/>
          <w:color w:val="000000"/>
          <w:sz w:val="28"/>
          <w:szCs w:val="28"/>
        </w:rPr>
        <w:t xml:space="preserve"> și performanțel</w:t>
      </w:r>
      <w:r w:rsidR="00107E8A">
        <w:rPr>
          <w:rFonts w:ascii="Times New Roman" w:hAnsi="Times New Roman" w:cs="Times New Roman"/>
          <w:color w:val="000000"/>
          <w:sz w:val="28"/>
          <w:szCs w:val="28"/>
        </w:rPr>
        <w:t>e</w:t>
      </w:r>
      <w:r w:rsidRPr="001D0846">
        <w:rPr>
          <w:rFonts w:ascii="Times New Roman" w:hAnsi="Times New Roman" w:cs="Times New Roman"/>
          <w:color w:val="000000"/>
          <w:sz w:val="28"/>
          <w:szCs w:val="28"/>
        </w:rPr>
        <w:t>.</w:t>
      </w:r>
    </w:p>
    <w:p w:rsidR="009E21CF" w:rsidRPr="001D0846" w:rsidRDefault="009E21CF" w:rsidP="009E21CF">
      <w:pPr>
        <w:spacing w:after="0" w:line="276" w:lineRule="auto"/>
        <w:ind w:firstLine="720"/>
        <w:jc w:val="both"/>
        <w:rPr>
          <w:rFonts w:ascii="Times New Roman" w:hAnsi="Times New Roman" w:cs="Times New Roman"/>
          <w:sz w:val="28"/>
          <w:szCs w:val="28"/>
          <w:lang w:val="ro-MD"/>
        </w:rPr>
      </w:pPr>
      <w:r w:rsidRPr="001D0846">
        <w:rPr>
          <w:rFonts w:ascii="Times New Roman" w:hAnsi="Times New Roman" w:cs="Times New Roman"/>
          <w:color w:val="000000"/>
          <w:sz w:val="28"/>
          <w:szCs w:val="28"/>
          <w:lang w:val="ro-MD"/>
        </w:rPr>
        <w:t xml:space="preserve">Astfel, SFS și SV au instituit un mediu de control favorabil, asigurând definirea clară a responsabilităților, delegarea împuternicirilor </w:t>
      </w:r>
      <w:r w:rsidRPr="001D0846">
        <w:rPr>
          <w:rFonts w:ascii="Times New Roman" w:hAnsi="Times New Roman" w:cs="Times New Roman"/>
          <w:sz w:val="28"/>
          <w:szCs w:val="28"/>
          <w:lang w:val="ro-MD"/>
        </w:rPr>
        <w:t xml:space="preserve">pentru </w:t>
      </w:r>
      <w:r w:rsidR="00107E8A">
        <w:rPr>
          <w:rFonts w:ascii="Times New Roman" w:hAnsi="Times New Roman" w:cs="Times New Roman"/>
          <w:sz w:val="28"/>
          <w:szCs w:val="28"/>
          <w:lang w:val="ro-MD"/>
        </w:rPr>
        <w:t xml:space="preserve">executarea </w:t>
      </w:r>
      <w:r w:rsidRPr="001D0846">
        <w:rPr>
          <w:rFonts w:ascii="Times New Roman" w:hAnsi="Times New Roman" w:cs="Times New Roman"/>
          <w:sz w:val="28"/>
          <w:szCs w:val="28"/>
          <w:lang w:val="ro-MD"/>
        </w:rPr>
        <w:t xml:space="preserve"> atribuțiilor și sarcinilor funcționale ale entităților la nivel</w:t>
      </w:r>
      <w:r w:rsidR="00107E8A">
        <w:rPr>
          <w:rFonts w:ascii="Times New Roman" w:hAnsi="Times New Roman" w:cs="Times New Roman"/>
          <w:sz w:val="28"/>
          <w:szCs w:val="28"/>
          <w:lang w:val="ro-MD"/>
        </w:rPr>
        <w:t>uril</w:t>
      </w:r>
      <w:r w:rsidRPr="001D0846">
        <w:rPr>
          <w:rFonts w:ascii="Times New Roman" w:hAnsi="Times New Roman" w:cs="Times New Roman"/>
          <w:sz w:val="28"/>
          <w:szCs w:val="28"/>
          <w:lang w:val="ro-MD"/>
        </w:rPr>
        <w:t>e de subordonare corespunzătoare</w:t>
      </w:r>
      <w:r w:rsidRPr="001D0846">
        <w:rPr>
          <w:rFonts w:ascii="Times New Roman" w:hAnsi="Times New Roman" w:cs="Times New Roman"/>
          <w:color w:val="000000"/>
          <w:sz w:val="28"/>
          <w:szCs w:val="28"/>
          <w:lang w:val="ro-MD"/>
        </w:rPr>
        <w:t>, divizarea și comunicarea obligațiilor angajaților,</w:t>
      </w:r>
      <w:r w:rsidRPr="001D0846">
        <w:rPr>
          <w:rFonts w:ascii="Times New Roman" w:hAnsi="Times New Roman" w:cs="Times New Roman"/>
          <w:sz w:val="28"/>
          <w:szCs w:val="28"/>
          <w:lang w:val="ro-MD"/>
        </w:rPr>
        <w:t xml:space="preserve"> stabilirea modalităților și sistemelor de informare și comunicare, de evaluare și raportare a sistemului de control intern, crearea și funcționarea unităților de audit intern.</w:t>
      </w:r>
    </w:p>
    <w:p w:rsidR="009E21CF" w:rsidRPr="001D0846" w:rsidRDefault="009E21CF" w:rsidP="009E21CF">
      <w:pPr>
        <w:spacing w:after="0" w:line="276" w:lineRule="auto"/>
        <w:ind w:firstLine="720"/>
        <w:jc w:val="both"/>
        <w:rPr>
          <w:rFonts w:ascii="Times New Roman" w:hAnsi="Times New Roman" w:cs="Times New Roman"/>
          <w:sz w:val="28"/>
          <w:szCs w:val="28"/>
          <w:lang w:val="ro-MD"/>
        </w:rPr>
      </w:pPr>
      <w:r w:rsidRPr="001D0846">
        <w:rPr>
          <w:rFonts w:ascii="Times New Roman" w:hAnsi="Times New Roman" w:cs="Times New Roman"/>
          <w:sz w:val="28"/>
          <w:szCs w:val="28"/>
          <w:lang w:val="ro-MD"/>
        </w:rPr>
        <w:t>Evaluările și activitățile desfășurate de auditul public extern asupra modului de organizare și funcționare a</w:t>
      </w:r>
      <w:r w:rsidR="00B06CA5">
        <w:rPr>
          <w:rFonts w:ascii="Times New Roman" w:hAnsi="Times New Roman" w:cs="Times New Roman"/>
          <w:sz w:val="28"/>
          <w:szCs w:val="28"/>
          <w:lang w:val="ro-MD"/>
        </w:rPr>
        <w:t xml:space="preserve"> sistemului de control intern </w:t>
      </w:r>
      <w:r w:rsidR="00107E8A">
        <w:rPr>
          <w:rFonts w:ascii="Times New Roman" w:hAnsi="Times New Roman" w:cs="Times New Roman"/>
          <w:sz w:val="28"/>
          <w:szCs w:val="28"/>
          <w:lang w:val="ro-MD"/>
        </w:rPr>
        <w:t>î</w:t>
      </w:r>
      <w:r w:rsidRPr="001D0846">
        <w:rPr>
          <w:rFonts w:ascii="Times New Roman" w:hAnsi="Times New Roman" w:cs="Times New Roman"/>
          <w:sz w:val="28"/>
          <w:szCs w:val="28"/>
          <w:lang w:val="ro-MD"/>
        </w:rPr>
        <w:t>n cadrul SFS și SV relevă unele rezerve</w:t>
      </w:r>
      <w:r w:rsidR="00B06CA5">
        <w:rPr>
          <w:rFonts w:ascii="Times New Roman" w:hAnsi="Times New Roman" w:cs="Times New Roman"/>
          <w:sz w:val="28"/>
          <w:szCs w:val="28"/>
          <w:lang w:val="ro-MD"/>
        </w:rPr>
        <w:t xml:space="preserve"> în implementarea/funcționalitatea SCI</w:t>
      </w:r>
      <w:r w:rsidRPr="001D0846">
        <w:rPr>
          <w:rFonts w:ascii="Times New Roman" w:hAnsi="Times New Roman" w:cs="Times New Roman"/>
          <w:sz w:val="28"/>
          <w:szCs w:val="28"/>
          <w:lang w:val="ro-MD"/>
        </w:rPr>
        <w:t>, fapt care a generat neatingerea unor performanțe în domeniul administrării impozitelor și taxelor, după cum urmează:</w:t>
      </w:r>
    </w:p>
    <w:p w:rsidR="00BF2FD8" w:rsidRDefault="00BF2FD8" w:rsidP="00BF2FD8">
      <w:pPr>
        <w:tabs>
          <w:tab w:val="left" w:pos="1134"/>
        </w:tabs>
        <w:spacing w:after="0" w:line="276" w:lineRule="auto"/>
        <w:jc w:val="both"/>
        <w:rPr>
          <w:rFonts w:ascii="Times New Roman" w:hAnsi="Times New Roman" w:cs="Times New Roman"/>
          <w:sz w:val="28"/>
          <w:szCs w:val="28"/>
        </w:rPr>
      </w:pPr>
      <w:r>
        <w:rPr>
          <w:rFonts w:ascii="Times New Roman" w:eastAsia="Calibri" w:hAnsi="Times New Roman" w:cs="Times New Roman"/>
          <w:sz w:val="28"/>
          <w:szCs w:val="28"/>
          <w:lang w:val="ro-MD"/>
        </w:rPr>
        <w:t xml:space="preserve">       1)  </w:t>
      </w:r>
      <w:r w:rsidR="00B94C80" w:rsidRPr="00BF2FD8">
        <w:rPr>
          <w:rFonts w:ascii="Times New Roman" w:eastAsia="Calibri" w:hAnsi="Times New Roman" w:cs="Times New Roman"/>
          <w:sz w:val="28"/>
          <w:szCs w:val="28"/>
        </w:rPr>
        <w:t>În aspectul asigurării procesului de monitorizare continuă, prin activități</w:t>
      </w:r>
      <w:r w:rsidR="00B94C80" w:rsidRPr="00BF2FD8">
        <w:rPr>
          <w:rFonts w:ascii="Times New Roman" w:hAnsi="Times New Roman" w:cs="Times New Roman"/>
          <w:color w:val="000000"/>
          <w:sz w:val="28"/>
          <w:szCs w:val="28"/>
        </w:rPr>
        <w:t xml:space="preserve"> de supraveghere </w:t>
      </w:r>
      <w:proofErr w:type="spellStart"/>
      <w:r w:rsidR="00B94C80" w:rsidRPr="00BF2FD8">
        <w:rPr>
          <w:rFonts w:ascii="Times New Roman" w:hAnsi="Times New Roman" w:cs="Times New Roman"/>
          <w:color w:val="000000"/>
          <w:sz w:val="28"/>
          <w:szCs w:val="28"/>
        </w:rPr>
        <w:t>şi</w:t>
      </w:r>
      <w:proofErr w:type="spellEnd"/>
      <w:r w:rsidR="00B94C80" w:rsidRPr="00BF2FD8">
        <w:rPr>
          <w:rFonts w:ascii="Times New Roman" w:hAnsi="Times New Roman" w:cs="Times New Roman"/>
          <w:color w:val="000000"/>
          <w:sz w:val="28"/>
          <w:szCs w:val="28"/>
        </w:rPr>
        <w:t xml:space="preserve"> management, se atestă unele </w:t>
      </w:r>
      <w:proofErr w:type="spellStart"/>
      <w:r w:rsidR="00B94C80" w:rsidRPr="00BF2FD8">
        <w:rPr>
          <w:rFonts w:ascii="Times New Roman" w:hAnsi="Times New Roman" w:cs="Times New Roman"/>
          <w:color w:val="000000"/>
          <w:sz w:val="28"/>
          <w:szCs w:val="28"/>
        </w:rPr>
        <w:t>reserve</w:t>
      </w:r>
      <w:proofErr w:type="spellEnd"/>
      <w:r w:rsidR="00B94C80" w:rsidRPr="00BF2FD8">
        <w:rPr>
          <w:rFonts w:ascii="Times New Roman" w:hAnsi="Times New Roman" w:cs="Times New Roman"/>
          <w:color w:val="000000"/>
          <w:sz w:val="28"/>
          <w:szCs w:val="28"/>
        </w:rPr>
        <w:t xml:space="preserve"> în monitorizarea activității subdiviziunilor cu atribuții de </w:t>
      </w:r>
      <w:r w:rsidR="00B06CA5" w:rsidRPr="00BF2FD8">
        <w:rPr>
          <w:rFonts w:ascii="Times New Roman" w:hAnsi="Times New Roman" w:cs="Times New Roman"/>
          <w:color w:val="000000"/>
          <w:sz w:val="28"/>
          <w:szCs w:val="28"/>
        </w:rPr>
        <w:t xml:space="preserve">control și </w:t>
      </w:r>
      <w:r w:rsidR="00B94C80" w:rsidRPr="00BF2FD8">
        <w:rPr>
          <w:rFonts w:ascii="Times New Roman" w:hAnsi="Times New Roman" w:cs="Times New Roman"/>
          <w:color w:val="000000"/>
          <w:sz w:val="28"/>
          <w:szCs w:val="28"/>
        </w:rPr>
        <w:t>executare silită a</w:t>
      </w:r>
      <w:r w:rsidR="00107E8A" w:rsidRPr="00BF2FD8">
        <w:rPr>
          <w:rFonts w:ascii="Times New Roman" w:hAnsi="Times New Roman" w:cs="Times New Roman"/>
          <w:color w:val="000000"/>
          <w:sz w:val="28"/>
          <w:szCs w:val="28"/>
        </w:rPr>
        <w:t>le</w:t>
      </w:r>
      <w:r w:rsidR="00B94C80" w:rsidRPr="00BF2FD8">
        <w:rPr>
          <w:rFonts w:ascii="Times New Roman" w:hAnsi="Times New Roman" w:cs="Times New Roman"/>
          <w:color w:val="000000"/>
          <w:sz w:val="28"/>
          <w:szCs w:val="28"/>
        </w:rPr>
        <w:t xml:space="preserve"> SFS și SV</w:t>
      </w:r>
      <w:r w:rsidR="00F62A04" w:rsidRPr="00BF2FD8">
        <w:rPr>
          <w:rFonts w:ascii="Times New Roman" w:hAnsi="Times New Roman" w:cs="Times New Roman"/>
          <w:color w:val="000000"/>
          <w:sz w:val="28"/>
          <w:szCs w:val="28"/>
        </w:rPr>
        <w:t>,</w:t>
      </w:r>
      <w:r w:rsidR="00B94C80" w:rsidRPr="00BF2FD8">
        <w:rPr>
          <w:rFonts w:ascii="Times New Roman" w:hAnsi="Times New Roman" w:cs="Times New Roman"/>
          <w:color w:val="000000"/>
          <w:sz w:val="28"/>
          <w:szCs w:val="28"/>
        </w:rPr>
        <w:t xml:space="preserve"> </w:t>
      </w:r>
      <w:r w:rsidR="00B94C80" w:rsidRPr="00BF2FD8">
        <w:rPr>
          <w:rFonts w:ascii="Times New Roman" w:hAnsi="Times New Roman" w:cs="Times New Roman"/>
          <w:sz w:val="28"/>
          <w:szCs w:val="28"/>
        </w:rPr>
        <w:t xml:space="preserve">în vederea </w:t>
      </w:r>
      <w:r w:rsidR="00B06CA5" w:rsidRPr="00BF2FD8">
        <w:rPr>
          <w:rFonts w:ascii="Times New Roman" w:hAnsi="Times New Roman" w:cs="Times New Roman"/>
          <w:sz w:val="28"/>
          <w:szCs w:val="28"/>
        </w:rPr>
        <w:t xml:space="preserve">încasării calculelor suplimentare și </w:t>
      </w:r>
      <w:r w:rsidR="00B94C80" w:rsidRPr="00BF2FD8">
        <w:rPr>
          <w:rFonts w:ascii="Times New Roman" w:hAnsi="Times New Roman" w:cs="Times New Roman"/>
          <w:sz w:val="28"/>
          <w:szCs w:val="28"/>
        </w:rPr>
        <w:t>recuperării restanțelor la BPN;</w:t>
      </w:r>
    </w:p>
    <w:p w:rsidR="00BF2FD8" w:rsidRDefault="00BF2FD8" w:rsidP="00BF2FD8">
      <w:pPr>
        <w:tabs>
          <w:tab w:val="left" w:pos="1134"/>
        </w:tabs>
        <w:spacing w:after="0"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2) </w:t>
      </w:r>
      <w:r w:rsidR="00B06CA5" w:rsidRPr="00BF2FD8">
        <w:rPr>
          <w:rFonts w:ascii="Times New Roman" w:hAnsi="Times New Roman" w:cs="Times New Roman"/>
          <w:color w:val="000000"/>
          <w:sz w:val="28"/>
          <w:szCs w:val="28"/>
        </w:rPr>
        <w:t>În aspectul evaluării funcționalității SCI prin intermediul funcției de audit intern, se atestă neefectuarea de către unitățile de audit intern din cadrul SFS și SV a unor evaluări per ansamblu a</w:t>
      </w:r>
      <w:r w:rsidR="00F62A04" w:rsidRPr="00BF2FD8">
        <w:rPr>
          <w:rFonts w:ascii="Times New Roman" w:hAnsi="Times New Roman" w:cs="Times New Roman"/>
          <w:color w:val="000000"/>
          <w:sz w:val="28"/>
          <w:szCs w:val="28"/>
        </w:rPr>
        <w:t>le</w:t>
      </w:r>
      <w:r w:rsidR="00B06CA5" w:rsidRPr="00BF2FD8">
        <w:rPr>
          <w:rFonts w:ascii="Times New Roman" w:hAnsi="Times New Roman" w:cs="Times New Roman"/>
          <w:color w:val="000000"/>
          <w:sz w:val="28"/>
          <w:szCs w:val="28"/>
        </w:rPr>
        <w:t xml:space="preserve"> sistemului </w:t>
      </w:r>
      <w:r w:rsidR="00F62A04" w:rsidRPr="00BF2FD8">
        <w:rPr>
          <w:rFonts w:ascii="Times New Roman" w:hAnsi="Times New Roman" w:cs="Times New Roman"/>
          <w:color w:val="000000"/>
          <w:sz w:val="28"/>
          <w:szCs w:val="28"/>
        </w:rPr>
        <w:t>de management financiar și control</w:t>
      </w:r>
      <w:r w:rsidR="00B06CA5" w:rsidRPr="00BF2FD8">
        <w:rPr>
          <w:rFonts w:ascii="Times New Roman" w:hAnsi="Times New Roman" w:cs="Times New Roman"/>
          <w:color w:val="000000"/>
          <w:sz w:val="28"/>
          <w:szCs w:val="28"/>
        </w:rPr>
        <w:t xml:space="preserve">, fiind efectuate evaluări </w:t>
      </w:r>
      <w:r w:rsidR="00F62A04" w:rsidRPr="00BF2FD8">
        <w:rPr>
          <w:rFonts w:ascii="Times New Roman" w:hAnsi="Times New Roman" w:cs="Times New Roman"/>
          <w:color w:val="000000"/>
          <w:sz w:val="28"/>
          <w:szCs w:val="28"/>
        </w:rPr>
        <w:t xml:space="preserve">doar </w:t>
      </w:r>
      <w:r w:rsidR="00B06CA5" w:rsidRPr="00BF2FD8">
        <w:rPr>
          <w:rFonts w:ascii="Times New Roman" w:hAnsi="Times New Roman" w:cs="Times New Roman"/>
          <w:color w:val="000000"/>
          <w:sz w:val="28"/>
          <w:szCs w:val="28"/>
        </w:rPr>
        <w:t>pe unele componente ale sistemului;</w:t>
      </w:r>
    </w:p>
    <w:p w:rsidR="00BF2FD8" w:rsidRDefault="00BF2FD8" w:rsidP="00BF2FD8">
      <w:pPr>
        <w:tabs>
          <w:tab w:val="left" w:pos="113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C77116" w:rsidRPr="00BF2FD8">
        <w:rPr>
          <w:rFonts w:ascii="Times New Roman" w:hAnsi="Times New Roman" w:cs="Times New Roman"/>
          <w:color w:val="000000"/>
          <w:sz w:val="28"/>
          <w:szCs w:val="28"/>
          <w:lang w:val="ro-MD"/>
        </w:rPr>
        <w:t xml:space="preserve">În aspectul realizării performanțelor stabilite în administrarea </w:t>
      </w:r>
      <w:r w:rsidR="00C77116" w:rsidRPr="00BF2FD8">
        <w:rPr>
          <w:rFonts w:ascii="Times New Roman" w:hAnsi="Times New Roman" w:cs="Times New Roman"/>
          <w:bCs/>
          <w:sz w:val="28"/>
          <w:szCs w:val="28"/>
          <w:lang w:val="ro-MD" w:eastAsia="ro-RO"/>
        </w:rPr>
        <w:t xml:space="preserve">de către SFS și SV a </w:t>
      </w:r>
      <w:r w:rsidR="00C77116" w:rsidRPr="00BF2FD8">
        <w:rPr>
          <w:rFonts w:ascii="Times New Roman" w:hAnsi="Times New Roman" w:cs="Times New Roman"/>
          <w:color w:val="000000"/>
          <w:sz w:val="28"/>
          <w:szCs w:val="28"/>
          <w:lang w:val="ro-MD"/>
        </w:rPr>
        <w:t>impozitelor și taxelor</w:t>
      </w:r>
      <w:r w:rsidR="00F62A04" w:rsidRPr="00BF2FD8">
        <w:rPr>
          <w:rFonts w:ascii="Times New Roman" w:hAnsi="Times New Roman" w:cs="Times New Roman"/>
          <w:color w:val="000000"/>
          <w:sz w:val="28"/>
          <w:szCs w:val="28"/>
          <w:lang w:val="ro-MD"/>
        </w:rPr>
        <w:t>,</w:t>
      </w:r>
      <w:r w:rsidR="00C77116" w:rsidRPr="00BF2FD8">
        <w:rPr>
          <w:rFonts w:ascii="Times New Roman" w:hAnsi="Times New Roman" w:cs="Times New Roman"/>
          <w:color w:val="000000"/>
          <w:sz w:val="28"/>
          <w:szCs w:val="28"/>
          <w:lang w:val="ro-MD"/>
        </w:rPr>
        <w:t xml:space="preserve"> </w:t>
      </w:r>
      <w:r w:rsidR="00C77116" w:rsidRPr="00BF2FD8">
        <w:rPr>
          <w:rFonts w:ascii="Times New Roman" w:hAnsi="Times New Roman" w:cs="Times New Roman"/>
          <w:sz w:val="28"/>
          <w:szCs w:val="28"/>
          <w:lang w:val="ro-MD"/>
        </w:rPr>
        <w:t xml:space="preserve">se atestă: </w:t>
      </w:r>
      <w:r w:rsidR="00C77116" w:rsidRPr="00BF2FD8">
        <w:rPr>
          <w:rFonts w:ascii="Times New Roman" w:hAnsi="Times New Roman" w:cs="Times New Roman"/>
          <w:i/>
          <w:sz w:val="28"/>
          <w:szCs w:val="28"/>
          <w:lang w:val="ro-MD"/>
        </w:rPr>
        <w:t>(i)</w:t>
      </w:r>
      <w:r w:rsidR="00C77116" w:rsidRPr="00BF2FD8">
        <w:rPr>
          <w:rFonts w:ascii="Times New Roman" w:hAnsi="Times New Roman" w:cs="Times New Roman"/>
          <w:sz w:val="28"/>
          <w:szCs w:val="28"/>
          <w:lang w:val="ro-MD"/>
        </w:rPr>
        <w:t xml:space="preserve"> </w:t>
      </w:r>
      <w:r w:rsidR="00C77116" w:rsidRPr="00BF2FD8">
        <w:rPr>
          <w:rFonts w:ascii="Times New Roman" w:hAnsi="Times New Roman" w:cs="Times New Roman"/>
          <w:bCs/>
          <w:sz w:val="28"/>
          <w:szCs w:val="28"/>
          <w:lang w:val="ro-MD" w:eastAsia="ro-RO"/>
        </w:rPr>
        <w:t xml:space="preserve">nerealizarea planului de încasări în </w:t>
      </w:r>
      <w:r w:rsidR="00C77116" w:rsidRPr="00BF2FD8">
        <w:rPr>
          <w:rFonts w:ascii="Times New Roman" w:hAnsi="Times New Roman" w:cs="Times New Roman"/>
          <w:bCs/>
          <w:sz w:val="28"/>
          <w:szCs w:val="28"/>
          <w:lang w:val="ro-MD" w:eastAsia="ro-RO"/>
        </w:rPr>
        <w:lastRenderedPageBreak/>
        <w:t xml:space="preserve">aspectul unor impozite și taxe; </w:t>
      </w:r>
      <w:r w:rsidR="00C77116" w:rsidRPr="00BF2FD8">
        <w:rPr>
          <w:rFonts w:ascii="Times New Roman" w:hAnsi="Times New Roman" w:cs="Times New Roman"/>
          <w:bCs/>
          <w:i/>
          <w:sz w:val="28"/>
          <w:szCs w:val="28"/>
          <w:lang w:val="ro-MD" w:eastAsia="ro-RO"/>
        </w:rPr>
        <w:t>(ii)</w:t>
      </w:r>
      <w:r w:rsidR="00C77116" w:rsidRPr="00BF2FD8">
        <w:rPr>
          <w:rFonts w:ascii="Times New Roman" w:hAnsi="Times New Roman" w:cs="Times New Roman"/>
          <w:bCs/>
          <w:sz w:val="28"/>
          <w:szCs w:val="28"/>
          <w:lang w:val="ro-MD" w:eastAsia="ro-RO"/>
        </w:rPr>
        <w:t xml:space="preserve"> ritmul încetinit de creștere a veniturilor colectate raportat la evoluția PIB; </w:t>
      </w:r>
      <w:r w:rsidR="00C77116" w:rsidRPr="00BF2FD8">
        <w:rPr>
          <w:rFonts w:ascii="Times New Roman" w:hAnsi="Times New Roman" w:cs="Times New Roman"/>
          <w:bCs/>
          <w:i/>
          <w:sz w:val="28"/>
          <w:szCs w:val="28"/>
          <w:lang w:val="ro-MD" w:eastAsia="ro-RO"/>
        </w:rPr>
        <w:t>(iii)</w:t>
      </w:r>
      <w:r w:rsidR="00C77116" w:rsidRPr="00BF2FD8">
        <w:rPr>
          <w:rFonts w:ascii="Times New Roman" w:hAnsi="Times New Roman" w:cs="Times New Roman"/>
          <w:bCs/>
          <w:sz w:val="28"/>
          <w:szCs w:val="28"/>
          <w:lang w:val="ro-MD" w:eastAsia="ro-RO"/>
        </w:rPr>
        <w:t xml:space="preserve"> </w:t>
      </w:r>
      <w:r w:rsidR="00AD4042" w:rsidRPr="00BF2FD8">
        <w:rPr>
          <w:rFonts w:ascii="Times New Roman" w:hAnsi="Times New Roman" w:cs="Times New Roman"/>
          <w:bCs/>
          <w:sz w:val="28"/>
          <w:szCs w:val="28"/>
          <w:lang w:val="ro-MD" w:eastAsia="ro-RO"/>
        </w:rPr>
        <w:t>rezerve la încasarea restanțelor la</w:t>
      </w:r>
      <w:r w:rsidR="00C77116" w:rsidRPr="00BF2FD8">
        <w:rPr>
          <w:rFonts w:ascii="Times New Roman" w:hAnsi="Times New Roman" w:cs="Times New Roman"/>
          <w:sz w:val="28"/>
          <w:szCs w:val="28"/>
          <w:lang w:val="ro-MD"/>
        </w:rPr>
        <w:t xml:space="preserve"> BPN</w:t>
      </w:r>
      <w:r w:rsidR="00AD4042" w:rsidRPr="00BF2FD8">
        <w:rPr>
          <w:rFonts w:ascii="Times New Roman" w:hAnsi="Times New Roman" w:cs="Times New Roman"/>
          <w:sz w:val="28"/>
          <w:szCs w:val="28"/>
          <w:lang w:val="ro-MD"/>
        </w:rPr>
        <w:t>, atestându-se tendințe de creștere continuă a acestora</w:t>
      </w:r>
      <w:r w:rsidR="00C77116" w:rsidRPr="00BF2FD8">
        <w:rPr>
          <w:rFonts w:ascii="Times New Roman" w:hAnsi="Times New Roman" w:cs="Times New Roman"/>
          <w:sz w:val="28"/>
          <w:szCs w:val="28"/>
          <w:lang w:val="ro-MD"/>
        </w:rPr>
        <w:t xml:space="preserve">; </w:t>
      </w:r>
      <w:r w:rsidR="00C77116" w:rsidRPr="00BF2FD8">
        <w:rPr>
          <w:rFonts w:ascii="Times New Roman" w:hAnsi="Times New Roman" w:cs="Times New Roman"/>
          <w:i/>
          <w:sz w:val="28"/>
          <w:szCs w:val="28"/>
          <w:lang w:val="ro-MD"/>
        </w:rPr>
        <w:t>(iv)</w:t>
      </w:r>
      <w:r w:rsidR="00C77116" w:rsidRPr="00BF2FD8">
        <w:rPr>
          <w:rFonts w:ascii="Times New Roman" w:hAnsi="Times New Roman" w:cs="Times New Roman"/>
          <w:sz w:val="28"/>
          <w:szCs w:val="28"/>
          <w:lang w:val="ro-MD"/>
        </w:rPr>
        <w:t xml:space="preserve"> scăderea per ansamblu a nivelului de conformare voluntară a contribuabililor la stingerea obligației fiscale și vamale; </w:t>
      </w:r>
      <w:r w:rsidR="00AD4042" w:rsidRPr="00BF2FD8">
        <w:rPr>
          <w:rFonts w:ascii="Times New Roman" w:hAnsi="Times New Roman" w:cs="Times New Roman"/>
          <w:sz w:val="28"/>
          <w:szCs w:val="28"/>
          <w:lang w:val="ro-MD"/>
        </w:rPr>
        <w:t xml:space="preserve">                 </w:t>
      </w:r>
      <w:r w:rsidR="00C77116" w:rsidRPr="00BF2FD8">
        <w:rPr>
          <w:rFonts w:ascii="Times New Roman" w:hAnsi="Times New Roman" w:cs="Times New Roman"/>
          <w:i/>
          <w:sz w:val="28"/>
          <w:szCs w:val="28"/>
          <w:lang w:val="ro-MD"/>
        </w:rPr>
        <w:t>(v)</w:t>
      </w:r>
      <w:r w:rsidR="00C77116" w:rsidRPr="00BF2FD8">
        <w:rPr>
          <w:rFonts w:ascii="Times New Roman" w:hAnsi="Times New Roman" w:cs="Times New Roman"/>
          <w:sz w:val="28"/>
          <w:szCs w:val="28"/>
          <w:lang w:val="ro-MD"/>
        </w:rPr>
        <w:t xml:space="preserve"> </w:t>
      </w:r>
      <w:r w:rsidR="00AD4042" w:rsidRPr="00BF2FD8">
        <w:rPr>
          <w:rFonts w:ascii="Times New Roman" w:hAnsi="Times New Roman" w:cs="Times New Roman"/>
          <w:sz w:val="28"/>
          <w:szCs w:val="28"/>
          <w:lang w:val="ro-MD"/>
        </w:rPr>
        <w:t>p</w:t>
      </w:r>
      <w:proofErr w:type="spellStart"/>
      <w:r w:rsidR="00AD4042" w:rsidRPr="00BF2FD8">
        <w:rPr>
          <w:rFonts w:ascii="Times New Roman" w:hAnsi="Times New Roman" w:cs="Times New Roman"/>
          <w:sz w:val="28"/>
          <w:szCs w:val="28"/>
        </w:rPr>
        <w:t>roblematici</w:t>
      </w:r>
      <w:proofErr w:type="spellEnd"/>
      <w:r w:rsidR="00AD4042" w:rsidRPr="00BF2FD8">
        <w:rPr>
          <w:rFonts w:ascii="Times New Roman" w:hAnsi="Times New Roman" w:cs="Times New Roman"/>
          <w:sz w:val="28"/>
          <w:szCs w:val="28"/>
        </w:rPr>
        <w:t xml:space="preserve"> la încasarea unor sume calculate suplimentar la buget în baza controalelor efectuate; </w:t>
      </w:r>
      <w:r w:rsidR="00B06CA5" w:rsidRPr="00BF2FD8">
        <w:rPr>
          <w:rFonts w:ascii="Times New Roman" w:hAnsi="Times New Roman" w:cs="Times New Roman"/>
          <w:i/>
          <w:sz w:val="28"/>
          <w:szCs w:val="28"/>
          <w:lang w:val="ro-MD"/>
        </w:rPr>
        <w:t xml:space="preserve">(vi) </w:t>
      </w:r>
      <w:r w:rsidR="00AD4042" w:rsidRPr="00BF2FD8">
        <w:rPr>
          <w:rFonts w:ascii="Times New Roman" w:hAnsi="Times New Roman" w:cs="Times New Roman"/>
          <w:sz w:val="28"/>
          <w:szCs w:val="28"/>
          <w:lang w:val="ro-MD"/>
        </w:rPr>
        <w:t>realizarea/implementarea parțială a unor cerințe și recomandări ale auditurilor precedente;</w:t>
      </w:r>
    </w:p>
    <w:p w:rsidR="00C77116" w:rsidRPr="00BF2FD8" w:rsidRDefault="00BF2FD8" w:rsidP="00BF2FD8">
      <w:pPr>
        <w:tabs>
          <w:tab w:val="left" w:pos="113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C77116" w:rsidRPr="00BF2FD8">
        <w:rPr>
          <w:rFonts w:ascii="Times New Roman" w:hAnsi="Times New Roman" w:cs="Times New Roman"/>
          <w:sz w:val="28"/>
          <w:szCs w:val="28"/>
        </w:rPr>
        <w:t>În aspectul asigurării siguranței și integrității informației, în cadrul SV se atestă raportarea incompletă a situației privind restanțele administrate la BS, fiind afectate rapoartele respective care sunt prezentate MF</w:t>
      </w:r>
      <w:r w:rsidR="000A59C4" w:rsidRPr="00BF2FD8">
        <w:rPr>
          <w:rFonts w:ascii="Times New Roman" w:hAnsi="Times New Roman" w:cs="Times New Roman"/>
          <w:sz w:val="28"/>
          <w:szCs w:val="28"/>
        </w:rPr>
        <w:t xml:space="preserve"> </w:t>
      </w:r>
      <w:r w:rsidR="00C77116" w:rsidRPr="00BF2FD8">
        <w:rPr>
          <w:rFonts w:ascii="Times New Roman" w:hAnsi="Times New Roman" w:cs="Times New Roman"/>
          <w:sz w:val="28"/>
          <w:szCs w:val="28"/>
        </w:rPr>
        <w:t>- administratorul de buget.</w:t>
      </w:r>
    </w:p>
    <w:p w:rsidR="009E21CF" w:rsidRPr="001D0846" w:rsidRDefault="009E21CF" w:rsidP="00BF2FD8">
      <w:pPr>
        <w:spacing w:after="0" w:line="276" w:lineRule="auto"/>
        <w:ind w:firstLine="720"/>
        <w:jc w:val="both"/>
        <w:rPr>
          <w:rFonts w:ascii="Times New Roman" w:hAnsi="Times New Roman" w:cs="Times New Roman"/>
          <w:sz w:val="28"/>
          <w:szCs w:val="28"/>
        </w:rPr>
      </w:pPr>
      <w:r w:rsidRPr="001D0846">
        <w:rPr>
          <w:rFonts w:ascii="Times New Roman" w:hAnsi="Times New Roman" w:cs="Times New Roman"/>
          <w:sz w:val="28"/>
          <w:szCs w:val="28"/>
        </w:rPr>
        <w:t xml:space="preserve">Situațiile constatate de auditul public extern la implementarea sistemului de control intern de către SFS și SV au avut impact asupra </w:t>
      </w:r>
      <w:r w:rsidR="00B06CA5">
        <w:rPr>
          <w:rFonts w:ascii="Times New Roman" w:hAnsi="Times New Roman" w:cs="Times New Roman"/>
          <w:sz w:val="28"/>
          <w:szCs w:val="28"/>
        </w:rPr>
        <w:t xml:space="preserve">funcționalității și </w:t>
      </w:r>
      <w:proofErr w:type="spellStart"/>
      <w:r w:rsidR="00B06CA5">
        <w:rPr>
          <w:rFonts w:ascii="Times New Roman" w:hAnsi="Times New Roman" w:cs="Times New Roman"/>
          <w:sz w:val="28"/>
          <w:szCs w:val="28"/>
        </w:rPr>
        <w:t>rezultativității</w:t>
      </w:r>
      <w:proofErr w:type="spellEnd"/>
      <w:r w:rsidR="00B06CA5">
        <w:rPr>
          <w:rFonts w:ascii="Times New Roman" w:hAnsi="Times New Roman" w:cs="Times New Roman"/>
          <w:sz w:val="28"/>
          <w:szCs w:val="28"/>
        </w:rPr>
        <w:t xml:space="preserve"> operaționale aferente administrării </w:t>
      </w:r>
      <w:r w:rsidR="00AD4042">
        <w:rPr>
          <w:rFonts w:ascii="Times New Roman" w:hAnsi="Times New Roman" w:cs="Times New Roman"/>
          <w:sz w:val="28"/>
          <w:szCs w:val="28"/>
        </w:rPr>
        <w:t>impozitelor și taxelor.</w:t>
      </w:r>
    </w:p>
    <w:p w:rsidR="009E21CF" w:rsidRPr="00AD4042" w:rsidRDefault="009E21CF" w:rsidP="00175939">
      <w:pPr>
        <w:tabs>
          <w:tab w:val="left" w:pos="0"/>
        </w:tabs>
        <w:spacing w:after="0" w:line="276" w:lineRule="auto"/>
        <w:ind w:firstLine="709"/>
        <w:jc w:val="both"/>
        <w:rPr>
          <w:rFonts w:ascii="Times New Roman" w:hAnsi="Times New Roman"/>
          <w:sz w:val="28"/>
          <w:szCs w:val="28"/>
          <w:lang w:val="ro-MD"/>
        </w:rPr>
      </w:pPr>
    </w:p>
    <w:p w:rsidR="00BF2FD8" w:rsidRDefault="00BF2FD8" w:rsidP="00B952AC">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B952AC">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1F529E" w:rsidRDefault="001F529E" w:rsidP="00AD4042">
      <w:pPr>
        <w:tabs>
          <w:tab w:val="left" w:pos="630"/>
          <w:tab w:val="left" w:pos="993"/>
        </w:tabs>
        <w:spacing w:after="0" w:line="276" w:lineRule="auto"/>
        <w:jc w:val="both"/>
        <w:rPr>
          <w:rFonts w:ascii="Times New Roman" w:hAnsi="Times New Roman" w:cs="Times New Roman"/>
          <w:b/>
          <w:i/>
          <w:sz w:val="28"/>
          <w:szCs w:val="28"/>
        </w:rPr>
      </w:pPr>
    </w:p>
    <w:p w:rsidR="00B952AC" w:rsidRDefault="00B952AC" w:rsidP="00AD4042">
      <w:pPr>
        <w:tabs>
          <w:tab w:val="left" w:pos="630"/>
          <w:tab w:val="left" w:pos="993"/>
        </w:tabs>
        <w:spacing w:after="0" w:line="276" w:lineRule="auto"/>
        <w:jc w:val="both"/>
        <w:rPr>
          <w:rFonts w:ascii="Times New Roman" w:hAnsi="Times New Roman" w:cs="Times New Roman"/>
          <w:i/>
          <w:sz w:val="28"/>
          <w:szCs w:val="28"/>
        </w:rPr>
      </w:pPr>
      <w:r w:rsidRPr="0097570A">
        <w:rPr>
          <w:rFonts w:ascii="Times New Roman" w:hAnsi="Times New Roman" w:cs="Times New Roman"/>
          <w:b/>
          <w:i/>
          <w:sz w:val="28"/>
          <w:szCs w:val="28"/>
        </w:rPr>
        <w:lastRenderedPageBreak/>
        <w:t>Obiectivul nr.2:</w:t>
      </w:r>
      <w:r w:rsidRPr="0097570A">
        <w:rPr>
          <w:rFonts w:ascii="Times New Roman" w:hAnsi="Times New Roman" w:cs="Times New Roman"/>
          <w:i/>
          <w:sz w:val="28"/>
          <w:szCs w:val="28"/>
        </w:rPr>
        <w:t xml:space="preserve"> Elaborarea recomandărilor pentru îmbunătățirea managementului și a rezultatelor administrării unor impozite și taxe.</w:t>
      </w:r>
    </w:p>
    <w:p w:rsidR="00F62A04" w:rsidRDefault="00F62A04" w:rsidP="00AD4042">
      <w:pPr>
        <w:tabs>
          <w:tab w:val="left" w:pos="630"/>
          <w:tab w:val="left" w:pos="993"/>
        </w:tabs>
        <w:spacing w:after="0" w:line="276" w:lineRule="auto"/>
        <w:jc w:val="both"/>
        <w:rPr>
          <w:rFonts w:ascii="Times New Roman" w:hAnsi="Times New Roman" w:cs="Times New Roman"/>
          <w:i/>
          <w:sz w:val="28"/>
          <w:szCs w:val="28"/>
        </w:rPr>
      </w:pPr>
    </w:p>
    <w:p w:rsidR="00420AB8" w:rsidRPr="001D0846" w:rsidRDefault="002A63A1" w:rsidP="00AD4042">
      <w:pPr>
        <w:pStyle w:val="1"/>
        <w:spacing w:before="0" w:line="276" w:lineRule="auto"/>
        <w:jc w:val="center"/>
        <w:rPr>
          <w:rFonts w:ascii="Times New Roman" w:hAnsi="Times New Roman" w:cs="Times New Roman"/>
          <w:b/>
          <w:color w:val="auto"/>
          <w:lang w:val="ro-MD"/>
        </w:rPr>
      </w:pPr>
      <w:bookmarkStart w:id="21" w:name="_Toc515894896"/>
      <w:r w:rsidRPr="001D0846">
        <w:rPr>
          <w:rFonts w:ascii="Times New Roman" w:hAnsi="Times New Roman" w:cs="Times New Roman"/>
          <w:b/>
          <w:color w:val="auto"/>
          <w:lang w:val="ro-MD"/>
        </w:rPr>
        <w:t>I</w:t>
      </w:r>
      <w:r w:rsidR="00871FE1" w:rsidRPr="001D0846">
        <w:rPr>
          <w:rFonts w:ascii="Times New Roman" w:hAnsi="Times New Roman" w:cs="Times New Roman"/>
          <w:b/>
          <w:color w:val="auto"/>
          <w:lang w:val="ro-MD"/>
        </w:rPr>
        <w:t>V</w:t>
      </w:r>
      <w:r w:rsidR="00BB3186" w:rsidRPr="001D0846">
        <w:rPr>
          <w:rFonts w:ascii="Times New Roman" w:hAnsi="Times New Roman" w:cs="Times New Roman"/>
          <w:b/>
          <w:color w:val="auto"/>
          <w:lang w:val="ro-MD"/>
        </w:rPr>
        <w:t xml:space="preserve">. </w:t>
      </w:r>
      <w:r w:rsidR="00420AB8" w:rsidRPr="001D0846">
        <w:rPr>
          <w:rFonts w:ascii="Times New Roman" w:hAnsi="Times New Roman" w:cs="Times New Roman"/>
          <w:b/>
          <w:color w:val="auto"/>
          <w:lang w:val="ro-MD"/>
        </w:rPr>
        <w:t>RECOMANDĂRI</w:t>
      </w:r>
      <w:r w:rsidR="00871FE1" w:rsidRPr="001D0846">
        <w:rPr>
          <w:rFonts w:ascii="Times New Roman" w:hAnsi="Times New Roman" w:cs="Times New Roman"/>
          <w:b/>
          <w:color w:val="auto"/>
          <w:lang w:val="ro-MD"/>
        </w:rPr>
        <w:t>LE AUDITULUI</w:t>
      </w:r>
      <w:bookmarkEnd w:id="21"/>
    </w:p>
    <w:p w:rsidR="008411DF" w:rsidRPr="001D0846" w:rsidRDefault="008411DF" w:rsidP="00AD4042">
      <w:pPr>
        <w:spacing w:after="0" w:line="276" w:lineRule="auto"/>
        <w:jc w:val="both"/>
        <w:rPr>
          <w:rFonts w:ascii="Times New Roman" w:eastAsiaTheme="minorEastAsia" w:hAnsi="Times New Roman" w:cs="Times New Roman"/>
          <w:b/>
          <w:sz w:val="28"/>
          <w:szCs w:val="28"/>
        </w:rPr>
      </w:pPr>
      <w:r w:rsidRPr="001D0846">
        <w:rPr>
          <w:rFonts w:ascii="Times New Roman" w:eastAsiaTheme="minorEastAsia" w:hAnsi="Times New Roman" w:cs="Times New Roman"/>
          <w:b/>
          <w:sz w:val="28"/>
          <w:szCs w:val="28"/>
        </w:rPr>
        <w:t>Recomandări conducerii SFS:</w:t>
      </w:r>
    </w:p>
    <w:p w:rsidR="007C5F27" w:rsidRPr="007C5F27" w:rsidRDefault="007C5F27" w:rsidP="007C5F27">
      <w:pPr>
        <w:pStyle w:val="a7"/>
        <w:numPr>
          <w:ilvl w:val="0"/>
          <w:numId w:val="24"/>
        </w:numPr>
        <w:tabs>
          <w:tab w:val="left" w:pos="540"/>
        </w:tabs>
        <w:spacing w:after="0" w:line="276" w:lineRule="auto"/>
        <w:ind w:left="-90" w:firstLine="270"/>
        <w:jc w:val="both"/>
        <w:rPr>
          <w:rFonts w:ascii="Times New Roman" w:eastAsiaTheme="minorEastAsia" w:hAnsi="Times New Roman" w:cs="Times New Roman"/>
          <w:b/>
          <w:sz w:val="28"/>
          <w:szCs w:val="28"/>
        </w:rPr>
      </w:pPr>
      <w:r w:rsidRPr="007C5F27">
        <w:rPr>
          <w:rFonts w:ascii="Times New Roman" w:hAnsi="Times New Roman" w:cs="Times New Roman"/>
          <w:sz w:val="28"/>
          <w:szCs w:val="28"/>
        </w:rPr>
        <w:t>Să asigure promovarea continuă a conform</w:t>
      </w:r>
      <w:r>
        <w:rPr>
          <w:rFonts w:ascii="Times New Roman" w:hAnsi="Times New Roman" w:cs="Times New Roman"/>
          <w:sz w:val="28"/>
          <w:szCs w:val="28"/>
        </w:rPr>
        <w:t>ării voluntare</w:t>
      </w:r>
      <w:r w:rsidRPr="007C5F27">
        <w:rPr>
          <w:rFonts w:ascii="Times New Roman" w:hAnsi="Times New Roman" w:cs="Times New Roman"/>
          <w:sz w:val="28"/>
          <w:szCs w:val="28"/>
        </w:rPr>
        <w:t xml:space="preserve"> a contribuabililor prin întreprinderea acțiunilor prevăzute în Programul de conformare</w:t>
      </w:r>
      <w:r w:rsidRPr="007C5F27">
        <w:rPr>
          <w:rFonts w:ascii="Times New Roman" w:hAnsi="Times New Roman" w:cs="Times New Roman"/>
          <w:sz w:val="28"/>
          <w:szCs w:val="28"/>
          <w:lang w:val="ro-MD"/>
        </w:rPr>
        <w:t xml:space="preserve"> </w:t>
      </w:r>
      <w:r w:rsidR="00085BD9">
        <w:rPr>
          <w:rFonts w:ascii="Times New Roman" w:hAnsi="Times New Roman" w:cs="Times New Roman"/>
          <w:sz w:val="28"/>
          <w:szCs w:val="28"/>
          <w:lang w:val="ro-MD"/>
        </w:rPr>
        <w:t>voluntară</w:t>
      </w:r>
      <w:r w:rsidR="002226AC">
        <w:rPr>
          <w:rFonts w:ascii="Times New Roman" w:hAnsi="Times New Roman" w:cs="Times New Roman"/>
          <w:sz w:val="28"/>
          <w:szCs w:val="28"/>
          <w:lang w:val="ro-MD"/>
        </w:rPr>
        <w:t>,</w:t>
      </w:r>
      <w:r w:rsidR="00085BD9">
        <w:rPr>
          <w:rFonts w:ascii="Times New Roman" w:hAnsi="Times New Roman" w:cs="Times New Roman"/>
          <w:sz w:val="28"/>
          <w:szCs w:val="28"/>
          <w:lang w:val="ro-MD"/>
        </w:rPr>
        <w:t xml:space="preserve"> </w:t>
      </w:r>
      <w:r>
        <w:rPr>
          <w:rFonts w:ascii="Times New Roman" w:hAnsi="Times New Roman" w:cs="Times New Roman"/>
          <w:sz w:val="28"/>
          <w:szCs w:val="28"/>
          <w:lang w:val="ro-MD"/>
        </w:rPr>
        <w:t>cu</w:t>
      </w:r>
      <w:r w:rsidRPr="001D0846">
        <w:rPr>
          <w:rFonts w:ascii="Times New Roman" w:hAnsi="Times New Roman" w:cs="Times New Roman"/>
          <w:sz w:val="28"/>
          <w:szCs w:val="28"/>
          <w:lang w:val="ro-MD"/>
        </w:rPr>
        <w:t xml:space="preserve"> institui</w:t>
      </w:r>
      <w:r w:rsidR="00085BD9">
        <w:rPr>
          <w:rFonts w:ascii="Times New Roman" w:hAnsi="Times New Roman" w:cs="Times New Roman"/>
          <w:sz w:val="28"/>
          <w:szCs w:val="28"/>
          <w:lang w:val="ro-MD"/>
        </w:rPr>
        <w:t>rea unei proceduri de evaluare/</w:t>
      </w:r>
      <w:r w:rsidRPr="001D0846">
        <w:rPr>
          <w:rFonts w:ascii="Times New Roman" w:hAnsi="Times New Roman" w:cs="Times New Roman"/>
          <w:sz w:val="28"/>
          <w:szCs w:val="28"/>
          <w:lang w:val="ro-MD"/>
        </w:rPr>
        <w:t>raportare per sistem a rezultatelor implementării obiectivelor programului</w:t>
      </w:r>
      <w:r w:rsidR="002733C9">
        <w:rPr>
          <w:rFonts w:ascii="Times New Roman" w:hAnsi="Times New Roman" w:cs="Times New Roman"/>
          <w:sz w:val="28"/>
          <w:szCs w:val="28"/>
          <w:lang w:val="ro-MD"/>
        </w:rPr>
        <w:t>.</w:t>
      </w:r>
      <w:r w:rsidRPr="001D0846">
        <w:rPr>
          <w:rFonts w:ascii="Times New Roman" w:hAnsi="Times New Roman" w:cs="Times New Roman"/>
          <w:sz w:val="28"/>
          <w:szCs w:val="28"/>
        </w:rPr>
        <w:t xml:space="preserve"> (</w:t>
      </w:r>
      <w:r w:rsidR="002226AC">
        <w:rPr>
          <w:rFonts w:ascii="Times New Roman" w:hAnsi="Times New Roman" w:cs="Times New Roman"/>
          <w:sz w:val="28"/>
          <w:szCs w:val="28"/>
        </w:rPr>
        <w:t>S</w:t>
      </w:r>
      <w:r w:rsidRPr="001D0846">
        <w:rPr>
          <w:rFonts w:ascii="Times New Roman" w:hAnsi="Times New Roman" w:cs="Times New Roman"/>
          <w:sz w:val="28"/>
          <w:szCs w:val="28"/>
        </w:rPr>
        <w:t>ubcapitolul 3.6.)</w:t>
      </w:r>
    </w:p>
    <w:p w:rsidR="007C5F27" w:rsidRPr="007C5F27" w:rsidRDefault="007C5F27" w:rsidP="007C5F27">
      <w:pPr>
        <w:spacing w:after="0" w:line="276" w:lineRule="auto"/>
        <w:jc w:val="both"/>
        <w:rPr>
          <w:rFonts w:ascii="Times New Roman" w:eastAsiaTheme="minorEastAsia" w:hAnsi="Times New Roman" w:cs="Times New Roman"/>
          <w:b/>
          <w:sz w:val="28"/>
          <w:szCs w:val="28"/>
        </w:rPr>
      </w:pPr>
    </w:p>
    <w:p w:rsidR="008411DF" w:rsidRPr="001D0846" w:rsidRDefault="008411DF" w:rsidP="00AD4042">
      <w:pPr>
        <w:spacing w:after="0" w:line="276" w:lineRule="auto"/>
        <w:jc w:val="both"/>
        <w:rPr>
          <w:rFonts w:ascii="Times New Roman" w:eastAsiaTheme="minorEastAsia" w:hAnsi="Times New Roman" w:cs="Times New Roman"/>
          <w:b/>
          <w:sz w:val="28"/>
          <w:szCs w:val="28"/>
        </w:rPr>
      </w:pPr>
      <w:r w:rsidRPr="001D0846">
        <w:rPr>
          <w:rFonts w:ascii="Times New Roman" w:eastAsiaTheme="minorEastAsia" w:hAnsi="Times New Roman" w:cs="Times New Roman"/>
          <w:b/>
          <w:sz w:val="28"/>
          <w:szCs w:val="28"/>
        </w:rPr>
        <w:t>Recomandări conducerii SV:</w:t>
      </w:r>
    </w:p>
    <w:p w:rsidR="006C5636" w:rsidRDefault="006C5636" w:rsidP="006C5636">
      <w:pPr>
        <w:tabs>
          <w:tab w:val="left" w:pos="540"/>
          <w:tab w:val="left" w:pos="630"/>
          <w:tab w:val="left" w:pos="851"/>
        </w:tabs>
        <w:spacing w:after="0" w:line="276" w:lineRule="auto"/>
        <w:ind w:firstLine="720"/>
        <w:jc w:val="both"/>
        <w:rPr>
          <w:rFonts w:ascii="Times New Roman" w:eastAsia="Times New Roman" w:hAnsi="Times New Roman" w:cs="Times New Roman"/>
          <w:sz w:val="28"/>
          <w:szCs w:val="28"/>
          <w:lang w:eastAsia="ru-RU"/>
        </w:rPr>
      </w:pPr>
      <w:r w:rsidRPr="006C5636">
        <w:rPr>
          <w:rFonts w:ascii="Times New Roman" w:hAnsi="Times New Roman" w:cs="Times New Roman"/>
          <w:b/>
          <w:sz w:val="28"/>
          <w:szCs w:val="28"/>
        </w:rPr>
        <w:t>1.</w:t>
      </w:r>
      <w:r w:rsidRPr="006C5636">
        <w:rPr>
          <w:rFonts w:ascii="Times New Roman" w:hAnsi="Times New Roman" w:cs="Times New Roman"/>
          <w:sz w:val="28"/>
          <w:szCs w:val="28"/>
        </w:rPr>
        <w:t xml:space="preserve"> </w:t>
      </w:r>
      <w:r w:rsidR="002B3FB3" w:rsidRPr="006C5636">
        <w:rPr>
          <w:rFonts w:ascii="Times New Roman" w:hAnsi="Times New Roman" w:cs="Times New Roman"/>
          <w:sz w:val="28"/>
          <w:szCs w:val="28"/>
        </w:rPr>
        <w:t xml:space="preserve">Să asigure </w:t>
      </w:r>
      <w:r w:rsidRPr="006C5636">
        <w:rPr>
          <w:rFonts w:ascii="Times New Roman" w:eastAsia="Times New Roman" w:hAnsi="Times New Roman" w:cs="Times New Roman"/>
          <w:sz w:val="28"/>
          <w:szCs w:val="28"/>
          <w:lang w:eastAsia="ru-RU"/>
        </w:rPr>
        <w:t xml:space="preserve">implementarea modulului informațional, pentru calcularea deplină a penalităților aferente obligațiilor vamale, în vederea înregistrării, evidenței și raportării veridice a situației privind restanțele plătitorilor vamali la bugetul de stat. </w:t>
      </w:r>
      <w:r w:rsidR="004A20CA">
        <w:rPr>
          <w:rFonts w:ascii="Times New Roman" w:hAnsi="Times New Roman" w:cs="Times New Roman"/>
          <w:sz w:val="28"/>
          <w:szCs w:val="28"/>
        </w:rPr>
        <w:t>(</w:t>
      </w:r>
      <w:r w:rsidR="002226AC">
        <w:rPr>
          <w:rFonts w:ascii="Times New Roman" w:hAnsi="Times New Roman" w:cs="Times New Roman"/>
          <w:sz w:val="28"/>
          <w:szCs w:val="28"/>
        </w:rPr>
        <w:t>S</w:t>
      </w:r>
      <w:r w:rsidR="004A20CA">
        <w:rPr>
          <w:rFonts w:ascii="Times New Roman" w:hAnsi="Times New Roman" w:cs="Times New Roman"/>
          <w:sz w:val="28"/>
          <w:szCs w:val="28"/>
        </w:rPr>
        <w:t>ubcapitolul 3.5</w:t>
      </w:r>
      <w:r w:rsidR="002B3FB3" w:rsidRPr="006C5636">
        <w:rPr>
          <w:rFonts w:ascii="Times New Roman" w:hAnsi="Times New Roman" w:cs="Times New Roman"/>
          <w:sz w:val="28"/>
          <w:szCs w:val="28"/>
        </w:rPr>
        <w:t>.)</w:t>
      </w:r>
    </w:p>
    <w:p w:rsidR="002B3FB3" w:rsidRPr="006C5636" w:rsidRDefault="006C5636" w:rsidP="006C5636">
      <w:pPr>
        <w:tabs>
          <w:tab w:val="left" w:pos="540"/>
          <w:tab w:val="left" w:pos="630"/>
          <w:tab w:val="left" w:pos="851"/>
        </w:tabs>
        <w:spacing w:after="0" w:line="276" w:lineRule="auto"/>
        <w:ind w:firstLine="720"/>
        <w:jc w:val="both"/>
        <w:rPr>
          <w:rFonts w:ascii="Times New Roman" w:eastAsia="Times New Roman" w:hAnsi="Times New Roman" w:cs="Times New Roman"/>
          <w:sz w:val="28"/>
          <w:szCs w:val="28"/>
          <w:lang w:eastAsia="ru-RU"/>
        </w:rPr>
      </w:pPr>
      <w:r w:rsidRPr="006C5636">
        <w:rPr>
          <w:rFonts w:ascii="Times New Roman" w:hAnsi="Times New Roman" w:cs="Times New Roman"/>
          <w:b/>
          <w:sz w:val="28"/>
          <w:szCs w:val="28"/>
        </w:rPr>
        <w:t>2.</w:t>
      </w:r>
      <w:r>
        <w:rPr>
          <w:rFonts w:ascii="Times New Roman" w:hAnsi="Times New Roman" w:cs="Times New Roman"/>
          <w:sz w:val="28"/>
          <w:szCs w:val="28"/>
        </w:rPr>
        <w:t xml:space="preserve"> </w:t>
      </w:r>
      <w:r w:rsidR="00240B0C" w:rsidRPr="006C5636">
        <w:rPr>
          <w:rFonts w:ascii="Times New Roman" w:hAnsi="Times New Roman" w:cs="Times New Roman"/>
          <w:sz w:val="28"/>
          <w:szCs w:val="28"/>
        </w:rPr>
        <w:t xml:space="preserve">Să asigure elaborarea unui program de conformare voluntară, cu definirea obiectivelor și indicatorilor de performanță, evaluarea domeniilor de activitate cu risc sporit de neconformare și realizarea măsurilor necesare în vederea </w:t>
      </w:r>
      <w:r w:rsidRPr="006C5636">
        <w:rPr>
          <w:rFonts w:ascii="Times New Roman" w:hAnsi="Times New Roman" w:cs="Times New Roman"/>
          <w:sz w:val="28"/>
          <w:szCs w:val="28"/>
        </w:rPr>
        <w:t>implementării</w:t>
      </w:r>
      <w:r w:rsidR="00240B0C" w:rsidRPr="006C5636">
        <w:rPr>
          <w:rFonts w:ascii="Times New Roman" w:hAnsi="Times New Roman" w:cs="Times New Roman"/>
          <w:sz w:val="28"/>
          <w:szCs w:val="28"/>
        </w:rPr>
        <w:t xml:space="preserve"> </w:t>
      </w:r>
      <w:r w:rsidR="00DA414B" w:rsidRPr="006C5636">
        <w:rPr>
          <w:rFonts w:ascii="Times New Roman" w:hAnsi="Times New Roman" w:cs="Times New Roman"/>
          <w:sz w:val="28"/>
          <w:szCs w:val="28"/>
        </w:rPr>
        <w:t>programului.</w:t>
      </w:r>
      <w:r w:rsidRPr="006C5636">
        <w:rPr>
          <w:rFonts w:ascii="Times New Roman" w:hAnsi="Times New Roman" w:cs="Times New Roman"/>
          <w:sz w:val="28"/>
          <w:szCs w:val="28"/>
        </w:rPr>
        <w:t xml:space="preserve"> (</w:t>
      </w:r>
      <w:r w:rsidR="002226AC">
        <w:rPr>
          <w:rFonts w:ascii="Times New Roman" w:hAnsi="Times New Roman" w:cs="Times New Roman"/>
          <w:sz w:val="28"/>
          <w:szCs w:val="28"/>
        </w:rPr>
        <w:t>S</w:t>
      </w:r>
      <w:r w:rsidRPr="006C5636">
        <w:rPr>
          <w:rFonts w:ascii="Times New Roman" w:hAnsi="Times New Roman" w:cs="Times New Roman"/>
          <w:sz w:val="28"/>
          <w:szCs w:val="28"/>
        </w:rPr>
        <w:t>ubcapitolul 3.6</w:t>
      </w:r>
      <w:r w:rsidR="00240B0C" w:rsidRPr="006C5636">
        <w:rPr>
          <w:rFonts w:ascii="Times New Roman" w:hAnsi="Times New Roman" w:cs="Times New Roman"/>
          <w:sz w:val="28"/>
          <w:szCs w:val="28"/>
        </w:rPr>
        <w:t>.)</w:t>
      </w:r>
    </w:p>
    <w:p w:rsidR="00240B0C" w:rsidRPr="001D0846" w:rsidRDefault="00240B0C" w:rsidP="00AD4042">
      <w:pPr>
        <w:spacing w:after="0" w:line="276" w:lineRule="auto"/>
        <w:jc w:val="both"/>
        <w:rPr>
          <w:rFonts w:ascii="Times New Roman" w:eastAsiaTheme="minorEastAsia" w:hAnsi="Times New Roman" w:cs="Times New Roman"/>
          <w:b/>
          <w:sz w:val="28"/>
          <w:szCs w:val="28"/>
        </w:rPr>
      </w:pPr>
    </w:p>
    <w:p w:rsidR="002B3FB3" w:rsidRPr="001D0846" w:rsidRDefault="00240B0C" w:rsidP="00AD4042">
      <w:pPr>
        <w:spacing w:after="0" w:line="276" w:lineRule="auto"/>
        <w:jc w:val="both"/>
        <w:rPr>
          <w:rFonts w:ascii="Times New Roman" w:eastAsiaTheme="minorEastAsia" w:hAnsi="Times New Roman" w:cs="Times New Roman"/>
          <w:b/>
          <w:sz w:val="28"/>
          <w:szCs w:val="28"/>
        </w:rPr>
      </w:pPr>
      <w:r w:rsidRPr="001D0846">
        <w:rPr>
          <w:rFonts w:ascii="Times New Roman" w:eastAsiaTheme="minorEastAsia" w:hAnsi="Times New Roman" w:cs="Times New Roman"/>
          <w:b/>
          <w:sz w:val="28"/>
          <w:szCs w:val="28"/>
        </w:rPr>
        <w:t>Recomandări conducerii SFS și conducerii SV:</w:t>
      </w:r>
    </w:p>
    <w:p w:rsidR="00235C5C" w:rsidRDefault="00240B0C" w:rsidP="00235C5C">
      <w:pPr>
        <w:spacing w:after="0" w:line="276" w:lineRule="auto"/>
        <w:ind w:firstLine="709"/>
        <w:jc w:val="both"/>
        <w:rPr>
          <w:rFonts w:ascii="Times New Roman" w:eastAsiaTheme="minorEastAsia" w:hAnsi="Times New Roman" w:cs="Times New Roman"/>
          <w:sz w:val="28"/>
          <w:szCs w:val="28"/>
        </w:rPr>
      </w:pPr>
      <w:r w:rsidRPr="001D0846">
        <w:rPr>
          <w:rFonts w:ascii="Times New Roman" w:eastAsiaTheme="minorEastAsia" w:hAnsi="Times New Roman" w:cs="Times New Roman"/>
          <w:b/>
          <w:sz w:val="28"/>
          <w:szCs w:val="28"/>
        </w:rPr>
        <w:t>1.</w:t>
      </w:r>
      <w:r w:rsidR="002733C9">
        <w:rPr>
          <w:rFonts w:ascii="Times New Roman" w:eastAsiaTheme="minorEastAsia" w:hAnsi="Times New Roman" w:cs="Times New Roman"/>
          <w:sz w:val="28"/>
          <w:szCs w:val="28"/>
        </w:rPr>
        <w:t xml:space="preserve"> </w:t>
      </w:r>
      <w:r w:rsidR="00085BD9" w:rsidRPr="00085BD9">
        <w:rPr>
          <w:rFonts w:ascii="Times New Roman" w:hAnsi="Times New Roman" w:cs="Times New Roman"/>
          <w:sz w:val="28"/>
          <w:szCs w:val="28"/>
        </w:rPr>
        <w:t>Să asigure continuitatea acțiunilor în realizarea performanțelor instituționale, asigurând corelarea indicatorilor de performanță în activitatea de administrare a impozitelor și taxelor</w:t>
      </w:r>
      <w:r w:rsidR="00085BD9">
        <w:rPr>
          <w:rFonts w:ascii="Times New Roman" w:hAnsi="Times New Roman" w:cs="Times New Roman"/>
          <w:sz w:val="28"/>
          <w:szCs w:val="28"/>
        </w:rPr>
        <w:t>.</w:t>
      </w:r>
      <w:r w:rsidR="00085BD9" w:rsidRPr="00085BD9">
        <w:rPr>
          <w:rFonts w:ascii="Times New Roman" w:hAnsi="Times New Roman" w:cs="Times New Roman"/>
          <w:sz w:val="28"/>
          <w:szCs w:val="28"/>
        </w:rPr>
        <w:t xml:space="preserve"> (</w:t>
      </w:r>
      <w:r w:rsidR="002226AC">
        <w:rPr>
          <w:rFonts w:ascii="Times New Roman" w:hAnsi="Times New Roman" w:cs="Times New Roman"/>
          <w:sz w:val="28"/>
          <w:szCs w:val="28"/>
        </w:rPr>
        <w:t>S</w:t>
      </w:r>
      <w:r w:rsidR="00085BD9" w:rsidRPr="00085BD9">
        <w:rPr>
          <w:rFonts w:ascii="Times New Roman" w:hAnsi="Times New Roman" w:cs="Times New Roman"/>
          <w:sz w:val="28"/>
          <w:szCs w:val="28"/>
        </w:rPr>
        <w:t>ubcapitolul 3.1.)</w:t>
      </w:r>
    </w:p>
    <w:p w:rsidR="00235C5C" w:rsidRPr="00085BD9" w:rsidRDefault="002733C9" w:rsidP="00235C5C">
      <w:pPr>
        <w:tabs>
          <w:tab w:val="left" w:pos="990"/>
          <w:tab w:val="left" w:pos="1440"/>
        </w:tabs>
        <w:spacing w:after="0"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2</w:t>
      </w:r>
      <w:r w:rsidR="00235C5C" w:rsidRPr="00235C5C">
        <w:rPr>
          <w:rFonts w:ascii="Times New Roman" w:eastAsiaTheme="minorEastAsia" w:hAnsi="Times New Roman" w:cs="Times New Roman"/>
          <w:b/>
          <w:sz w:val="28"/>
          <w:szCs w:val="28"/>
        </w:rPr>
        <w:t>.</w:t>
      </w:r>
      <w:r w:rsidR="00235C5C">
        <w:rPr>
          <w:rFonts w:ascii="Times New Roman" w:eastAsiaTheme="minorEastAsia" w:hAnsi="Times New Roman" w:cs="Times New Roman"/>
          <w:sz w:val="28"/>
          <w:szCs w:val="28"/>
        </w:rPr>
        <w:t xml:space="preserve"> </w:t>
      </w:r>
      <w:r w:rsidR="00235C5C" w:rsidRPr="00235C5C">
        <w:rPr>
          <w:rFonts w:ascii="Times New Roman" w:hAnsi="Times New Roman" w:cs="Times New Roman"/>
          <w:sz w:val="28"/>
          <w:szCs w:val="28"/>
        </w:rPr>
        <w:t xml:space="preserve">Să asigure realizarea sarcinii de colectare a veniturilor la BPN, prin executarea indicilor bugetari pe tipuri de venituri </w:t>
      </w:r>
      <w:r w:rsidR="006C5636" w:rsidRPr="00235C5C">
        <w:rPr>
          <w:rFonts w:ascii="Times New Roman" w:hAnsi="Times New Roman" w:cs="Times New Roman"/>
          <w:sz w:val="28"/>
          <w:szCs w:val="28"/>
        </w:rPr>
        <w:t>administrate</w:t>
      </w:r>
      <w:r w:rsidR="002226AC">
        <w:rPr>
          <w:rFonts w:ascii="Times New Roman" w:hAnsi="Times New Roman" w:cs="Times New Roman"/>
          <w:sz w:val="28"/>
          <w:szCs w:val="28"/>
        </w:rPr>
        <w:t>,</w:t>
      </w:r>
      <w:r w:rsidR="00235C5C" w:rsidRPr="00235C5C">
        <w:rPr>
          <w:rFonts w:ascii="Times New Roman" w:hAnsi="Times New Roman" w:cs="Times New Roman"/>
          <w:sz w:val="28"/>
          <w:szCs w:val="28"/>
        </w:rPr>
        <w:t xml:space="preserve"> cu întreprinderea măsurilor de rigoare în vederea sporirii nivelului de conformare voluntară a contribuabililor</w:t>
      </w:r>
      <w:r w:rsidR="00235C5C">
        <w:rPr>
          <w:rFonts w:ascii="Times New Roman" w:hAnsi="Times New Roman" w:cs="Times New Roman"/>
          <w:sz w:val="28"/>
          <w:szCs w:val="28"/>
        </w:rPr>
        <w:t xml:space="preserve">. </w:t>
      </w:r>
      <w:r w:rsidR="00235C5C" w:rsidRPr="00085BD9">
        <w:rPr>
          <w:rFonts w:ascii="Times New Roman" w:hAnsi="Times New Roman" w:cs="Times New Roman"/>
          <w:sz w:val="28"/>
          <w:szCs w:val="28"/>
        </w:rPr>
        <w:t>(</w:t>
      </w:r>
      <w:r w:rsidR="002226AC">
        <w:rPr>
          <w:rFonts w:ascii="Times New Roman" w:hAnsi="Times New Roman" w:cs="Times New Roman"/>
          <w:sz w:val="28"/>
          <w:szCs w:val="28"/>
        </w:rPr>
        <w:t>S</w:t>
      </w:r>
      <w:r w:rsidR="00235C5C" w:rsidRPr="00085BD9">
        <w:rPr>
          <w:rFonts w:ascii="Times New Roman" w:hAnsi="Times New Roman" w:cs="Times New Roman"/>
          <w:sz w:val="28"/>
          <w:szCs w:val="28"/>
        </w:rPr>
        <w:t>ubcapitolul 3</w:t>
      </w:r>
      <w:r w:rsidR="00235C5C">
        <w:rPr>
          <w:rFonts w:ascii="Times New Roman" w:hAnsi="Times New Roman" w:cs="Times New Roman"/>
          <w:sz w:val="28"/>
          <w:szCs w:val="28"/>
        </w:rPr>
        <w:t>.3</w:t>
      </w:r>
      <w:r w:rsidR="00235C5C" w:rsidRPr="00085BD9">
        <w:rPr>
          <w:rFonts w:ascii="Times New Roman" w:hAnsi="Times New Roman" w:cs="Times New Roman"/>
          <w:sz w:val="28"/>
          <w:szCs w:val="28"/>
        </w:rPr>
        <w:t>.)</w:t>
      </w:r>
    </w:p>
    <w:p w:rsidR="00235C5C" w:rsidRDefault="002733C9" w:rsidP="00235C5C">
      <w:pPr>
        <w:tabs>
          <w:tab w:val="left" w:pos="0"/>
          <w:tab w:val="left" w:pos="851"/>
        </w:tabs>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00235C5C" w:rsidRPr="00235C5C">
        <w:rPr>
          <w:rFonts w:ascii="Times New Roman" w:hAnsi="Times New Roman" w:cs="Times New Roman"/>
          <w:b/>
          <w:sz w:val="28"/>
          <w:szCs w:val="28"/>
        </w:rPr>
        <w:t>.</w:t>
      </w:r>
      <w:r w:rsidR="00235C5C">
        <w:rPr>
          <w:rFonts w:ascii="Times New Roman" w:hAnsi="Times New Roman" w:cs="Times New Roman"/>
          <w:sz w:val="28"/>
          <w:szCs w:val="28"/>
        </w:rPr>
        <w:t xml:space="preserve"> </w:t>
      </w:r>
      <w:r w:rsidR="00235C5C" w:rsidRPr="00085BD9">
        <w:rPr>
          <w:rFonts w:ascii="Times New Roman" w:hAnsi="Times New Roman" w:cs="Times New Roman"/>
          <w:sz w:val="28"/>
          <w:szCs w:val="28"/>
        </w:rPr>
        <w:t>Să asigure continuitatea procesului de monitorizare</w:t>
      </w:r>
      <w:r w:rsidR="002226AC">
        <w:rPr>
          <w:rFonts w:ascii="Times New Roman" w:hAnsi="Times New Roman" w:cs="Times New Roman"/>
          <w:sz w:val="28"/>
          <w:szCs w:val="28"/>
        </w:rPr>
        <w:t>,</w:t>
      </w:r>
      <w:r w:rsidR="00235C5C" w:rsidRPr="00085BD9">
        <w:rPr>
          <w:rFonts w:ascii="Times New Roman" w:hAnsi="Times New Roman" w:cs="Times New Roman"/>
          <w:sz w:val="28"/>
          <w:szCs w:val="28"/>
        </w:rPr>
        <w:t xml:space="preserve"> prin intensificarea acțiunilor întreprinse de către subdiviziunile cu atribuții de executare silită</w:t>
      </w:r>
      <w:r w:rsidR="002226AC">
        <w:rPr>
          <w:rFonts w:ascii="Times New Roman" w:hAnsi="Times New Roman" w:cs="Times New Roman"/>
          <w:sz w:val="28"/>
          <w:szCs w:val="28"/>
        </w:rPr>
        <w:t>,</w:t>
      </w:r>
      <w:r w:rsidR="00235C5C" w:rsidRPr="00085BD9">
        <w:rPr>
          <w:rFonts w:ascii="Times New Roman" w:hAnsi="Times New Roman" w:cs="Times New Roman"/>
          <w:sz w:val="28"/>
          <w:szCs w:val="28"/>
        </w:rPr>
        <w:t xml:space="preserve"> în vederea diminuării restanțelor la BPN. </w:t>
      </w:r>
      <w:r w:rsidR="00235C5C" w:rsidRPr="001D0846">
        <w:rPr>
          <w:rFonts w:ascii="Times New Roman" w:hAnsi="Times New Roman" w:cs="Times New Roman"/>
          <w:sz w:val="28"/>
          <w:szCs w:val="28"/>
        </w:rPr>
        <w:t>(</w:t>
      </w:r>
      <w:r w:rsidR="002226AC">
        <w:rPr>
          <w:rFonts w:ascii="Times New Roman" w:hAnsi="Times New Roman" w:cs="Times New Roman"/>
          <w:sz w:val="28"/>
          <w:szCs w:val="28"/>
        </w:rPr>
        <w:t>S</w:t>
      </w:r>
      <w:r w:rsidR="00235C5C" w:rsidRPr="001D0846">
        <w:rPr>
          <w:rFonts w:ascii="Times New Roman" w:hAnsi="Times New Roman" w:cs="Times New Roman"/>
          <w:sz w:val="28"/>
          <w:szCs w:val="28"/>
        </w:rPr>
        <w:t>ubcapitolul 3</w:t>
      </w:r>
      <w:r w:rsidR="00235C5C">
        <w:rPr>
          <w:rFonts w:ascii="Times New Roman" w:hAnsi="Times New Roman" w:cs="Times New Roman"/>
          <w:sz w:val="28"/>
          <w:szCs w:val="28"/>
        </w:rPr>
        <w:t>.5</w:t>
      </w:r>
      <w:r w:rsidR="00235C5C" w:rsidRPr="001D0846">
        <w:rPr>
          <w:rFonts w:ascii="Times New Roman" w:hAnsi="Times New Roman" w:cs="Times New Roman"/>
          <w:sz w:val="28"/>
          <w:szCs w:val="28"/>
        </w:rPr>
        <w:t>.)</w:t>
      </w:r>
    </w:p>
    <w:p w:rsidR="00235C5C" w:rsidRDefault="002733C9" w:rsidP="00235C5C">
      <w:pPr>
        <w:tabs>
          <w:tab w:val="left" w:pos="0"/>
          <w:tab w:val="left" w:pos="851"/>
        </w:tabs>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235C5C" w:rsidRPr="00235C5C">
        <w:rPr>
          <w:rFonts w:ascii="Times New Roman" w:hAnsi="Times New Roman" w:cs="Times New Roman"/>
          <w:b/>
          <w:sz w:val="28"/>
          <w:szCs w:val="28"/>
        </w:rPr>
        <w:t>.</w:t>
      </w:r>
      <w:r w:rsidR="00235C5C">
        <w:rPr>
          <w:rFonts w:ascii="Times New Roman" w:hAnsi="Times New Roman" w:cs="Times New Roman"/>
          <w:sz w:val="28"/>
          <w:szCs w:val="28"/>
        </w:rPr>
        <w:t xml:space="preserve"> </w:t>
      </w:r>
      <w:r w:rsidR="00235C5C" w:rsidRPr="000A59C4">
        <w:rPr>
          <w:rFonts w:ascii="Times New Roman" w:hAnsi="Times New Roman" w:cs="Times New Roman"/>
          <w:sz w:val="28"/>
          <w:szCs w:val="28"/>
        </w:rPr>
        <w:t>Să asigure aplicarea promptă și eficientă a modalităților de executare silită a obligației fiscale</w:t>
      </w:r>
      <w:r w:rsidR="002226AC" w:rsidRPr="000A59C4">
        <w:rPr>
          <w:rFonts w:ascii="Times New Roman" w:hAnsi="Times New Roman" w:cs="Times New Roman"/>
          <w:sz w:val="28"/>
          <w:szCs w:val="28"/>
        </w:rPr>
        <w:t>,</w:t>
      </w:r>
      <w:r w:rsidR="00235C5C" w:rsidRPr="000A59C4">
        <w:rPr>
          <w:rFonts w:ascii="Times New Roman" w:hAnsi="Times New Roman" w:cs="Times New Roman"/>
          <w:sz w:val="28"/>
          <w:szCs w:val="28"/>
        </w:rPr>
        <w:t xml:space="preserve"> în</w:t>
      </w:r>
      <w:r w:rsidR="00235C5C" w:rsidRPr="00235C5C">
        <w:rPr>
          <w:rFonts w:ascii="Times New Roman" w:hAnsi="Times New Roman" w:cs="Times New Roman"/>
          <w:sz w:val="28"/>
          <w:szCs w:val="28"/>
        </w:rPr>
        <w:t xml:space="preserve"> vederea recuperării restanțelor la BPN. </w:t>
      </w:r>
      <w:r w:rsidR="00235C5C" w:rsidRPr="001D0846">
        <w:rPr>
          <w:rFonts w:ascii="Times New Roman" w:hAnsi="Times New Roman" w:cs="Times New Roman"/>
          <w:sz w:val="28"/>
          <w:szCs w:val="28"/>
        </w:rPr>
        <w:t>(</w:t>
      </w:r>
      <w:r w:rsidR="002226AC">
        <w:rPr>
          <w:rFonts w:ascii="Times New Roman" w:hAnsi="Times New Roman" w:cs="Times New Roman"/>
          <w:sz w:val="28"/>
          <w:szCs w:val="28"/>
        </w:rPr>
        <w:t>S</w:t>
      </w:r>
      <w:r w:rsidR="00235C5C" w:rsidRPr="001D0846">
        <w:rPr>
          <w:rFonts w:ascii="Times New Roman" w:hAnsi="Times New Roman" w:cs="Times New Roman"/>
          <w:sz w:val="28"/>
          <w:szCs w:val="28"/>
        </w:rPr>
        <w:t>ubcapitolul 3</w:t>
      </w:r>
      <w:r w:rsidR="00235C5C">
        <w:rPr>
          <w:rFonts w:ascii="Times New Roman" w:hAnsi="Times New Roman" w:cs="Times New Roman"/>
          <w:sz w:val="28"/>
          <w:szCs w:val="28"/>
        </w:rPr>
        <w:t>.5</w:t>
      </w:r>
      <w:r w:rsidR="00235C5C" w:rsidRPr="001D0846">
        <w:rPr>
          <w:rFonts w:ascii="Times New Roman" w:hAnsi="Times New Roman" w:cs="Times New Roman"/>
          <w:sz w:val="28"/>
          <w:szCs w:val="28"/>
        </w:rPr>
        <w:t>.)</w:t>
      </w:r>
    </w:p>
    <w:p w:rsidR="00235C5C" w:rsidRPr="00235C5C" w:rsidRDefault="002733C9" w:rsidP="00235C5C">
      <w:pPr>
        <w:tabs>
          <w:tab w:val="left" w:pos="0"/>
          <w:tab w:val="left" w:pos="851"/>
        </w:tabs>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235C5C" w:rsidRPr="00235C5C">
        <w:rPr>
          <w:rFonts w:ascii="Times New Roman" w:hAnsi="Times New Roman" w:cs="Times New Roman"/>
          <w:b/>
          <w:sz w:val="28"/>
          <w:szCs w:val="28"/>
        </w:rPr>
        <w:t>.</w:t>
      </w:r>
      <w:r w:rsidR="00235C5C">
        <w:rPr>
          <w:rFonts w:ascii="Times New Roman" w:hAnsi="Times New Roman" w:cs="Times New Roman"/>
          <w:sz w:val="28"/>
          <w:szCs w:val="28"/>
        </w:rPr>
        <w:t xml:space="preserve"> </w:t>
      </w:r>
      <w:r w:rsidR="00235C5C" w:rsidRPr="00235C5C">
        <w:rPr>
          <w:rFonts w:ascii="Times New Roman" w:hAnsi="Times New Roman" w:cs="Times New Roman"/>
          <w:sz w:val="28"/>
          <w:szCs w:val="28"/>
        </w:rPr>
        <w:t xml:space="preserve">Să asigure continuitatea procesului de monitorizare a activității subdiviziunilor cu atribuții de control, în vederea realizării performanțelor stabilite în activitatea de administrare </w:t>
      </w:r>
      <w:r w:rsidR="006C5636">
        <w:rPr>
          <w:rFonts w:ascii="Times New Roman" w:hAnsi="Times New Roman" w:cs="Times New Roman"/>
          <w:sz w:val="28"/>
          <w:szCs w:val="28"/>
        </w:rPr>
        <w:t>fiscală și vamală</w:t>
      </w:r>
      <w:r w:rsidR="00235C5C" w:rsidRPr="00235C5C">
        <w:rPr>
          <w:rFonts w:ascii="Times New Roman" w:hAnsi="Times New Roman" w:cs="Times New Roman"/>
          <w:sz w:val="28"/>
          <w:szCs w:val="28"/>
        </w:rPr>
        <w:t>.</w:t>
      </w:r>
      <w:r w:rsidR="006C5636" w:rsidRPr="006C5636">
        <w:rPr>
          <w:rFonts w:ascii="Times New Roman" w:hAnsi="Times New Roman" w:cs="Times New Roman"/>
          <w:sz w:val="28"/>
          <w:szCs w:val="28"/>
        </w:rPr>
        <w:t xml:space="preserve"> </w:t>
      </w:r>
      <w:r w:rsidR="006C5636" w:rsidRPr="001D0846">
        <w:rPr>
          <w:rFonts w:ascii="Times New Roman" w:hAnsi="Times New Roman" w:cs="Times New Roman"/>
          <w:sz w:val="28"/>
          <w:szCs w:val="28"/>
        </w:rPr>
        <w:t>(</w:t>
      </w:r>
      <w:r w:rsidR="002226AC">
        <w:rPr>
          <w:rFonts w:ascii="Times New Roman" w:hAnsi="Times New Roman" w:cs="Times New Roman"/>
          <w:sz w:val="28"/>
          <w:szCs w:val="28"/>
        </w:rPr>
        <w:t>S</w:t>
      </w:r>
      <w:r w:rsidR="006C5636" w:rsidRPr="001D0846">
        <w:rPr>
          <w:rFonts w:ascii="Times New Roman" w:hAnsi="Times New Roman" w:cs="Times New Roman"/>
          <w:sz w:val="28"/>
          <w:szCs w:val="28"/>
        </w:rPr>
        <w:t>ubcapitolul 3</w:t>
      </w:r>
      <w:r w:rsidR="006C5636">
        <w:rPr>
          <w:rFonts w:ascii="Times New Roman" w:hAnsi="Times New Roman" w:cs="Times New Roman"/>
          <w:sz w:val="28"/>
          <w:szCs w:val="28"/>
        </w:rPr>
        <w:t>.7</w:t>
      </w:r>
      <w:r w:rsidR="006C5636" w:rsidRPr="001D0846">
        <w:rPr>
          <w:rFonts w:ascii="Times New Roman" w:hAnsi="Times New Roman" w:cs="Times New Roman"/>
          <w:sz w:val="28"/>
          <w:szCs w:val="28"/>
        </w:rPr>
        <w:t>.)</w:t>
      </w:r>
    </w:p>
    <w:p w:rsidR="002733C9" w:rsidRDefault="002733C9" w:rsidP="002733C9">
      <w:pPr>
        <w:spacing w:after="0" w:line="276" w:lineRule="auto"/>
        <w:ind w:firstLine="709"/>
        <w:jc w:val="both"/>
        <w:rPr>
          <w:rFonts w:ascii="Times New Roman" w:hAnsi="Times New Roman" w:cs="Times New Roman"/>
          <w:sz w:val="28"/>
          <w:szCs w:val="28"/>
        </w:rPr>
      </w:pPr>
      <w:r w:rsidRPr="002733C9">
        <w:rPr>
          <w:rFonts w:ascii="Times New Roman" w:hAnsi="Times New Roman" w:cs="Times New Roman"/>
          <w:b/>
          <w:sz w:val="28"/>
          <w:szCs w:val="28"/>
        </w:rPr>
        <w:t>6.</w:t>
      </w:r>
      <w:r>
        <w:rPr>
          <w:rFonts w:ascii="Times New Roman" w:hAnsi="Times New Roman" w:cs="Times New Roman"/>
          <w:sz w:val="28"/>
          <w:szCs w:val="28"/>
        </w:rPr>
        <w:t xml:space="preserve"> </w:t>
      </w:r>
      <w:r w:rsidRPr="007C5F27">
        <w:rPr>
          <w:rFonts w:ascii="Times New Roman" w:hAnsi="Times New Roman" w:cs="Times New Roman"/>
          <w:sz w:val="28"/>
          <w:szCs w:val="28"/>
        </w:rPr>
        <w:t xml:space="preserve">Să asigure evaluarea per ansamblu a sistemului </w:t>
      </w:r>
      <w:r w:rsidR="002226AC">
        <w:rPr>
          <w:rFonts w:ascii="Times New Roman" w:hAnsi="Times New Roman" w:cs="Times New Roman"/>
          <w:sz w:val="28"/>
          <w:szCs w:val="28"/>
        </w:rPr>
        <w:t xml:space="preserve">de management financiar și control, </w:t>
      </w:r>
      <w:r w:rsidRPr="007C5F27">
        <w:rPr>
          <w:rFonts w:ascii="Times New Roman" w:hAnsi="Times New Roman" w:cs="Times New Roman"/>
          <w:sz w:val="28"/>
          <w:szCs w:val="28"/>
        </w:rPr>
        <w:t>prin intermediul funcției de audit intern, în vederea identi</w:t>
      </w:r>
      <w:r>
        <w:rPr>
          <w:rFonts w:ascii="Times New Roman" w:hAnsi="Times New Roman" w:cs="Times New Roman"/>
          <w:sz w:val="28"/>
          <w:szCs w:val="28"/>
        </w:rPr>
        <w:t xml:space="preserve">ficării </w:t>
      </w:r>
      <w:r>
        <w:rPr>
          <w:rFonts w:ascii="Times New Roman" w:hAnsi="Times New Roman" w:cs="Times New Roman"/>
          <w:sz w:val="28"/>
          <w:szCs w:val="28"/>
        </w:rPr>
        <w:lastRenderedPageBreak/>
        <w:t>vulnerabilităților generat</w:t>
      </w:r>
      <w:r w:rsidRPr="007C5F27">
        <w:rPr>
          <w:rFonts w:ascii="Times New Roman" w:hAnsi="Times New Roman" w:cs="Times New Roman"/>
          <w:sz w:val="28"/>
          <w:szCs w:val="28"/>
        </w:rPr>
        <w:t>e de</w:t>
      </w:r>
      <w:r>
        <w:rPr>
          <w:rFonts w:ascii="Times New Roman" w:hAnsi="Times New Roman" w:cs="Times New Roman"/>
          <w:sz w:val="28"/>
          <w:szCs w:val="28"/>
        </w:rPr>
        <w:t xml:space="preserve"> procesul de </w:t>
      </w:r>
      <w:r w:rsidRPr="007C5F27">
        <w:rPr>
          <w:rFonts w:ascii="Times New Roman" w:hAnsi="Times New Roman" w:cs="Times New Roman"/>
          <w:sz w:val="28"/>
          <w:szCs w:val="28"/>
        </w:rPr>
        <w:t>reorganizare</w:t>
      </w:r>
      <w:r>
        <w:rPr>
          <w:rFonts w:ascii="Times New Roman" w:hAnsi="Times New Roman" w:cs="Times New Roman"/>
          <w:sz w:val="28"/>
          <w:szCs w:val="28"/>
        </w:rPr>
        <w:t xml:space="preserve"> instituțională.</w:t>
      </w:r>
      <w:r w:rsidRPr="007C5F27">
        <w:rPr>
          <w:rFonts w:ascii="Times New Roman" w:eastAsiaTheme="minorEastAsia" w:hAnsi="Times New Roman" w:cs="Times New Roman"/>
          <w:sz w:val="28"/>
          <w:szCs w:val="28"/>
        </w:rPr>
        <w:t xml:space="preserve"> </w:t>
      </w:r>
      <w:r w:rsidRPr="007C5F27">
        <w:rPr>
          <w:rFonts w:ascii="Times New Roman" w:hAnsi="Times New Roman" w:cs="Times New Roman"/>
          <w:sz w:val="28"/>
          <w:szCs w:val="28"/>
        </w:rPr>
        <w:t>(</w:t>
      </w:r>
      <w:r w:rsidR="002226AC">
        <w:rPr>
          <w:rFonts w:ascii="Times New Roman" w:hAnsi="Times New Roman" w:cs="Times New Roman"/>
          <w:sz w:val="28"/>
          <w:szCs w:val="28"/>
        </w:rPr>
        <w:t>S</w:t>
      </w:r>
      <w:r w:rsidRPr="007C5F27">
        <w:rPr>
          <w:rFonts w:ascii="Times New Roman" w:hAnsi="Times New Roman" w:cs="Times New Roman"/>
          <w:sz w:val="28"/>
          <w:szCs w:val="28"/>
        </w:rPr>
        <w:t>ubcapitolul 3.9.)</w:t>
      </w:r>
    </w:p>
    <w:p w:rsidR="00B0163D" w:rsidRDefault="00B0163D" w:rsidP="002733C9">
      <w:pPr>
        <w:spacing w:after="0" w:line="276" w:lineRule="auto"/>
        <w:ind w:firstLine="709"/>
        <w:jc w:val="both"/>
        <w:rPr>
          <w:rFonts w:ascii="Times New Roman" w:hAnsi="Times New Roman" w:cs="Times New Roman"/>
          <w:sz w:val="28"/>
          <w:szCs w:val="28"/>
        </w:rPr>
      </w:pPr>
    </w:p>
    <w:p w:rsidR="00B0163D" w:rsidRDefault="00B0163D" w:rsidP="002733C9">
      <w:pPr>
        <w:spacing w:after="0" w:line="276" w:lineRule="auto"/>
        <w:ind w:firstLine="709"/>
        <w:jc w:val="both"/>
        <w:rPr>
          <w:rFonts w:ascii="Times New Roman" w:eastAsiaTheme="minorEastAsia" w:hAnsi="Times New Roman" w:cs="Times New Roman"/>
          <w:sz w:val="28"/>
          <w:szCs w:val="28"/>
        </w:rPr>
      </w:pPr>
    </w:p>
    <w:p w:rsidR="002A63A1" w:rsidRPr="001D0846" w:rsidRDefault="0097570A" w:rsidP="002A63A1">
      <w:pPr>
        <w:pStyle w:val="1"/>
        <w:spacing w:line="276" w:lineRule="auto"/>
        <w:jc w:val="center"/>
        <w:rPr>
          <w:rFonts w:ascii="Times New Roman" w:hAnsi="Times New Roman" w:cs="Times New Roman"/>
          <w:lang w:val="ro-MD"/>
        </w:rPr>
      </w:pPr>
      <w:bookmarkStart w:id="22" w:name="_Toc515894897"/>
      <w:r>
        <w:rPr>
          <w:rFonts w:ascii="Times New Roman" w:hAnsi="Times New Roman" w:cs="Times New Roman"/>
          <w:b/>
          <w:color w:val="auto"/>
          <w:lang w:val="ro-MD"/>
        </w:rPr>
        <w:t>V. CONCLUZIA</w:t>
      </w:r>
      <w:r w:rsidR="002A63A1" w:rsidRPr="001D0846">
        <w:rPr>
          <w:rFonts w:ascii="Times New Roman" w:hAnsi="Times New Roman" w:cs="Times New Roman"/>
          <w:b/>
          <w:color w:val="auto"/>
          <w:lang w:val="ro-MD"/>
        </w:rPr>
        <w:t xml:space="preserve"> GENERALĂ</w:t>
      </w:r>
      <w:bookmarkEnd w:id="22"/>
    </w:p>
    <w:p w:rsidR="002A63A1" w:rsidRPr="001D0846" w:rsidRDefault="00AA2FE2" w:rsidP="002A63A1">
      <w:pPr>
        <w:shd w:val="clear" w:color="auto" w:fill="FFFFFF"/>
        <w:spacing w:after="0" w:line="276" w:lineRule="auto"/>
        <w:ind w:firstLine="720"/>
        <w:jc w:val="both"/>
        <w:rPr>
          <w:rFonts w:ascii="Times New Roman" w:hAnsi="Times New Roman" w:cs="Times New Roman"/>
          <w:b/>
          <w:i/>
          <w:sz w:val="28"/>
          <w:szCs w:val="28"/>
        </w:rPr>
      </w:pPr>
      <w:r w:rsidRPr="001D0846">
        <w:rPr>
          <w:rFonts w:ascii="Times New Roman" w:eastAsia="Times New Roman" w:hAnsi="Times New Roman" w:cs="Times New Roman"/>
          <w:snapToGrid w:val="0"/>
          <w:sz w:val="28"/>
          <w:szCs w:val="28"/>
          <w:lang w:val="ro-MD" w:eastAsia="ru-RU"/>
        </w:rPr>
        <w:t>A</w:t>
      </w:r>
      <w:proofErr w:type="spellStart"/>
      <w:r w:rsidR="002A63A1" w:rsidRPr="001D0846">
        <w:rPr>
          <w:rFonts w:ascii="Times New Roman" w:eastAsia="Times New Roman" w:hAnsi="Times New Roman" w:cs="Times New Roman"/>
          <w:snapToGrid w:val="0"/>
          <w:sz w:val="28"/>
          <w:szCs w:val="28"/>
          <w:lang w:eastAsia="ru-RU"/>
        </w:rPr>
        <w:t>ctivitățile</w:t>
      </w:r>
      <w:proofErr w:type="spellEnd"/>
      <w:r w:rsidR="002A63A1" w:rsidRPr="001D0846">
        <w:rPr>
          <w:rFonts w:ascii="Times New Roman" w:eastAsia="Times New Roman" w:hAnsi="Times New Roman" w:cs="Times New Roman"/>
          <w:snapToGrid w:val="0"/>
          <w:sz w:val="28"/>
          <w:szCs w:val="28"/>
          <w:lang w:eastAsia="ru-RU"/>
        </w:rPr>
        <w:t xml:space="preserve"> desfășurate de auditul public extern, care au fost </w:t>
      </w:r>
      <w:r w:rsidR="002A63A1" w:rsidRPr="001D0846">
        <w:rPr>
          <w:rFonts w:ascii="Times New Roman" w:hAnsi="Times New Roman" w:cs="Times New Roman"/>
          <w:sz w:val="28"/>
          <w:szCs w:val="28"/>
        </w:rPr>
        <w:t>orientate spre evaluarea managementului</w:t>
      </w:r>
      <w:r w:rsidR="002226AC">
        <w:rPr>
          <w:rFonts w:ascii="Times New Roman" w:hAnsi="Times New Roman" w:cs="Times New Roman"/>
          <w:sz w:val="28"/>
          <w:szCs w:val="28"/>
        </w:rPr>
        <w:t>,</w:t>
      </w:r>
      <w:r w:rsidR="002A63A1" w:rsidRPr="001D0846">
        <w:rPr>
          <w:rFonts w:ascii="Times New Roman" w:hAnsi="Times New Roman" w:cs="Times New Roman"/>
          <w:sz w:val="28"/>
          <w:szCs w:val="28"/>
        </w:rPr>
        <w:t xml:space="preserve"> precum și a rezultatelor activității de administrare a impozitelor și taxelor, pentru a </w:t>
      </w:r>
      <w:r w:rsidRPr="001D0846">
        <w:rPr>
          <w:rFonts w:ascii="Times New Roman" w:hAnsi="Times New Roman" w:cs="Times New Roman"/>
          <w:sz w:val="28"/>
          <w:szCs w:val="28"/>
        </w:rPr>
        <w:t>stabili</w:t>
      </w:r>
      <w:r w:rsidR="002A63A1" w:rsidRPr="001D0846">
        <w:rPr>
          <w:rFonts w:ascii="Times New Roman" w:hAnsi="Times New Roman" w:cs="Times New Roman"/>
          <w:sz w:val="28"/>
          <w:szCs w:val="28"/>
        </w:rPr>
        <w:t xml:space="preserve"> măsura în care entitățile auditate au atins performanțele instituționale</w:t>
      </w:r>
      <w:r w:rsidR="003313E0">
        <w:rPr>
          <w:rFonts w:ascii="Times New Roman" w:hAnsi="Times New Roman" w:cs="Times New Roman"/>
          <w:sz w:val="28"/>
          <w:szCs w:val="28"/>
        </w:rPr>
        <w:t>,</w:t>
      </w:r>
      <w:r w:rsidR="002A63A1" w:rsidRPr="001D0846">
        <w:rPr>
          <w:rFonts w:ascii="Times New Roman" w:hAnsi="Times New Roman" w:cs="Times New Roman"/>
          <w:sz w:val="28"/>
          <w:szCs w:val="28"/>
        </w:rPr>
        <w:t xml:space="preserve"> cu respectarea principiilor eficienței, eficacității și </w:t>
      </w:r>
      <w:proofErr w:type="spellStart"/>
      <w:r w:rsidR="002A63A1" w:rsidRPr="001D0846">
        <w:rPr>
          <w:rFonts w:ascii="Times New Roman" w:hAnsi="Times New Roman" w:cs="Times New Roman"/>
          <w:sz w:val="28"/>
          <w:szCs w:val="28"/>
        </w:rPr>
        <w:t>economiciății</w:t>
      </w:r>
      <w:proofErr w:type="spellEnd"/>
      <w:r w:rsidR="003313E0">
        <w:rPr>
          <w:rFonts w:ascii="Times New Roman" w:hAnsi="Times New Roman" w:cs="Times New Roman"/>
          <w:sz w:val="28"/>
          <w:szCs w:val="28"/>
        </w:rPr>
        <w:t>,</w:t>
      </w:r>
      <w:r w:rsidR="002A63A1" w:rsidRPr="001D0846">
        <w:rPr>
          <w:rFonts w:ascii="Times New Roman" w:eastAsia="Times New Roman" w:hAnsi="Times New Roman" w:cs="Times New Roman"/>
          <w:snapToGrid w:val="0"/>
          <w:sz w:val="28"/>
          <w:szCs w:val="28"/>
          <w:lang w:eastAsia="ru-RU"/>
        </w:rPr>
        <w:t xml:space="preserve"> relevă că</w:t>
      </w:r>
      <w:r w:rsidR="002A63A1" w:rsidRPr="001D0846">
        <w:rPr>
          <w:rFonts w:ascii="Times New Roman" w:hAnsi="Times New Roman" w:cs="Times New Roman"/>
          <w:sz w:val="28"/>
          <w:szCs w:val="28"/>
          <w:lang w:val="ro-MD"/>
        </w:rPr>
        <w:t xml:space="preserve"> funcționalitatea și </w:t>
      </w:r>
      <w:proofErr w:type="spellStart"/>
      <w:r w:rsidR="002A63A1" w:rsidRPr="001D0846">
        <w:rPr>
          <w:rFonts w:ascii="Times New Roman" w:hAnsi="Times New Roman" w:cs="Times New Roman"/>
          <w:sz w:val="28"/>
          <w:szCs w:val="28"/>
          <w:lang w:val="ro-MD"/>
        </w:rPr>
        <w:t>rezultativitatea</w:t>
      </w:r>
      <w:proofErr w:type="spellEnd"/>
      <w:r w:rsidR="002A63A1" w:rsidRPr="001D0846">
        <w:rPr>
          <w:rFonts w:ascii="Times New Roman" w:hAnsi="Times New Roman" w:cs="Times New Roman"/>
          <w:sz w:val="28"/>
          <w:szCs w:val="28"/>
          <w:lang w:val="ro-MD"/>
        </w:rPr>
        <w:t xml:space="preserve"> operațională aferent</w:t>
      </w:r>
      <w:r w:rsidR="003313E0">
        <w:rPr>
          <w:rFonts w:ascii="Times New Roman" w:hAnsi="Times New Roman" w:cs="Times New Roman"/>
          <w:sz w:val="28"/>
          <w:szCs w:val="28"/>
          <w:lang w:val="ro-MD"/>
        </w:rPr>
        <w:t xml:space="preserve">e </w:t>
      </w:r>
      <w:r w:rsidR="002A63A1" w:rsidRPr="001D0846">
        <w:rPr>
          <w:rFonts w:ascii="Times New Roman" w:hAnsi="Times New Roman" w:cs="Times New Roman"/>
          <w:sz w:val="28"/>
          <w:szCs w:val="28"/>
          <w:lang w:val="ro-MD"/>
        </w:rPr>
        <w:t xml:space="preserve"> administrării impozitelor și taxelor</w:t>
      </w:r>
      <w:r w:rsidR="002A63A1" w:rsidRPr="001D0846">
        <w:rPr>
          <w:rFonts w:ascii="Times New Roman" w:eastAsia="Times New Roman" w:hAnsi="Times New Roman" w:cs="Times New Roman"/>
          <w:snapToGrid w:val="0"/>
          <w:sz w:val="28"/>
          <w:szCs w:val="28"/>
          <w:lang w:eastAsia="ru-RU"/>
        </w:rPr>
        <w:t xml:space="preserve"> a</w:t>
      </w:r>
      <w:r w:rsidR="003313E0">
        <w:rPr>
          <w:rFonts w:ascii="Times New Roman" w:eastAsia="Times New Roman" w:hAnsi="Times New Roman" w:cs="Times New Roman"/>
          <w:snapToGrid w:val="0"/>
          <w:sz w:val="28"/>
          <w:szCs w:val="28"/>
          <w:lang w:eastAsia="ru-RU"/>
        </w:rPr>
        <w:t>u</w:t>
      </w:r>
      <w:r w:rsidR="002A63A1" w:rsidRPr="001D0846">
        <w:rPr>
          <w:rFonts w:ascii="Times New Roman" w:eastAsia="Times New Roman" w:hAnsi="Times New Roman" w:cs="Times New Roman"/>
          <w:snapToGrid w:val="0"/>
          <w:sz w:val="28"/>
          <w:szCs w:val="28"/>
          <w:lang w:eastAsia="ru-RU"/>
        </w:rPr>
        <w:t xml:space="preserve"> fost influențat</w:t>
      </w:r>
      <w:r w:rsidR="003313E0">
        <w:rPr>
          <w:rFonts w:ascii="Times New Roman" w:eastAsia="Times New Roman" w:hAnsi="Times New Roman" w:cs="Times New Roman"/>
          <w:snapToGrid w:val="0"/>
          <w:sz w:val="28"/>
          <w:szCs w:val="28"/>
          <w:lang w:eastAsia="ru-RU"/>
        </w:rPr>
        <w:t>e</w:t>
      </w:r>
      <w:r w:rsidR="002A63A1" w:rsidRPr="001D0846">
        <w:rPr>
          <w:rFonts w:ascii="Times New Roman" w:eastAsia="Times New Roman" w:hAnsi="Times New Roman" w:cs="Times New Roman"/>
          <w:snapToGrid w:val="0"/>
          <w:sz w:val="28"/>
          <w:szCs w:val="28"/>
          <w:lang w:eastAsia="ru-RU"/>
        </w:rPr>
        <w:t xml:space="preserve"> de nivelul de organizare și implementare a </w:t>
      </w:r>
      <w:r w:rsidR="002A63A1" w:rsidRPr="001D0846">
        <w:rPr>
          <w:rFonts w:ascii="Times New Roman" w:eastAsia="Times New Roman" w:hAnsi="Times New Roman" w:cs="Times New Roman"/>
          <w:snapToGrid w:val="0"/>
          <w:color w:val="000000"/>
          <w:sz w:val="28"/>
          <w:szCs w:val="28"/>
          <w:lang w:eastAsia="ru-RU"/>
        </w:rPr>
        <w:t xml:space="preserve">sistemului de control intern al </w:t>
      </w:r>
      <w:r w:rsidR="002A63A1" w:rsidRPr="001D0846">
        <w:rPr>
          <w:rFonts w:ascii="Times New Roman" w:eastAsia="Times New Roman" w:hAnsi="Times New Roman" w:cs="Times New Roman"/>
          <w:snapToGrid w:val="0"/>
          <w:sz w:val="28"/>
          <w:szCs w:val="28"/>
          <w:lang w:eastAsia="ru-RU"/>
        </w:rPr>
        <w:t>organelor cu atribuții de administrare fiscală și vamală, care a determinat eficiența măsurilor administrative orientate spre realizarea rezultatelor în raport cu resursele bugetare alocate.</w:t>
      </w:r>
    </w:p>
    <w:p w:rsidR="002A63A1" w:rsidRPr="001D0846" w:rsidRDefault="002A63A1" w:rsidP="002A63A1">
      <w:pPr>
        <w:spacing w:after="0" w:line="276" w:lineRule="auto"/>
        <w:ind w:firstLine="720"/>
        <w:jc w:val="both"/>
        <w:rPr>
          <w:rFonts w:ascii="Times New Roman" w:eastAsia="Times New Roman" w:hAnsi="Times New Roman" w:cs="Times New Roman"/>
          <w:bCs/>
          <w:sz w:val="28"/>
          <w:szCs w:val="28"/>
        </w:rPr>
      </w:pPr>
      <w:r w:rsidRPr="001D0846">
        <w:rPr>
          <w:rFonts w:ascii="Times New Roman" w:hAnsi="Times New Roman" w:cs="Times New Roman"/>
          <w:sz w:val="28"/>
          <w:szCs w:val="28"/>
          <w:lang w:val="ro-MD"/>
        </w:rPr>
        <w:t>Reieșind din constatările auditului</w:t>
      </w:r>
      <w:r w:rsidR="00AA2FE2" w:rsidRPr="001D0846">
        <w:rPr>
          <w:rFonts w:ascii="Times New Roman" w:hAnsi="Times New Roman" w:cs="Times New Roman"/>
          <w:sz w:val="28"/>
          <w:szCs w:val="28"/>
          <w:lang w:val="ro-MD"/>
        </w:rPr>
        <w:t xml:space="preserve"> </w:t>
      </w:r>
      <w:proofErr w:type="spellStart"/>
      <w:r w:rsidR="00AA2FE2" w:rsidRPr="001D0846">
        <w:rPr>
          <w:rFonts w:ascii="Times New Roman" w:hAnsi="Times New Roman" w:cs="Times New Roman"/>
          <w:sz w:val="28"/>
          <w:szCs w:val="28"/>
          <w:lang w:val="ro-MD"/>
        </w:rPr>
        <w:t>pubic</w:t>
      </w:r>
      <w:proofErr w:type="spellEnd"/>
      <w:r w:rsidR="00AA2FE2" w:rsidRPr="001D0846">
        <w:rPr>
          <w:rFonts w:ascii="Times New Roman" w:hAnsi="Times New Roman" w:cs="Times New Roman"/>
          <w:sz w:val="28"/>
          <w:szCs w:val="28"/>
          <w:lang w:val="ro-MD"/>
        </w:rPr>
        <w:t xml:space="preserve"> extern</w:t>
      </w:r>
      <w:r w:rsidRPr="001D0846">
        <w:rPr>
          <w:rFonts w:ascii="Times New Roman" w:hAnsi="Times New Roman" w:cs="Times New Roman"/>
          <w:sz w:val="28"/>
          <w:szCs w:val="28"/>
          <w:lang w:val="ro-MD"/>
        </w:rPr>
        <w:t>, se conchide că managementul instituțional al organelor fiscale și vamale a asigurat</w:t>
      </w:r>
      <w:r w:rsidR="003313E0">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în mare parte</w:t>
      </w:r>
      <w:r w:rsidR="003313E0">
        <w:rPr>
          <w:rFonts w:ascii="Times New Roman" w:hAnsi="Times New Roman" w:cs="Times New Roman"/>
          <w:sz w:val="28"/>
          <w:szCs w:val="28"/>
          <w:lang w:val="ro-MD"/>
        </w:rPr>
        <w:t>,</w:t>
      </w:r>
      <w:r w:rsidRPr="001D0846">
        <w:rPr>
          <w:rFonts w:ascii="Times New Roman" w:hAnsi="Times New Roman" w:cs="Times New Roman"/>
          <w:sz w:val="28"/>
          <w:szCs w:val="28"/>
          <w:lang w:val="ro-MD"/>
        </w:rPr>
        <w:t xml:space="preserve"> </w:t>
      </w:r>
      <w:r w:rsidRPr="001D0846">
        <w:rPr>
          <w:rFonts w:ascii="Times New Roman" w:eastAsia="Times New Roman" w:hAnsi="Times New Roman" w:cs="Times New Roman"/>
          <w:sz w:val="28"/>
          <w:szCs w:val="28"/>
          <w:lang w:eastAsia="ru-RU"/>
        </w:rPr>
        <w:t xml:space="preserve">realizarea </w:t>
      </w:r>
      <w:r w:rsidRPr="001D0846">
        <w:rPr>
          <w:rFonts w:ascii="Times New Roman" w:hAnsi="Times New Roman" w:cs="Times New Roman"/>
          <w:sz w:val="28"/>
          <w:szCs w:val="28"/>
        </w:rPr>
        <w:t>obiectivelor și atingerea unor performanțe în administrarea impozitelor și taxelor în condiții de eficiență, eficacitate și economicitate.</w:t>
      </w:r>
      <w:r w:rsidRPr="001D0846">
        <w:rPr>
          <w:rFonts w:ascii="Times New Roman" w:hAnsi="Times New Roman" w:cs="Times New Roman"/>
          <w:sz w:val="28"/>
          <w:szCs w:val="28"/>
          <w:lang w:val="ro-MD"/>
        </w:rPr>
        <w:t xml:space="preserve"> </w:t>
      </w:r>
      <w:r w:rsidRPr="001D0846">
        <w:rPr>
          <w:rFonts w:ascii="Times New Roman" w:eastAsia="Times New Roman" w:hAnsi="Times New Roman" w:cs="Times New Roman"/>
          <w:snapToGrid w:val="0"/>
          <w:sz w:val="28"/>
          <w:szCs w:val="28"/>
          <w:lang w:eastAsia="ru-RU"/>
        </w:rPr>
        <w:t>Totodată, organizarea</w:t>
      </w:r>
      <w:r w:rsidR="003313E0">
        <w:rPr>
          <w:rFonts w:ascii="Times New Roman" w:eastAsia="Times New Roman" w:hAnsi="Times New Roman" w:cs="Times New Roman"/>
          <w:snapToGrid w:val="0"/>
          <w:sz w:val="28"/>
          <w:szCs w:val="28"/>
          <w:lang w:eastAsia="ru-RU"/>
        </w:rPr>
        <w:t>, dar</w:t>
      </w:r>
      <w:r w:rsidRPr="001D0846">
        <w:rPr>
          <w:rFonts w:ascii="Times New Roman" w:eastAsia="Times New Roman" w:hAnsi="Times New Roman" w:cs="Times New Roman"/>
          <w:snapToGrid w:val="0"/>
          <w:sz w:val="28"/>
          <w:szCs w:val="28"/>
          <w:lang w:eastAsia="ru-RU"/>
        </w:rPr>
        <w:t xml:space="preserve"> și implementarea insuficientă a</w:t>
      </w:r>
      <w:r w:rsidRPr="001D0846">
        <w:rPr>
          <w:rFonts w:ascii="Times New Roman" w:eastAsia="Times New Roman" w:hAnsi="Times New Roman" w:cs="Times New Roman"/>
          <w:bCs/>
          <w:sz w:val="28"/>
          <w:szCs w:val="28"/>
        </w:rPr>
        <w:t xml:space="preserve"> sistemului de control intern a</w:t>
      </w:r>
      <w:r w:rsidR="003313E0">
        <w:rPr>
          <w:rFonts w:ascii="Times New Roman" w:eastAsia="Times New Roman" w:hAnsi="Times New Roman" w:cs="Times New Roman"/>
          <w:bCs/>
          <w:sz w:val="28"/>
          <w:szCs w:val="28"/>
        </w:rPr>
        <w:t>u</w:t>
      </w:r>
      <w:r w:rsidRPr="001D0846">
        <w:rPr>
          <w:rFonts w:ascii="Times New Roman" w:eastAsia="Times New Roman" w:hAnsi="Times New Roman" w:cs="Times New Roman"/>
          <w:bCs/>
          <w:sz w:val="28"/>
          <w:szCs w:val="28"/>
        </w:rPr>
        <w:t xml:space="preserve"> determinat </w:t>
      </w:r>
      <w:r w:rsidRPr="001D0846">
        <w:rPr>
          <w:rFonts w:ascii="Times New Roman" w:hAnsi="Times New Roman" w:cs="Times New Roman"/>
          <w:sz w:val="28"/>
          <w:szCs w:val="28"/>
          <w:lang w:val="ro-MD"/>
        </w:rPr>
        <w:t>vulnerabilități și situații problematice</w:t>
      </w:r>
      <w:r w:rsidRPr="001D0846">
        <w:rPr>
          <w:rFonts w:ascii="Times New Roman" w:eastAsia="Times New Roman" w:hAnsi="Times New Roman" w:cs="Times New Roman"/>
          <w:bCs/>
          <w:sz w:val="28"/>
          <w:szCs w:val="28"/>
        </w:rPr>
        <w:t xml:space="preserve"> în sistemul de administrare fiscală și vamală, influențând direct atingerea unor rezultate planificate, contribuind la extinderea </w:t>
      </w:r>
      <w:proofErr w:type="spellStart"/>
      <w:r w:rsidRPr="001D0846">
        <w:rPr>
          <w:rFonts w:ascii="Times New Roman" w:eastAsia="Times New Roman" w:hAnsi="Times New Roman" w:cs="Times New Roman"/>
          <w:bCs/>
          <w:sz w:val="28"/>
          <w:szCs w:val="28"/>
        </w:rPr>
        <w:t>posibilităţilor</w:t>
      </w:r>
      <w:proofErr w:type="spellEnd"/>
      <w:r w:rsidRPr="001D0846">
        <w:rPr>
          <w:rFonts w:ascii="Times New Roman" w:eastAsia="Times New Roman" w:hAnsi="Times New Roman" w:cs="Times New Roman"/>
          <w:bCs/>
          <w:sz w:val="28"/>
          <w:szCs w:val="28"/>
        </w:rPr>
        <w:t xml:space="preserve"> de eschivare de la plata impozitelor și taxelor și </w:t>
      </w:r>
      <w:r w:rsidR="003313E0">
        <w:rPr>
          <w:rFonts w:ascii="Times New Roman" w:eastAsia="Times New Roman" w:hAnsi="Times New Roman" w:cs="Times New Roman"/>
          <w:bCs/>
          <w:sz w:val="28"/>
          <w:szCs w:val="28"/>
        </w:rPr>
        <w:t xml:space="preserve">la </w:t>
      </w:r>
      <w:r w:rsidRPr="001D0846">
        <w:rPr>
          <w:rFonts w:ascii="Times New Roman" w:eastAsia="Times New Roman" w:hAnsi="Times New Roman" w:cs="Times New Roman"/>
          <w:bCs/>
          <w:sz w:val="28"/>
          <w:szCs w:val="28"/>
        </w:rPr>
        <w:t xml:space="preserve">formarea restanțelor la BPN. Aceste situații reduc semnificativ </w:t>
      </w:r>
      <w:r w:rsidRPr="001D0846">
        <w:rPr>
          <w:rFonts w:ascii="Times New Roman" w:hAnsi="Times New Roman" w:cs="Times New Roman"/>
          <w:sz w:val="28"/>
          <w:szCs w:val="28"/>
        </w:rPr>
        <w:t>gradul de performanță al administrării fiscale și vamale, având impact direct asupra capacității de funcționare și dezvoltare a statului în scopul</w:t>
      </w:r>
      <w:r w:rsidRPr="001D0846">
        <w:rPr>
          <w:rFonts w:ascii="Times New Roman" w:hAnsi="Times New Roman" w:cs="Times New Roman"/>
          <w:color w:val="000000"/>
          <w:sz w:val="28"/>
          <w:szCs w:val="28"/>
        </w:rPr>
        <w:t xml:space="preserve"> acoperirii necesităților social-economice. </w:t>
      </w:r>
    </w:p>
    <w:p w:rsidR="002A63A1" w:rsidRPr="001D0846" w:rsidRDefault="002A63A1" w:rsidP="002A63A1">
      <w:pPr>
        <w:spacing w:after="0" w:line="276" w:lineRule="auto"/>
        <w:ind w:firstLine="720"/>
        <w:jc w:val="both"/>
        <w:rPr>
          <w:rFonts w:ascii="Times New Roman" w:hAnsi="Times New Roman"/>
          <w:sz w:val="28"/>
          <w:szCs w:val="28"/>
          <w:lang w:val="ro-MD"/>
        </w:rPr>
      </w:pPr>
      <w:r w:rsidRPr="001D0846">
        <w:rPr>
          <w:rFonts w:ascii="Times New Roman" w:eastAsia="Times New Roman" w:hAnsi="Times New Roman" w:cs="Times New Roman"/>
          <w:bCs/>
          <w:sz w:val="28"/>
          <w:szCs w:val="28"/>
          <w:lang w:val="ro-MD"/>
        </w:rPr>
        <w:t xml:space="preserve">Cele menționate de audit determină necesitatea adoptării unor măsuri orientate spre sporirea eficienței </w:t>
      </w:r>
      <w:proofErr w:type="spellStart"/>
      <w:r w:rsidRPr="001D0846">
        <w:rPr>
          <w:rFonts w:ascii="Times New Roman" w:eastAsia="Times New Roman" w:hAnsi="Times New Roman" w:cs="Times New Roman"/>
          <w:bCs/>
          <w:sz w:val="28"/>
          <w:szCs w:val="28"/>
          <w:lang w:val="ro-MD"/>
        </w:rPr>
        <w:t>şi</w:t>
      </w:r>
      <w:proofErr w:type="spellEnd"/>
      <w:r w:rsidRPr="001D0846">
        <w:rPr>
          <w:rFonts w:ascii="Times New Roman" w:eastAsia="Times New Roman" w:hAnsi="Times New Roman" w:cs="Times New Roman"/>
          <w:bCs/>
          <w:sz w:val="28"/>
          <w:szCs w:val="28"/>
          <w:lang w:val="ro-MD"/>
        </w:rPr>
        <w:t xml:space="preserve"> </w:t>
      </w:r>
      <w:proofErr w:type="spellStart"/>
      <w:r w:rsidRPr="001D0846">
        <w:rPr>
          <w:rFonts w:ascii="Times New Roman" w:eastAsia="Times New Roman" w:hAnsi="Times New Roman" w:cs="Times New Roman"/>
          <w:bCs/>
          <w:sz w:val="28"/>
          <w:szCs w:val="28"/>
          <w:lang w:val="ro-MD"/>
        </w:rPr>
        <w:t>eficacităţii</w:t>
      </w:r>
      <w:proofErr w:type="spellEnd"/>
      <w:r w:rsidRPr="001D0846">
        <w:rPr>
          <w:rFonts w:ascii="Times New Roman" w:eastAsia="Times New Roman" w:hAnsi="Times New Roman" w:cs="Times New Roman"/>
          <w:bCs/>
          <w:sz w:val="28"/>
          <w:szCs w:val="28"/>
          <w:lang w:val="ro-MD"/>
        </w:rPr>
        <w:t xml:space="preserve"> sistemului de control intern din cadrul SFS și SV în activitatea de administrare a impozitelor și taxelor</w:t>
      </w:r>
      <w:r w:rsidR="003313E0">
        <w:rPr>
          <w:rFonts w:ascii="Times New Roman" w:eastAsia="Times New Roman" w:hAnsi="Times New Roman" w:cs="Times New Roman"/>
          <w:bCs/>
          <w:sz w:val="28"/>
          <w:szCs w:val="28"/>
          <w:lang w:val="ro-MD"/>
        </w:rPr>
        <w:t>,</w:t>
      </w:r>
      <w:r w:rsidRPr="001D0846">
        <w:rPr>
          <w:rFonts w:ascii="Times New Roman" w:eastAsia="Times New Roman" w:hAnsi="Times New Roman" w:cs="Times New Roman"/>
          <w:bCs/>
          <w:sz w:val="28"/>
          <w:szCs w:val="28"/>
          <w:lang w:val="ro-MD"/>
        </w:rPr>
        <w:t xml:space="preserve"> în scopul realizării obiectivelor și performanțelor stabilite, prin îmbunătățirea </w:t>
      </w:r>
      <w:r w:rsidRPr="001D0846">
        <w:rPr>
          <w:rFonts w:ascii="Times New Roman" w:hAnsi="Times New Roman"/>
          <w:sz w:val="28"/>
          <w:szCs w:val="28"/>
          <w:lang w:val="ro-MD"/>
        </w:rPr>
        <w:t>politicilor, procedurilor și instrumentelor de administrare fiscală și vamală, remedierea unor deficiențe și situații problematice, în scopul consolidării acestui sistem.</w:t>
      </w:r>
    </w:p>
    <w:p w:rsidR="00853E77" w:rsidRDefault="00853E77" w:rsidP="006358AD">
      <w:pPr>
        <w:pStyle w:val="a7"/>
        <w:tabs>
          <w:tab w:val="left" w:pos="0"/>
        </w:tabs>
        <w:spacing w:after="0" w:line="276" w:lineRule="auto"/>
        <w:ind w:left="0" w:firstLine="709"/>
        <w:rPr>
          <w:rFonts w:ascii="Times New Roman" w:hAnsi="Times New Roman" w:cs="Times New Roman"/>
          <w:sz w:val="32"/>
          <w:szCs w:val="32"/>
          <w:lang w:val="ro-MD"/>
        </w:rPr>
      </w:pPr>
    </w:p>
    <w:p w:rsidR="00B0163D" w:rsidRDefault="00B0163D" w:rsidP="004A20CA">
      <w:pPr>
        <w:pStyle w:val="a7"/>
        <w:tabs>
          <w:tab w:val="left" w:pos="0"/>
        </w:tabs>
        <w:spacing w:after="0" w:line="276" w:lineRule="auto"/>
        <w:ind w:left="0"/>
        <w:jc w:val="both"/>
        <w:rPr>
          <w:rFonts w:ascii="Times New Roman" w:hAnsi="Times New Roman" w:cs="Times New Roman"/>
          <w:b/>
          <w:sz w:val="32"/>
          <w:szCs w:val="32"/>
          <w:lang w:val="ro-MD"/>
        </w:rPr>
      </w:pPr>
    </w:p>
    <w:p w:rsidR="00B0163D" w:rsidRDefault="00B0163D" w:rsidP="004A20CA">
      <w:pPr>
        <w:pStyle w:val="a7"/>
        <w:tabs>
          <w:tab w:val="left" w:pos="0"/>
        </w:tabs>
        <w:spacing w:after="0" w:line="276" w:lineRule="auto"/>
        <w:ind w:left="0"/>
        <w:jc w:val="both"/>
        <w:rPr>
          <w:rFonts w:ascii="Times New Roman" w:hAnsi="Times New Roman" w:cs="Times New Roman"/>
          <w:b/>
          <w:sz w:val="32"/>
          <w:szCs w:val="32"/>
          <w:lang w:val="ro-MD"/>
        </w:rPr>
      </w:pPr>
    </w:p>
    <w:p w:rsidR="00B0163D" w:rsidRDefault="00B0163D" w:rsidP="004A20CA">
      <w:pPr>
        <w:pStyle w:val="a7"/>
        <w:tabs>
          <w:tab w:val="left" w:pos="0"/>
        </w:tabs>
        <w:spacing w:after="0" w:line="276" w:lineRule="auto"/>
        <w:ind w:left="0"/>
        <w:jc w:val="both"/>
        <w:rPr>
          <w:rFonts w:ascii="Times New Roman" w:hAnsi="Times New Roman" w:cs="Times New Roman"/>
          <w:b/>
          <w:sz w:val="32"/>
          <w:szCs w:val="32"/>
          <w:lang w:val="ro-MD"/>
        </w:rPr>
      </w:pPr>
    </w:p>
    <w:p w:rsidR="00B0163D" w:rsidRDefault="00B0163D" w:rsidP="004A20CA">
      <w:pPr>
        <w:pStyle w:val="a7"/>
        <w:tabs>
          <w:tab w:val="left" w:pos="0"/>
        </w:tabs>
        <w:spacing w:after="0" w:line="276" w:lineRule="auto"/>
        <w:ind w:left="0"/>
        <w:jc w:val="both"/>
        <w:rPr>
          <w:rFonts w:ascii="Times New Roman" w:hAnsi="Times New Roman" w:cs="Times New Roman"/>
          <w:b/>
          <w:sz w:val="32"/>
          <w:szCs w:val="32"/>
          <w:lang w:val="ro-MD"/>
        </w:rPr>
      </w:pPr>
    </w:p>
    <w:p w:rsidR="00444DCB" w:rsidRPr="001D0846" w:rsidRDefault="00853E77" w:rsidP="004A20CA">
      <w:pPr>
        <w:pStyle w:val="a7"/>
        <w:tabs>
          <w:tab w:val="left" w:pos="0"/>
        </w:tabs>
        <w:spacing w:after="0" w:line="276" w:lineRule="auto"/>
        <w:ind w:left="0"/>
        <w:jc w:val="both"/>
        <w:rPr>
          <w:rFonts w:ascii="Times New Roman" w:hAnsi="Times New Roman" w:cs="Times New Roman"/>
          <w:b/>
          <w:sz w:val="32"/>
          <w:szCs w:val="32"/>
          <w:lang w:val="ro-MD"/>
        </w:rPr>
      </w:pPr>
      <w:r w:rsidRPr="001D0846">
        <w:rPr>
          <w:rFonts w:ascii="Times New Roman" w:hAnsi="Times New Roman" w:cs="Times New Roman"/>
          <w:b/>
          <w:sz w:val="32"/>
          <w:szCs w:val="32"/>
          <w:lang w:val="ro-MD"/>
        </w:rPr>
        <w:lastRenderedPageBreak/>
        <w:t>Semnăturile echipei de audit</w:t>
      </w:r>
    </w:p>
    <w:p w:rsidR="00853E77" w:rsidRPr="001D0846" w:rsidRDefault="00853E77" w:rsidP="006358AD">
      <w:pPr>
        <w:pStyle w:val="a7"/>
        <w:tabs>
          <w:tab w:val="left" w:pos="0"/>
        </w:tabs>
        <w:spacing w:after="0" w:line="276" w:lineRule="auto"/>
        <w:ind w:left="0" w:firstLine="709"/>
        <w:rPr>
          <w:rFonts w:ascii="Times New Roman" w:hAnsi="Times New Roman" w:cs="Times New Roman"/>
          <w:b/>
          <w:sz w:val="32"/>
          <w:szCs w:val="32"/>
          <w:lang w:val="ro-MD"/>
        </w:rPr>
      </w:pPr>
    </w:p>
    <w:p w:rsidR="002A63A1" w:rsidRPr="001D0846" w:rsidRDefault="002A63A1" w:rsidP="002A63A1">
      <w:pPr>
        <w:tabs>
          <w:tab w:val="left" w:pos="450"/>
          <w:tab w:val="left" w:pos="990"/>
        </w:tabs>
        <w:spacing w:after="0" w:line="276" w:lineRule="auto"/>
        <w:ind w:right="9"/>
        <w:contextualSpacing/>
        <w:jc w:val="both"/>
        <w:rPr>
          <w:rFonts w:ascii="Times New Roman" w:eastAsia="Times New Roman" w:hAnsi="Times New Roman" w:cs="Times New Roman"/>
          <w:b/>
          <w:sz w:val="28"/>
          <w:szCs w:val="28"/>
        </w:rPr>
      </w:pPr>
      <w:r w:rsidRPr="001D0846">
        <w:rPr>
          <w:rFonts w:ascii="Times New Roman" w:eastAsia="Times New Roman" w:hAnsi="Times New Roman" w:cs="Times New Roman"/>
          <w:b/>
          <w:sz w:val="28"/>
          <w:szCs w:val="28"/>
        </w:rPr>
        <w:t xml:space="preserve">Responsabil de audit:                                                           </w:t>
      </w:r>
    </w:p>
    <w:p w:rsidR="002A63A1" w:rsidRPr="001D0846" w:rsidRDefault="002A63A1" w:rsidP="002A63A1">
      <w:pPr>
        <w:tabs>
          <w:tab w:val="left" w:pos="450"/>
          <w:tab w:val="left" w:pos="990"/>
        </w:tabs>
        <w:spacing w:after="0" w:line="276" w:lineRule="auto"/>
        <w:ind w:right="9"/>
        <w:contextualSpacing/>
        <w:jc w:val="both"/>
        <w:rPr>
          <w:rFonts w:ascii="Times New Roman" w:eastAsia="Times New Roman" w:hAnsi="Times New Roman" w:cs="Times New Roman"/>
          <w:i/>
          <w:sz w:val="28"/>
          <w:szCs w:val="28"/>
        </w:rPr>
      </w:pPr>
      <w:r w:rsidRPr="001D0846">
        <w:rPr>
          <w:rFonts w:ascii="Times New Roman" w:eastAsia="Times New Roman" w:hAnsi="Times New Roman" w:cs="Times New Roman"/>
          <w:i/>
          <w:sz w:val="28"/>
          <w:szCs w:val="28"/>
        </w:rPr>
        <w:t xml:space="preserve">șeful Direcției generale auditul </w:t>
      </w:r>
    </w:p>
    <w:p w:rsidR="002A63A1" w:rsidRPr="001D0846" w:rsidRDefault="002A63A1" w:rsidP="002A63A1">
      <w:pPr>
        <w:tabs>
          <w:tab w:val="left" w:pos="450"/>
          <w:tab w:val="left" w:pos="990"/>
        </w:tabs>
        <w:spacing w:after="0" w:line="276" w:lineRule="auto"/>
        <w:ind w:right="9"/>
        <w:contextualSpacing/>
        <w:jc w:val="both"/>
        <w:rPr>
          <w:rFonts w:ascii="Times New Roman" w:hAnsi="Times New Roman" w:cs="Times New Roman"/>
          <w:i/>
        </w:rPr>
      </w:pPr>
      <w:r w:rsidRPr="001D0846">
        <w:rPr>
          <w:rFonts w:ascii="Times New Roman" w:eastAsia="Times New Roman" w:hAnsi="Times New Roman" w:cs="Times New Roman"/>
          <w:i/>
          <w:sz w:val="28"/>
          <w:szCs w:val="28"/>
        </w:rPr>
        <w:t xml:space="preserve">finanțelor publice, </w:t>
      </w:r>
      <w:r w:rsidRPr="001D0846">
        <w:rPr>
          <w:rFonts w:ascii="Times New Roman" w:hAnsi="Times New Roman" w:cs="Times New Roman"/>
          <w:bCs/>
          <w:i/>
          <w:iCs/>
          <w:sz w:val="28"/>
          <w:szCs w:val="28"/>
        </w:rPr>
        <w:t>auditor public</w:t>
      </w:r>
      <w:r w:rsidRPr="001D0846">
        <w:rPr>
          <w:rFonts w:ascii="Times New Roman" w:eastAsia="Times New Roman" w:hAnsi="Times New Roman" w:cs="Times New Roman"/>
          <w:i/>
          <w:sz w:val="28"/>
          <w:szCs w:val="28"/>
        </w:rPr>
        <w:t xml:space="preserve">                                                          Natalia Trofim               </w:t>
      </w: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i/>
          <w:sz w:val="28"/>
          <w:szCs w:val="28"/>
        </w:rPr>
      </w:pP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eastAsia="Times New Roman" w:hAnsi="Times New Roman" w:cs="Times New Roman"/>
          <w:b/>
          <w:sz w:val="28"/>
          <w:szCs w:val="28"/>
        </w:rPr>
      </w:pPr>
      <w:r w:rsidRPr="001D0846">
        <w:rPr>
          <w:rFonts w:ascii="Times New Roman" w:hAnsi="Times New Roman" w:cs="Times New Roman"/>
          <w:b/>
          <w:sz w:val="28"/>
          <w:szCs w:val="28"/>
        </w:rPr>
        <w:t>Responsabil de monitorizarea misiunii de audit</w:t>
      </w:r>
      <w:r w:rsidRPr="001D0846">
        <w:rPr>
          <w:rFonts w:ascii="Times New Roman" w:eastAsia="Times New Roman" w:hAnsi="Times New Roman" w:cs="Times New Roman"/>
          <w:b/>
          <w:sz w:val="28"/>
          <w:szCs w:val="28"/>
        </w:rPr>
        <w:t>:</w:t>
      </w: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Șef de direcție în cadrul Direcției generale</w:t>
      </w: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auditul finanțelor publice                                                                            Ion Bulmaga</w:t>
      </w: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bCs/>
          <w:i/>
          <w:iCs/>
          <w:sz w:val="28"/>
          <w:szCs w:val="28"/>
        </w:rPr>
      </w:pP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eastAsia="Times New Roman" w:hAnsi="Times New Roman" w:cs="Times New Roman"/>
          <w:b/>
          <w:sz w:val="28"/>
          <w:szCs w:val="28"/>
        </w:rPr>
      </w:pPr>
      <w:r w:rsidRPr="001D0846">
        <w:rPr>
          <w:rFonts w:ascii="Times New Roman" w:hAnsi="Times New Roman" w:cs="Times New Roman"/>
          <w:b/>
          <w:sz w:val="28"/>
          <w:szCs w:val="28"/>
        </w:rPr>
        <w:t>Șeful e</w:t>
      </w:r>
      <w:r w:rsidRPr="001D0846">
        <w:rPr>
          <w:rFonts w:ascii="Times New Roman" w:eastAsia="Times New Roman" w:hAnsi="Times New Roman" w:cs="Times New Roman"/>
          <w:b/>
          <w:sz w:val="28"/>
          <w:szCs w:val="28"/>
        </w:rPr>
        <w:t>chipei de audit:</w:t>
      </w: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 xml:space="preserve">controlor de stat principal în cadrul                                                          Tudor </w:t>
      </w:r>
      <w:proofErr w:type="spellStart"/>
      <w:r w:rsidRPr="001D0846">
        <w:rPr>
          <w:rFonts w:ascii="Times New Roman" w:hAnsi="Times New Roman" w:cs="Times New Roman"/>
          <w:bCs/>
          <w:i/>
          <w:iCs/>
          <w:sz w:val="28"/>
          <w:szCs w:val="28"/>
        </w:rPr>
        <w:t>Suhan</w:t>
      </w:r>
      <w:proofErr w:type="spellEnd"/>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b/>
          <w:bCs/>
          <w:iCs/>
          <w:sz w:val="28"/>
          <w:szCs w:val="28"/>
        </w:rPr>
      </w:pPr>
      <w:r w:rsidRPr="001D0846">
        <w:rPr>
          <w:rFonts w:ascii="Times New Roman" w:hAnsi="Times New Roman" w:cs="Times New Roman"/>
          <w:bCs/>
          <w:i/>
          <w:iCs/>
          <w:sz w:val="28"/>
          <w:szCs w:val="28"/>
        </w:rPr>
        <w:t>Direcției generale auditul finanțelor publice</w:t>
      </w:r>
      <w:r w:rsidR="00FA4C9F">
        <w:rPr>
          <w:rFonts w:ascii="Times New Roman" w:hAnsi="Times New Roman" w:cs="Times New Roman"/>
          <w:bCs/>
          <w:i/>
          <w:iCs/>
          <w:sz w:val="28"/>
          <w:szCs w:val="28"/>
        </w:rPr>
        <w:t>/auditor public</w:t>
      </w: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b/>
          <w:bCs/>
          <w:iCs/>
          <w:sz w:val="28"/>
          <w:szCs w:val="28"/>
        </w:rPr>
      </w:pP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b/>
          <w:bCs/>
          <w:iCs/>
          <w:sz w:val="28"/>
          <w:szCs w:val="28"/>
        </w:rPr>
      </w:pPr>
      <w:r w:rsidRPr="001D0846">
        <w:rPr>
          <w:rFonts w:ascii="Times New Roman" w:hAnsi="Times New Roman" w:cs="Times New Roman"/>
          <w:b/>
          <w:bCs/>
          <w:iCs/>
          <w:sz w:val="28"/>
          <w:szCs w:val="28"/>
        </w:rPr>
        <w:t>Membrii echipei de audit:</w:t>
      </w: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Controlor de stat principal în cadrul                                                         Maia Savva Direcției generale auditul finanțelor publice</w:t>
      </w: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bCs/>
          <w:i/>
          <w:iCs/>
          <w:sz w:val="28"/>
          <w:szCs w:val="28"/>
        </w:rPr>
      </w:pPr>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 xml:space="preserve">Controlor de stat în cadrul                                                                 Marina </w:t>
      </w:r>
      <w:proofErr w:type="spellStart"/>
      <w:r w:rsidRPr="001D0846">
        <w:rPr>
          <w:rFonts w:ascii="Times New Roman" w:hAnsi="Times New Roman" w:cs="Times New Roman"/>
          <w:bCs/>
          <w:i/>
          <w:iCs/>
          <w:sz w:val="28"/>
          <w:szCs w:val="28"/>
        </w:rPr>
        <w:t>Solodchi</w:t>
      </w:r>
      <w:proofErr w:type="spellEnd"/>
    </w:p>
    <w:p w:rsidR="002A63A1" w:rsidRPr="001D0846" w:rsidRDefault="002A63A1" w:rsidP="002A63A1">
      <w:pPr>
        <w:pStyle w:val="a7"/>
        <w:tabs>
          <w:tab w:val="left" w:pos="284"/>
          <w:tab w:val="left" w:pos="450"/>
          <w:tab w:val="left" w:pos="8730"/>
        </w:tabs>
        <w:spacing w:after="0" w:line="276" w:lineRule="auto"/>
        <w:ind w:left="0" w:right="9"/>
        <w:jc w:val="both"/>
        <w:rPr>
          <w:rFonts w:ascii="Times New Roman" w:hAnsi="Times New Roman" w:cs="Times New Roman"/>
          <w:bCs/>
          <w:i/>
          <w:iCs/>
          <w:sz w:val="28"/>
          <w:szCs w:val="28"/>
        </w:rPr>
      </w:pPr>
      <w:r w:rsidRPr="001D0846">
        <w:rPr>
          <w:rFonts w:ascii="Times New Roman" w:hAnsi="Times New Roman" w:cs="Times New Roman"/>
          <w:bCs/>
          <w:i/>
          <w:iCs/>
          <w:sz w:val="28"/>
          <w:szCs w:val="28"/>
        </w:rPr>
        <w:t>Direcției generale auditul finanțelor publice</w:t>
      </w:r>
    </w:p>
    <w:p w:rsidR="002A63A1" w:rsidRPr="001D0846" w:rsidRDefault="002A63A1" w:rsidP="006358AD">
      <w:pPr>
        <w:pStyle w:val="a7"/>
        <w:tabs>
          <w:tab w:val="left" w:pos="0"/>
        </w:tabs>
        <w:spacing w:after="0" w:line="276" w:lineRule="auto"/>
        <w:ind w:left="0" w:firstLine="709"/>
        <w:rPr>
          <w:lang w:val="ro-MD"/>
        </w:rPr>
        <w:sectPr w:rsidR="002A63A1" w:rsidRPr="001D0846" w:rsidSect="00F830C3">
          <w:footerReference w:type="default" r:id="rId20"/>
          <w:pgSz w:w="11906" w:h="16838" w:code="9"/>
          <w:pgMar w:top="1440" w:right="851" w:bottom="851" w:left="1701" w:header="720" w:footer="720" w:gutter="0"/>
          <w:cols w:space="720"/>
          <w:docGrid w:linePitch="360"/>
        </w:sectPr>
      </w:pPr>
    </w:p>
    <w:p w:rsidR="00714F5D" w:rsidRPr="001D0846" w:rsidRDefault="00714F5D" w:rsidP="00714F5D">
      <w:pPr>
        <w:pStyle w:val="1"/>
        <w:spacing w:line="276" w:lineRule="auto"/>
        <w:jc w:val="center"/>
        <w:rPr>
          <w:rFonts w:ascii="Times New Roman" w:hAnsi="Times New Roman" w:cs="Times New Roman"/>
          <w:b/>
          <w:color w:val="auto"/>
          <w:sz w:val="28"/>
          <w:szCs w:val="28"/>
        </w:rPr>
      </w:pPr>
      <w:bookmarkStart w:id="23" w:name="_Toc515344960"/>
      <w:bookmarkStart w:id="24" w:name="_Toc515894898"/>
      <w:r w:rsidRPr="00E330C1">
        <w:rPr>
          <w:rFonts w:ascii="Times New Roman" w:hAnsi="Times New Roman" w:cs="Times New Roman"/>
          <w:b/>
          <w:color w:val="000000" w:themeColor="text1"/>
        </w:rPr>
        <w:lastRenderedPageBreak/>
        <w:t>VI. ANEXE</w:t>
      </w:r>
      <w:bookmarkStart w:id="25" w:name="_Toc505603965"/>
      <w:bookmarkStart w:id="26" w:name="_Toc467507450"/>
      <w:bookmarkStart w:id="27" w:name="_Toc467845697"/>
      <w:bookmarkStart w:id="28" w:name="_Toc505603968"/>
      <w:bookmarkEnd w:id="23"/>
      <w:bookmarkEnd w:id="24"/>
      <w:bookmarkEnd w:id="25"/>
      <w:bookmarkEnd w:id="26"/>
      <w:bookmarkEnd w:id="27"/>
    </w:p>
    <w:p w:rsidR="00714F5D" w:rsidRPr="00714F5D" w:rsidRDefault="00714F5D" w:rsidP="00714F5D">
      <w:pPr>
        <w:pStyle w:val="1"/>
        <w:spacing w:line="276" w:lineRule="auto"/>
        <w:jc w:val="both"/>
        <w:rPr>
          <w:rFonts w:ascii="Times New Roman" w:hAnsi="Times New Roman" w:cs="Times New Roman"/>
          <w:i/>
          <w:color w:val="000000" w:themeColor="text1"/>
          <w:sz w:val="28"/>
          <w:szCs w:val="28"/>
        </w:rPr>
      </w:pPr>
      <w:bookmarkStart w:id="29" w:name="_Toc515344961"/>
      <w:bookmarkStart w:id="30" w:name="_Toc515894899"/>
      <w:r w:rsidRPr="00714F5D">
        <w:rPr>
          <w:rFonts w:ascii="Times New Roman" w:hAnsi="Times New Roman" w:cs="Times New Roman"/>
          <w:b/>
          <w:i/>
          <w:color w:val="000000" w:themeColor="text1"/>
          <w:sz w:val="28"/>
          <w:szCs w:val="28"/>
        </w:rPr>
        <w:t>A</w:t>
      </w:r>
      <w:bookmarkEnd w:id="28"/>
      <w:r w:rsidRPr="00714F5D">
        <w:rPr>
          <w:rFonts w:ascii="Times New Roman" w:hAnsi="Times New Roman" w:cs="Times New Roman"/>
          <w:b/>
          <w:i/>
          <w:color w:val="000000" w:themeColor="text1"/>
          <w:sz w:val="28"/>
          <w:szCs w:val="28"/>
        </w:rPr>
        <w:t>nexa nr.1</w:t>
      </w:r>
      <w:r>
        <w:rPr>
          <w:rFonts w:ascii="Times New Roman" w:hAnsi="Times New Roman" w:cs="Times New Roman"/>
          <w:b/>
          <w:i/>
          <w:color w:val="000000" w:themeColor="text1"/>
          <w:sz w:val="28"/>
          <w:szCs w:val="28"/>
        </w:rPr>
        <w:t xml:space="preserve">. </w:t>
      </w:r>
      <w:r w:rsidRPr="00714F5D">
        <w:rPr>
          <w:rFonts w:ascii="Times New Roman" w:hAnsi="Times New Roman" w:cs="Times New Roman"/>
          <w:i/>
          <w:color w:val="000000" w:themeColor="text1"/>
          <w:sz w:val="28"/>
          <w:szCs w:val="28"/>
        </w:rPr>
        <w:t>Funcțiile și atribuțiile SFS și SV în domeniul administrării fiscale și vamale.</w:t>
      </w:r>
      <w:bookmarkEnd w:id="29"/>
      <w:bookmarkEnd w:id="30"/>
    </w:p>
    <w:p w:rsidR="00714F5D" w:rsidRPr="001D0846" w:rsidRDefault="00714F5D" w:rsidP="00714F5D">
      <w:pPr>
        <w:widowControl w:val="0"/>
        <w:tabs>
          <w:tab w:val="left" w:pos="720"/>
        </w:tabs>
        <w:autoSpaceDE w:val="0"/>
        <w:autoSpaceDN w:val="0"/>
        <w:adjustRightInd w:val="0"/>
        <w:spacing w:after="0" w:line="276" w:lineRule="auto"/>
        <w:jc w:val="both"/>
        <w:rPr>
          <w:rFonts w:ascii="Times New Roman" w:hAnsi="Times New Roman" w:cs="Times New Roman"/>
          <w:color w:val="000000"/>
          <w:sz w:val="28"/>
          <w:szCs w:val="28"/>
          <w:lang w:val="ro-MD"/>
        </w:rPr>
      </w:pPr>
      <w:r w:rsidRPr="001D0846">
        <w:rPr>
          <w:rFonts w:ascii="Times New Roman" w:hAnsi="Times New Roman" w:cs="Times New Roman"/>
          <w:color w:val="000000"/>
          <w:sz w:val="28"/>
          <w:szCs w:val="28"/>
        </w:rPr>
        <w:tab/>
      </w:r>
      <w:r w:rsidRPr="001D0846">
        <w:rPr>
          <w:rFonts w:ascii="Times New Roman" w:hAnsi="Times New Roman" w:cs="Times New Roman"/>
          <w:color w:val="000000"/>
          <w:sz w:val="28"/>
          <w:szCs w:val="28"/>
          <w:lang w:val="ro-MD"/>
        </w:rPr>
        <w:t xml:space="preserve">Funcțiile de bază ale SFS sunt: </w:t>
      </w:r>
      <w:r w:rsidRPr="001D0846">
        <w:rPr>
          <w:rFonts w:ascii="Times New Roman" w:hAnsi="Times New Roman" w:cs="Times New Roman"/>
          <w:i/>
          <w:color w:val="000000"/>
          <w:sz w:val="28"/>
          <w:szCs w:val="28"/>
          <w:lang w:val="ro-MD"/>
        </w:rPr>
        <w:t>(i)</w:t>
      </w:r>
      <w:r w:rsidRPr="001D0846">
        <w:rPr>
          <w:rFonts w:ascii="Times New Roman" w:hAnsi="Times New Roman" w:cs="Times New Roman"/>
          <w:color w:val="000000"/>
          <w:sz w:val="28"/>
          <w:szCs w:val="28"/>
          <w:lang w:val="ro-MD"/>
        </w:rPr>
        <w:t xml:space="preserve"> elaborarea strategiilor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organizarea sistemului de management în domeniul administrării fiscale; </w:t>
      </w:r>
      <w:r w:rsidRPr="001D0846">
        <w:rPr>
          <w:rFonts w:ascii="Times New Roman" w:hAnsi="Times New Roman" w:cs="Times New Roman"/>
          <w:i/>
          <w:color w:val="000000"/>
          <w:sz w:val="28"/>
          <w:szCs w:val="28"/>
          <w:lang w:val="ro-MD"/>
        </w:rPr>
        <w:t>(ii)</w:t>
      </w:r>
      <w:r w:rsidRPr="001D0846">
        <w:rPr>
          <w:rFonts w:ascii="Times New Roman" w:hAnsi="Times New Roman" w:cs="Times New Roman"/>
          <w:color w:val="000000"/>
          <w:sz w:val="28"/>
          <w:szCs w:val="28"/>
          <w:lang w:val="ro-MD"/>
        </w:rPr>
        <w:t xml:space="preserve"> administrarea, conform legii, a impozitelor, taxelor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altor venituri la bugetul public </w:t>
      </w:r>
      <w:proofErr w:type="spellStart"/>
      <w:r w:rsidRPr="001D0846">
        <w:rPr>
          <w:rFonts w:ascii="Times New Roman" w:hAnsi="Times New Roman" w:cs="Times New Roman"/>
          <w:color w:val="000000"/>
          <w:sz w:val="28"/>
          <w:szCs w:val="28"/>
          <w:lang w:val="ro-MD"/>
        </w:rPr>
        <w:t>naţional</w:t>
      </w:r>
      <w:proofErr w:type="spellEnd"/>
      <w:r w:rsidRPr="001D0846">
        <w:rPr>
          <w:rFonts w:ascii="Times New Roman" w:hAnsi="Times New Roman" w:cs="Times New Roman"/>
          <w:color w:val="000000"/>
          <w:sz w:val="28"/>
          <w:szCs w:val="28"/>
          <w:lang w:val="ro-MD"/>
        </w:rPr>
        <w:t xml:space="preserve"> date în </w:t>
      </w:r>
      <w:proofErr w:type="spellStart"/>
      <w:r w:rsidRPr="001D0846">
        <w:rPr>
          <w:rFonts w:ascii="Times New Roman" w:hAnsi="Times New Roman" w:cs="Times New Roman"/>
          <w:color w:val="000000"/>
          <w:sz w:val="28"/>
          <w:szCs w:val="28"/>
          <w:lang w:val="ro-MD"/>
        </w:rPr>
        <w:t>competenţa</w:t>
      </w:r>
      <w:proofErr w:type="spellEnd"/>
      <w:r w:rsidRPr="001D0846">
        <w:rPr>
          <w:rFonts w:ascii="Times New Roman" w:hAnsi="Times New Roman" w:cs="Times New Roman"/>
          <w:color w:val="000000"/>
          <w:sz w:val="28"/>
          <w:szCs w:val="28"/>
          <w:lang w:val="ro-MD"/>
        </w:rPr>
        <w:t xml:space="preserve"> sa, inclusiv expunerea </w:t>
      </w:r>
      <w:proofErr w:type="spellStart"/>
      <w:r w:rsidRPr="001D0846">
        <w:rPr>
          <w:rFonts w:ascii="Times New Roman" w:hAnsi="Times New Roman" w:cs="Times New Roman"/>
          <w:color w:val="000000"/>
          <w:sz w:val="28"/>
          <w:szCs w:val="28"/>
          <w:lang w:val="ro-MD"/>
        </w:rPr>
        <w:t>poziţiei</w:t>
      </w:r>
      <w:proofErr w:type="spellEnd"/>
      <w:r w:rsidRPr="001D0846">
        <w:rPr>
          <w:rFonts w:ascii="Times New Roman" w:hAnsi="Times New Roman" w:cs="Times New Roman"/>
          <w:color w:val="000000"/>
          <w:sz w:val="28"/>
          <w:szCs w:val="28"/>
          <w:lang w:val="ro-MD"/>
        </w:rPr>
        <w:t xml:space="preserve"> oficiale a SFS referitoare la aplicarea </w:t>
      </w:r>
      <w:proofErr w:type="spellStart"/>
      <w:r w:rsidRPr="001D0846">
        <w:rPr>
          <w:rFonts w:ascii="Times New Roman" w:hAnsi="Times New Roman" w:cs="Times New Roman"/>
          <w:color w:val="000000"/>
          <w:sz w:val="28"/>
          <w:szCs w:val="28"/>
          <w:lang w:val="ro-MD"/>
        </w:rPr>
        <w:t>legislaţiei</w:t>
      </w:r>
      <w:proofErr w:type="spellEnd"/>
      <w:r w:rsidRPr="001D0846">
        <w:rPr>
          <w:rFonts w:ascii="Times New Roman" w:hAnsi="Times New Roman" w:cs="Times New Roman"/>
          <w:color w:val="000000"/>
          <w:sz w:val="28"/>
          <w:szCs w:val="28"/>
          <w:lang w:val="ro-MD"/>
        </w:rPr>
        <w:t xml:space="preserve"> fiscale; </w:t>
      </w:r>
      <w:r w:rsidRPr="001D0846">
        <w:rPr>
          <w:rFonts w:ascii="Times New Roman" w:hAnsi="Times New Roman" w:cs="Times New Roman"/>
          <w:i/>
          <w:color w:val="000000"/>
          <w:sz w:val="28"/>
          <w:szCs w:val="28"/>
          <w:lang w:val="ro-MD"/>
        </w:rPr>
        <w:t>(iii)</w:t>
      </w:r>
      <w:r w:rsidRPr="001D0846">
        <w:rPr>
          <w:rFonts w:ascii="Times New Roman" w:hAnsi="Times New Roman" w:cs="Times New Roman"/>
          <w:color w:val="000000"/>
          <w:sz w:val="28"/>
          <w:szCs w:val="28"/>
          <w:lang w:val="ro-MD"/>
        </w:rPr>
        <w:t xml:space="preserve"> acordarea de servicii pentru contribuabili;  </w:t>
      </w:r>
      <w:r w:rsidRPr="001D0846">
        <w:rPr>
          <w:rFonts w:ascii="Times New Roman" w:hAnsi="Times New Roman" w:cs="Times New Roman"/>
          <w:i/>
          <w:color w:val="000000"/>
          <w:sz w:val="28"/>
          <w:szCs w:val="28"/>
          <w:lang w:val="ro-MD"/>
        </w:rPr>
        <w:t>(iv)</w:t>
      </w:r>
      <w:r w:rsidRPr="001D0846">
        <w:rPr>
          <w:rFonts w:ascii="Times New Roman" w:hAnsi="Times New Roman" w:cs="Times New Roman"/>
          <w:color w:val="000000"/>
          <w:sz w:val="28"/>
          <w:szCs w:val="28"/>
          <w:lang w:val="ro-MD"/>
        </w:rPr>
        <w:t xml:space="preserve"> prevenirea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combaterea încălcărilor fiscale, inclusiv a evaziunii fiscale; </w:t>
      </w:r>
      <w:r w:rsidRPr="001D0846">
        <w:rPr>
          <w:rFonts w:ascii="Times New Roman" w:hAnsi="Times New Roman" w:cs="Times New Roman"/>
          <w:i/>
          <w:color w:val="000000"/>
          <w:sz w:val="28"/>
          <w:szCs w:val="28"/>
          <w:lang w:val="ro-MD"/>
        </w:rPr>
        <w:t>(v)</w:t>
      </w:r>
      <w:r w:rsidRPr="001D0846">
        <w:rPr>
          <w:rFonts w:ascii="Times New Roman" w:hAnsi="Times New Roman" w:cs="Times New Roman"/>
          <w:color w:val="000000"/>
          <w:sz w:val="28"/>
          <w:szCs w:val="28"/>
          <w:lang w:val="ro-MD"/>
        </w:rPr>
        <w:t xml:space="preserve"> controlul fiscal; </w:t>
      </w:r>
      <w:r>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(vi)</w:t>
      </w:r>
      <w:r w:rsidRPr="001D0846">
        <w:rPr>
          <w:rFonts w:ascii="Times New Roman" w:hAnsi="Times New Roman" w:cs="Times New Roman"/>
          <w:color w:val="000000"/>
          <w:sz w:val="28"/>
          <w:szCs w:val="28"/>
          <w:lang w:val="ro-MD"/>
        </w:rPr>
        <w:t xml:space="preserve"> constatarea </w:t>
      </w:r>
      <w:proofErr w:type="spellStart"/>
      <w:r w:rsidRPr="001D0846">
        <w:rPr>
          <w:rFonts w:ascii="Times New Roman" w:hAnsi="Times New Roman" w:cs="Times New Roman"/>
          <w:color w:val="000000"/>
          <w:sz w:val="28"/>
          <w:szCs w:val="28"/>
          <w:lang w:val="ro-MD"/>
        </w:rPr>
        <w:t>contravenţiilor</w:t>
      </w:r>
      <w:proofErr w:type="spellEnd"/>
      <w:r w:rsidRPr="001D0846">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(vii)</w:t>
      </w:r>
      <w:r w:rsidRPr="001D0846">
        <w:rPr>
          <w:rFonts w:ascii="Times New Roman" w:hAnsi="Times New Roman" w:cs="Times New Roman"/>
          <w:color w:val="000000"/>
          <w:sz w:val="28"/>
          <w:szCs w:val="28"/>
          <w:lang w:val="ro-MD"/>
        </w:rPr>
        <w:t xml:space="preserve"> executarea silită a </w:t>
      </w:r>
      <w:proofErr w:type="spellStart"/>
      <w:r w:rsidRPr="001D0846">
        <w:rPr>
          <w:rFonts w:ascii="Times New Roman" w:hAnsi="Times New Roman" w:cs="Times New Roman"/>
          <w:color w:val="000000"/>
          <w:sz w:val="28"/>
          <w:szCs w:val="28"/>
          <w:lang w:val="ro-MD"/>
        </w:rPr>
        <w:t>restanţelor</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 altor </w:t>
      </w:r>
      <w:proofErr w:type="spellStart"/>
      <w:r w:rsidRPr="001D0846">
        <w:rPr>
          <w:rFonts w:ascii="Times New Roman" w:hAnsi="Times New Roman" w:cs="Times New Roman"/>
          <w:color w:val="000000"/>
          <w:sz w:val="28"/>
          <w:szCs w:val="28"/>
          <w:lang w:val="ro-MD"/>
        </w:rPr>
        <w:t>plăţi</w:t>
      </w:r>
      <w:proofErr w:type="spellEnd"/>
      <w:r w:rsidRPr="001D0846">
        <w:rPr>
          <w:rFonts w:ascii="Times New Roman" w:hAnsi="Times New Roman" w:cs="Times New Roman"/>
          <w:color w:val="000000"/>
          <w:sz w:val="28"/>
          <w:szCs w:val="28"/>
          <w:lang w:val="ro-MD"/>
        </w:rPr>
        <w:t xml:space="preserve"> neachitate în termen la bugetul public </w:t>
      </w:r>
      <w:proofErr w:type="spellStart"/>
      <w:r w:rsidRPr="001D0846">
        <w:rPr>
          <w:rFonts w:ascii="Times New Roman" w:hAnsi="Times New Roman" w:cs="Times New Roman"/>
          <w:color w:val="000000"/>
          <w:sz w:val="28"/>
          <w:szCs w:val="28"/>
          <w:lang w:val="ro-MD"/>
        </w:rPr>
        <w:t>naţional</w:t>
      </w:r>
      <w:proofErr w:type="spellEnd"/>
      <w:r w:rsidRPr="001D0846">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(viii)</w:t>
      </w:r>
      <w:r w:rsidRPr="001D0846">
        <w:rPr>
          <w:rFonts w:ascii="Times New Roman" w:hAnsi="Times New Roman" w:cs="Times New Roman"/>
          <w:color w:val="000000"/>
          <w:sz w:val="28"/>
          <w:szCs w:val="28"/>
          <w:lang w:val="ro-MD"/>
        </w:rPr>
        <w:t xml:space="preserve"> examinarea </w:t>
      </w:r>
      <w:proofErr w:type="spellStart"/>
      <w:r w:rsidRPr="001D0846">
        <w:rPr>
          <w:rFonts w:ascii="Times New Roman" w:hAnsi="Times New Roman" w:cs="Times New Roman"/>
          <w:color w:val="000000"/>
          <w:sz w:val="28"/>
          <w:szCs w:val="28"/>
          <w:lang w:val="ro-MD"/>
        </w:rPr>
        <w:t>contestaţiilor</w:t>
      </w:r>
      <w:proofErr w:type="spellEnd"/>
      <w:r w:rsidRPr="001D0846">
        <w:rPr>
          <w:rFonts w:ascii="Times New Roman" w:hAnsi="Times New Roman" w:cs="Times New Roman"/>
          <w:color w:val="000000"/>
          <w:sz w:val="28"/>
          <w:szCs w:val="28"/>
          <w:lang w:val="ro-MD"/>
        </w:rPr>
        <w:t xml:space="preserve">; </w:t>
      </w:r>
      <w:r>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(ix)</w:t>
      </w:r>
      <w:r w:rsidRPr="001D0846">
        <w:rPr>
          <w:rFonts w:ascii="Times New Roman" w:hAnsi="Times New Roman" w:cs="Times New Roman"/>
          <w:color w:val="000000"/>
          <w:sz w:val="28"/>
          <w:szCs w:val="28"/>
          <w:lang w:val="ro-MD"/>
        </w:rPr>
        <w:t xml:space="preserve"> emiterea actelor normative care reglementează aplicarea </w:t>
      </w:r>
      <w:proofErr w:type="spellStart"/>
      <w:r w:rsidRPr="001D0846">
        <w:rPr>
          <w:rFonts w:ascii="Times New Roman" w:hAnsi="Times New Roman" w:cs="Times New Roman"/>
          <w:color w:val="000000"/>
          <w:sz w:val="28"/>
          <w:szCs w:val="28"/>
          <w:lang w:val="ro-MD"/>
        </w:rPr>
        <w:t>legislaţiei</w:t>
      </w:r>
      <w:proofErr w:type="spellEnd"/>
      <w:r w:rsidRPr="001D0846">
        <w:rPr>
          <w:rFonts w:ascii="Times New Roman" w:hAnsi="Times New Roman" w:cs="Times New Roman"/>
          <w:color w:val="000000"/>
          <w:sz w:val="28"/>
          <w:szCs w:val="28"/>
          <w:lang w:val="ro-MD"/>
        </w:rPr>
        <w:t xml:space="preserve"> fiscale în limitele </w:t>
      </w:r>
      <w:proofErr w:type="spellStart"/>
      <w:r w:rsidRPr="001D0846">
        <w:rPr>
          <w:rFonts w:ascii="Times New Roman" w:hAnsi="Times New Roman" w:cs="Times New Roman"/>
          <w:color w:val="000000"/>
          <w:sz w:val="28"/>
          <w:szCs w:val="28"/>
          <w:lang w:val="ro-MD"/>
        </w:rPr>
        <w:t>competenţei</w:t>
      </w:r>
      <w:proofErr w:type="spellEnd"/>
      <w:r w:rsidRPr="001D0846">
        <w:rPr>
          <w:rFonts w:ascii="Times New Roman" w:hAnsi="Times New Roman" w:cs="Times New Roman"/>
          <w:color w:val="000000"/>
          <w:sz w:val="28"/>
          <w:szCs w:val="28"/>
          <w:lang w:val="ro-MD"/>
        </w:rPr>
        <w:t xml:space="preserve"> acordate prin actele legislative; </w:t>
      </w:r>
      <w:r w:rsidRPr="001D0846">
        <w:rPr>
          <w:rFonts w:ascii="Times New Roman" w:hAnsi="Times New Roman" w:cs="Times New Roman"/>
          <w:i/>
          <w:color w:val="000000"/>
          <w:sz w:val="28"/>
          <w:szCs w:val="28"/>
          <w:lang w:val="ro-MD"/>
        </w:rPr>
        <w:t>(x)</w:t>
      </w:r>
      <w:r w:rsidRPr="001D0846">
        <w:rPr>
          <w:rFonts w:ascii="Times New Roman" w:hAnsi="Times New Roman" w:cs="Times New Roman"/>
          <w:color w:val="000000"/>
          <w:sz w:val="28"/>
          <w:szCs w:val="28"/>
          <w:lang w:val="ro-MD"/>
        </w:rPr>
        <w:t xml:space="preserve"> coordonarea, îndrumarea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controlul aplicării reglementărilor legale în domeniul de activitate, precum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funcţionarea</w:t>
      </w:r>
      <w:proofErr w:type="spellEnd"/>
      <w:r w:rsidRPr="001D0846">
        <w:rPr>
          <w:rFonts w:ascii="Times New Roman" w:hAnsi="Times New Roman" w:cs="Times New Roman"/>
          <w:color w:val="000000"/>
          <w:sz w:val="28"/>
          <w:szCs w:val="28"/>
          <w:lang w:val="ro-MD"/>
        </w:rPr>
        <w:t xml:space="preserve"> subdiviziunilor sale; </w:t>
      </w:r>
      <w:r w:rsidRPr="001D0846">
        <w:rPr>
          <w:rFonts w:ascii="Times New Roman" w:hAnsi="Times New Roman" w:cs="Times New Roman"/>
          <w:i/>
          <w:color w:val="000000"/>
          <w:sz w:val="28"/>
          <w:szCs w:val="28"/>
          <w:lang w:val="ro-MD"/>
        </w:rPr>
        <w:t>(xi)</w:t>
      </w:r>
      <w:r w:rsidRPr="001D0846">
        <w:rPr>
          <w:rFonts w:ascii="Times New Roman" w:hAnsi="Times New Roman" w:cs="Times New Roman"/>
          <w:color w:val="000000"/>
          <w:sz w:val="28"/>
          <w:szCs w:val="28"/>
          <w:lang w:val="ro-MD"/>
        </w:rPr>
        <w:t xml:space="preserve"> managementul resurselor umane, financiare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materiale, </w:t>
      </w:r>
      <w:proofErr w:type="spellStart"/>
      <w:r w:rsidRPr="001D0846">
        <w:rPr>
          <w:rFonts w:ascii="Times New Roman" w:hAnsi="Times New Roman" w:cs="Times New Roman"/>
          <w:color w:val="000000"/>
          <w:sz w:val="28"/>
          <w:szCs w:val="28"/>
          <w:lang w:val="ro-MD"/>
        </w:rPr>
        <w:t>susţinerea</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activităţilor</w:t>
      </w:r>
      <w:proofErr w:type="spellEnd"/>
      <w:r w:rsidRPr="001D0846">
        <w:rPr>
          <w:rFonts w:ascii="Times New Roman" w:hAnsi="Times New Roman" w:cs="Times New Roman"/>
          <w:color w:val="000000"/>
          <w:sz w:val="28"/>
          <w:szCs w:val="28"/>
          <w:lang w:val="ro-MD"/>
        </w:rPr>
        <w:t xml:space="preserve"> specifice prin intermediul tehnologiei </w:t>
      </w:r>
      <w:proofErr w:type="spellStart"/>
      <w:r w:rsidRPr="001D0846">
        <w:rPr>
          <w:rFonts w:ascii="Times New Roman" w:hAnsi="Times New Roman" w:cs="Times New Roman"/>
          <w:color w:val="000000"/>
          <w:sz w:val="28"/>
          <w:szCs w:val="28"/>
          <w:lang w:val="ro-MD"/>
        </w:rPr>
        <w:t>informaţiei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comunicaţiilor</w:t>
      </w:r>
      <w:proofErr w:type="spellEnd"/>
      <w:r w:rsidRPr="001D0846">
        <w:rPr>
          <w:rFonts w:ascii="Times New Roman" w:hAnsi="Times New Roman" w:cs="Times New Roman"/>
          <w:color w:val="000000"/>
          <w:sz w:val="28"/>
          <w:szCs w:val="28"/>
          <w:lang w:val="ro-MD"/>
        </w:rPr>
        <w:t xml:space="preserve">, reprezentarea juridică, auditul intern, precum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comunicarea internă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externă; </w:t>
      </w:r>
      <w:r w:rsidRPr="001D0846">
        <w:rPr>
          <w:rFonts w:ascii="Times New Roman" w:hAnsi="Times New Roman" w:cs="Times New Roman"/>
          <w:i/>
          <w:color w:val="000000"/>
          <w:sz w:val="28"/>
          <w:szCs w:val="28"/>
          <w:lang w:val="ro-MD"/>
        </w:rPr>
        <w:t>(xii)</w:t>
      </w:r>
      <w:r w:rsidRPr="001D0846">
        <w:rPr>
          <w:rFonts w:ascii="Times New Roman" w:hAnsi="Times New Roman" w:cs="Times New Roman"/>
          <w:color w:val="000000"/>
          <w:sz w:val="28"/>
          <w:szCs w:val="28"/>
          <w:lang w:val="ro-MD"/>
        </w:rPr>
        <w:t xml:space="preserve"> cooperarea </w:t>
      </w:r>
      <w:proofErr w:type="spellStart"/>
      <w:r w:rsidRPr="001D0846">
        <w:rPr>
          <w:rFonts w:ascii="Times New Roman" w:hAnsi="Times New Roman" w:cs="Times New Roman"/>
          <w:color w:val="000000"/>
          <w:sz w:val="28"/>
          <w:szCs w:val="28"/>
          <w:lang w:val="ro-MD"/>
        </w:rPr>
        <w:t>internaţională</w:t>
      </w:r>
      <w:proofErr w:type="spellEnd"/>
      <w:r w:rsidRPr="001D0846">
        <w:rPr>
          <w:rFonts w:ascii="Times New Roman" w:hAnsi="Times New Roman" w:cs="Times New Roman"/>
          <w:color w:val="000000"/>
          <w:sz w:val="28"/>
          <w:szCs w:val="28"/>
          <w:lang w:val="ro-MD"/>
        </w:rPr>
        <w:t xml:space="preserve"> în domeniul administrării fiscale.</w:t>
      </w:r>
    </w:p>
    <w:p w:rsidR="00714F5D" w:rsidRPr="001D0846" w:rsidRDefault="00714F5D" w:rsidP="00714F5D">
      <w:pPr>
        <w:widowControl w:val="0"/>
        <w:tabs>
          <w:tab w:val="left" w:pos="720"/>
        </w:tabs>
        <w:autoSpaceDE w:val="0"/>
        <w:autoSpaceDN w:val="0"/>
        <w:adjustRightInd w:val="0"/>
        <w:spacing w:after="0" w:line="276" w:lineRule="auto"/>
        <w:jc w:val="both"/>
        <w:rPr>
          <w:rFonts w:ascii="Times New Roman" w:hAnsi="Times New Roman" w:cs="Times New Roman"/>
          <w:color w:val="000000"/>
          <w:sz w:val="28"/>
          <w:szCs w:val="28"/>
          <w:lang w:val="ro-MD"/>
        </w:rPr>
      </w:pPr>
      <w:r w:rsidRPr="001D0846">
        <w:rPr>
          <w:rFonts w:ascii="Times New Roman" w:hAnsi="Times New Roman" w:cs="Times New Roman"/>
          <w:color w:val="000000"/>
          <w:sz w:val="28"/>
          <w:szCs w:val="28"/>
        </w:rPr>
        <w:tab/>
      </w:r>
      <w:r w:rsidRPr="001D0846">
        <w:rPr>
          <w:rFonts w:ascii="Times New Roman" w:hAnsi="Times New Roman" w:cs="Times New Roman"/>
          <w:color w:val="000000"/>
          <w:sz w:val="28"/>
          <w:szCs w:val="28"/>
          <w:lang w:val="ro-MD"/>
        </w:rPr>
        <w:t xml:space="preserve">SFS are următoarele atribuții în domeniul </w:t>
      </w:r>
      <w:proofErr w:type="spellStart"/>
      <w:r w:rsidRPr="001D0846">
        <w:rPr>
          <w:rFonts w:ascii="Times New Roman" w:hAnsi="Times New Roman" w:cs="Times New Roman"/>
          <w:color w:val="000000"/>
          <w:sz w:val="28"/>
          <w:szCs w:val="28"/>
          <w:lang w:val="ro-MD"/>
        </w:rPr>
        <w:t>aministrării</w:t>
      </w:r>
      <w:proofErr w:type="spellEnd"/>
      <w:r w:rsidRPr="001D0846">
        <w:rPr>
          <w:rFonts w:ascii="Times New Roman" w:hAnsi="Times New Roman" w:cs="Times New Roman"/>
          <w:color w:val="000000"/>
          <w:sz w:val="28"/>
          <w:szCs w:val="28"/>
          <w:lang w:val="ro-MD"/>
        </w:rPr>
        <w:t xml:space="preserve"> fiscale:                               </w:t>
      </w:r>
      <w:r w:rsidRPr="001D0846">
        <w:rPr>
          <w:rFonts w:ascii="Times New Roman" w:hAnsi="Times New Roman" w:cs="Times New Roman"/>
          <w:i/>
          <w:color w:val="000000"/>
          <w:sz w:val="28"/>
          <w:szCs w:val="28"/>
          <w:lang w:val="ro-MD"/>
        </w:rPr>
        <w:t>(a)</w:t>
      </w:r>
      <w:r w:rsidRPr="001D0846">
        <w:rPr>
          <w:rFonts w:ascii="Times New Roman" w:hAnsi="Times New Roman" w:cs="Times New Roman"/>
          <w:color w:val="000000"/>
          <w:sz w:val="28"/>
          <w:szCs w:val="28"/>
          <w:lang w:val="ro-MD"/>
        </w:rPr>
        <w:t xml:space="preserve"> gestionează Registrul fiscal de stat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dosarul contribuabilului, de asemenea, efectuează înregistrarea unor categorii de contribuabili; </w:t>
      </w:r>
      <w:r w:rsidRPr="001D0846">
        <w:rPr>
          <w:rFonts w:ascii="Times New Roman" w:hAnsi="Times New Roman" w:cs="Times New Roman"/>
          <w:i/>
          <w:color w:val="000000"/>
          <w:sz w:val="28"/>
          <w:szCs w:val="28"/>
          <w:lang w:val="ro-MD"/>
        </w:rPr>
        <w:t>(b)</w:t>
      </w:r>
      <w:r w:rsidRPr="001D0846">
        <w:rPr>
          <w:rFonts w:ascii="Times New Roman" w:hAnsi="Times New Roman" w:cs="Times New Roman"/>
          <w:color w:val="000000"/>
          <w:sz w:val="28"/>
          <w:szCs w:val="28"/>
          <w:lang w:val="ro-MD"/>
        </w:rPr>
        <w:t xml:space="preserve"> organizează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administrează </w:t>
      </w:r>
      <w:proofErr w:type="spellStart"/>
      <w:r w:rsidRPr="001D0846">
        <w:rPr>
          <w:rFonts w:ascii="Times New Roman" w:hAnsi="Times New Roman" w:cs="Times New Roman"/>
          <w:color w:val="000000"/>
          <w:sz w:val="28"/>
          <w:szCs w:val="28"/>
          <w:lang w:val="ro-MD"/>
        </w:rPr>
        <w:t>evidenţa</w:t>
      </w:r>
      <w:proofErr w:type="spellEnd"/>
      <w:r w:rsidRPr="001D0846">
        <w:rPr>
          <w:rFonts w:ascii="Times New Roman" w:hAnsi="Times New Roman" w:cs="Times New Roman"/>
          <w:color w:val="000000"/>
          <w:sz w:val="28"/>
          <w:szCs w:val="28"/>
          <w:lang w:val="ro-MD"/>
        </w:rPr>
        <w:t xml:space="preserve"> impozitelor, taxelor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 altor venituri la bugetul public </w:t>
      </w:r>
      <w:proofErr w:type="spellStart"/>
      <w:r w:rsidRPr="001D0846">
        <w:rPr>
          <w:rFonts w:ascii="Times New Roman" w:hAnsi="Times New Roman" w:cs="Times New Roman"/>
          <w:color w:val="000000"/>
          <w:sz w:val="28"/>
          <w:szCs w:val="28"/>
          <w:lang w:val="ro-MD"/>
        </w:rPr>
        <w:t>naţional</w:t>
      </w:r>
      <w:proofErr w:type="spellEnd"/>
      <w:r w:rsidRPr="001D0846">
        <w:rPr>
          <w:rFonts w:ascii="Times New Roman" w:hAnsi="Times New Roman" w:cs="Times New Roman"/>
          <w:color w:val="000000"/>
          <w:sz w:val="28"/>
          <w:szCs w:val="28"/>
          <w:lang w:val="ro-MD"/>
        </w:rPr>
        <w:t xml:space="preserve"> date în </w:t>
      </w:r>
      <w:proofErr w:type="spellStart"/>
      <w:r w:rsidRPr="001D0846">
        <w:rPr>
          <w:rFonts w:ascii="Times New Roman" w:hAnsi="Times New Roman" w:cs="Times New Roman"/>
          <w:color w:val="000000"/>
          <w:sz w:val="28"/>
          <w:szCs w:val="28"/>
          <w:lang w:val="ro-MD"/>
        </w:rPr>
        <w:t>competenţa</w:t>
      </w:r>
      <w:proofErr w:type="spellEnd"/>
      <w:r w:rsidRPr="001D0846">
        <w:rPr>
          <w:rFonts w:ascii="Times New Roman" w:hAnsi="Times New Roman" w:cs="Times New Roman"/>
          <w:color w:val="000000"/>
          <w:sz w:val="28"/>
          <w:szCs w:val="28"/>
          <w:lang w:val="ro-MD"/>
        </w:rPr>
        <w:t xml:space="preserve"> sa; </w:t>
      </w:r>
      <w:r w:rsidRPr="001D0846">
        <w:rPr>
          <w:rFonts w:ascii="Times New Roman" w:hAnsi="Times New Roman" w:cs="Times New Roman"/>
          <w:i/>
          <w:color w:val="000000"/>
          <w:sz w:val="28"/>
          <w:szCs w:val="28"/>
          <w:lang w:val="ro-MD"/>
        </w:rPr>
        <w:t>(c)</w:t>
      </w:r>
      <w:r w:rsidRPr="001D0846">
        <w:rPr>
          <w:rFonts w:ascii="Times New Roman" w:hAnsi="Times New Roman" w:cs="Times New Roman"/>
          <w:color w:val="000000"/>
          <w:sz w:val="28"/>
          <w:szCs w:val="28"/>
          <w:lang w:val="ro-MD"/>
        </w:rPr>
        <w:t xml:space="preserve"> elaborează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aplică procedurile privind </w:t>
      </w:r>
      <w:proofErr w:type="spellStart"/>
      <w:r w:rsidRPr="001D0846">
        <w:rPr>
          <w:rFonts w:ascii="Times New Roman" w:hAnsi="Times New Roman" w:cs="Times New Roman"/>
          <w:color w:val="000000"/>
          <w:sz w:val="28"/>
          <w:szCs w:val="28"/>
          <w:lang w:val="ro-MD"/>
        </w:rPr>
        <w:t>evidenţa</w:t>
      </w:r>
      <w:proofErr w:type="spellEnd"/>
      <w:r w:rsidRPr="001D0846">
        <w:rPr>
          <w:rFonts w:ascii="Times New Roman" w:hAnsi="Times New Roman" w:cs="Times New Roman"/>
          <w:color w:val="000000"/>
          <w:sz w:val="28"/>
          <w:szCs w:val="28"/>
          <w:lang w:val="ro-MD"/>
        </w:rPr>
        <w:t xml:space="preserve"> analitică pe contribuabili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stingerea </w:t>
      </w:r>
      <w:proofErr w:type="spellStart"/>
      <w:r w:rsidRPr="001D0846">
        <w:rPr>
          <w:rFonts w:ascii="Times New Roman" w:hAnsi="Times New Roman" w:cs="Times New Roman"/>
          <w:color w:val="000000"/>
          <w:sz w:val="28"/>
          <w:szCs w:val="28"/>
          <w:lang w:val="ro-MD"/>
        </w:rPr>
        <w:t>obligaţiilor</w:t>
      </w:r>
      <w:proofErr w:type="spellEnd"/>
      <w:r w:rsidRPr="001D0846">
        <w:rPr>
          <w:rFonts w:ascii="Times New Roman" w:hAnsi="Times New Roman" w:cs="Times New Roman"/>
          <w:color w:val="000000"/>
          <w:sz w:val="28"/>
          <w:szCs w:val="28"/>
          <w:lang w:val="ro-MD"/>
        </w:rPr>
        <w:t xml:space="preserve"> fiscale prin conformare voluntară; </w:t>
      </w:r>
      <w:r w:rsidRPr="001D0846">
        <w:rPr>
          <w:rFonts w:ascii="Times New Roman" w:hAnsi="Times New Roman" w:cs="Times New Roman"/>
          <w:i/>
          <w:color w:val="000000"/>
          <w:sz w:val="28"/>
          <w:szCs w:val="28"/>
          <w:lang w:val="ro-MD"/>
        </w:rPr>
        <w:t>(d)</w:t>
      </w:r>
      <w:r w:rsidRPr="001D0846">
        <w:rPr>
          <w:rFonts w:ascii="Times New Roman" w:hAnsi="Times New Roman" w:cs="Times New Roman"/>
          <w:color w:val="000000"/>
          <w:sz w:val="28"/>
          <w:szCs w:val="28"/>
          <w:lang w:val="ro-MD"/>
        </w:rPr>
        <w:t xml:space="preserve"> emite acte cu caracter normativ privind aplicarea prevederilor </w:t>
      </w:r>
      <w:proofErr w:type="spellStart"/>
      <w:r w:rsidRPr="001D0846">
        <w:rPr>
          <w:rFonts w:ascii="Times New Roman" w:hAnsi="Times New Roman" w:cs="Times New Roman"/>
          <w:color w:val="000000"/>
          <w:sz w:val="28"/>
          <w:szCs w:val="28"/>
          <w:lang w:val="ro-MD"/>
        </w:rPr>
        <w:t>legislaţiei</w:t>
      </w:r>
      <w:proofErr w:type="spellEnd"/>
      <w:r w:rsidRPr="001D0846">
        <w:rPr>
          <w:rFonts w:ascii="Times New Roman" w:hAnsi="Times New Roman" w:cs="Times New Roman"/>
          <w:color w:val="000000"/>
          <w:sz w:val="28"/>
          <w:szCs w:val="28"/>
          <w:lang w:val="ro-MD"/>
        </w:rPr>
        <w:t xml:space="preserve"> fiscale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expune </w:t>
      </w:r>
      <w:proofErr w:type="spellStart"/>
      <w:r w:rsidRPr="001D0846">
        <w:rPr>
          <w:rFonts w:ascii="Times New Roman" w:hAnsi="Times New Roman" w:cs="Times New Roman"/>
          <w:color w:val="000000"/>
          <w:sz w:val="28"/>
          <w:szCs w:val="28"/>
          <w:lang w:val="ro-MD"/>
        </w:rPr>
        <w:t>poziţia</w:t>
      </w:r>
      <w:proofErr w:type="spellEnd"/>
      <w:r w:rsidRPr="001D0846">
        <w:rPr>
          <w:rFonts w:ascii="Times New Roman" w:hAnsi="Times New Roman" w:cs="Times New Roman"/>
          <w:color w:val="000000"/>
          <w:sz w:val="28"/>
          <w:szCs w:val="28"/>
          <w:lang w:val="ro-MD"/>
        </w:rPr>
        <w:t xml:space="preserve"> oficială a Serviciului Fiscal de Stat privind aplicarea </w:t>
      </w:r>
      <w:proofErr w:type="spellStart"/>
      <w:r w:rsidRPr="001D0846">
        <w:rPr>
          <w:rFonts w:ascii="Times New Roman" w:hAnsi="Times New Roman" w:cs="Times New Roman"/>
          <w:color w:val="000000"/>
          <w:sz w:val="28"/>
          <w:szCs w:val="28"/>
          <w:lang w:val="ro-MD"/>
        </w:rPr>
        <w:t>legislaţiei</w:t>
      </w:r>
      <w:proofErr w:type="spellEnd"/>
      <w:r w:rsidRPr="001D0846">
        <w:rPr>
          <w:rFonts w:ascii="Times New Roman" w:hAnsi="Times New Roman" w:cs="Times New Roman"/>
          <w:color w:val="000000"/>
          <w:sz w:val="28"/>
          <w:szCs w:val="28"/>
          <w:lang w:val="ro-MD"/>
        </w:rPr>
        <w:t xml:space="preserve"> fiscale; </w:t>
      </w:r>
      <w:r w:rsidRPr="001D0846">
        <w:rPr>
          <w:rFonts w:ascii="Times New Roman" w:hAnsi="Times New Roman" w:cs="Times New Roman"/>
          <w:i/>
          <w:color w:val="000000"/>
          <w:sz w:val="28"/>
          <w:szCs w:val="28"/>
          <w:lang w:val="ro-MD"/>
        </w:rPr>
        <w:t>(e)</w:t>
      </w:r>
      <w:r w:rsidRPr="001D0846">
        <w:rPr>
          <w:rFonts w:ascii="Times New Roman" w:hAnsi="Times New Roman" w:cs="Times New Roman"/>
          <w:color w:val="000000"/>
          <w:sz w:val="28"/>
          <w:szCs w:val="28"/>
          <w:lang w:val="ro-MD"/>
        </w:rPr>
        <w:t xml:space="preserve"> emite </w:t>
      </w:r>
      <w:proofErr w:type="spellStart"/>
      <w:r w:rsidRPr="001D0846">
        <w:rPr>
          <w:rFonts w:ascii="Times New Roman" w:hAnsi="Times New Roman" w:cs="Times New Roman"/>
          <w:color w:val="000000"/>
          <w:sz w:val="28"/>
          <w:szCs w:val="28"/>
          <w:lang w:val="ro-MD"/>
        </w:rPr>
        <w:t>soluţii</w:t>
      </w:r>
      <w:proofErr w:type="spellEnd"/>
      <w:r w:rsidRPr="001D0846">
        <w:rPr>
          <w:rFonts w:ascii="Times New Roman" w:hAnsi="Times New Roman" w:cs="Times New Roman"/>
          <w:color w:val="000000"/>
          <w:sz w:val="28"/>
          <w:szCs w:val="28"/>
          <w:lang w:val="ro-MD"/>
        </w:rPr>
        <w:t xml:space="preserve"> fiscale individuale anticipate la cererea persoanelor fizice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juridice care practică activitatea de întreprinzător; </w:t>
      </w:r>
      <w:r w:rsidRPr="001D0846">
        <w:rPr>
          <w:rFonts w:ascii="Times New Roman" w:hAnsi="Times New Roman" w:cs="Times New Roman"/>
          <w:i/>
          <w:color w:val="000000"/>
          <w:sz w:val="28"/>
          <w:szCs w:val="28"/>
          <w:lang w:val="ro-MD"/>
        </w:rPr>
        <w:t>(f)</w:t>
      </w:r>
      <w:r w:rsidRPr="001D0846">
        <w:rPr>
          <w:rFonts w:ascii="Times New Roman" w:hAnsi="Times New Roman" w:cs="Times New Roman"/>
          <w:color w:val="000000"/>
          <w:sz w:val="28"/>
          <w:szCs w:val="28"/>
          <w:lang w:val="ro-MD"/>
        </w:rPr>
        <w:t xml:space="preserve"> asigură aplicarea unitară, corectă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nediscriminatorie a reglementărilor privind impozitele, taxele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alte venituri la bugetul public </w:t>
      </w:r>
      <w:proofErr w:type="spellStart"/>
      <w:r w:rsidRPr="001D0846">
        <w:rPr>
          <w:rFonts w:ascii="Times New Roman" w:hAnsi="Times New Roman" w:cs="Times New Roman"/>
          <w:color w:val="000000"/>
          <w:sz w:val="28"/>
          <w:szCs w:val="28"/>
          <w:lang w:val="ro-MD"/>
        </w:rPr>
        <w:t>naţional</w:t>
      </w:r>
      <w:proofErr w:type="spellEnd"/>
      <w:r w:rsidRPr="001D0846">
        <w:rPr>
          <w:rFonts w:ascii="Times New Roman" w:hAnsi="Times New Roman" w:cs="Times New Roman"/>
          <w:color w:val="000000"/>
          <w:sz w:val="28"/>
          <w:szCs w:val="28"/>
          <w:lang w:val="ro-MD"/>
        </w:rPr>
        <w:t xml:space="preserve"> date în </w:t>
      </w:r>
      <w:proofErr w:type="spellStart"/>
      <w:r w:rsidRPr="001D0846">
        <w:rPr>
          <w:rFonts w:ascii="Times New Roman" w:hAnsi="Times New Roman" w:cs="Times New Roman"/>
          <w:color w:val="000000"/>
          <w:sz w:val="28"/>
          <w:szCs w:val="28"/>
          <w:lang w:val="ro-MD"/>
        </w:rPr>
        <w:t>competenţa</w:t>
      </w:r>
      <w:proofErr w:type="spellEnd"/>
      <w:r w:rsidRPr="001D0846">
        <w:rPr>
          <w:rFonts w:ascii="Times New Roman" w:hAnsi="Times New Roman" w:cs="Times New Roman"/>
          <w:color w:val="000000"/>
          <w:sz w:val="28"/>
          <w:szCs w:val="28"/>
          <w:lang w:val="ro-MD"/>
        </w:rPr>
        <w:t xml:space="preserve"> sa; </w:t>
      </w:r>
      <w:r w:rsidRPr="001D0846">
        <w:rPr>
          <w:rFonts w:ascii="Times New Roman" w:hAnsi="Times New Roman" w:cs="Times New Roman"/>
          <w:i/>
          <w:color w:val="000000"/>
          <w:sz w:val="28"/>
          <w:szCs w:val="28"/>
          <w:lang w:val="ro-MD"/>
        </w:rPr>
        <w:t>(g)</w:t>
      </w:r>
      <w:r w:rsidRPr="001D0846">
        <w:rPr>
          <w:rFonts w:ascii="Times New Roman" w:hAnsi="Times New Roman" w:cs="Times New Roman"/>
          <w:color w:val="000000"/>
          <w:sz w:val="28"/>
          <w:szCs w:val="28"/>
          <w:lang w:val="ro-MD"/>
        </w:rPr>
        <w:t xml:space="preserve"> aplică, de sine stătător sau prin </w:t>
      </w:r>
      <w:proofErr w:type="spellStart"/>
      <w:r w:rsidRPr="001D0846">
        <w:rPr>
          <w:rFonts w:ascii="Times New Roman" w:hAnsi="Times New Roman" w:cs="Times New Roman"/>
          <w:color w:val="000000"/>
          <w:sz w:val="28"/>
          <w:szCs w:val="28"/>
          <w:lang w:val="ro-MD"/>
        </w:rPr>
        <w:t>entităţile</w:t>
      </w:r>
      <w:proofErr w:type="spellEnd"/>
      <w:r w:rsidRPr="001D0846">
        <w:rPr>
          <w:rFonts w:ascii="Times New Roman" w:hAnsi="Times New Roman" w:cs="Times New Roman"/>
          <w:color w:val="000000"/>
          <w:sz w:val="28"/>
          <w:szCs w:val="28"/>
          <w:lang w:val="ro-MD"/>
        </w:rPr>
        <w:t xml:space="preserve"> abilitate, </w:t>
      </w:r>
      <w:proofErr w:type="spellStart"/>
      <w:r w:rsidRPr="001D0846">
        <w:rPr>
          <w:rFonts w:ascii="Times New Roman" w:hAnsi="Times New Roman" w:cs="Times New Roman"/>
          <w:color w:val="000000"/>
          <w:sz w:val="28"/>
          <w:szCs w:val="28"/>
          <w:lang w:val="ro-MD"/>
        </w:rPr>
        <w:t>modalităţile</w:t>
      </w:r>
      <w:proofErr w:type="spellEnd"/>
      <w:r w:rsidRPr="001D0846">
        <w:rPr>
          <w:rFonts w:ascii="Times New Roman" w:hAnsi="Times New Roman" w:cs="Times New Roman"/>
          <w:color w:val="000000"/>
          <w:sz w:val="28"/>
          <w:szCs w:val="28"/>
          <w:lang w:val="ro-MD"/>
        </w:rPr>
        <w:t xml:space="preserve"> de executare silită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măsurile de asigurare a stingerii </w:t>
      </w:r>
      <w:proofErr w:type="spellStart"/>
      <w:r w:rsidRPr="001D0846">
        <w:rPr>
          <w:rFonts w:ascii="Times New Roman" w:hAnsi="Times New Roman" w:cs="Times New Roman"/>
          <w:color w:val="000000"/>
          <w:sz w:val="28"/>
          <w:szCs w:val="28"/>
          <w:lang w:val="ro-MD"/>
        </w:rPr>
        <w:t>obligaţiei</w:t>
      </w:r>
      <w:proofErr w:type="spellEnd"/>
      <w:r w:rsidRPr="001D0846">
        <w:rPr>
          <w:rFonts w:ascii="Times New Roman" w:hAnsi="Times New Roman" w:cs="Times New Roman"/>
          <w:color w:val="000000"/>
          <w:sz w:val="28"/>
          <w:szCs w:val="28"/>
          <w:lang w:val="ro-MD"/>
        </w:rPr>
        <w:t xml:space="preserve"> fiscale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 altor </w:t>
      </w:r>
      <w:proofErr w:type="spellStart"/>
      <w:r w:rsidRPr="001D0846">
        <w:rPr>
          <w:rFonts w:ascii="Times New Roman" w:hAnsi="Times New Roman" w:cs="Times New Roman"/>
          <w:color w:val="000000"/>
          <w:sz w:val="28"/>
          <w:szCs w:val="28"/>
          <w:lang w:val="ro-MD"/>
        </w:rPr>
        <w:t>plăţi</w:t>
      </w:r>
      <w:proofErr w:type="spellEnd"/>
      <w:r w:rsidRPr="001D0846">
        <w:rPr>
          <w:rFonts w:ascii="Times New Roman" w:hAnsi="Times New Roman" w:cs="Times New Roman"/>
          <w:color w:val="000000"/>
          <w:sz w:val="28"/>
          <w:szCs w:val="28"/>
          <w:lang w:val="ro-MD"/>
        </w:rPr>
        <w:t xml:space="preserve"> la bugetul public </w:t>
      </w:r>
      <w:proofErr w:type="spellStart"/>
      <w:r w:rsidRPr="001D0846">
        <w:rPr>
          <w:rFonts w:ascii="Times New Roman" w:hAnsi="Times New Roman" w:cs="Times New Roman"/>
          <w:color w:val="000000"/>
          <w:sz w:val="28"/>
          <w:szCs w:val="28"/>
          <w:lang w:val="ro-MD"/>
        </w:rPr>
        <w:t>naţional</w:t>
      </w:r>
      <w:proofErr w:type="spellEnd"/>
      <w:r w:rsidRPr="001D0846">
        <w:rPr>
          <w:rFonts w:ascii="Times New Roman" w:hAnsi="Times New Roman" w:cs="Times New Roman"/>
          <w:color w:val="000000"/>
          <w:sz w:val="28"/>
          <w:szCs w:val="28"/>
          <w:lang w:val="ro-MD"/>
        </w:rPr>
        <w:t xml:space="preserve"> potrivit legii; </w:t>
      </w:r>
      <w:r>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(h)</w:t>
      </w:r>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defineşte</w:t>
      </w:r>
      <w:proofErr w:type="spellEnd"/>
      <w:r w:rsidRPr="001D0846">
        <w:rPr>
          <w:rFonts w:ascii="Times New Roman" w:hAnsi="Times New Roman" w:cs="Times New Roman"/>
          <w:color w:val="000000"/>
          <w:sz w:val="28"/>
          <w:szCs w:val="28"/>
          <w:lang w:val="ro-MD"/>
        </w:rPr>
        <w:t xml:space="preserve">, dezvoltă, implementează, furnizează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operează servicii specifice pentru contribuabili, de asemenea, eliberează acte permisive persoanelor fizice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w:t>
      </w:r>
      <w:r w:rsidRPr="001D0846">
        <w:rPr>
          <w:rFonts w:ascii="Times New Roman" w:hAnsi="Times New Roman" w:cs="Times New Roman"/>
          <w:color w:val="000000"/>
          <w:sz w:val="28"/>
          <w:szCs w:val="28"/>
          <w:lang w:val="ro-MD"/>
        </w:rPr>
        <w:lastRenderedPageBreak/>
        <w:t xml:space="preserve">juridice; </w:t>
      </w:r>
      <w:r w:rsidRPr="001D0846">
        <w:rPr>
          <w:rFonts w:ascii="Times New Roman" w:hAnsi="Times New Roman" w:cs="Times New Roman"/>
          <w:i/>
          <w:color w:val="000000"/>
          <w:sz w:val="28"/>
          <w:szCs w:val="28"/>
          <w:lang w:val="ro-MD"/>
        </w:rPr>
        <w:t>(i)</w:t>
      </w:r>
      <w:r w:rsidRPr="001D0846">
        <w:rPr>
          <w:rFonts w:ascii="Times New Roman" w:hAnsi="Times New Roman" w:cs="Times New Roman"/>
          <w:color w:val="000000"/>
          <w:sz w:val="28"/>
          <w:szCs w:val="28"/>
          <w:lang w:val="ro-MD"/>
        </w:rPr>
        <w:t xml:space="preserve"> promovează conformarea fiscală voluntară, inclusiv prin modernizarea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furnizarea serviciilor menite să faciliteze îndeplinirea </w:t>
      </w:r>
      <w:proofErr w:type="spellStart"/>
      <w:r w:rsidRPr="001D0846">
        <w:rPr>
          <w:rFonts w:ascii="Times New Roman" w:hAnsi="Times New Roman" w:cs="Times New Roman"/>
          <w:color w:val="000000"/>
          <w:sz w:val="28"/>
          <w:szCs w:val="28"/>
          <w:lang w:val="ro-MD"/>
        </w:rPr>
        <w:t>obligaţiilor</w:t>
      </w:r>
      <w:proofErr w:type="spellEnd"/>
      <w:r w:rsidRPr="001D0846">
        <w:rPr>
          <w:rFonts w:ascii="Times New Roman" w:hAnsi="Times New Roman" w:cs="Times New Roman"/>
          <w:color w:val="000000"/>
          <w:sz w:val="28"/>
          <w:szCs w:val="28"/>
          <w:lang w:val="ro-MD"/>
        </w:rPr>
        <w:t xml:space="preserve"> fiscale de către contribuabili; </w:t>
      </w:r>
      <w:r w:rsidRPr="001D0846">
        <w:rPr>
          <w:rFonts w:ascii="Times New Roman" w:hAnsi="Times New Roman" w:cs="Times New Roman"/>
          <w:i/>
          <w:color w:val="000000"/>
          <w:sz w:val="28"/>
          <w:szCs w:val="28"/>
          <w:lang w:val="ro-MD"/>
        </w:rPr>
        <w:t>(j)</w:t>
      </w:r>
      <w:r w:rsidRPr="001D0846">
        <w:rPr>
          <w:rFonts w:ascii="Times New Roman" w:hAnsi="Times New Roman" w:cs="Times New Roman"/>
          <w:color w:val="000000"/>
          <w:sz w:val="28"/>
          <w:szCs w:val="28"/>
          <w:lang w:val="ro-MD"/>
        </w:rPr>
        <w:t xml:space="preserve"> emite decizii asupra cazurilor de încălcare fiscală stabilite în urma aplicării metodelor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surselor indirecte de estimare a </w:t>
      </w:r>
      <w:proofErr w:type="spellStart"/>
      <w:r w:rsidRPr="001D0846">
        <w:rPr>
          <w:rFonts w:ascii="Times New Roman" w:hAnsi="Times New Roman" w:cs="Times New Roman"/>
          <w:color w:val="000000"/>
          <w:sz w:val="28"/>
          <w:szCs w:val="28"/>
          <w:lang w:val="ro-MD"/>
        </w:rPr>
        <w:t>obligaţiilor</w:t>
      </w:r>
      <w:proofErr w:type="spellEnd"/>
      <w:r w:rsidRPr="001D0846">
        <w:rPr>
          <w:rFonts w:ascii="Times New Roman" w:hAnsi="Times New Roman" w:cs="Times New Roman"/>
          <w:color w:val="000000"/>
          <w:sz w:val="28"/>
          <w:szCs w:val="28"/>
          <w:lang w:val="ro-MD"/>
        </w:rPr>
        <w:t xml:space="preserve"> fiscale; </w:t>
      </w:r>
      <w:r>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(k)</w:t>
      </w:r>
      <w:r w:rsidRPr="001D0846">
        <w:rPr>
          <w:rFonts w:ascii="Times New Roman" w:hAnsi="Times New Roman" w:cs="Times New Roman"/>
          <w:color w:val="000000"/>
          <w:sz w:val="28"/>
          <w:szCs w:val="28"/>
          <w:lang w:val="ro-MD"/>
        </w:rPr>
        <w:t xml:space="preserve"> gestionează riscurile de neconformare fiscală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selectează contribuabilii cu risc sporit de neconformare fiscală; </w:t>
      </w:r>
      <w:r w:rsidRPr="001D0846">
        <w:rPr>
          <w:rFonts w:ascii="Times New Roman" w:hAnsi="Times New Roman" w:cs="Times New Roman"/>
          <w:i/>
          <w:color w:val="000000"/>
          <w:sz w:val="28"/>
          <w:szCs w:val="28"/>
          <w:lang w:val="ro-MD"/>
        </w:rPr>
        <w:t>(l)</w:t>
      </w:r>
      <w:r w:rsidRPr="001D0846">
        <w:rPr>
          <w:rFonts w:ascii="Times New Roman" w:hAnsi="Times New Roman" w:cs="Times New Roman"/>
          <w:color w:val="000000"/>
          <w:sz w:val="28"/>
          <w:szCs w:val="28"/>
          <w:lang w:val="ro-MD"/>
        </w:rPr>
        <w:t xml:space="preserve"> examinează </w:t>
      </w:r>
      <w:proofErr w:type="spellStart"/>
      <w:r w:rsidRPr="001D0846">
        <w:rPr>
          <w:rFonts w:ascii="Times New Roman" w:hAnsi="Times New Roman" w:cs="Times New Roman"/>
          <w:color w:val="000000"/>
          <w:sz w:val="28"/>
          <w:szCs w:val="28"/>
          <w:lang w:val="ro-MD"/>
        </w:rPr>
        <w:t>contestaţii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emite decizii ca urmare a examinării acestora; </w:t>
      </w:r>
      <w:r w:rsidRPr="001D0846">
        <w:rPr>
          <w:rFonts w:ascii="Times New Roman" w:hAnsi="Times New Roman" w:cs="Times New Roman"/>
          <w:i/>
          <w:color w:val="000000"/>
          <w:sz w:val="28"/>
          <w:szCs w:val="28"/>
          <w:lang w:val="ro-MD"/>
        </w:rPr>
        <w:t xml:space="preserve">(m) </w:t>
      </w:r>
      <w:r w:rsidRPr="001D0846">
        <w:rPr>
          <w:rFonts w:ascii="Times New Roman" w:hAnsi="Times New Roman" w:cs="Times New Roman"/>
          <w:color w:val="000000"/>
          <w:sz w:val="28"/>
          <w:szCs w:val="28"/>
          <w:lang w:val="ro-MD"/>
        </w:rPr>
        <w:t xml:space="preserve">efectuează vizite fiscale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instituie posturi fiscale;</w:t>
      </w:r>
      <w:r w:rsidRPr="001D0846">
        <w:rPr>
          <w:rFonts w:ascii="Times New Roman" w:hAnsi="Times New Roman" w:cs="Times New Roman"/>
          <w:color w:val="000000"/>
          <w:sz w:val="28"/>
          <w:szCs w:val="28"/>
          <w:lang w:val="ro-MD"/>
        </w:rPr>
        <w:br/>
      </w:r>
      <w:r w:rsidRPr="001D0846">
        <w:rPr>
          <w:rFonts w:ascii="Times New Roman" w:hAnsi="Times New Roman" w:cs="Times New Roman"/>
          <w:i/>
          <w:color w:val="000000"/>
          <w:sz w:val="28"/>
          <w:szCs w:val="28"/>
          <w:lang w:val="ro-MD"/>
        </w:rPr>
        <w:t>(n)</w:t>
      </w:r>
      <w:r w:rsidRPr="001D0846">
        <w:rPr>
          <w:rFonts w:ascii="Times New Roman" w:hAnsi="Times New Roman" w:cs="Times New Roman"/>
          <w:color w:val="000000"/>
          <w:sz w:val="28"/>
          <w:szCs w:val="28"/>
          <w:lang w:val="ro-MD"/>
        </w:rPr>
        <w:t xml:space="preserve"> efectuează controlul fiscal, examinează cazurile de încălcare fiscală, aplică </w:t>
      </w:r>
      <w:proofErr w:type="spellStart"/>
      <w:r w:rsidRPr="001D0846">
        <w:rPr>
          <w:rFonts w:ascii="Times New Roman" w:hAnsi="Times New Roman" w:cs="Times New Roman"/>
          <w:color w:val="000000"/>
          <w:sz w:val="28"/>
          <w:szCs w:val="28"/>
          <w:lang w:val="ro-MD"/>
        </w:rPr>
        <w:t>sancţiuni</w:t>
      </w:r>
      <w:proofErr w:type="spellEnd"/>
      <w:r w:rsidRPr="001D0846">
        <w:rPr>
          <w:rFonts w:ascii="Times New Roman" w:hAnsi="Times New Roman" w:cs="Times New Roman"/>
          <w:color w:val="000000"/>
          <w:sz w:val="28"/>
          <w:szCs w:val="28"/>
          <w:lang w:val="ro-MD"/>
        </w:rPr>
        <w:t xml:space="preserve"> fiscale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emite acte administrative în scopul aplicării Codului fiscal;</w:t>
      </w:r>
      <w:r w:rsidRPr="001D0846">
        <w:rPr>
          <w:rFonts w:ascii="Times New Roman" w:hAnsi="Times New Roman" w:cs="Times New Roman"/>
          <w:color w:val="000000"/>
          <w:sz w:val="28"/>
          <w:szCs w:val="28"/>
          <w:lang w:val="ro-MD"/>
        </w:rPr>
        <w:br/>
      </w:r>
      <w:r w:rsidRPr="001D0846">
        <w:rPr>
          <w:rFonts w:ascii="Times New Roman" w:hAnsi="Times New Roman" w:cs="Times New Roman"/>
          <w:i/>
          <w:color w:val="000000"/>
          <w:sz w:val="28"/>
          <w:szCs w:val="28"/>
          <w:lang w:val="ro-MD"/>
        </w:rPr>
        <w:t>(o)</w:t>
      </w:r>
      <w:r w:rsidRPr="001D0846">
        <w:rPr>
          <w:rFonts w:ascii="Times New Roman" w:hAnsi="Times New Roman" w:cs="Times New Roman"/>
          <w:color w:val="000000"/>
          <w:sz w:val="28"/>
          <w:szCs w:val="28"/>
          <w:lang w:val="ro-MD"/>
        </w:rPr>
        <w:t xml:space="preserve"> organizează activitatea de valorificare a bunurilor sechestrate în cadrul procedurii de executare silită a </w:t>
      </w:r>
      <w:proofErr w:type="spellStart"/>
      <w:r w:rsidRPr="001D0846">
        <w:rPr>
          <w:rFonts w:ascii="Times New Roman" w:hAnsi="Times New Roman" w:cs="Times New Roman"/>
          <w:color w:val="000000"/>
          <w:sz w:val="28"/>
          <w:szCs w:val="28"/>
          <w:lang w:val="ro-MD"/>
        </w:rPr>
        <w:t>obligaţiei</w:t>
      </w:r>
      <w:proofErr w:type="spellEnd"/>
      <w:r w:rsidRPr="001D0846">
        <w:rPr>
          <w:rFonts w:ascii="Times New Roman" w:hAnsi="Times New Roman" w:cs="Times New Roman"/>
          <w:color w:val="000000"/>
          <w:sz w:val="28"/>
          <w:szCs w:val="28"/>
          <w:lang w:val="ro-MD"/>
        </w:rPr>
        <w:t xml:space="preserve"> fiscale potrivit legii; </w:t>
      </w:r>
      <w:r w:rsidRPr="001D0846">
        <w:rPr>
          <w:rFonts w:ascii="Times New Roman" w:hAnsi="Times New Roman" w:cs="Times New Roman"/>
          <w:i/>
          <w:color w:val="000000"/>
          <w:sz w:val="28"/>
          <w:szCs w:val="28"/>
          <w:lang w:val="ro-MD"/>
        </w:rPr>
        <w:t>(p)</w:t>
      </w:r>
      <w:r w:rsidRPr="001D0846">
        <w:rPr>
          <w:rFonts w:ascii="Times New Roman" w:hAnsi="Times New Roman" w:cs="Times New Roman"/>
          <w:color w:val="000000"/>
          <w:sz w:val="28"/>
          <w:szCs w:val="28"/>
          <w:lang w:val="ro-MD"/>
        </w:rPr>
        <w:t xml:space="preserve"> introduce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promovează metode de înregistrare fiscală, declarare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plată a impozitelor, taxelor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 altor venituri la buget, bazate pe utilizarea tehnologiei </w:t>
      </w:r>
      <w:proofErr w:type="spellStart"/>
      <w:r w:rsidRPr="001D0846">
        <w:rPr>
          <w:rFonts w:ascii="Times New Roman" w:hAnsi="Times New Roman" w:cs="Times New Roman"/>
          <w:color w:val="000000"/>
          <w:sz w:val="28"/>
          <w:szCs w:val="28"/>
          <w:lang w:val="ro-MD"/>
        </w:rPr>
        <w:t>informaţiei</w:t>
      </w:r>
      <w:proofErr w:type="spellEnd"/>
      <w:r w:rsidRPr="001D0846">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(q)</w:t>
      </w:r>
      <w:r w:rsidRPr="001D0846">
        <w:rPr>
          <w:rFonts w:ascii="Times New Roman" w:hAnsi="Times New Roman" w:cs="Times New Roman"/>
          <w:color w:val="000000"/>
          <w:sz w:val="28"/>
          <w:szCs w:val="28"/>
          <w:lang w:val="ro-MD"/>
        </w:rPr>
        <w:t xml:space="preserve"> este în drept să modifice termenul de stingere a </w:t>
      </w:r>
      <w:proofErr w:type="spellStart"/>
      <w:r w:rsidRPr="001D0846">
        <w:rPr>
          <w:rFonts w:ascii="Times New Roman" w:hAnsi="Times New Roman" w:cs="Times New Roman"/>
          <w:color w:val="000000"/>
          <w:sz w:val="28"/>
          <w:szCs w:val="28"/>
          <w:lang w:val="ro-MD"/>
        </w:rPr>
        <w:t>obligaţiei</w:t>
      </w:r>
      <w:proofErr w:type="spellEnd"/>
      <w:r w:rsidRPr="001D0846">
        <w:rPr>
          <w:rFonts w:ascii="Times New Roman" w:hAnsi="Times New Roman" w:cs="Times New Roman"/>
          <w:color w:val="000000"/>
          <w:sz w:val="28"/>
          <w:szCs w:val="28"/>
          <w:lang w:val="ro-MD"/>
        </w:rPr>
        <w:t xml:space="preserve"> fiscale prin încheierea cu contribuabilii </w:t>
      </w:r>
      <w:proofErr w:type="spellStart"/>
      <w:r w:rsidRPr="001D0846">
        <w:rPr>
          <w:rFonts w:ascii="Times New Roman" w:hAnsi="Times New Roman" w:cs="Times New Roman"/>
          <w:color w:val="000000"/>
          <w:sz w:val="28"/>
          <w:szCs w:val="28"/>
          <w:lang w:val="ro-MD"/>
        </w:rPr>
        <w:t>restanţieri</w:t>
      </w:r>
      <w:proofErr w:type="spellEnd"/>
      <w:r>
        <w:rPr>
          <w:rFonts w:ascii="Times New Roman" w:hAnsi="Times New Roman" w:cs="Times New Roman"/>
          <w:color w:val="000000"/>
          <w:sz w:val="28"/>
          <w:szCs w:val="28"/>
          <w:lang w:val="ro-MD"/>
        </w:rPr>
        <w:t xml:space="preserve"> a contractelor de </w:t>
      </w:r>
      <w:proofErr w:type="spellStart"/>
      <w:r>
        <w:rPr>
          <w:rFonts w:ascii="Times New Roman" w:hAnsi="Times New Roman" w:cs="Times New Roman"/>
          <w:color w:val="000000"/>
          <w:sz w:val="28"/>
          <w:szCs w:val="28"/>
          <w:lang w:val="ro-MD"/>
        </w:rPr>
        <w:t>eşalonare</w:t>
      </w:r>
      <w:proofErr w:type="spellEnd"/>
      <w:r>
        <w:rPr>
          <w:rFonts w:ascii="Times New Roman" w:hAnsi="Times New Roman" w:cs="Times New Roman"/>
          <w:color w:val="000000"/>
          <w:sz w:val="28"/>
          <w:szCs w:val="28"/>
          <w:lang w:val="ro-MD"/>
        </w:rPr>
        <w:t>/amâ</w:t>
      </w:r>
      <w:r w:rsidRPr="001D0846">
        <w:rPr>
          <w:rFonts w:ascii="Times New Roman" w:hAnsi="Times New Roman" w:cs="Times New Roman"/>
          <w:color w:val="000000"/>
          <w:sz w:val="28"/>
          <w:szCs w:val="28"/>
          <w:lang w:val="ro-MD"/>
        </w:rPr>
        <w:t xml:space="preserve">nare a stingerii </w:t>
      </w:r>
      <w:proofErr w:type="spellStart"/>
      <w:r w:rsidRPr="001D0846">
        <w:rPr>
          <w:rFonts w:ascii="Times New Roman" w:hAnsi="Times New Roman" w:cs="Times New Roman"/>
          <w:color w:val="000000"/>
          <w:sz w:val="28"/>
          <w:szCs w:val="28"/>
          <w:lang w:val="ro-MD"/>
        </w:rPr>
        <w:t>obligaţiei</w:t>
      </w:r>
      <w:proofErr w:type="spellEnd"/>
      <w:r w:rsidRPr="001D0846">
        <w:rPr>
          <w:rFonts w:ascii="Times New Roman" w:hAnsi="Times New Roman" w:cs="Times New Roman"/>
          <w:color w:val="000000"/>
          <w:sz w:val="28"/>
          <w:szCs w:val="28"/>
          <w:lang w:val="ro-MD"/>
        </w:rPr>
        <w:t xml:space="preserve"> fiscale conform </w:t>
      </w:r>
      <w:proofErr w:type="spellStart"/>
      <w:r w:rsidRPr="001D0846">
        <w:rPr>
          <w:rFonts w:ascii="Times New Roman" w:hAnsi="Times New Roman" w:cs="Times New Roman"/>
          <w:color w:val="000000"/>
          <w:sz w:val="28"/>
          <w:szCs w:val="28"/>
          <w:lang w:val="ro-MD"/>
        </w:rPr>
        <w:t>legislaţiei</w:t>
      </w:r>
      <w:proofErr w:type="spellEnd"/>
      <w:r w:rsidRPr="001D0846">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(r)</w:t>
      </w:r>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deţine</w:t>
      </w:r>
      <w:proofErr w:type="spellEnd"/>
      <w:r w:rsidRPr="001D0846">
        <w:rPr>
          <w:rFonts w:ascii="Times New Roman" w:hAnsi="Times New Roman" w:cs="Times New Roman"/>
          <w:color w:val="000000"/>
          <w:sz w:val="28"/>
          <w:szCs w:val="28"/>
          <w:lang w:val="ro-MD"/>
        </w:rPr>
        <w:t xml:space="preserve">, administrează, analizează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evaluează </w:t>
      </w:r>
      <w:proofErr w:type="spellStart"/>
      <w:r w:rsidRPr="001D0846">
        <w:rPr>
          <w:rFonts w:ascii="Times New Roman" w:hAnsi="Times New Roman" w:cs="Times New Roman"/>
          <w:color w:val="000000"/>
          <w:sz w:val="28"/>
          <w:szCs w:val="28"/>
          <w:lang w:val="ro-MD"/>
        </w:rPr>
        <w:t>informaţii</w:t>
      </w:r>
      <w:proofErr w:type="spellEnd"/>
      <w:r w:rsidRPr="001D0846">
        <w:rPr>
          <w:rFonts w:ascii="Times New Roman" w:hAnsi="Times New Roman" w:cs="Times New Roman"/>
          <w:color w:val="000000"/>
          <w:sz w:val="28"/>
          <w:szCs w:val="28"/>
          <w:lang w:val="ro-MD"/>
        </w:rPr>
        <w:t xml:space="preserve">, de asemenea, </w:t>
      </w:r>
      <w:proofErr w:type="spellStart"/>
      <w:r w:rsidRPr="001D0846">
        <w:rPr>
          <w:rFonts w:ascii="Times New Roman" w:hAnsi="Times New Roman" w:cs="Times New Roman"/>
          <w:color w:val="000000"/>
          <w:sz w:val="28"/>
          <w:szCs w:val="28"/>
          <w:lang w:val="ro-MD"/>
        </w:rPr>
        <w:t>acţionează</w:t>
      </w:r>
      <w:proofErr w:type="spellEnd"/>
      <w:r w:rsidRPr="001D0846">
        <w:rPr>
          <w:rFonts w:ascii="Times New Roman" w:hAnsi="Times New Roman" w:cs="Times New Roman"/>
          <w:color w:val="000000"/>
          <w:sz w:val="28"/>
          <w:szCs w:val="28"/>
          <w:lang w:val="ro-MD"/>
        </w:rPr>
        <w:t xml:space="preserve">, în </w:t>
      </w:r>
      <w:proofErr w:type="spellStart"/>
      <w:r w:rsidRPr="001D0846">
        <w:rPr>
          <w:rFonts w:ascii="Times New Roman" w:hAnsi="Times New Roman" w:cs="Times New Roman"/>
          <w:color w:val="000000"/>
          <w:sz w:val="28"/>
          <w:szCs w:val="28"/>
          <w:lang w:val="ro-MD"/>
        </w:rPr>
        <w:t>condiţiile</w:t>
      </w:r>
      <w:proofErr w:type="spellEnd"/>
      <w:r w:rsidRPr="001D0846">
        <w:rPr>
          <w:rFonts w:ascii="Times New Roman" w:hAnsi="Times New Roman" w:cs="Times New Roman"/>
          <w:color w:val="000000"/>
          <w:sz w:val="28"/>
          <w:szCs w:val="28"/>
          <w:lang w:val="ro-MD"/>
        </w:rPr>
        <w:t xml:space="preserve"> legii, pentru </w:t>
      </w:r>
      <w:proofErr w:type="spellStart"/>
      <w:r w:rsidRPr="001D0846">
        <w:rPr>
          <w:rFonts w:ascii="Times New Roman" w:hAnsi="Times New Roman" w:cs="Times New Roman"/>
          <w:color w:val="000000"/>
          <w:sz w:val="28"/>
          <w:szCs w:val="28"/>
          <w:lang w:val="ro-MD"/>
        </w:rPr>
        <w:t>obţinerea</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informaţiilor</w:t>
      </w:r>
      <w:proofErr w:type="spellEnd"/>
      <w:r w:rsidRPr="001D0846">
        <w:rPr>
          <w:rFonts w:ascii="Times New Roman" w:hAnsi="Times New Roman" w:cs="Times New Roman"/>
          <w:color w:val="000000"/>
          <w:sz w:val="28"/>
          <w:szCs w:val="28"/>
          <w:lang w:val="ro-MD"/>
        </w:rPr>
        <w:t xml:space="preserve"> relevante pentru Serviciul Fiscal de Stat din diverse surse; </w:t>
      </w:r>
      <w:r w:rsidRPr="001D0846">
        <w:rPr>
          <w:rFonts w:ascii="Times New Roman" w:hAnsi="Times New Roman" w:cs="Times New Roman"/>
          <w:i/>
          <w:color w:val="000000"/>
          <w:sz w:val="28"/>
          <w:szCs w:val="28"/>
          <w:lang w:val="ro-MD"/>
        </w:rPr>
        <w:t>(s)</w:t>
      </w:r>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stabileşte</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aplică metodologia de distribuire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stingere a </w:t>
      </w:r>
      <w:proofErr w:type="spellStart"/>
      <w:r w:rsidRPr="001D0846">
        <w:rPr>
          <w:rFonts w:ascii="Times New Roman" w:hAnsi="Times New Roman" w:cs="Times New Roman"/>
          <w:color w:val="000000"/>
          <w:sz w:val="28"/>
          <w:szCs w:val="28"/>
          <w:lang w:val="ro-MD"/>
        </w:rPr>
        <w:t>obligaţiei</w:t>
      </w:r>
      <w:proofErr w:type="spellEnd"/>
      <w:r w:rsidRPr="001D0846">
        <w:rPr>
          <w:rFonts w:ascii="Times New Roman" w:hAnsi="Times New Roman" w:cs="Times New Roman"/>
          <w:color w:val="000000"/>
          <w:sz w:val="28"/>
          <w:szCs w:val="28"/>
          <w:lang w:val="ro-MD"/>
        </w:rPr>
        <w:t xml:space="preserve"> fiscale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/sau de restituire a sumelor achitate în plus; </w:t>
      </w:r>
      <w:r w:rsidRPr="001D0846">
        <w:rPr>
          <w:rFonts w:ascii="Times New Roman" w:hAnsi="Times New Roman" w:cs="Times New Roman"/>
          <w:i/>
          <w:color w:val="000000"/>
          <w:sz w:val="28"/>
          <w:szCs w:val="28"/>
          <w:lang w:val="ro-MD"/>
        </w:rPr>
        <w:t>(t)</w:t>
      </w:r>
      <w:r w:rsidRPr="001D0846">
        <w:rPr>
          <w:rFonts w:ascii="Times New Roman" w:hAnsi="Times New Roman" w:cs="Times New Roman"/>
          <w:color w:val="000000"/>
          <w:sz w:val="28"/>
          <w:szCs w:val="28"/>
          <w:lang w:val="ro-MD"/>
        </w:rPr>
        <w:t xml:space="preserve"> aplică mecanismul legal al </w:t>
      </w:r>
      <w:proofErr w:type="spellStart"/>
      <w:r w:rsidRPr="001D0846">
        <w:rPr>
          <w:rFonts w:ascii="Times New Roman" w:hAnsi="Times New Roman" w:cs="Times New Roman"/>
          <w:color w:val="000000"/>
          <w:sz w:val="28"/>
          <w:szCs w:val="28"/>
          <w:lang w:val="ro-MD"/>
        </w:rPr>
        <w:t>insolvabilităţii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faţă</w:t>
      </w:r>
      <w:proofErr w:type="spellEnd"/>
      <w:r w:rsidRPr="001D0846">
        <w:rPr>
          <w:rFonts w:ascii="Times New Roman" w:hAnsi="Times New Roman" w:cs="Times New Roman"/>
          <w:color w:val="000000"/>
          <w:sz w:val="28"/>
          <w:szCs w:val="28"/>
          <w:lang w:val="ro-MD"/>
        </w:rPr>
        <w:t xml:space="preserve"> de contribuabilii care au ajuns în incapacitate de plată;  </w:t>
      </w:r>
      <w:r w:rsidRPr="001D0846">
        <w:rPr>
          <w:rFonts w:ascii="Times New Roman" w:hAnsi="Times New Roman" w:cs="Times New Roman"/>
          <w:i/>
          <w:color w:val="000000"/>
          <w:sz w:val="28"/>
          <w:szCs w:val="28"/>
          <w:lang w:val="ro-MD"/>
        </w:rPr>
        <w:t>(u)</w:t>
      </w:r>
      <w:r w:rsidRPr="001D0846">
        <w:rPr>
          <w:rFonts w:ascii="Times New Roman" w:hAnsi="Times New Roman" w:cs="Times New Roman"/>
          <w:color w:val="000000"/>
          <w:sz w:val="28"/>
          <w:szCs w:val="28"/>
          <w:lang w:val="ro-MD"/>
        </w:rPr>
        <w:t xml:space="preserve"> administrează procesul de utilizare a dispozitivelor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sistemelor pentru înregistrarea </w:t>
      </w:r>
      <w:proofErr w:type="spellStart"/>
      <w:r w:rsidRPr="001D0846">
        <w:rPr>
          <w:rFonts w:ascii="Times New Roman" w:hAnsi="Times New Roman" w:cs="Times New Roman"/>
          <w:color w:val="000000"/>
          <w:sz w:val="28"/>
          <w:szCs w:val="28"/>
          <w:lang w:val="ro-MD"/>
        </w:rPr>
        <w:t>operaţiunilor</w:t>
      </w:r>
      <w:proofErr w:type="spellEnd"/>
      <w:r w:rsidRPr="001D0846">
        <w:rPr>
          <w:rFonts w:ascii="Times New Roman" w:hAnsi="Times New Roman" w:cs="Times New Roman"/>
          <w:color w:val="000000"/>
          <w:sz w:val="28"/>
          <w:szCs w:val="28"/>
          <w:lang w:val="ro-MD"/>
        </w:rPr>
        <w:t xml:space="preserve"> cu numerar; </w:t>
      </w:r>
      <w:r w:rsidRPr="001D0846">
        <w:rPr>
          <w:rFonts w:ascii="Times New Roman" w:hAnsi="Times New Roman" w:cs="Times New Roman"/>
          <w:i/>
          <w:color w:val="000000"/>
          <w:sz w:val="28"/>
          <w:szCs w:val="28"/>
          <w:lang w:val="ro-MD"/>
        </w:rPr>
        <w:t>(v)</w:t>
      </w:r>
      <w:r w:rsidRPr="001D0846">
        <w:rPr>
          <w:rFonts w:ascii="Times New Roman" w:hAnsi="Times New Roman" w:cs="Times New Roman"/>
          <w:color w:val="000000"/>
          <w:sz w:val="28"/>
          <w:szCs w:val="28"/>
          <w:lang w:val="ro-MD"/>
        </w:rPr>
        <w:t xml:space="preserve"> efectuează restituirea sumelor plătite în plus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 celor a căror restituire este prevăzută de </w:t>
      </w:r>
      <w:proofErr w:type="spellStart"/>
      <w:r w:rsidRPr="001D0846">
        <w:rPr>
          <w:rFonts w:ascii="Times New Roman" w:hAnsi="Times New Roman" w:cs="Times New Roman"/>
          <w:color w:val="000000"/>
          <w:sz w:val="28"/>
          <w:szCs w:val="28"/>
          <w:lang w:val="ro-MD"/>
        </w:rPr>
        <w:t>legislaţie</w:t>
      </w:r>
      <w:proofErr w:type="spellEnd"/>
      <w:r w:rsidRPr="001D0846">
        <w:rPr>
          <w:rFonts w:ascii="Times New Roman" w:hAnsi="Times New Roman" w:cs="Times New Roman"/>
          <w:color w:val="000000"/>
          <w:sz w:val="28"/>
          <w:szCs w:val="28"/>
          <w:lang w:val="ro-MD"/>
        </w:rPr>
        <w:t xml:space="preserve">; </w:t>
      </w:r>
      <w:r>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(w)</w:t>
      </w:r>
      <w:r w:rsidRPr="001D0846">
        <w:rPr>
          <w:rFonts w:ascii="Times New Roman" w:hAnsi="Times New Roman" w:cs="Times New Roman"/>
          <w:color w:val="000000"/>
          <w:sz w:val="28"/>
          <w:szCs w:val="28"/>
          <w:lang w:val="ro-MD"/>
        </w:rPr>
        <w:t xml:space="preserve"> elaborează modelul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conţinutul</w:t>
      </w:r>
      <w:proofErr w:type="spellEnd"/>
      <w:r w:rsidRPr="001D0846">
        <w:rPr>
          <w:rFonts w:ascii="Times New Roman" w:hAnsi="Times New Roman" w:cs="Times New Roman"/>
          <w:color w:val="000000"/>
          <w:sz w:val="28"/>
          <w:szCs w:val="28"/>
          <w:lang w:val="ro-MD"/>
        </w:rPr>
        <w:t xml:space="preserve"> formularelor utilizate pentru administrarea fiscală, precum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instrucţiunile</w:t>
      </w:r>
      <w:proofErr w:type="spellEnd"/>
      <w:r w:rsidRPr="001D0846">
        <w:rPr>
          <w:rFonts w:ascii="Times New Roman" w:hAnsi="Times New Roman" w:cs="Times New Roman"/>
          <w:color w:val="000000"/>
          <w:sz w:val="28"/>
          <w:szCs w:val="28"/>
          <w:lang w:val="ro-MD"/>
        </w:rPr>
        <w:t xml:space="preserve"> de completare a acestora; </w:t>
      </w:r>
      <w:r w:rsidRPr="001D0846">
        <w:rPr>
          <w:rFonts w:ascii="Times New Roman" w:hAnsi="Times New Roman" w:cs="Times New Roman"/>
          <w:i/>
          <w:color w:val="000000"/>
          <w:sz w:val="28"/>
          <w:szCs w:val="28"/>
          <w:lang w:val="ro-MD"/>
        </w:rPr>
        <w:t>(x)</w:t>
      </w:r>
      <w:r w:rsidRPr="001D0846">
        <w:rPr>
          <w:rFonts w:ascii="Times New Roman" w:hAnsi="Times New Roman" w:cs="Times New Roman"/>
          <w:color w:val="000000"/>
          <w:sz w:val="28"/>
          <w:szCs w:val="28"/>
          <w:lang w:val="ro-MD"/>
        </w:rPr>
        <w:t xml:space="preserve"> asigură, conform </w:t>
      </w:r>
      <w:proofErr w:type="spellStart"/>
      <w:r w:rsidRPr="001D0846">
        <w:rPr>
          <w:rFonts w:ascii="Times New Roman" w:hAnsi="Times New Roman" w:cs="Times New Roman"/>
          <w:color w:val="000000"/>
          <w:sz w:val="28"/>
          <w:szCs w:val="28"/>
          <w:lang w:val="ro-MD"/>
        </w:rPr>
        <w:t>legislaţiei</w:t>
      </w:r>
      <w:proofErr w:type="spellEnd"/>
      <w:r w:rsidRPr="001D0846">
        <w:rPr>
          <w:rFonts w:ascii="Times New Roman" w:hAnsi="Times New Roman" w:cs="Times New Roman"/>
          <w:color w:val="000000"/>
          <w:sz w:val="28"/>
          <w:szCs w:val="28"/>
          <w:lang w:val="ro-MD"/>
        </w:rPr>
        <w:t xml:space="preserve">, tipărirea formularelor utilizate în domeniul său de activitate, precum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tipărirea centralizată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eliberarea seriei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diapazonului de numere pentru formularele tipizate de documente primare cu regim special; </w:t>
      </w:r>
      <w:r w:rsidRPr="001D0846">
        <w:rPr>
          <w:rFonts w:ascii="Times New Roman" w:hAnsi="Times New Roman" w:cs="Times New Roman"/>
          <w:i/>
          <w:color w:val="000000"/>
          <w:sz w:val="28"/>
          <w:szCs w:val="28"/>
          <w:lang w:val="ro-MD"/>
        </w:rPr>
        <w:t>(y)</w:t>
      </w:r>
      <w:r w:rsidRPr="001D0846">
        <w:rPr>
          <w:rFonts w:ascii="Times New Roman" w:hAnsi="Times New Roman" w:cs="Times New Roman"/>
          <w:color w:val="000000"/>
          <w:sz w:val="28"/>
          <w:szCs w:val="28"/>
          <w:lang w:val="ro-MD"/>
        </w:rPr>
        <w:t xml:space="preserve"> organizează asigurarea gratuită a contribuabililor cu formulare tipizate de dări de seamă fiscale, iar contra plată – cu formulare tipizate de documente primare </w:t>
      </w:r>
      <w:r>
        <w:rPr>
          <w:rFonts w:ascii="Times New Roman" w:hAnsi="Times New Roman" w:cs="Times New Roman"/>
          <w:color w:val="000000"/>
          <w:sz w:val="28"/>
          <w:szCs w:val="28"/>
          <w:lang w:val="ro-MD"/>
        </w:rPr>
        <w:t>cu regim special pe suport de hâ</w:t>
      </w:r>
      <w:r w:rsidRPr="001D0846">
        <w:rPr>
          <w:rFonts w:ascii="Times New Roman" w:hAnsi="Times New Roman" w:cs="Times New Roman"/>
          <w:color w:val="000000"/>
          <w:sz w:val="28"/>
          <w:szCs w:val="28"/>
          <w:lang w:val="ro-MD"/>
        </w:rPr>
        <w:t xml:space="preserve">rtie, conform listei stabilite de către Guvern; </w:t>
      </w:r>
      <w:r w:rsidRPr="001D0846">
        <w:rPr>
          <w:rFonts w:ascii="Times New Roman" w:hAnsi="Times New Roman" w:cs="Times New Roman"/>
          <w:i/>
          <w:color w:val="000000"/>
          <w:sz w:val="28"/>
          <w:szCs w:val="28"/>
          <w:lang w:val="ro-MD"/>
        </w:rPr>
        <w:t>(z)</w:t>
      </w:r>
      <w:r w:rsidRPr="001D0846">
        <w:rPr>
          <w:rFonts w:ascii="Times New Roman" w:hAnsi="Times New Roman" w:cs="Times New Roman"/>
          <w:color w:val="000000"/>
          <w:sz w:val="28"/>
          <w:szCs w:val="28"/>
          <w:lang w:val="ro-MD"/>
        </w:rPr>
        <w:t xml:space="preserve"> popularizează </w:t>
      </w:r>
      <w:proofErr w:type="spellStart"/>
      <w:r w:rsidRPr="001D0846">
        <w:rPr>
          <w:rFonts w:ascii="Times New Roman" w:hAnsi="Times New Roman" w:cs="Times New Roman"/>
          <w:color w:val="000000"/>
          <w:sz w:val="28"/>
          <w:szCs w:val="28"/>
          <w:lang w:val="ro-MD"/>
        </w:rPr>
        <w:t>legislaţia</w:t>
      </w:r>
      <w:proofErr w:type="spellEnd"/>
      <w:r w:rsidRPr="001D0846">
        <w:rPr>
          <w:rFonts w:ascii="Times New Roman" w:hAnsi="Times New Roman" w:cs="Times New Roman"/>
          <w:color w:val="000000"/>
          <w:sz w:val="28"/>
          <w:szCs w:val="28"/>
          <w:lang w:val="ro-MD"/>
        </w:rPr>
        <w:t xml:space="preserve"> fiscală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prezintă, la solicitarea contribuabililor sau altor persoane, </w:t>
      </w:r>
      <w:proofErr w:type="spellStart"/>
      <w:r w:rsidRPr="001D0846">
        <w:rPr>
          <w:rFonts w:ascii="Times New Roman" w:hAnsi="Times New Roman" w:cs="Times New Roman"/>
          <w:color w:val="000000"/>
          <w:sz w:val="28"/>
          <w:szCs w:val="28"/>
          <w:lang w:val="ro-MD"/>
        </w:rPr>
        <w:t>poziţia</w:t>
      </w:r>
      <w:proofErr w:type="spellEnd"/>
      <w:r w:rsidRPr="001D0846">
        <w:rPr>
          <w:rFonts w:ascii="Times New Roman" w:hAnsi="Times New Roman" w:cs="Times New Roman"/>
          <w:color w:val="000000"/>
          <w:sz w:val="28"/>
          <w:szCs w:val="28"/>
          <w:lang w:val="ro-MD"/>
        </w:rPr>
        <w:t xml:space="preserve"> oficială a Serviciului Fiscal de Stat referitoare la aplicarea normelor fiscale conform </w:t>
      </w:r>
      <w:proofErr w:type="spellStart"/>
      <w:r w:rsidRPr="001D0846">
        <w:rPr>
          <w:rFonts w:ascii="Times New Roman" w:hAnsi="Times New Roman" w:cs="Times New Roman"/>
          <w:color w:val="000000"/>
          <w:sz w:val="28"/>
          <w:szCs w:val="28"/>
          <w:lang w:val="ro-MD"/>
        </w:rPr>
        <w:t>legislaţiei</w:t>
      </w:r>
      <w:proofErr w:type="spellEnd"/>
      <w:r w:rsidRPr="001D0846">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w:t>
      </w:r>
      <w:proofErr w:type="spellStart"/>
      <w:r w:rsidRPr="001D0846">
        <w:rPr>
          <w:rFonts w:ascii="Times New Roman" w:hAnsi="Times New Roman" w:cs="Times New Roman"/>
          <w:i/>
          <w:color w:val="000000"/>
          <w:sz w:val="28"/>
          <w:szCs w:val="28"/>
          <w:lang w:val="ro-MD"/>
        </w:rPr>
        <w:t>aa</w:t>
      </w:r>
      <w:proofErr w:type="spellEnd"/>
      <w:r w:rsidRPr="001D0846">
        <w:rPr>
          <w:rFonts w:ascii="Times New Roman" w:hAnsi="Times New Roman" w:cs="Times New Roman"/>
          <w:i/>
          <w:color w:val="000000"/>
          <w:sz w:val="28"/>
          <w:szCs w:val="28"/>
          <w:lang w:val="ro-MD"/>
        </w:rPr>
        <w:t>)</w:t>
      </w:r>
      <w:r w:rsidRPr="001D0846">
        <w:rPr>
          <w:rFonts w:ascii="Times New Roman" w:hAnsi="Times New Roman" w:cs="Times New Roman"/>
          <w:color w:val="000000"/>
          <w:sz w:val="28"/>
          <w:szCs w:val="28"/>
          <w:lang w:val="ro-MD"/>
        </w:rPr>
        <w:t xml:space="preserve"> asigură aplicarea unitară, corectă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nediscriminatorie a reglementărilor privind impozitele, taxele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alte venituri la bugetul public </w:t>
      </w:r>
      <w:proofErr w:type="spellStart"/>
      <w:r w:rsidRPr="001D0846">
        <w:rPr>
          <w:rFonts w:ascii="Times New Roman" w:hAnsi="Times New Roman" w:cs="Times New Roman"/>
          <w:color w:val="000000"/>
          <w:sz w:val="28"/>
          <w:szCs w:val="28"/>
          <w:lang w:val="ro-MD"/>
        </w:rPr>
        <w:t>naţional</w:t>
      </w:r>
      <w:proofErr w:type="spellEnd"/>
      <w:r w:rsidRPr="001D0846">
        <w:rPr>
          <w:rFonts w:ascii="Times New Roman" w:hAnsi="Times New Roman" w:cs="Times New Roman"/>
          <w:color w:val="000000"/>
          <w:sz w:val="28"/>
          <w:szCs w:val="28"/>
          <w:lang w:val="ro-MD"/>
        </w:rPr>
        <w:t xml:space="preserve"> date în </w:t>
      </w:r>
      <w:proofErr w:type="spellStart"/>
      <w:r w:rsidRPr="001D0846">
        <w:rPr>
          <w:rFonts w:ascii="Times New Roman" w:hAnsi="Times New Roman" w:cs="Times New Roman"/>
          <w:color w:val="000000"/>
          <w:sz w:val="28"/>
          <w:szCs w:val="28"/>
          <w:lang w:val="ro-MD"/>
        </w:rPr>
        <w:t>competenţa</w:t>
      </w:r>
      <w:proofErr w:type="spellEnd"/>
      <w:r w:rsidRPr="001D0846">
        <w:rPr>
          <w:rFonts w:ascii="Times New Roman" w:hAnsi="Times New Roman" w:cs="Times New Roman"/>
          <w:color w:val="000000"/>
          <w:sz w:val="28"/>
          <w:szCs w:val="28"/>
          <w:lang w:val="ro-MD"/>
        </w:rPr>
        <w:t xml:space="preserve"> sa, în </w:t>
      </w:r>
      <w:r w:rsidRPr="001D0846">
        <w:rPr>
          <w:rFonts w:ascii="Times New Roman" w:hAnsi="Times New Roman" w:cs="Times New Roman"/>
          <w:color w:val="000000"/>
          <w:sz w:val="28"/>
          <w:szCs w:val="28"/>
          <w:lang w:val="ro-MD"/>
        </w:rPr>
        <w:lastRenderedPageBreak/>
        <w:t xml:space="preserve">vederea aplicării unui tratament echitabil tuturor contribuabililor; </w:t>
      </w:r>
      <w:r w:rsidRPr="001D0846">
        <w:rPr>
          <w:rFonts w:ascii="Times New Roman" w:hAnsi="Times New Roman" w:cs="Times New Roman"/>
          <w:i/>
          <w:color w:val="000000"/>
          <w:sz w:val="28"/>
          <w:szCs w:val="28"/>
          <w:lang w:val="ro-MD"/>
        </w:rPr>
        <w:t>(</w:t>
      </w:r>
      <w:proofErr w:type="spellStart"/>
      <w:r w:rsidRPr="001D0846">
        <w:rPr>
          <w:rFonts w:ascii="Times New Roman" w:hAnsi="Times New Roman" w:cs="Times New Roman"/>
          <w:i/>
          <w:color w:val="000000"/>
          <w:sz w:val="28"/>
          <w:szCs w:val="28"/>
          <w:lang w:val="ro-MD"/>
        </w:rPr>
        <w:t>bb</w:t>
      </w:r>
      <w:proofErr w:type="spellEnd"/>
      <w:r w:rsidRPr="001D0846">
        <w:rPr>
          <w:rFonts w:ascii="Times New Roman" w:hAnsi="Times New Roman" w:cs="Times New Roman"/>
          <w:i/>
          <w:color w:val="000000"/>
          <w:sz w:val="28"/>
          <w:szCs w:val="28"/>
          <w:lang w:val="ro-MD"/>
        </w:rPr>
        <w:t>)</w:t>
      </w:r>
      <w:r w:rsidRPr="001D0846">
        <w:rPr>
          <w:rFonts w:ascii="Times New Roman" w:hAnsi="Times New Roman" w:cs="Times New Roman"/>
          <w:color w:val="000000"/>
          <w:sz w:val="28"/>
          <w:szCs w:val="28"/>
          <w:lang w:val="ro-MD"/>
        </w:rPr>
        <w:t xml:space="preserve"> elaborează norme metodologice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proceduri de efectuare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suspendare a controalelor fiscale; </w:t>
      </w:r>
      <w:r w:rsidRPr="001D0846">
        <w:rPr>
          <w:rFonts w:ascii="Times New Roman" w:hAnsi="Times New Roman" w:cs="Times New Roman"/>
          <w:i/>
          <w:color w:val="000000"/>
          <w:sz w:val="28"/>
          <w:szCs w:val="28"/>
          <w:lang w:val="ro-MD"/>
        </w:rPr>
        <w:t>(cc)</w:t>
      </w:r>
      <w:r w:rsidRPr="001D0846">
        <w:rPr>
          <w:rFonts w:ascii="Times New Roman" w:hAnsi="Times New Roman" w:cs="Times New Roman"/>
          <w:color w:val="000000"/>
          <w:sz w:val="28"/>
          <w:szCs w:val="28"/>
          <w:lang w:val="ro-MD"/>
        </w:rPr>
        <w:t xml:space="preserve"> asigură aplicarea </w:t>
      </w:r>
      <w:proofErr w:type="spellStart"/>
      <w:r w:rsidRPr="001D0846">
        <w:rPr>
          <w:rFonts w:ascii="Times New Roman" w:hAnsi="Times New Roman" w:cs="Times New Roman"/>
          <w:color w:val="000000"/>
          <w:sz w:val="28"/>
          <w:szCs w:val="28"/>
          <w:lang w:val="ro-MD"/>
        </w:rPr>
        <w:t>legislaţiei</w:t>
      </w:r>
      <w:proofErr w:type="spellEnd"/>
      <w:r w:rsidRPr="001D0846">
        <w:rPr>
          <w:rFonts w:ascii="Times New Roman" w:hAnsi="Times New Roman" w:cs="Times New Roman"/>
          <w:color w:val="000000"/>
          <w:sz w:val="28"/>
          <w:szCs w:val="28"/>
          <w:lang w:val="ro-MD"/>
        </w:rPr>
        <w:t xml:space="preserve"> fiscale în domeniul impozitelor, taxelor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altor venituri la bugetul public </w:t>
      </w:r>
      <w:proofErr w:type="spellStart"/>
      <w:r w:rsidRPr="001D0846">
        <w:rPr>
          <w:rFonts w:ascii="Times New Roman" w:hAnsi="Times New Roman" w:cs="Times New Roman"/>
          <w:color w:val="000000"/>
          <w:sz w:val="28"/>
          <w:szCs w:val="28"/>
          <w:lang w:val="ro-MD"/>
        </w:rPr>
        <w:t>naţional</w:t>
      </w:r>
      <w:proofErr w:type="spellEnd"/>
      <w:r w:rsidRPr="001D0846">
        <w:rPr>
          <w:rFonts w:ascii="Times New Roman" w:hAnsi="Times New Roman" w:cs="Times New Roman"/>
          <w:color w:val="000000"/>
          <w:sz w:val="28"/>
          <w:szCs w:val="28"/>
          <w:lang w:val="ro-MD"/>
        </w:rPr>
        <w:t xml:space="preserve"> date în </w:t>
      </w:r>
      <w:proofErr w:type="spellStart"/>
      <w:r w:rsidRPr="001D0846">
        <w:rPr>
          <w:rFonts w:ascii="Times New Roman" w:hAnsi="Times New Roman" w:cs="Times New Roman"/>
          <w:color w:val="000000"/>
          <w:sz w:val="28"/>
          <w:szCs w:val="28"/>
          <w:lang w:val="ro-MD"/>
        </w:rPr>
        <w:t>competenţa</w:t>
      </w:r>
      <w:proofErr w:type="spellEnd"/>
      <w:r w:rsidRPr="001D0846">
        <w:rPr>
          <w:rFonts w:ascii="Times New Roman" w:hAnsi="Times New Roman" w:cs="Times New Roman"/>
          <w:color w:val="000000"/>
          <w:sz w:val="28"/>
          <w:szCs w:val="28"/>
          <w:lang w:val="ro-MD"/>
        </w:rPr>
        <w:t xml:space="preserve"> sa; </w:t>
      </w:r>
      <w:r w:rsidRPr="001D0846">
        <w:rPr>
          <w:rFonts w:ascii="Times New Roman" w:hAnsi="Times New Roman" w:cs="Times New Roman"/>
          <w:i/>
          <w:color w:val="000000"/>
          <w:sz w:val="28"/>
          <w:szCs w:val="28"/>
          <w:lang w:val="ro-MD"/>
        </w:rPr>
        <w:t>(</w:t>
      </w:r>
      <w:proofErr w:type="spellStart"/>
      <w:r w:rsidRPr="001D0846">
        <w:rPr>
          <w:rFonts w:ascii="Times New Roman" w:hAnsi="Times New Roman" w:cs="Times New Roman"/>
          <w:i/>
          <w:color w:val="000000"/>
          <w:sz w:val="28"/>
          <w:szCs w:val="28"/>
          <w:lang w:val="ro-MD"/>
        </w:rPr>
        <w:t>dd</w:t>
      </w:r>
      <w:proofErr w:type="spellEnd"/>
      <w:r w:rsidRPr="001D0846">
        <w:rPr>
          <w:rFonts w:ascii="Times New Roman" w:hAnsi="Times New Roman" w:cs="Times New Roman"/>
          <w:i/>
          <w:color w:val="000000"/>
          <w:sz w:val="28"/>
          <w:szCs w:val="28"/>
          <w:lang w:val="ro-MD"/>
        </w:rPr>
        <w:t>)</w:t>
      </w:r>
      <w:r w:rsidRPr="001D0846">
        <w:rPr>
          <w:rFonts w:ascii="Times New Roman" w:hAnsi="Times New Roman" w:cs="Times New Roman"/>
          <w:color w:val="000000"/>
          <w:sz w:val="28"/>
          <w:szCs w:val="28"/>
          <w:lang w:val="ro-MD"/>
        </w:rPr>
        <w:t xml:space="preserve"> furnizează Ministerului </w:t>
      </w:r>
      <w:proofErr w:type="spellStart"/>
      <w:r w:rsidRPr="001D0846">
        <w:rPr>
          <w:rFonts w:ascii="Times New Roman" w:hAnsi="Times New Roman" w:cs="Times New Roman"/>
          <w:color w:val="000000"/>
          <w:sz w:val="28"/>
          <w:szCs w:val="28"/>
          <w:lang w:val="ro-MD"/>
        </w:rPr>
        <w:t>Finanţelor</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autorităţilor</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administraţiei</w:t>
      </w:r>
      <w:proofErr w:type="spellEnd"/>
      <w:r w:rsidRPr="001D0846">
        <w:rPr>
          <w:rFonts w:ascii="Times New Roman" w:hAnsi="Times New Roman" w:cs="Times New Roman"/>
          <w:color w:val="000000"/>
          <w:sz w:val="28"/>
          <w:szCs w:val="28"/>
          <w:lang w:val="ro-MD"/>
        </w:rPr>
        <w:t xml:space="preserve"> publice locale </w:t>
      </w:r>
      <w:proofErr w:type="spellStart"/>
      <w:r w:rsidRPr="001D0846">
        <w:rPr>
          <w:rFonts w:ascii="Times New Roman" w:hAnsi="Times New Roman" w:cs="Times New Roman"/>
          <w:color w:val="000000"/>
          <w:sz w:val="28"/>
          <w:szCs w:val="28"/>
          <w:lang w:val="ro-MD"/>
        </w:rPr>
        <w:t>informaţiile</w:t>
      </w:r>
      <w:proofErr w:type="spellEnd"/>
      <w:r w:rsidRPr="001D0846">
        <w:rPr>
          <w:rFonts w:ascii="Times New Roman" w:hAnsi="Times New Roman" w:cs="Times New Roman"/>
          <w:color w:val="000000"/>
          <w:sz w:val="28"/>
          <w:szCs w:val="28"/>
          <w:lang w:val="ro-MD"/>
        </w:rPr>
        <w:t xml:space="preserve"> necesare fundamentării bugetelor respective; </w:t>
      </w:r>
      <w:r w:rsidRPr="001D0846">
        <w:rPr>
          <w:rFonts w:ascii="Times New Roman" w:hAnsi="Times New Roman" w:cs="Times New Roman"/>
          <w:i/>
          <w:color w:val="000000"/>
          <w:sz w:val="28"/>
          <w:szCs w:val="28"/>
          <w:lang w:val="ro-MD"/>
        </w:rPr>
        <w:t>(</w:t>
      </w:r>
      <w:proofErr w:type="spellStart"/>
      <w:r w:rsidRPr="001D0846">
        <w:rPr>
          <w:rFonts w:ascii="Times New Roman" w:hAnsi="Times New Roman" w:cs="Times New Roman"/>
          <w:i/>
          <w:color w:val="000000"/>
          <w:sz w:val="28"/>
          <w:szCs w:val="28"/>
          <w:lang w:val="ro-MD"/>
        </w:rPr>
        <w:t>ee</w:t>
      </w:r>
      <w:proofErr w:type="spellEnd"/>
      <w:r w:rsidRPr="001D0846">
        <w:rPr>
          <w:rFonts w:ascii="Times New Roman" w:hAnsi="Times New Roman" w:cs="Times New Roman"/>
          <w:i/>
          <w:color w:val="000000"/>
          <w:sz w:val="28"/>
          <w:szCs w:val="28"/>
          <w:lang w:val="ro-MD"/>
        </w:rPr>
        <w:t>)</w:t>
      </w:r>
      <w:r w:rsidRPr="001D0846">
        <w:rPr>
          <w:rFonts w:ascii="Times New Roman" w:hAnsi="Times New Roman" w:cs="Times New Roman"/>
          <w:color w:val="000000"/>
          <w:sz w:val="28"/>
          <w:szCs w:val="28"/>
          <w:lang w:val="ro-MD"/>
        </w:rPr>
        <w:t xml:space="preserve"> sigilează </w:t>
      </w:r>
      <w:proofErr w:type="spellStart"/>
      <w:r w:rsidRPr="001D0846">
        <w:rPr>
          <w:rFonts w:ascii="Times New Roman" w:hAnsi="Times New Roman" w:cs="Times New Roman"/>
          <w:color w:val="000000"/>
          <w:sz w:val="28"/>
          <w:szCs w:val="28"/>
          <w:lang w:val="ro-MD"/>
        </w:rPr>
        <w:t>maşinile</w:t>
      </w:r>
      <w:proofErr w:type="spellEnd"/>
      <w:r w:rsidRPr="001D0846">
        <w:rPr>
          <w:rFonts w:ascii="Times New Roman" w:hAnsi="Times New Roman" w:cs="Times New Roman"/>
          <w:color w:val="000000"/>
          <w:sz w:val="28"/>
          <w:szCs w:val="28"/>
          <w:lang w:val="ro-MD"/>
        </w:rPr>
        <w:t xml:space="preserve"> de casă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de control ale contribuabililor, </w:t>
      </w:r>
      <w:proofErr w:type="spellStart"/>
      <w:r w:rsidRPr="001D0846">
        <w:rPr>
          <w:rFonts w:ascii="Times New Roman" w:hAnsi="Times New Roman" w:cs="Times New Roman"/>
          <w:color w:val="000000"/>
          <w:sz w:val="28"/>
          <w:szCs w:val="28"/>
          <w:lang w:val="ro-MD"/>
        </w:rPr>
        <w:t>ţine</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evidenţa</w:t>
      </w:r>
      <w:proofErr w:type="spellEnd"/>
      <w:r w:rsidRPr="001D0846">
        <w:rPr>
          <w:rFonts w:ascii="Times New Roman" w:hAnsi="Times New Roman" w:cs="Times New Roman"/>
          <w:color w:val="000000"/>
          <w:sz w:val="28"/>
          <w:szCs w:val="28"/>
          <w:lang w:val="ro-MD"/>
        </w:rPr>
        <w:t xml:space="preserve"> lor, efectuează controale privind utilizarea </w:t>
      </w:r>
      <w:proofErr w:type="spellStart"/>
      <w:r w:rsidRPr="001D0846">
        <w:rPr>
          <w:rFonts w:ascii="Times New Roman" w:hAnsi="Times New Roman" w:cs="Times New Roman"/>
          <w:color w:val="000000"/>
          <w:sz w:val="28"/>
          <w:szCs w:val="28"/>
          <w:lang w:val="ro-MD"/>
        </w:rPr>
        <w:t>maşinilor</w:t>
      </w:r>
      <w:proofErr w:type="spellEnd"/>
      <w:r w:rsidRPr="001D0846">
        <w:rPr>
          <w:rFonts w:ascii="Times New Roman" w:hAnsi="Times New Roman" w:cs="Times New Roman"/>
          <w:color w:val="000000"/>
          <w:sz w:val="28"/>
          <w:szCs w:val="28"/>
          <w:lang w:val="ro-MD"/>
        </w:rPr>
        <w:t xml:space="preserve"> de casă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de control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 terminalelor POS la decontările în numerar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privind asigurarea păstrării benzilor de control emise de acestea; </w:t>
      </w:r>
      <w:r w:rsidRPr="001D0846">
        <w:rPr>
          <w:rFonts w:ascii="Times New Roman" w:hAnsi="Times New Roman" w:cs="Times New Roman"/>
          <w:i/>
          <w:color w:val="000000"/>
          <w:sz w:val="28"/>
          <w:szCs w:val="28"/>
          <w:lang w:val="ro-MD"/>
        </w:rPr>
        <w:t>(ff)</w:t>
      </w:r>
      <w:r w:rsidRPr="001D0846">
        <w:rPr>
          <w:rFonts w:ascii="Times New Roman" w:hAnsi="Times New Roman" w:cs="Times New Roman"/>
          <w:color w:val="000000"/>
          <w:sz w:val="28"/>
          <w:szCs w:val="28"/>
          <w:lang w:val="ro-MD"/>
        </w:rPr>
        <w:t xml:space="preserve"> efectuează verificarea softurilor instalate în </w:t>
      </w:r>
      <w:proofErr w:type="spellStart"/>
      <w:r w:rsidRPr="001D0846">
        <w:rPr>
          <w:rFonts w:ascii="Times New Roman" w:hAnsi="Times New Roman" w:cs="Times New Roman"/>
          <w:color w:val="000000"/>
          <w:sz w:val="28"/>
          <w:szCs w:val="28"/>
          <w:lang w:val="ro-MD"/>
        </w:rPr>
        <w:t>maşinile</w:t>
      </w:r>
      <w:proofErr w:type="spellEnd"/>
      <w:r w:rsidRPr="001D0846">
        <w:rPr>
          <w:rFonts w:ascii="Times New Roman" w:hAnsi="Times New Roman" w:cs="Times New Roman"/>
          <w:color w:val="000000"/>
          <w:sz w:val="28"/>
          <w:szCs w:val="28"/>
          <w:lang w:val="ro-MD"/>
        </w:rPr>
        <w:t xml:space="preserve"> de casă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de control ridicate de la contribuabili, a sistemelor </w:t>
      </w:r>
      <w:proofErr w:type="spellStart"/>
      <w:r w:rsidRPr="001D0846">
        <w:rPr>
          <w:rFonts w:ascii="Times New Roman" w:hAnsi="Times New Roman" w:cs="Times New Roman"/>
          <w:color w:val="000000"/>
          <w:sz w:val="28"/>
          <w:szCs w:val="28"/>
          <w:lang w:val="ro-MD"/>
        </w:rPr>
        <w:t>informaţionale</w:t>
      </w:r>
      <w:proofErr w:type="spellEnd"/>
      <w:r w:rsidRPr="001D0846">
        <w:rPr>
          <w:rFonts w:ascii="Times New Roman" w:hAnsi="Times New Roman" w:cs="Times New Roman"/>
          <w:color w:val="000000"/>
          <w:sz w:val="28"/>
          <w:szCs w:val="28"/>
          <w:lang w:val="ro-MD"/>
        </w:rPr>
        <w:t xml:space="preserve"> de </w:t>
      </w:r>
      <w:proofErr w:type="spellStart"/>
      <w:r w:rsidRPr="001D0846">
        <w:rPr>
          <w:rFonts w:ascii="Times New Roman" w:hAnsi="Times New Roman" w:cs="Times New Roman"/>
          <w:color w:val="000000"/>
          <w:sz w:val="28"/>
          <w:szCs w:val="28"/>
          <w:lang w:val="ro-MD"/>
        </w:rPr>
        <w:t>ţinere</w:t>
      </w:r>
      <w:proofErr w:type="spellEnd"/>
      <w:r w:rsidRPr="001D0846">
        <w:rPr>
          <w:rFonts w:ascii="Times New Roman" w:hAnsi="Times New Roman" w:cs="Times New Roman"/>
          <w:color w:val="000000"/>
          <w:sz w:val="28"/>
          <w:szCs w:val="28"/>
          <w:lang w:val="ro-MD"/>
        </w:rPr>
        <w:t xml:space="preserve"> a </w:t>
      </w:r>
      <w:proofErr w:type="spellStart"/>
      <w:r w:rsidRPr="001D0846">
        <w:rPr>
          <w:rFonts w:ascii="Times New Roman" w:hAnsi="Times New Roman" w:cs="Times New Roman"/>
          <w:color w:val="000000"/>
          <w:sz w:val="28"/>
          <w:szCs w:val="28"/>
          <w:lang w:val="ro-MD"/>
        </w:rPr>
        <w:t>evidenţei</w:t>
      </w:r>
      <w:proofErr w:type="spellEnd"/>
      <w:r w:rsidRPr="001D0846">
        <w:rPr>
          <w:rFonts w:ascii="Times New Roman" w:hAnsi="Times New Roman" w:cs="Times New Roman"/>
          <w:color w:val="000000"/>
          <w:sz w:val="28"/>
          <w:szCs w:val="28"/>
          <w:lang w:val="ro-MD"/>
        </w:rPr>
        <w:t xml:space="preserve"> fiscale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contabile; </w:t>
      </w:r>
      <w:r w:rsidRPr="001D0846">
        <w:rPr>
          <w:rFonts w:ascii="Times New Roman" w:hAnsi="Times New Roman" w:cs="Times New Roman"/>
          <w:i/>
          <w:color w:val="000000"/>
          <w:sz w:val="28"/>
          <w:szCs w:val="28"/>
          <w:lang w:val="ro-MD"/>
        </w:rPr>
        <w:t>(</w:t>
      </w:r>
      <w:proofErr w:type="spellStart"/>
      <w:r w:rsidRPr="001D0846">
        <w:rPr>
          <w:rFonts w:ascii="Times New Roman" w:hAnsi="Times New Roman" w:cs="Times New Roman"/>
          <w:i/>
          <w:color w:val="000000"/>
          <w:sz w:val="28"/>
          <w:szCs w:val="28"/>
          <w:lang w:val="ro-MD"/>
        </w:rPr>
        <w:t>gg</w:t>
      </w:r>
      <w:proofErr w:type="spellEnd"/>
      <w:r w:rsidRPr="001D0846">
        <w:rPr>
          <w:rFonts w:ascii="Times New Roman" w:hAnsi="Times New Roman" w:cs="Times New Roman"/>
          <w:i/>
          <w:color w:val="000000"/>
          <w:sz w:val="28"/>
          <w:szCs w:val="28"/>
          <w:lang w:val="ro-MD"/>
        </w:rPr>
        <w:t>)</w:t>
      </w:r>
      <w:r w:rsidRPr="001D0846">
        <w:rPr>
          <w:rFonts w:ascii="Times New Roman" w:hAnsi="Times New Roman" w:cs="Times New Roman"/>
          <w:color w:val="000000"/>
          <w:sz w:val="28"/>
          <w:szCs w:val="28"/>
          <w:lang w:val="ro-MD"/>
        </w:rPr>
        <w:t xml:space="preserve"> organizează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efectuează, după caz, executarea silită a </w:t>
      </w:r>
      <w:proofErr w:type="spellStart"/>
      <w:r w:rsidRPr="001D0846">
        <w:rPr>
          <w:rFonts w:ascii="Times New Roman" w:hAnsi="Times New Roman" w:cs="Times New Roman"/>
          <w:color w:val="000000"/>
          <w:sz w:val="28"/>
          <w:szCs w:val="28"/>
          <w:lang w:val="ro-MD"/>
        </w:rPr>
        <w:t>obligaţiilor</w:t>
      </w:r>
      <w:proofErr w:type="spellEnd"/>
      <w:r w:rsidRPr="001D0846">
        <w:rPr>
          <w:rFonts w:ascii="Times New Roman" w:hAnsi="Times New Roman" w:cs="Times New Roman"/>
          <w:color w:val="000000"/>
          <w:sz w:val="28"/>
          <w:szCs w:val="28"/>
          <w:lang w:val="ro-MD"/>
        </w:rPr>
        <w:t xml:space="preserve"> fiscale, de asemenea, verifică corectitudinea </w:t>
      </w:r>
      <w:proofErr w:type="spellStart"/>
      <w:r w:rsidRPr="001D0846">
        <w:rPr>
          <w:rFonts w:ascii="Times New Roman" w:hAnsi="Times New Roman" w:cs="Times New Roman"/>
          <w:color w:val="000000"/>
          <w:sz w:val="28"/>
          <w:szCs w:val="28"/>
          <w:lang w:val="ro-MD"/>
        </w:rPr>
        <w:t>acţiunilor</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procedurii de alăturare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raportare, prevăzute la art. 197 alin.(31)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la art. 229 alin.(22) din Codul fiscal, realizate de către executorul judecătoresc; </w:t>
      </w:r>
      <w:r w:rsidRPr="001D0846">
        <w:rPr>
          <w:rFonts w:ascii="Times New Roman" w:hAnsi="Times New Roman" w:cs="Times New Roman"/>
          <w:i/>
          <w:color w:val="000000"/>
          <w:sz w:val="28"/>
          <w:szCs w:val="28"/>
          <w:lang w:val="ro-MD"/>
        </w:rPr>
        <w:t>(</w:t>
      </w:r>
      <w:proofErr w:type="spellStart"/>
      <w:r w:rsidRPr="001D0846">
        <w:rPr>
          <w:rFonts w:ascii="Times New Roman" w:hAnsi="Times New Roman" w:cs="Times New Roman"/>
          <w:i/>
          <w:color w:val="000000"/>
          <w:sz w:val="28"/>
          <w:szCs w:val="28"/>
          <w:lang w:val="ro-MD"/>
        </w:rPr>
        <w:t>hh</w:t>
      </w:r>
      <w:proofErr w:type="spellEnd"/>
      <w:r w:rsidRPr="001D0846">
        <w:rPr>
          <w:rFonts w:ascii="Times New Roman" w:hAnsi="Times New Roman" w:cs="Times New Roman"/>
          <w:i/>
          <w:color w:val="000000"/>
          <w:sz w:val="28"/>
          <w:szCs w:val="28"/>
          <w:lang w:val="ro-MD"/>
        </w:rPr>
        <w:t>)</w:t>
      </w:r>
      <w:r>
        <w:rPr>
          <w:rFonts w:ascii="Times New Roman" w:hAnsi="Times New Roman" w:cs="Times New Roman"/>
          <w:color w:val="000000"/>
          <w:sz w:val="28"/>
          <w:szCs w:val="28"/>
          <w:lang w:val="ro-MD"/>
        </w:rPr>
        <w:t xml:space="preserve"> organizează concursuri, stimulâ</w:t>
      </w:r>
      <w:r w:rsidRPr="001D0846">
        <w:rPr>
          <w:rFonts w:ascii="Times New Roman" w:hAnsi="Times New Roman" w:cs="Times New Roman"/>
          <w:color w:val="000000"/>
          <w:sz w:val="28"/>
          <w:szCs w:val="28"/>
          <w:lang w:val="ro-MD"/>
        </w:rPr>
        <w:t xml:space="preserve">nd din surse bugetare contribuabilii care, direct sau indirect, au participat la </w:t>
      </w:r>
      <w:proofErr w:type="spellStart"/>
      <w:r w:rsidRPr="001D0846">
        <w:rPr>
          <w:rFonts w:ascii="Times New Roman" w:hAnsi="Times New Roman" w:cs="Times New Roman"/>
          <w:color w:val="000000"/>
          <w:sz w:val="28"/>
          <w:szCs w:val="28"/>
          <w:lang w:val="ro-MD"/>
        </w:rPr>
        <w:t>îmbunătăţirea</w:t>
      </w:r>
      <w:proofErr w:type="spellEnd"/>
      <w:r w:rsidRPr="001D0846">
        <w:rPr>
          <w:rFonts w:ascii="Times New Roman" w:hAnsi="Times New Roman" w:cs="Times New Roman"/>
          <w:color w:val="000000"/>
          <w:sz w:val="28"/>
          <w:szCs w:val="28"/>
          <w:lang w:val="ro-MD"/>
        </w:rPr>
        <w:t xml:space="preserve"> procesului de administrare fiscală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/sau la majorarea încasărilor la BPN; </w:t>
      </w:r>
      <w:r>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(ii)</w:t>
      </w:r>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stabileşte</w:t>
      </w:r>
      <w:proofErr w:type="spellEnd"/>
      <w:r w:rsidRPr="001D0846">
        <w:rPr>
          <w:rFonts w:ascii="Times New Roman" w:hAnsi="Times New Roman" w:cs="Times New Roman"/>
          <w:color w:val="000000"/>
          <w:sz w:val="28"/>
          <w:szCs w:val="28"/>
          <w:lang w:val="ro-MD"/>
        </w:rPr>
        <w:t xml:space="preserve"> criteriile de selectare a contribuabililor mari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aprobă lista acestora; </w:t>
      </w:r>
      <w:r w:rsidRPr="001D0846">
        <w:rPr>
          <w:rFonts w:ascii="Times New Roman" w:hAnsi="Times New Roman" w:cs="Times New Roman"/>
          <w:i/>
          <w:color w:val="000000"/>
          <w:sz w:val="28"/>
          <w:szCs w:val="28"/>
          <w:lang w:val="ro-MD"/>
        </w:rPr>
        <w:t>(</w:t>
      </w:r>
      <w:proofErr w:type="spellStart"/>
      <w:r w:rsidRPr="001D0846">
        <w:rPr>
          <w:rFonts w:ascii="Times New Roman" w:hAnsi="Times New Roman" w:cs="Times New Roman"/>
          <w:i/>
          <w:color w:val="000000"/>
          <w:sz w:val="28"/>
          <w:szCs w:val="28"/>
          <w:lang w:val="ro-MD"/>
        </w:rPr>
        <w:t>jj</w:t>
      </w:r>
      <w:proofErr w:type="spellEnd"/>
      <w:r w:rsidRPr="001D0846">
        <w:rPr>
          <w:rFonts w:ascii="Times New Roman" w:hAnsi="Times New Roman" w:cs="Times New Roman"/>
          <w:i/>
          <w:color w:val="000000"/>
          <w:sz w:val="28"/>
          <w:szCs w:val="28"/>
          <w:lang w:val="ro-MD"/>
        </w:rPr>
        <w:t>)</w:t>
      </w:r>
      <w:r w:rsidRPr="001D0846">
        <w:rPr>
          <w:rFonts w:ascii="Times New Roman" w:hAnsi="Times New Roman" w:cs="Times New Roman"/>
          <w:color w:val="000000"/>
          <w:sz w:val="28"/>
          <w:szCs w:val="28"/>
          <w:lang w:val="ro-MD"/>
        </w:rPr>
        <w:t xml:space="preserve"> confirmă contribuabililor </w:t>
      </w:r>
      <w:proofErr w:type="spellStart"/>
      <w:r w:rsidRPr="001D0846">
        <w:rPr>
          <w:rFonts w:ascii="Times New Roman" w:hAnsi="Times New Roman" w:cs="Times New Roman"/>
          <w:color w:val="000000"/>
          <w:sz w:val="28"/>
          <w:szCs w:val="28"/>
          <w:lang w:val="ro-MD"/>
        </w:rPr>
        <w:t>rezidenţa</w:t>
      </w:r>
      <w:proofErr w:type="spellEnd"/>
      <w:r w:rsidRPr="001D0846">
        <w:rPr>
          <w:rFonts w:ascii="Times New Roman" w:hAnsi="Times New Roman" w:cs="Times New Roman"/>
          <w:color w:val="000000"/>
          <w:sz w:val="28"/>
          <w:szCs w:val="28"/>
          <w:lang w:val="ro-MD"/>
        </w:rPr>
        <w:t xml:space="preserve"> fiscală în scopul beneficierii de prevederile </w:t>
      </w:r>
      <w:proofErr w:type="spellStart"/>
      <w:r w:rsidRPr="001D0846">
        <w:rPr>
          <w:rFonts w:ascii="Times New Roman" w:hAnsi="Times New Roman" w:cs="Times New Roman"/>
          <w:color w:val="000000"/>
          <w:sz w:val="28"/>
          <w:szCs w:val="28"/>
          <w:lang w:val="ro-MD"/>
        </w:rPr>
        <w:t>convenţiilor</w:t>
      </w:r>
      <w:proofErr w:type="spellEnd"/>
      <w:r w:rsidRPr="001D0846">
        <w:rPr>
          <w:rFonts w:ascii="Times New Roman" w:hAnsi="Times New Roman" w:cs="Times New Roman"/>
          <w:color w:val="000000"/>
          <w:sz w:val="28"/>
          <w:szCs w:val="28"/>
          <w:lang w:val="ro-MD"/>
        </w:rPr>
        <w:t xml:space="preserve"> (acordurilor) pentru evitarea dublei impuneri, încheiate între Republica Moldova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alte state în modul stabilit de </w:t>
      </w:r>
      <w:proofErr w:type="spellStart"/>
      <w:r w:rsidRPr="001D0846">
        <w:rPr>
          <w:rFonts w:ascii="Times New Roman" w:hAnsi="Times New Roman" w:cs="Times New Roman"/>
          <w:color w:val="000000"/>
          <w:sz w:val="28"/>
          <w:szCs w:val="28"/>
          <w:lang w:val="ro-MD"/>
        </w:rPr>
        <w:t>legislaţie</w:t>
      </w:r>
      <w:proofErr w:type="spellEnd"/>
      <w:r w:rsidRPr="001D0846">
        <w:rPr>
          <w:rFonts w:ascii="Times New Roman" w:hAnsi="Times New Roman" w:cs="Times New Roman"/>
          <w:color w:val="000000"/>
          <w:sz w:val="28"/>
          <w:szCs w:val="28"/>
          <w:lang w:val="ro-MD"/>
        </w:rPr>
        <w:t>.</w:t>
      </w:r>
    </w:p>
    <w:p w:rsidR="00714F5D" w:rsidRPr="001D0846" w:rsidRDefault="00714F5D" w:rsidP="00714F5D">
      <w:pPr>
        <w:widowControl w:val="0"/>
        <w:tabs>
          <w:tab w:val="left" w:pos="720"/>
        </w:tabs>
        <w:autoSpaceDE w:val="0"/>
        <w:autoSpaceDN w:val="0"/>
        <w:adjustRightInd w:val="0"/>
        <w:spacing w:after="0" w:line="276" w:lineRule="auto"/>
        <w:jc w:val="both"/>
        <w:rPr>
          <w:rFonts w:ascii="Times New Roman" w:hAnsi="Times New Roman" w:cs="Times New Roman"/>
          <w:color w:val="000000"/>
          <w:sz w:val="28"/>
          <w:szCs w:val="28"/>
        </w:rPr>
      </w:pPr>
      <w:r w:rsidRPr="001D0846">
        <w:rPr>
          <w:rFonts w:ascii="Times New Roman" w:hAnsi="Times New Roman" w:cs="Times New Roman"/>
          <w:color w:val="000000"/>
          <w:sz w:val="28"/>
          <w:szCs w:val="28"/>
        </w:rPr>
        <w:tab/>
        <w:t xml:space="preserve">Funcțiile de bază ale Serviciului Vamal constau în: </w:t>
      </w:r>
      <w:r w:rsidRPr="001D0846">
        <w:rPr>
          <w:rFonts w:ascii="Times New Roman" w:hAnsi="Times New Roman" w:cs="Times New Roman"/>
          <w:i/>
          <w:color w:val="000000"/>
          <w:sz w:val="28"/>
          <w:szCs w:val="28"/>
        </w:rPr>
        <w:t>(i)</w:t>
      </w:r>
      <w:r w:rsidRPr="001D0846">
        <w:rPr>
          <w:rFonts w:ascii="Times New Roman" w:hAnsi="Times New Roman" w:cs="Times New Roman"/>
          <w:color w:val="000000"/>
          <w:sz w:val="28"/>
          <w:szCs w:val="28"/>
        </w:rPr>
        <w:t xml:space="preserve"> asigurarea </w:t>
      </w:r>
      <w:proofErr w:type="spellStart"/>
      <w:r w:rsidRPr="001D0846">
        <w:rPr>
          <w:rFonts w:ascii="Times New Roman" w:hAnsi="Times New Roman" w:cs="Times New Roman"/>
          <w:color w:val="000000"/>
          <w:sz w:val="28"/>
          <w:szCs w:val="28"/>
        </w:rPr>
        <w:t>eficienţei</w:t>
      </w:r>
      <w:proofErr w:type="spellEnd"/>
      <w:r w:rsidRPr="001D0846">
        <w:rPr>
          <w:rFonts w:ascii="Times New Roman" w:hAnsi="Times New Roman" w:cs="Times New Roman"/>
          <w:color w:val="000000"/>
          <w:sz w:val="28"/>
          <w:szCs w:val="28"/>
        </w:rPr>
        <w:t xml:space="preserve"> </w:t>
      </w:r>
      <w:proofErr w:type="spellStart"/>
      <w:r w:rsidRPr="001D0846">
        <w:rPr>
          <w:rFonts w:ascii="Times New Roman" w:hAnsi="Times New Roman" w:cs="Times New Roman"/>
          <w:color w:val="000000"/>
          <w:sz w:val="28"/>
          <w:szCs w:val="28"/>
        </w:rPr>
        <w:t>operaţiunilor</w:t>
      </w:r>
      <w:proofErr w:type="spellEnd"/>
      <w:r w:rsidRPr="001D0846">
        <w:rPr>
          <w:rFonts w:ascii="Times New Roman" w:hAnsi="Times New Roman" w:cs="Times New Roman"/>
          <w:color w:val="000000"/>
          <w:sz w:val="28"/>
          <w:szCs w:val="28"/>
        </w:rPr>
        <w:t xml:space="preserve"> vamale, </w:t>
      </w:r>
      <w:r w:rsidRPr="001D0846">
        <w:rPr>
          <w:rFonts w:ascii="Times New Roman" w:hAnsi="Times New Roman" w:cs="Times New Roman"/>
          <w:i/>
          <w:color w:val="000000"/>
          <w:sz w:val="28"/>
          <w:szCs w:val="28"/>
        </w:rPr>
        <w:t>(ii)</w:t>
      </w:r>
      <w:r w:rsidRPr="001D0846">
        <w:rPr>
          <w:rFonts w:ascii="Times New Roman" w:hAnsi="Times New Roman" w:cs="Times New Roman"/>
          <w:color w:val="000000"/>
          <w:sz w:val="28"/>
          <w:szCs w:val="28"/>
        </w:rPr>
        <w:t xml:space="preserve"> facilitarea </w:t>
      </w:r>
      <w:proofErr w:type="spellStart"/>
      <w:r w:rsidRPr="001D0846">
        <w:rPr>
          <w:rFonts w:ascii="Times New Roman" w:hAnsi="Times New Roman" w:cs="Times New Roman"/>
          <w:color w:val="000000"/>
          <w:sz w:val="28"/>
          <w:szCs w:val="28"/>
        </w:rPr>
        <w:t>comerţului</w:t>
      </w:r>
      <w:proofErr w:type="spellEnd"/>
      <w:r w:rsidRPr="001D0846">
        <w:rPr>
          <w:rFonts w:ascii="Times New Roman" w:hAnsi="Times New Roman" w:cs="Times New Roman"/>
          <w:color w:val="000000"/>
          <w:sz w:val="28"/>
          <w:szCs w:val="28"/>
        </w:rPr>
        <w:t xml:space="preserve"> </w:t>
      </w:r>
      <w:proofErr w:type="spellStart"/>
      <w:r w:rsidRPr="001D0846">
        <w:rPr>
          <w:rFonts w:ascii="Times New Roman" w:hAnsi="Times New Roman" w:cs="Times New Roman"/>
          <w:color w:val="000000"/>
          <w:sz w:val="28"/>
          <w:szCs w:val="28"/>
        </w:rPr>
        <w:t>şi</w:t>
      </w:r>
      <w:proofErr w:type="spellEnd"/>
      <w:r w:rsidRPr="001D0846">
        <w:rPr>
          <w:rFonts w:ascii="Times New Roman" w:hAnsi="Times New Roman" w:cs="Times New Roman"/>
          <w:color w:val="000000"/>
          <w:sz w:val="28"/>
          <w:szCs w:val="28"/>
        </w:rPr>
        <w:t xml:space="preserve"> transportului </w:t>
      </w:r>
      <w:proofErr w:type="spellStart"/>
      <w:r w:rsidRPr="001D0846">
        <w:rPr>
          <w:rFonts w:ascii="Times New Roman" w:hAnsi="Times New Roman" w:cs="Times New Roman"/>
          <w:color w:val="000000"/>
          <w:sz w:val="28"/>
          <w:szCs w:val="28"/>
        </w:rPr>
        <w:t>internaţional</w:t>
      </w:r>
      <w:proofErr w:type="spellEnd"/>
      <w:r w:rsidRPr="001D0846">
        <w:rPr>
          <w:rFonts w:ascii="Times New Roman" w:hAnsi="Times New Roman" w:cs="Times New Roman"/>
          <w:color w:val="000000"/>
          <w:sz w:val="28"/>
          <w:szCs w:val="28"/>
        </w:rPr>
        <w:t xml:space="preserve">,                       </w:t>
      </w:r>
      <w:r w:rsidRPr="001D0846">
        <w:rPr>
          <w:rFonts w:ascii="Times New Roman" w:hAnsi="Times New Roman" w:cs="Times New Roman"/>
          <w:i/>
          <w:color w:val="000000"/>
          <w:sz w:val="28"/>
          <w:szCs w:val="28"/>
        </w:rPr>
        <w:t>(iii)</w:t>
      </w:r>
      <w:r w:rsidRPr="001D0846">
        <w:rPr>
          <w:rFonts w:ascii="Times New Roman" w:hAnsi="Times New Roman" w:cs="Times New Roman"/>
          <w:color w:val="000000"/>
          <w:sz w:val="28"/>
          <w:szCs w:val="28"/>
        </w:rPr>
        <w:t xml:space="preserve"> reglementarea schimbului de mărfuri pe teritoriul vamal al Republicii Moldova, </w:t>
      </w:r>
      <w:r w:rsidRPr="001D0846">
        <w:rPr>
          <w:rFonts w:ascii="Times New Roman" w:hAnsi="Times New Roman" w:cs="Times New Roman"/>
          <w:i/>
          <w:color w:val="000000"/>
          <w:sz w:val="28"/>
          <w:szCs w:val="28"/>
        </w:rPr>
        <w:t>(iv)</w:t>
      </w:r>
      <w:r w:rsidRPr="001D0846">
        <w:rPr>
          <w:rFonts w:ascii="Times New Roman" w:hAnsi="Times New Roman" w:cs="Times New Roman"/>
          <w:color w:val="000000"/>
          <w:sz w:val="28"/>
          <w:szCs w:val="28"/>
        </w:rPr>
        <w:t xml:space="preserve"> contribuirea la rezolvarea problemelor politice </w:t>
      </w:r>
      <w:proofErr w:type="spellStart"/>
      <w:r w:rsidRPr="001D0846">
        <w:rPr>
          <w:rFonts w:ascii="Times New Roman" w:hAnsi="Times New Roman" w:cs="Times New Roman"/>
          <w:color w:val="000000"/>
          <w:sz w:val="28"/>
          <w:szCs w:val="28"/>
        </w:rPr>
        <w:t>şi</w:t>
      </w:r>
      <w:proofErr w:type="spellEnd"/>
      <w:r w:rsidRPr="001D0846">
        <w:rPr>
          <w:rFonts w:ascii="Times New Roman" w:hAnsi="Times New Roman" w:cs="Times New Roman"/>
          <w:color w:val="000000"/>
          <w:sz w:val="28"/>
          <w:szCs w:val="28"/>
        </w:rPr>
        <w:t xml:space="preserve"> comerciale privind </w:t>
      </w:r>
      <w:proofErr w:type="spellStart"/>
      <w:r w:rsidRPr="001D0846">
        <w:rPr>
          <w:rFonts w:ascii="Times New Roman" w:hAnsi="Times New Roman" w:cs="Times New Roman"/>
          <w:color w:val="000000"/>
          <w:sz w:val="28"/>
          <w:szCs w:val="28"/>
        </w:rPr>
        <w:t>protecţia</w:t>
      </w:r>
      <w:proofErr w:type="spellEnd"/>
      <w:r w:rsidRPr="001D0846">
        <w:rPr>
          <w:rFonts w:ascii="Times New Roman" w:hAnsi="Times New Roman" w:cs="Times New Roman"/>
          <w:color w:val="000000"/>
          <w:sz w:val="28"/>
          <w:szCs w:val="28"/>
        </w:rPr>
        <w:t xml:space="preserve"> </w:t>
      </w:r>
      <w:proofErr w:type="spellStart"/>
      <w:r w:rsidRPr="001D0846">
        <w:rPr>
          <w:rFonts w:ascii="Times New Roman" w:hAnsi="Times New Roman" w:cs="Times New Roman"/>
          <w:color w:val="000000"/>
          <w:sz w:val="28"/>
          <w:szCs w:val="28"/>
        </w:rPr>
        <w:t>pieţei</w:t>
      </w:r>
      <w:proofErr w:type="spellEnd"/>
      <w:r w:rsidRPr="001D0846">
        <w:rPr>
          <w:rFonts w:ascii="Times New Roman" w:hAnsi="Times New Roman" w:cs="Times New Roman"/>
          <w:color w:val="000000"/>
          <w:sz w:val="28"/>
          <w:szCs w:val="28"/>
        </w:rPr>
        <w:t xml:space="preserve"> interne </w:t>
      </w:r>
      <w:proofErr w:type="spellStart"/>
      <w:r w:rsidRPr="001D0846">
        <w:rPr>
          <w:rFonts w:ascii="Times New Roman" w:hAnsi="Times New Roman" w:cs="Times New Roman"/>
          <w:color w:val="000000"/>
          <w:sz w:val="28"/>
          <w:szCs w:val="28"/>
        </w:rPr>
        <w:t>şi</w:t>
      </w:r>
      <w:proofErr w:type="spellEnd"/>
      <w:r w:rsidRPr="001D0846">
        <w:rPr>
          <w:rFonts w:ascii="Times New Roman" w:hAnsi="Times New Roman" w:cs="Times New Roman"/>
          <w:color w:val="000000"/>
          <w:sz w:val="28"/>
          <w:szCs w:val="28"/>
        </w:rPr>
        <w:t xml:space="preserve"> stimularea dezvoltării economiei </w:t>
      </w:r>
      <w:proofErr w:type="spellStart"/>
      <w:r w:rsidRPr="001D0846">
        <w:rPr>
          <w:rFonts w:ascii="Times New Roman" w:hAnsi="Times New Roman" w:cs="Times New Roman"/>
          <w:color w:val="000000"/>
          <w:sz w:val="28"/>
          <w:szCs w:val="28"/>
        </w:rPr>
        <w:t>naţionale</w:t>
      </w:r>
      <w:proofErr w:type="spellEnd"/>
      <w:r w:rsidRPr="001D0846">
        <w:rPr>
          <w:rFonts w:ascii="Times New Roman" w:hAnsi="Times New Roman" w:cs="Times New Roman"/>
          <w:color w:val="000000"/>
          <w:sz w:val="28"/>
          <w:szCs w:val="28"/>
        </w:rPr>
        <w:t xml:space="preserve">, </w:t>
      </w:r>
      <w:r w:rsidRPr="001D0846">
        <w:rPr>
          <w:rFonts w:ascii="Times New Roman" w:hAnsi="Times New Roman" w:cs="Times New Roman"/>
          <w:i/>
          <w:color w:val="000000"/>
          <w:sz w:val="28"/>
          <w:szCs w:val="28"/>
        </w:rPr>
        <w:t>(v)</w:t>
      </w:r>
      <w:r w:rsidRPr="001D0846">
        <w:rPr>
          <w:rFonts w:ascii="Times New Roman" w:hAnsi="Times New Roman" w:cs="Times New Roman"/>
          <w:color w:val="000000"/>
          <w:sz w:val="28"/>
          <w:szCs w:val="28"/>
        </w:rPr>
        <w:t xml:space="preserve"> realizarea altor obiective stabilite de Guvern.</w:t>
      </w:r>
    </w:p>
    <w:p w:rsidR="00714F5D" w:rsidRPr="001D0846" w:rsidRDefault="00714F5D" w:rsidP="00714F5D">
      <w:pPr>
        <w:widowControl w:val="0"/>
        <w:tabs>
          <w:tab w:val="left" w:pos="720"/>
        </w:tabs>
        <w:autoSpaceDE w:val="0"/>
        <w:autoSpaceDN w:val="0"/>
        <w:adjustRightInd w:val="0"/>
        <w:spacing w:after="0" w:line="276" w:lineRule="auto"/>
        <w:jc w:val="both"/>
        <w:rPr>
          <w:rFonts w:ascii="Times New Roman" w:hAnsi="Times New Roman" w:cs="Times New Roman"/>
          <w:color w:val="000000"/>
          <w:sz w:val="28"/>
          <w:szCs w:val="28"/>
          <w:lang w:val="ro-MD"/>
        </w:rPr>
      </w:pPr>
      <w:r w:rsidRPr="001D0846">
        <w:rPr>
          <w:rFonts w:ascii="Times New Roman" w:hAnsi="Times New Roman" w:cs="Times New Roman"/>
          <w:color w:val="000000"/>
          <w:sz w:val="28"/>
          <w:szCs w:val="28"/>
        </w:rPr>
        <w:tab/>
      </w:r>
      <w:r w:rsidRPr="001D0846">
        <w:rPr>
          <w:rFonts w:ascii="Times New Roman" w:hAnsi="Times New Roman" w:cs="Times New Roman"/>
          <w:color w:val="000000"/>
          <w:sz w:val="28"/>
          <w:szCs w:val="28"/>
          <w:lang w:val="ro-MD"/>
        </w:rPr>
        <w:t xml:space="preserve">Serviciul Vamal are următoarele atribuții de bază: </w:t>
      </w:r>
      <w:r w:rsidRPr="001D0846">
        <w:rPr>
          <w:rFonts w:ascii="Times New Roman" w:hAnsi="Times New Roman" w:cs="Times New Roman"/>
          <w:i/>
          <w:color w:val="000000"/>
          <w:sz w:val="28"/>
          <w:szCs w:val="28"/>
          <w:lang w:val="ro-MD"/>
        </w:rPr>
        <w:t>(a)</w:t>
      </w:r>
      <w:r w:rsidRPr="001D0846">
        <w:rPr>
          <w:rFonts w:ascii="Times New Roman" w:hAnsi="Times New Roman" w:cs="Times New Roman"/>
          <w:color w:val="000000"/>
          <w:sz w:val="28"/>
          <w:szCs w:val="28"/>
          <w:lang w:val="ro-MD"/>
        </w:rPr>
        <w:t xml:space="preserve"> participă la elaborarea politicii vamale a statului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implementează această politică; </w:t>
      </w:r>
      <w:r w:rsidRPr="001D0846">
        <w:rPr>
          <w:rFonts w:ascii="Times New Roman" w:hAnsi="Times New Roman" w:cs="Times New Roman"/>
          <w:i/>
          <w:color w:val="000000"/>
          <w:sz w:val="28"/>
          <w:szCs w:val="28"/>
          <w:lang w:val="ro-MD"/>
        </w:rPr>
        <w:t>(b)</w:t>
      </w:r>
      <w:r w:rsidRPr="001D0846">
        <w:rPr>
          <w:rFonts w:ascii="Times New Roman" w:hAnsi="Times New Roman" w:cs="Times New Roman"/>
          <w:color w:val="000000"/>
          <w:sz w:val="28"/>
          <w:szCs w:val="28"/>
          <w:lang w:val="ro-MD"/>
        </w:rPr>
        <w:t xml:space="preserve"> asigură respectarea </w:t>
      </w:r>
      <w:proofErr w:type="spellStart"/>
      <w:r w:rsidRPr="001D0846">
        <w:rPr>
          <w:rFonts w:ascii="Times New Roman" w:hAnsi="Times New Roman" w:cs="Times New Roman"/>
          <w:color w:val="000000"/>
          <w:sz w:val="28"/>
          <w:szCs w:val="28"/>
          <w:lang w:val="ro-MD"/>
        </w:rPr>
        <w:t>legislaţiei</w:t>
      </w:r>
      <w:proofErr w:type="spellEnd"/>
      <w:r w:rsidRPr="001D0846">
        <w:rPr>
          <w:rFonts w:ascii="Times New Roman" w:hAnsi="Times New Roman" w:cs="Times New Roman"/>
          <w:color w:val="000000"/>
          <w:sz w:val="28"/>
          <w:szCs w:val="28"/>
          <w:lang w:val="ro-MD"/>
        </w:rPr>
        <w:t xml:space="preserve"> vamale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fiscale; apără drepturile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interesele legitime ale persoanei în cadrul activității vamale; </w:t>
      </w:r>
      <w:r w:rsidRPr="001D0846">
        <w:rPr>
          <w:rFonts w:ascii="Times New Roman" w:hAnsi="Times New Roman" w:cs="Times New Roman"/>
          <w:i/>
          <w:color w:val="000000"/>
          <w:sz w:val="28"/>
          <w:szCs w:val="28"/>
          <w:lang w:val="ro-MD"/>
        </w:rPr>
        <w:t>(c)</w:t>
      </w:r>
      <w:r w:rsidRPr="001D0846">
        <w:rPr>
          <w:rFonts w:ascii="Times New Roman" w:hAnsi="Times New Roman" w:cs="Times New Roman"/>
          <w:color w:val="000000"/>
          <w:sz w:val="28"/>
          <w:szCs w:val="28"/>
          <w:lang w:val="ro-MD"/>
        </w:rPr>
        <w:t xml:space="preserve"> contribuie, în limitele </w:t>
      </w:r>
      <w:proofErr w:type="spellStart"/>
      <w:r w:rsidRPr="001D0846">
        <w:rPr>
          <w:rFonts w:ascii="Times New Roman" w:hAnsi="Times New Roman" w:cs="Times New Roman"/>
          <w:color w:val="000000"/>
          <w:sz w:val="28"/>
          <w:szCs w:val="28"/>
          <w:lang w:val="ro-MD"/>
        </w:rPr>
        <w:t>competenţei</w:t>
      </w:r>
      <w:proofErr w:type="spellEnd"/>
      <w:r w:rsidRPr="001D0846">
        <w:rPr>
          <w:rFonts w:ascii="Times New Roman" w:hAnsi="Times New Roman" w:cs="Times New Roman"/>
          <w:color w:val="000000"/>
          <w:sz w:val="28"/>
          <w:szCs w:val="28"/>
          <w:lang w:val="ro-MD"/>
        </w:rPr>
        <w:t xml:space="preserve">, la asigurarea </w:t>
      </w:r>
      <w:proofErr w:type="spellStart"/>
      <w:r w:rsidRPr="001D0846">
        <w:rPr>
          <w:rFonts w:ascii="Times New Roman" w:hAnsi="Times New Roman" w:cs="Times New Roman"/>
          <w:color w:val="000000"/>
          <w:sz w:val="28"/>
          <w:szCs w:val="28"/>
          <w:lang w:val="ro-MD"/>
        </w:rPr>
        <w:t>securităţii</w:t>
      </w:r>
      <w:proofErr w:type="spellEnd"/>
      <w:r w:rsidRPr="001D0846">
        <w:rPr>
          <w:rFonts w:ascii="Times New Roman" w:hAnsi="Times New Roman" w:cs="Times New Roman"/>
          <w:color w:val="000000"/>
          <w:sz w:val="28"/>
          <w:szCs w:val="28"/>
          <w:lang w:val="ro-MD"/>
        </w:rPr>
        <w:t xml:space="preserve"> economice a statului; </w:t>
      </w:r>
      <w:r w:rsidRPr="001D0846">
        <w:rPr>
          <w:rFonts w:ascii="Times New Roman" w:hAnsi="Times New Roman" w:cs="Times New Roman"/>
          <w:i/>
          <w:color w:val="000000"/>
          <w:sz w:val="28"/>
          <w:szCs w:val="28"/>
          <w:lang w:val="ro-MD"/>
        </w:rPr>
        <w:t>(d)</w:t>
      </w:r>
      <w:r w:rsidRPr="001D0846">
        <w:rPr>
          <w:rFonts w:ascii="Times New Roman" w:hAnsi="Times New Roman" w:cs="Times New Roman"/>
          <w:color w:val="000000"/>
          <w:sz w:val="28"/>
          <w:szCs w:val="28"/>
          <w:lang w:val="ro-MD"/>
        </w:rPr>
        <w:t xml:space="preserve"> apără interesele economice ale statului; </w:t>
      </w:r>
      <w:r w:rsidRPr="001D0846">
        <w:rPr>
          <w:rFonts w:ascii="Times New Roman" w:hAnsi="Times New Roman" w:cs="Times New Roman"/>
          <w:i/>
          <w:color w:val="000000"/>
          <w:sz w:val="28"/>
          <w:szCs w:val="28"/>
          <w:lang w:val="ro-MD"/>
        </w:rPr>
        <w:t>(e)</w:t>
      </w:r>
      <w:r w:rsidRPr="001D0846">
        <w:rPr>
          <w:rFonts w:ascii="Times New Roman" w:hAnsi="Times New Roman" w:cs="Times New Roman"/>
          <w:color w:val="000000"/>
          <w:sz w:val="28"/>
          <w:szCs w:val="28"/>
          <w:lang w:val="ro-MD"/>
        </w:rPr>
        <w:t xml:space="preserve"> aplică procedeele vamale de reglementare a </w:t>
      </w:r>
      <w:proofErr w:type="spellStart"/>
      <w:r w:rsidRPr="001D0846">
        <w:rPr>
          <w:rFonts w:ascii="Times New Roman" w:hAnsi="Times New Roman" w:cs="Times New Roman"/>
          <w:color w:val="000000"/>
          <w:sz w:val="28"/>
          <w:szCs w:val="28"/>
          <w:lang w:val="ro-MD"/>
        </w:rPr>
        <w:t>relaţiilor</w:t>
      </w:r>
      <w:proofErr w:type="spellEnd"/>
      <w:r w:rsidRPr="001D0846">
        <w:rPr>
          <w:rFonts w:ascii="Times New Roman" w:hAnsi="Times New Roman" w:cs="Times New Roman"/>
          <w:color w:val="000000"/>
          <w:sz w:val="28"/>
          <w:szCs w:val="28"/>
          <w:lang w:val="ro-MD"/>
        </w:rPr>
        <w:t xml:space="preserve"> economice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comerciale;                                </w:t>
      </w:r>
      <w:r w:rsidRPr="001D0846">
        <w:rPr>
          <w:rFonts w:ascii="Times New Roman" w:hAnsi="Times New Roman" w:cs="Times New Roman"/>
          <w:i/>
          <w:color w:val="000000"/>
          <w:sz w:val="28"/>
          <w:szCs w:val="28"/>
          <w:lang w:val="ro-MD"/>
        </w:rPr>
        <w:t>(f)</w:t>
      </w:r>
      <w:r w:rsidRPr="001D0846">
        <w:rPr>
          <w:rFonts w:ascii="Times New Roman" w:hAnsi="Times New Roman" w:cs="Times New Roman"/>
          <w:color w:val="000000"/>
          <w:sz w:val="28"/>
          <w:szCs w:val="28"/>
          <w:lang w:val="ro-MD"/>
        </w:rPr>
        <w:t xml:space="preserve"> încasează drepturile de import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drepturile de export; </w:t>
      </w:r>
      <w:r w:rsidRPr="001D0846">
        <w:rPr>
          <w:rFonts w:ascii="Times New Roman" w:hAnsi="Times New Roman" w:cs="Times New Roman"/>
          <w:i/>
          <w:color w:val="000000"/>
          <w:sz w:val="28"/>
          <w:szCs w:val="28"/>
          <w:lang w:val="ro-MD"/>
        </w:rPr>
        <w:t>(f</w:t>
      </w:r>
      <w:r w:rsidRPr="001D0846">
        <w:rPr>
          <w:rFonts w:ascii="Times New Roman" w:hAnsi="Times New Roman" w:cs="Times New Roman"/>
          <w:i/>
          <w:color w:val="000000"/>
          <w:sz w:val="28"/>
          <w:szCs w:val="28"/>
          <w:vertAlign w:val="superscript"/>
          <w:lang w:val="ro-MD"/>
        </w:rPr>
        <w:t>1</w:t>
      </w:r>
      <w:r w:rsidRPr="001D0846">
        <w:rPr>
          <w:rFonts w:ascii="Times New Roman" w:hAnsi="Times New Roman" w:cs="Times New Roman"/>
          <w:i/>
          <w:color w:val="000000"/>
          <w:sz w:val="28"/>
          <w:szCs w:val="28"/>
          <w:lang w:val="ro-MD"/>
        </w:rPr>
        <w:t>)</w:t>
      </w:r>
      <w:r w:rsidRPr="001D0846">
        <w:rPr>
          <w:rFonts w:ascii="Times New Roman" w:hAnsi="Times New Roman" w:cs="Times New Roman"/>
          <w:color w:val="000000"/>
          <w:sz w:val="28"/>
          <w:szCs w:val="28"/>
          <w:lang w:val="ro-MD"/>
        </w:rPr>
        <w:t xml:space="preserve"> coordonează aplicarea Nomenclaturii combinate a mărfurilor; </w:t>
      </w:r>
      <w:r w:rsidRPr="001D0846">
        <w:rPr>
          <w:rFonts w:ascii="Times New Roman" w:hAnsi="Times New Roman" w:cs="Times New Roman"/>
          <w:i/>
          <w:color w:val="000000"/>
          <w:sz w:val="28"/>
          <w:szCs w:val="28"/>
          <w:lang w:val="ro-MD"/>
        </w:rPr>
        <w:t>(f</w:t>
      </w:r>
      <w:r w:rsidRPr="001D0846">
        <w:rPr>
          <w:rFonts w:ascii="Times New Roman" w:hAnsi="Times New Roman" w:cs="Times New Roman"/>
          <w:i/>
          <w:color w:val="000000"/>
          <w:sz w:val="28"/>
          <w:szCs w:val="28"/>
          <w:vertAlign w:val="superscript"/>
          <w:lang w:val="ro-MD"/>
        </w:rPr>
        <w:t>2</w:t>
      </w:r>
      <w:r w:rsidRPr="001D0846">
        <w:rPr>
          <w:rFonts w:ascii="Times New Roman" w:hAnsi="Times New Roman" w:cs="Times New Roman"/>
          <w:i/>
          <w:color w:val="000000"/>
          <w:sz w:val="28"/>
          <w:szCs w:val="28"/>
          <w:lang w:val="ro-MD"/>
        </w:rPr>
        <w:t>)</w:t>
      </w:r>
      <w:r w:rsidRPr="001D0846">
        <w:rPr>
          <w:rFonts w:ascii="Times New Roman" w:hAnsi="Times New Roman" w:cs="Times New Roman"/>
          <w:color w:val="000000"/>
          <w:sz w:val="28"/>
          <w:szCs w:val="28"/>
          <w:lang w:val="ro-MD"/>
        </w:rPr>
        <w:t xml:space="preserve"> gestionează Tariful Vamal Integrat al </w:t>
      </w:r>
      <w:r w:rsidRPr="001D0846">
        <w:rPr>
          <w:rFonts w:ascii="Times New Roman" w:hAnsi="Times New Roman" w:cs="Times New Roman"/>
          <w:color w:val="000000"/>
          <w:sz w:val="28"/>
          <w:szCs w:val="28"/>
          <w:lang w:val="ro-MD"/>
        </w:rPr>
        <w:lastRenderedPageBreak/>
        <w:t xml:space="preserve">Republicii Moldova (TARIM); </w:t>
      </w:r>
      <w:r w:rsidRPr="001D0846">
        <w:rPr>
          <w:rFonts w:ascii="Times New Roman" w:hAnsi="Times New Roman" w:cs="Times New Roman"/>
          <w:i/>
          <w:color w:val="000000"/>
          <w:sz w:val="28"/>
          <w:szCs w:val="28"/>
          <w:lang w:val="ro-MD"/>
        </w:rPr>
        <w:t>(g)</w:t>
      </w:r>
      <w:r w:rsidRPr="001D0846">
        <w:rPr>
          <w:rFonts w:ascii="Times New Roman" w:hAnsi="Times New Roman" w:cs="Times New Roman"/>
          <w:color w:val="000000"/>
          <w:sz w:val="28"/>
          <w:szCs w:val="28"/>
          <w:lang w:val="ro-MD"/>
        </w:rPr>
        <w:t xml:space="preserve"> participă la elaborarea măsurilor de politică economică referitor la trecerea mărfurilor peste frontiera vamală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aplică aceste măsuri; </w:t>
      </w:r>
      <w:r w:rsidRPr="001D0846">
        <w:rPr>
          <w:rFonts w:ascii="Times New Roman" w:hAnsi="Times New Roman" w:cs="Times New Roman"/>
          <w:i/>
          <w:color w:val="000000"/>
          <w:sz w:val="28"/>
          <w:szCs w:val="28"/>
          <w:lang w:val="ro-MD"/>
        </w:rPr>
        <w:t>(h)</w:t>
      </w:r>
      <w:r w:rsidRPr="001D0846">
        <w:rPr>
          <w:rFonts w:ascii="Times New Roman" w:hAnsi="Times New Roman" w:cs="Times New Roman"/>
          <w:color w:val="000000"/>
          <w:sz w:val="28"/>
          <w:szCs w:val="28"/>
          <w:lang w:val="ro-MD"/>
        </w:rPr>
        <w:t xml:space="preserve"> luptă împotriva contrabandei, a încălcării reglementărilor vamale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legislaţiei</w:t>
      </w:r>
      <w:proofErr w:type="spellEnd"/>
      <w:r w:rsidRPr="001D0846">
        <w:rPr>
          <w:rFonts w:ascii="Times New Roman" w:hAnsi="Times New Roman" w:cs="Times New Roman"/>
          <w:color w:val="000000"/>
          <w:sz w:val="28"/>
          <w:szCs w:val="28"/>
          <w:lang w:val="ro-MD"/>
        </w:rPr>
        <w:t xml:space="preserve"> fiscale care se referă la trecerea mărfurilor peste frontiera vamală, curmă trecerea ilegală peste frontiera vamală a substanțelor stupefiante, armamentului, obiectelor de artă, obiectelor de valoare istorică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arheologică, obiectelor proprietate intelectuală, speciilor de animale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plante (derivate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părţi</w:t>
      </w:r>
      <w:proofErr w:type="spellEnd"/>
      <w:r w:rsidRPr="001D0846">
        <w:rPr>
          <w:rFonts w:ascii="Times New Roman" w:hAnsi="Times New Roman" w:cs="Times New Roman"/>
          <w:color w:val="000000"/>
          <w:sz w:val="28"/>
          <w:szCs w:val="28"/>
          <w:lang w:val="ro-MD"/>
        </w:rPr>
        <w:t xml:space="preserve"> ale lor) pe cale de </w:t>
      </w:r>
      <w:proofErr w:type="spellStart"/>
      <w:r w:rsidRPr="001D0846">
        <w:rPr>
          <w:rFonts w:ascii="Times New Roman" w:hAnsi="Times New Roman" w:cs="Times New Roman"/>
          <w:color w:val="000000"/>
          <w:sz w:val="28"/>
          <w:szCs w:val="28"/>
          <w:lang w:val="ro-MD"/>
        </w:rPr>
        <w:t>dispariţie</w:t>
      </w:r>
      <w:proofErr w:type="spellEnd"/>
      <w:r w:rsidRPr="001D0846">
        <w:rPr>
          <w:rFonts w:ascii="Times New Roman" w:hAnsi="Times New Roman" w:cs="Times New Roman"/>
          <w:color w:val="000000"/>
          <w:sz w:val="28"/>
          <w:szCs w:val="28"/>
          <w:lang w:val="ro-MD"/>
        </w:rPr>
        <w:t xml:space="preserve">, altor mărfuri; </w:t>
      </w:r>
      <w:r w:rsidRPr="001D0846">
        <w:rPr>
          <w:rFonts w:ascii="Times New Roman" w:hAnsi="Times New Roman" w:cs="Times New Roman"/>
          <w:i/>
          <w:color w:val="000000"/>
          <w:sz w:val="28"/>
          <w:szCs w:val="28"/>
          <w:lang w:val="ro-MD"/>
        </w:rPr>
        <w:t>(i)</w:t>
      </w:r>
      <w:r w:rsidRPr="001D0846">
        <w:rPr>
          <w:rFonts w:ascii="Times New Roman" w:hAnsi="Times New Roman" w:cs="Times New Roman"/>
          <w:color w:val="000000"/>
          <w:sz w:val="28"/>
          <w:szCs w:val="28"/>
          <w:lang w:val="ro-MD"/>
        </w:rPr>
        <w:t xml:space="preserve"> contribuie la prevenirea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combaterea spălării banilor, precum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 terorismului </w:t>
      </w:r>
      <w:proofErr w:type="spellStart"/>
      <w:r w:rsidRPr="001D0846">
        <w:rPr>
          <w:rFonts w:ascii="Times New Roman" w:hAnsi="Times New Roman" w:cs="Times New Roman"/>
          <w:color w:val="000000"/>
          <w:sz w:val="28"/>
          <w:szCs w:val="28"/>
          <w:lang w:val="ro-MD"/>
        </w:rPr>
        <w:t>internaţional</w:t>
      </w:r>
      <w:proofErr w:type="spellEnd"/>
      <w:r w:rsidRPr="001D0846">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(j)</w:t>
      </w:r>
      <w:r w:rsidRPr="001D0846">
        <w:rPr>
          <w:rFonts w:ascii="Times New Roman" w:hAnsi="Times New Roman" w:cs="Times New Roman"/>
          <w:color w:val="000000"/>
          <w:sz w:val="28"/>
          <w:szCs w:val="28"/>
          <w:lang w:val="ro-MD"/>
        </w:rPr>
        <w:t xml:space="preserve"> exercită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perfecţionează</w:t>
      </w:r>
      <w:proofErr w:type="spellEnd"/>
      <w:r w:rsidRPr="001D0846">
        <w:rPr>
          <w:rFonts w:ascii="Times New Roman" w:hAnsi="Times New Roman" w:cs="Times New Roman"/>
          <w:color w:val="000000"/>
          <w:sz w:val="28"/>
          <w:szCs w:val="28"/>
          <w:lang w:val="ro-MD"/>
        </w:rPr>
        <w:t xml:space="preserve"> controlul vamal, efectuează vămuirea, creează </w:t>
      </w:r>
      <w:proofErr w:type="spellStart"/>
      <w:r w:rsidRPr="001D0846">
        <w:rPr>
          <w:rFonts w:ascii="Times New Roman" w:hAnsi="Times New Roman" w:cs="Times New Roman"/>
          <w:color w:val="000000"/>
          <w:sz w:val="28"/>
          <w:szCs w:val="28"/>
          <w:lang w:val="ro-MD"/>
        </w:rPr>
        <w:t>condiţii</w:t>
      </w:r>
      <w:proofErr w:type="spellEnd"/>
      <w:r w:rsidRPr="001D0846">
        <w:rPr>
          <w:rFonts w:ascii="Times New Roman" w:hAnsi="Times New Roman" w:cs="Times New Roman"/>
          <w:color w:val="000000"/>
          <w:sz w:val="28"/>
          <w:szCs w:val="28"/>
          <w:lang w:val="ro-MD"/>
        </w:rPr>
        <w:t xml:space="preserve"> pentru accelerarea traficului de mărfuri peste frontiera vamală; </w:t>
      </w:r>
      <w:r w:rsidRPr="001D0846">
        <w:rPr>
          <w:rFonts w:ascii="Times New Roman" w:hAnsi="Times New Roman" w:cs="Times New Roman"/>
          <w:i/>
          <w:color w:val="000000"/>
          <w:sz w:val="28"/>
          <w:szCs w:val="28"/>
          <w:lang w:val="ro-MD"/>
        </w:rPr>
        <w:t>(k)</w:t>
      </w:r>
      <w:r w:rsidRPr="001D0846">
        <w:rPr>
          <w:rFonts w:ascii="Times New Roman" w:hAnsi="Times New Roman" w:cs="Times New Roman"/>
          <w:color w:val="000000"/>
          <w:sz w:val="28"/>
          <w:szCs w:val="28"/>
          <w:lang w:val="ro-MD"/>
        </w:rPr>
        <w:t xml:space="preserve"> contribuie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participă la elaborarea statisticii vamale a </w:t>
      </w:r>
      <w:proofErr w:type="spellStart"/>
      <w:r w:rsidRPr="001D0846">
        <w:rPr>
          <w:rFonts w:ascii="Times New Roman" w:hAnsi="Times New Roman" w:cs="Times New Roman"/>
          <w:color w:val="000000"/>
          <w:sz w:val="28"/>
          <w:szCs w:val="28"/>
          <w:lang w:val="ro-MD"/>
        </w:rPr>
        <w:t>comerţului</w:t>
      </w:r>
      <w:proofErr w:type="spellEnd"/>
      <w:r w:rsidRPr="001D0846">
        <w:rPr>
          <w:rFonts w:ascii="Times New Roman" w:hAnsi="Times New Roman" w:cs="Times New Roman"/>
          <w:color w:val="000000"/>
          <w:sz w:val="28"/>
          <w:szCs w:val="28"/>
          <w:lang w:val="ro-MD"/>
        </w:rPr>
        <w:t xml:space="preserve"> exterior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 statisticii vamale speciale; </w:t>
      </w:r>
      <w:r w:rsidRPr="001D0846">
        <w:rPr>
          <w:rFonts w:ascii="Times New Roman" w:hAnsi="Times New Roman" w:cs="Times New Roman"/>
          <w:i/>
          <w:color w:val="000000"/>
          <w:sz w:val="28"/>
          <w:szCs w:val="28"/>
          <w:lang w:val="ro-MD"/>
        </w:rPr>
        <w:t>(l)</w:t>
      </w:r>
      <w:r w:rsidRPr="001D0846">
        <w:rPr>
          <w:rFonts w:ascii="Times New Roman" w:hAnsi="Times New Roman" w:cs="Times New Roman"/>
          <w:color w:val="000000"/>
          <w:sz w:val="28"/>
          <w:szCs w:val="28"/>
          <w:lang w:val="ro-MD"/>
        </w:rPr>
        <w:t xml:space="preserve"> contribuie la realizarea măsurilor de apărare a </w:t>
      </w:r>
      <w:proofErr w:type="spellStart"/>
      <w:r w:rsidRPr="001D0846">
        <w:rPr>
          <w:rFonts w:ascii="Times New Roman" w:hAnsi="Times New Roman" w:cs="Times New Roman"/>
          <w:color w:val="000000"/>
          <w:sz w:val="28"/>
          <w:szCs w:val="28"/>
          <w:lang w:val="ro-MD"/>
        </w:rPr>
        <w:t>securităţii</w:t>
      </w:r>
      <w:proofErr w:type="spellEnd"/>
      <w:r w:rsidRPr="001D0846">
        <w:rPr>
          <w:rFonts w:ascii="Times New Roman" w:hAnsi="Times New Roman" w:cs="Times New Roman"/>
          <w:color w:val="000000"/>
          <w:sz w:val="28"/>
          <w:szCs w:val="28"/>
          <w:lang w:val="ro-MD"/>
        </w:rPr>
        <w:t xml:space="preserve"> statului, de asigurare a ordinii publice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morale, de apărare a </w:t>
      </w:r>
      <w:proofErr w:type="spellStart"/>
      <w:r w:rsidRPr="001D0846">
        <w:rPr>
          <w:rFonts w:ascii="Times New Roman" w:hAnsi="Times New Roman" w:cs="Times New Roman"/>
          <w:color w:val="000000"/>
          <w:sz w:val="28"/>
          <w:szCs w:val="28"/>
          <w:lang w:val="ro-MD"/>
        </w:rPr>
        <w:t>vieţii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sănătăţii</w:t>
      </w:r>
      <w:proofErr w:type="spellEnd"/>
      <w:r w:rsidRPr="001D0846">
        <w:rPr>
          <w:rFonts w:ascii="Times New Roman" w:hAnsi="Times New Roman" w:cs="Times New Roman"/>
          <w:color w:val="000000"/>
          <w:sz w:val="28"/>
          <w:szCs w:val="28"/>
          <w:lang w:val="ro-MD"/>
        </w:rPr>
        <w:t xml:space="preserve"> oamenilor, de ocrotire a florei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faunei, a întregului mediu înconjurător, de </w:t>
      </w:r>
      <w:proofErr w:type="spellStart"/>
      <w:r w:rsidRPr="001D0846">
        <w:rPr>
          <w:rFonts w:ascii="Times New Roman" w:hAnsi="Times New Roman" w:cs="Times New Roman"/>
          <w:color w:val="000000"/>
          <w:sz w:val="28"/>
          <w:szCs w:val="28"/>
          <w:lang w:val="ro-MD"/>
        </w:rPr>
        <w:t>protecţie</w:t>
      </w:r>
      <w:proofErr w:type="spellEnd"/>
      <w:r w:rsidRPr="001D0846">
        <w:rPr>
          <w:rFonts w:ascii="Times New Roman" w:hAnsi="Times New Roman" w:cs="Times New Roman"/>
          <w:color w:val="000000"/>
          <w:sz w:val="28"/>
          <w:szCs w:val="28"/>
          <w:lang w:val="ro-MD"/>
        </w:rPr>
        <w:t xml:space="preserve"> a </w:t>
      </w:r>
      <w:proofErr w:type="spellStart"/>
      <w:r w:rsidRPr="001D0846">
        <w:rPr>
          <w:rFonts w:ascii="Times New Roman" w:hAnsi="Times New Roman" w:cs="Times New Roman"/>
          <w:color w:val="000000"/>
          <w:sz w:val="28"/>
          <w:szCs w:val="28"/>
          <w:lang w:val="ro-MD"/>
        </w:rPr>
        <w:t>pieţei</w:t>
      </w:r>
      <w:proofErr w:type="spellEnd"/>
      <w:r w:rsidRPr="001D0846">
        <w:rPr>
          <w:rFonts w:ascii="Times New Roman" w:hAnsi="Times New Roman" w:cs="Times New Roman"/>
          <w:color w:val="000000"/>
          <w:sz w:val="28"/>
          <w:szCs w:val="28"/>
          <w:lang w:val="ro-MD"/>
        </w:rPr>
        <w:t xml:space="preserve"> interne; </w:t>
      </w:r>
      <w:r w:rsidRPr="001D0846">
        <w:rPr>
          <w:rFonts w:ascii="Times New Roman" w:hAnsi="Times New Roman" w:cs="Times New Roman"/>
          <w:i/>
          <w:color w:val="000000"/>
          <w:sz w:val="28"/>
          <w:szCs w:val="28"/>
          <w:lang w:val="ro-MD"/>
        </w:rPr>
        <w:t>(m)</w:t>
      </w:r>
      <w:r w:rsidRPr="001D0846">
        <w:rPr>
          <w:rFonts w:ascii="Times New Roman" w:hAnsi="Times New Roman" w:cs="Times New Roman"/>
          <w:color w:val="000000"/>
          <w:sz w:val="28"/>
          <w:szCs w:val="28"/>
          <w:lang w:val="ro-MD"/>
        </w:rPr>
        <w:t xml:space="preserve"> exercită controlul vamal asupra valorilor valutare, în limitele </w:t>
      </w:r>
      <w:proofErr w:type="spellStart"/>
      <w:r w:rsidRPr="001D0846">
        <w:rPr>
          <w:rFonts w:ascii="Times New Roman" w:hAnsi="Times New Roman" w:cs="Times New Roman"/>
          <w:color w:val="000000"/>
          <w:sz w:val="28"/>
          <w:szCs w:val="28"/>
          <w:lang w:val="ro-MD"/>
        </w:rPr>
        <w:t>competenţei</w:t>
      </w:r>
      <w:proofErr w:type="spellEnd"/>
      <w:r w:rsidRPr="001D0846">
        <w:rPr>
          <w:rFonts w:ascii="Times New Roman" w:hAnsi="Times New Roman" w:cs="Times New Roman"/>
          <w:color w:val="000000"/>
          <w:sz w:val="28"/>
          <w:szCs w:val="28"/>
          <w:lang w:val="ro-MD"/>
        </w:rPr>
        <w:t xml:space="preserve">; </w:t>
      </w:r>
      <w:r w:rsidRPr="001D0846">
        <w:rPr>
          <w:rFonts w:ascii="Times New Roman" w:hAnsi="Times New Roman" w:cs="Times New Roman"/>
          <w:i/>
          <w:color w:val="000000"/>
          <w:sz w:val="28"/>
          <w:szCs w:val="28"/>
          <w:lang w:val="ro-MD"/>
        </w:rPr>
        <w:t>(n)</w:t>
      </w:r>
      <w:r w:rsidRPr="001D0846">
        <w:rPr>
          <w:rFonts w:ascii="Times New Roman" w:hAnsi="Times New Roman" w:cs="Times New Roman"/>
          <w:color w:val="000000"/>
          <w:sz w:val="28"/>
          <w:szCs w:val="28"/>
          <w:lang w:val="ro-MD"/>
        </w:rPr>
        <w:t xml:space="preserve"> asigură îndeplinirea </w:t>
      </w:r>
      <w:proofErr w:type="spellStart"/>
      <w:r w:rsidRPr="001D0846">
        <w:rPr>
          <w:rFonts w:ascii="Times New Roman" w:hAnsi="Times New Roman" w:cs="Times New Roman"/>
          <w:color w:val="000000"/>
          <w:sz w:val="28"/>
          <w:szCs w:val="28"/>
          <w:lang w:val="ro-MD"/>
        </w:rPr>
        <w:t>obligaţiilor</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internaţionale</w:t>
      </w:r>
      <w:proofErr w:type="spellEnd"/>
      <w:r w:rsidRPr="001D0846">
        <w:rPr>
          <w:rFonts w:ascii="Times New Roman" w:hAnsi="Times New Roman" w:cs="Times New Roman"/>
          <w:color w:val="000000"/>
          <w:sz w:val="28"/>
          <w:szCs w:val="28"/>
          <w:lang w:val="ro-MD"/>
        </w:rPr>
        <w:t xml:space="preserve"> ale statului în domeniul vamal; participă la elaborarea acordurilor </w:t>
      </w:r>
      <w:proofErr w:type="spellStart"/>
      <w:r w:rsidRPr="001D0846">
        <w:rPr>
          <w:rFonts w:ascii="Times New Roman" w:hAnsi="Times New Roman" w:cs="Times New Roman"/>
          <w:color w:val="000000"/>
          <w:sz w:val="28"/>
          <w:szCs w:val="28"/>
          <w:lang w:val="ro-MD"/>
        </w:rPr>
        <w:t>internaţionale</w:t>
      </w:r>
      <w:proofErr w:type="spellEnd"/>
      <w:r w:rsidRPr="001D0846">
        <w:rPr>
          <w:rFonts w:ascii="Times New Roman" w:hAnsi="Times New Roman" w:cs="Times New Roman"/>
          <w:color w:val="000000"/>
          <w:sz w:val="28"/>
          <w:szCs w:val="28"/>
          <w:lang w:val="ro-MD"/>
        </w:rPr>
        <w:t xml:space="preserve"> în domeniul vamal, la colaborarea cu organele vamale, cu alte </w:t>
      </w:r>
      <w:proofErr w:type="spellStart"/>
      <w:r w:rsidRPr="001D0846">
        <w:rPr>
          <w:rFonts w:ascii="Times New Roman" w:hAnsi="Times New Roman" w:cs="Times New Roman"/>
          <w:color w:val="000000"/>
          <w:sz w:val="28"/>
          <w:szCs w:val="28"/>
          <w:lang w:val="ro-MD"/>
        </w:rPr>
        <w:t>autorităţi</w:t>
      </w:r>
      <w:proofErr w:type="spellEnd"/>
      <w:r w:rsidRPr="001D0846">
        <w:rPr>
          <w:rFonts w:ascii="Times New Roman" w:hAnsi="Times New Roman" w:cs="Times New Roman"/>
          <w:color w:val="000000"/>
          <w:sz w:val="28"/>
          <w:szCs w:val="28"/>
          <w:lang w:val="ro-MD"/>
        </w:rPr>
        <w:t xml:space="preserve"> publice din străinătate, cu </w:t>
      </w:r>
      <w:proofErr w:type="spellStart"/>
      <w:r w:rsidRPr="001D0846">
        <w:rPr>
          <w:rFonts w:ascii="Times New Roman" w:hAnsi="Times New Roman" w:cs="Times New Roman"/>
          <w:color w:val="000000"/>
          <w:sz w:val="28"/>
          <w:szCs w:val="28"/>
          <w:lang w:val="ro-MD"/>
        </w:rPr>
        <w:t>organizaţiile</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internaţionale</w:t>
      </w:r>
      <w:proofErr w:type="spellEnd"/>
      <w:r w:rsidRPr="001D0846">
        <w:rPr>
          <w:rFonts w:ascii="Times New Roman" w:hAnsi="Times New Roman" w:cs="Times New Roman"/>
          <w:color w:val="000000"/>
          <w:sz w:val="28"/>
          <w:szCs w:val="28"/>
          <w:lang w:val="ro-MD"/>
        </w:rPr>
        <w:t xml:space="preserve"> în domeniul vamal; </w:t>
      </w:r>
      <w:r w:rsidRPr="001D0846">
        <w:rPr>
          <w:rFonts w:ascii="Times New Roman" w:hAnsi="Times New Roman" w:cs="Times New Roman"/>
          <w:i/>
          <w:color w:val="000000"/>
          <w:sz w:val="28"/>
          <w:szCs w:val="28"/>
          <w:lang w:val="ro-MD"/>
        </w:rPr>
        <w:t>(o)</w:t>
      </w:r>
      <w:r w:rsidRPr="001D0846">
        <w:rPr>
          <w:rFonts w:ascii="Times New Roman" w:hAnsi="Times New Roman" w:cs="Times New Roman"/>
          <w:color w:val="000000"/>
          <w:sz w:val="28"/>
          <w:szCs w:val="28"/>
          <w:lang w:val="ro-MD"/>
        </w:rPr>
        <w:t xml:space="preserve"> efectuează cercetări </w:t>
      </w:r>
      <w:proofErr w:type="spellStart"/>
      <w:r w:rsidRPr="001D0846">
        <w:rPr>
          <w:rFonts w:ascii="Times New Roman" w:hAnsi="Times New Roman" w:cs="Times New Roman"/>
          <w:color w:val="000000"/>
          <w:sz w:val="28"/>
          <w:szCs w:val="28"/>
          <w:lang w:val="ro-MD"/>
        </w:rPr>
        <w:t>ştiinţifice</w:t>
      </w:r>
      <w:proofErr w:type="spellEnd"/>
      <w:r w:rsidRPr="001D0846">
        <w:rPr>
          <w:rFonts w:ascii="Times New Roman" w:hAnsi="Times New Roman" w:cs="Times New Roman"/>
          <w:color w:val="000000"/>
          <w:sz w:val="28"/>
          <w:szCs w:val="28"/>
          <w:lang w:val="ro-MD"/>
        </w:rPr>
        <w:t xml:space="preserve">, oferă </w:t>
      </w:r>
      <w:proofErr w:type="spellStart"/>
      <w:r w:rsidRPr="001D0846">
        <w:rPr>
          <w:rFonts w:ascii="Times New Roman" w:hAnsi="Times New Roman" w:cs="Times New Roman"/>
          <w:color w:val="000000"/>
          <w:sz w:val="28"/>
          <w:szCs w:val="28"/>
          <w:lang w:val="ro-MD"/>
        </w:rPr>
        <w:t>consultaţii</w:t>
      </w:r>
      <w:proofErr w:type="spellEnd"/>
      <w:r w:rsidRPr="001D0846">
        <w:rPr>
          <w:rFonts w:ascii="Times New Roman" w:hAnsi="Times New Roman" w:cs="Times New Roman"/>
          <w:color w:val="000000"/>
          <w:sz w:val="28"/>
          <w:szCs w:val="28"/>
          <w:lang w:val="ro-MD"/>
        </w:rPr>
        <w:t xml:space="preserve"> în domeniu; </w:t>
      </w:r>
      <w:r w:rsidRPr="001D0846">
        <w:rPr>
          <w:rFonts w:ascii="Times New Roman" w:hAnsi="Times New Roman" w:cs="Times New Roman"/>
          <w:i/>
          <w:color w:val="000000"/>
          <w:sz w:val="28"/>
          <w:szCs w:val="28"/>
          <w:lang w:val="ro-MD"/>
        </w:rPr>
        <w:t>(p)</w:t>
      </w:r>
      <w:r w:rsidRPr="001D0846">
        <w:rPr>
          <w:rFonts w:ascii="Times New Roman" w:hAnsi="Times New Roman" w:cs="Times New Roman"/>
          <w:color w:val="000000"/>
          <w:sz w:val="28"/>
          <w:szCs w:val="28"/>
          <w:lang w:val="ro-MD"/>
        </w:rPr>
        <w:t xml:space="preserve"> dezvoltă baza </w:t>
      </w:r>
      <w:proofErr w:type="spellStart"/>
      <w:r w:rsidRPr="001D0846">
        <w:rPr>
          <w:rFonts w:ascii="Times New Roman" w:hAnsi="Times New Roman" w:cs="Times New Roman"/>
          <w:color w:val="000000"/>
          <w:sz w:val="28"/>
          <w:szCs w:val="28"/>
          <w:lang w:val="ro-MD"/>
        </w:rPr>
        <w:t>tehnico</w:t>
      </w:r>
      <w:proofErr w:type="spellEnd"/>
      <w:r w:rsidRPr="001D0846">
        <w:rPr>
          <w:rFonts w:ascii="Times New Roman" w:hAnsi="Times New Roman" w:cs="Times New Roman"/>
          <w:color w:val="000000"/>
          <w:sz w:val="28"/>
          <w:szCs w:val="28"/>
          <w:lang w:val="ro-MD"/>
        </w:rPr>
        <w:t xml:space="preserve">-materială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socială a organelor vamale, creează </w:t>
      </w:r>
      <w:proofErr w:type="spellStart"/>
      <w:r w:rsidRPr="001D0846">
        <w:rPr>
          <w:rFonts w:ascii="Times New Roman" w:hAnsi="Times New Roman" w:cs="Times New Roman"/>
          <w:color w:val="000000"/>
          <w:sz w:val="28"/>
          <w:szCs w:val="28"/>
          <w:lang w:val="ro-MD"/>
        </w:rPr>
        <w:t>condiţii</w:t>
      </w:r>
      <w:proofErr w:type="spellEnd"/>
      <w:r w:rsidRPr="001D0846">
        <w:rPr>
          <w:rFonts w:ascii="Times New Roman" w:hAnsi="Times New Roman" w:cs="Times New Roman"/>
          <w:color w:val="000000"/>
          <w:sz w:val="28"/>
          <w:szCs w:val="28"/>
          <w:lang w:val="ro-MD"/>
        </w:rPr>
        <w:t xml:space="preserve"> pentru activitatea colaboratorilor vamali; </w:t>
      </w:r>
      <w:r w:rsidRPr="001D0846">
        <w:rPr>
          <w:rFonts w:ascii="Times New Roman" w:hAnsi="Times New Roman" w:cs="Times New Roman"/>
          <w:i/>
          <w:color w:val="000000"/>
          <w:sz w:val="28"/>
          <w:szCs w:val="28"/>
          <w:lang w:val="ro-MD"/>
        </w:rPr>
        <w:t>(r)</w:t>
      </w:r>
      <w:r w:rsidRPr="001D0846">
        <w:rPr>
          <w:rFonts w:ascii="Times New Roman" w:hAnsi="Times New Roman" w:cs="Times New Roman"/>
          <w:color w:val="000000"/>
          <w:sz w:val="28"/>
          <w:szCs w:val="28"/>
          <w:lang w:val="ro-MD"/>
        </w:rPr>
        <w:t xml:space="preserve"> gestionează sistemul de certificare a originii, în cazurile stabilite de Guvern, inclusiv certifică originea mărfurilor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eliberează contra plată certificate de origine la exportul mărfurilor; </w:t>
      </w:r>
      <w:r w:rsidRPr="001D0846">
        <w:rPr>
          <w:rFonts w:ascii="Times New Roman" w:hAnsi="Times New Roman" w:cs="Times New Roman"/>
          <w:i/>
          <w:color w:val="000000"/>
          <w:sz w:val="28"/>
          <w:szCs w:val="28"/>
          <w:lang w:val="ro-MD"/>
        </w:rPr>
        <w:t>(s)</w:t>
      </w:r>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desfăşoară</w:t>
      </w:r>
      <w:proofErr w:type="spellEnd"/>
      <w:r w:rsidRPr="001D0846">
        <w:rPr>
          <w:rFonts w:ascii="Times New Roman" w:hAnsi="Times New Roman" w:cs="Times New Roman"/>
          <w:color w:val="000000"/>
          <w:sz w:val="28"/>
          <w:szCs w:val="28"/>
          <w:lang w:val="ro-MD"/>
        </w:rPr>
        <w:t xml:space="preserve"> </w:t>
      </w:r>
      <w:proofErr w:type="spellStart"/>
      <w:r w:rsidRPr="001D0846">
        <w:rPr>
          <w:rFonts w:ascii="Times New Roman" w:hAnsi="Times New Roman" w:cs="Times New Roman"/>
          <w:color w:val="000000"/>
          <w:sz w:val="28"/>
          <w:szCs w:val="28"/>
          <w:lang w:val="ro-MD"/>
        </w:rPr>
        <w:t>activităţile</w:t>
      </w:r>
      <w:proofErr w:type="spellEnd"/>
      <w:r w:rsidRPr="001D0846">
        <w:rPr>
          <w:rFonts w:ascii="Times New Roman" w:hAnsi="Times New Roman" w:cs="Times New Roman"/>
          <w:color w:val="000000"/>
          <w:sz w:val="28"/>
          <w:szCs w:val="28"/>
          <w:lang w:val="ro-MD"/>
        </w:rPr>
        <w:t xml:space="preserve"> necesare pentru administrarea riscurilor;</w:t>
      </w:r>
      <w:r w:rsidRPr="001D0846">
        <w:rPr>
          <w:rFonts w:ascii="Times New Roman" w:hAnsi="Times New Roman" w:cs="Times New Roman"/>
          <w:i/>
          <w:iCs/>
          <w:color w:val="0000FF"/>
          <w:sz w:val="28"/>
          <w:szCs w:val="28"/>
          <w:lang w:val="ro-MD"/>
        </w:rPr>
        <w:t> (</w:t>
      </w:r>
      <w:r w:rsidRPr="001D0846">
        <w:rPr>
          <w:rFonts w:ascii="Times New Roman" w:hAnsi="Times New Roman" w:cs="Times New Roman"/>
          <w:i/>
          <w:color w:val="000000"/>
          <w:sz w:val="28"/>
          <w:szCs w:val="28"/>
          <w:lang w:val="ro-MD"/>
        </w:rPr>
        <w:t>t)</w:t>
      </w:r>
      <w:r w:rsidRPr="001D0846">
        <w:rPr>
          <w:rFonts w:ascii="Times New Roman" w:hAnsi="Times New Roman" w:cs="Times New Roman"/>
          <w:color w:val="000000"/>
          <w:sz w:val="28"/>
          <w:szCs w:val="28"/>
          <w:lang w:val="ro-MD"/>
        </w:rPr>
        <w:t xml:space="preserve"> asigură diseminarea </w:t>
      </w:r>
      <w:proofErr w:type="spellStart"/>
      <w:r w:rsidRPr="001D0846">
        <w:rPr>
          <w:rFonts w:ascii="Times New Roman" w:hAnsi="Times New Roman" w:cs="Times New Roman"/>
          <w:color w:val="000000"/>
          <w:sz w:val="28"/>
          <w:szCs w:val="28"/>
          <w:lang w:val="ro-MD"/>
        </w:rPr>
        <w:t>legislaţiei</w:t>
      </w:r>
      <w:proofErr w:type="spellEnd"/>
      <w:r w:rsidRPr="001D0846">
        <w:rPr>
          <w:rFonts w:ascii="Times New Roman" w:hAnsi="Times New Roman" w:cs="Times New Roman"/>
          <w:color w:val="000000"/>
          <w:sz w:val="28"/>
          <w:szCs w:val="28"/>
          <w:lang w:val="ro-MD"/>
        </w:rPr>
        <w:t xml:space="preserve"> vamale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accesul la </w:t>
      </w:r>
      <w:proofErr w:type="spellStart"/>
      <w:r w:rsidRPr="001D0846">
        <w:rPr>
          <w:rFonts w:ascii="Times New Roman" w:hAnsi="Times New Roman" w:cs="Times New Roman"/>
          <w:color w:val="000000"/>
          <w:sz w:val="28"/>
          <w:szCs w:val="28"/>
          <w:lang w:val="ro-MD"/>
        </w:rPr>
        <w:t>informaţii</w:t>
      </w:r>
      <w:proofErr w:type="spellEnd"/>
      <w:r w:rsidRPr="001D0846">
        <w:rPr>
          <w:rFonts w:ascii="Times New Roman" w:hAnsi="Times New Roman" w:cs="Times New Roman"/>
          <w:color w:val="000000"/>
          <w:sz w:val="28"/>
          <w:szCs w:val="28"/>
          <w:lang w:val="ro-MD"/>
        </w:rPr>
        <w:t xml:space="preserve"> de interes public;  </w:t>
      </w:r>
      <w:r w:rsidRPr="001D0846">
        <w:rPr>
          <w:rFonts w:ascii="Times New Roman" w:hAnsi="Times New Roman" w:cs="Times New Roman"/>
          <w:i/>
          <w:color w:val="000000"/>
          <w:sz w:val="28"/>
          <w:szCs w:val="28"/>
          <w:lang w:val="ro-MD"/>
        </w:rPr>
        <w:t>(u)</w:t>
      </w:r>
      <w:r w:rsidRPr="001D0846">
        <w:rPr>
          <w:rFonts w:ascii="Times New Roman" w:hAnsi="Times New Roman" w:cs="Times New Roman"/>
          <w:color w:val="000000"/>
          <w:sz w:val="28"/>
          <w:szCs w:val="28"/>
          <w:lang w:val="ro-MD"/>
        </w:rPr>
        <w:t xml:space="preserve"> dezvoltă parteneriatul public-privat în domeniul vamal </w:t>
      </w:r>
      <w:proofErr w:type="spellStart"/>
      <w:r w:rsidRPr="001D0846">
        <w:rPr>
          <w:rFonts w:ascii="Times New Roman" w:hAnsi="Times New Roman" w:cs="Times New Roman"/>
          <w:color w:val="000000"/>
          <w:sz w:val="28"/>
          <w:szCs w:val="28"/>
          <w:lang w:val="ro-MD"/>
        </w:rPr>
        <w:t>şi</w:t>
      </w:r>
      <w:proofErr w:type="spellEnd"/>
      <w:r w:rsidRPr="001D0846">
        <w:rPr>
          <w:rFonts w:ascii="Times New Roman" w:hAnsi="Times New Roman" w:cs="Times New Roman"/>
          <w:color w:val="000000"/>
          <w:sz w:val="28"/>
          <w:szCs w:val="28"/>
          <w:lang w:val="ro-MD"/>
        </w:rPr>
        <w:t xml:space="preserve"> colaborează cu mediul de afaceri; </w:t>
      </w:r>
      <w:r w:rsidRPr="001D0846">
        <w:rPr>
          <w:rFonts w:ascii="Times New Roman" w:hAnsi="Times New Roman" w:cs="Times New Roman"/>
          <w:i/>
          <w:color w:val="000000"/>
          <w:sz w:val="28"/>
          <w:szCs w:val="28"/>
          <w:lang w:val="ro-MD"/>
        </w:rPr>
        <w:t>(v)</w:t>
      </w:r>
      <w:r w:rsidRPr="001D0846">
        <w:rPr>
          <w:rFonts w:ascii="Times New Roman" w:hAnsi="Times New Roman" w:cs="Times New Roman"/>
          <w:color w:val="000000"/>
          <w:sz w:val="28"/>
          <w:szCs w:val="28"/>
          <w:lang w:val="ro-MD"/>
        </w:rPr>
        <w:t xml:space="preserve"> exercită alte </w:t>
      </w:r>
      <w:proofErr w:type="spellStart"/>
      <w:r w:rsidRPr="001D0846">
        <w:rPr>
          <w:rFonts w:ascii="Times New Roman" w:hAnsi="Times New Roman" w:cs="Times New Roman"/>
          <w:color w:val="000000"/>
          <w:sz w:val="28"/>
          <w:szCs w:val="28"/>
          <w:lang w:val="ro-MD"/>
        </w:rPr>
        <w:t>atribuţii</w:t>
      </w:r>
      <w:proofErr w:type="spellEnd"/>
      <w:r w:rsidRPr="001D0846">
        <w:rPr>
          <w:rFonts w:ascii="Times New Roman" w:hAnsi="Times New Roman" w:cs="Times New Roman"/>
          <w:color w:val="000000"/>
          <w:sz w:val="28"/>
          <w:szCs w:val="28"/>
          <w:lang w:val="ro-MD"/>
        </w:rPr>
        <w:t xml:space="preserve"> stabilite de </w:t>
      </w:r>
      <w:proofErr w:type="spellStart"/>
      <w:r w:rsidRPr="001D0846">
        <w:rPr>
          <w:rFonts w:ascii="Times New Roman" w:hAnsi="Times New Roman" w:cs="Times New Roman"/>
          <w:color w:val="000000"/>
          <w:sz w:val="28"/>
          <w:szCs w:val="28"/>
          <w:lang w:val="ro-MD"/>
        </w:rPr>
        <w:t>legislaţie</w:t>
      </w:r>
      <w:proofErr w:type="spellEnd"/>
      <w:r w:rsidRPr="001D0846">
        <w:rPr>
          <w:rFonts w:ascii="Times New Roman" w:hAnsi="Times New Roman" w:cs="Times New Roman"/>
          <w:color w:val="000000"/>
          <w:sz w:val="28"/>
          <w:szCs w:val="28"/>
          <w:lang w:val="ro-MD"/>
        </w:rPr>
        <w:t>.</w:t>
      </w:r>
    </w:p>
    <w:p w:rsidR="00714F5D" w:rsidRDefault="00714F5D" w:rsidP="00714F5D">
      <w:pPr>
        <w:spacing w:after="0" w:line="276" w:lineRule="auto"/>
        <w:rPr>
          <w:lang w:val="ro-MD"/>
        </w:rPr>
      </w:pPr>
    </w:p>
    <w:p w:rsidR="00714F5D" w:rsidRDefault="00714F5D" w:rsidP="00714F5D">
      <w:pPr>
        <w:spacing w:after="0" w:line="276" w:lineRule="auto"/>
        <w:rPr>
          <w:lang w:val="ro-MD"/>
        </w:rPr>
      </w:pPr>
    </w:p>
    <w:p w:rsidR="00714F5D" w:rsidRDefault="00714F5D" w:rsidP="00714F5D">
      <w:pPr>
        <w:spacing w:after="0" w:line="276" w:lineRule="auto"/>
        <w:rPr>
          <w:lang w:val="ro-MD"/>
        </w:rPr>
      </w:pPr>
    </w:p>
    <w:p w:rsidR="00714F5D" w:rsidRDefault="00714F5D" w:rsidP="00714F5D">
      <w:pPr>
        <w:spacing w:after="0" w:line="276" w:lineRule="auto"/>
        <w:rPr>
          <w:lang w:val="ro-MD"/>
        </w:rPr>
      </w:pPr>
    </w:p>
    <w:p w:rsidR="00714F5D" w:rsidRDefault="00714F5D" w:rsidP="00714F5D">
      <w:pPr>
        <w:spacing w:after="0" w:line="276" w:lineRule="auto"/>
        <w:rPr>
          <w:lang w:val="ro-MD"/>
        </w:rPr>
      </w:pPr>
    </w:p>
    <w:p w:rsidR="00714F5D" w:rsidRDefault="00714F5D" w:rsidP="00714F5D">
      <w:pPr>
        <w:spacing w:after="0" w:line="276" w:lineRule="auto"/>
        <w:rPr>
          <w:lang w:val="ro-MD"/>
        </w:rPr>
      </w:pPr>
    </w:p>
    <w:p w:rsidR="00714F5D" w:rsidRPr="001D0846" w:rsidRDefault="00714F5D" w:rsidP="00714F5D">
      <w:pPr>
        <w:spacing w:after="0" w:line="276" w:lineRule="auto"/>
        <w:rPr>
          <w:lang w:val="ro-MD"/>
        </w:rPr>
      </w:pPr>
    </w:p>
    <w:p w:rsidR="00714F5D" w:rsidRPr="00714F5D" w:rsidRDefault="00714F5D" w:rsidP="00714F5D">
      <w:pPr>
        <w:pStyle w:val="2"/>
        <w:rPr>
          <w:rFonts w:ascii="Times New Roman" w:hAnsi="Times New Roman" w:cs="Times New Roman"/>
          <w:b/>
          <w:i/>
          <w:color w:val="auto"/>
          <w:sz w:val="28"/>
          <w:szCs w:val="28"/>
        </w:rPr>
      </w:pPr>
      <w:bookmarkStart w:id="31" w:name="_Toc515344962"/>
      <w:bookmarkStart w:id="32" w:name="_Toc515894900"/>
      <w:r w:rsidRPr="00714F5D">
        <w:rPr>
          <w:rFonts w:ascii="Times New Roman" w:hAnsi="Times New Roman" w:cs="Times New Roman"/>
          <w:b/>
          <w:i/>
          <w:color w:val="auto"/>
          <w:sz w:val="28"/>
          <w:szCs w:val="28"/>
        </w:rPr>
        <w:lastRenderedPageBreak/>
        <w:t>Anexa nr.2</w:t>
      </w:r>
      <w:r>
        <w:rPr>
          <w:rFonts w:ascii="Times New Roman" w:hAnsi="Times New Roman" w:cs="Times New Roman"/>
          <w:b/>
          <w:i/>
          <w:color w:val="auto"/>
          <w:sz w:val="28"/>
          <w:szCs w:val="28"/>
        </w:rPr>
        <w:t xml:space="preserve">. </w:t>
      </w:r>
      <w:r w:rsidRPr="00714F5D">
        <w:rPr>
          <w:rFonts w:ascii="Times New Roman" w:hAnsi="Times New Roman" w:cs="Times New Roman"/>
          <w:i/>
          <w:color w:val="000000" w:themeColor="text1"/>
          <w:sz w:val="28"/>
          <w:szCs w:val="28"/>
        </w:rPr>
        <w:t>Domeniul de aplicare și metodologia de audit</w:t>
      </w:r>
      <w:bookmarkEnd w:id="31"/>
      <w:bookmarkEnd w:id="32"/>
    </w:p>
    <w:p w:rsidR="00714F5D" w:rsidRPr="001D0846" w:rsidRDefault="00714F5D" w:rsidP="00714F5D">
      <w:pPr>
        <w:spacing w:after="0" w:line="240" w:lineRule="auto"/>
        <w:jc w:val="center"/>
        <w:rPr>
          <w:rFonts w:ascii="Times New Roman" w:hAnsi="Times New Roman" w:cs="Times New Roman"/>
          <w:b/>
          <w:sz w:val="28"/>
          <w:szCs w:val="28"/>
        </w:rPr>
      </w:pPr>
    </w:p>
    <w:p w:rsidR="00714F5D" w:rsidRPr="001D0846" w:rsidRDefault="00714F5D" w:rsidP="00714F5D">
      <w:pPr>
        <w:spacing w:after="0" w:line="276" w:lineRule="auto"/>
        <w:ind w:firstLine="450"/>
        <w:rPr>
          <w:rFonts w:ascii="Times New Roman" w:hAnsi="Times New Roman" w:cs="Times New Roman"/>
          <w:b/>
          <w:i/>
          <w:sz w:val="28"/>
          <w:szCs w:val="28"/>
        </w:rPr>
      </w:pPr>
      <w:r w:rsidRPr="001D0846">
        <w:rPr>
          <w:rFonts w:ascii="Times New Roman" w:hAnsi="Times New Roman" w:cs="Times New Roman"/>
          <w:b/>
          <w:i/>
          <w:sz w:val="28"/>
          <w:szCs w:val="28"/>
        </w:rPr>
        <w:t>Domeniul de aplicare</w:t>
      </w:r>
    </w:p>
    <w:p w:rsidR="00714F5D" w:rsidRPr="001D0846" w:rsidRDefault="00714F5D" w:rsidP="00714F5D">
      <w:pPr>
        <w:tabs>
          <w:tab w:val="left" w:pos="0"/>
        </w:tabs>
        <w:spacing w:after="0" w:line="276" w:lineRule="auto"/>
        <w:ind w:firstLine="450"/>
        <w:jc w:val="both"/>
        <w:rPr>
          <w:rFonts w:ascii="Times New Roman" w:eastAsia="Calibri" w:hAnsi="Times New Roman" w:cs="Times New Roman"/>
          <w:sz w:val="28"/>
          <w:szCs w:val="28"/>
        </w:rPr>
      </w:pPr>
      <w:r w:rsidRPr="001D0846">
        <w:rPr>
          <w:rFonts w:ascii="Times New Roman" w:hAnsi="Times New Roman" w:cs="Times New Roman"/>
          <w:sz w:val="28"/>
          <w:szCs w:val="28"/>
        </w:rPr>
        <w:t xml:space="preserve">Curtea de Conturi, în conformitate cu </w:t>
      </w:r>
      <w:r w:rsidRPr="001D0846">
        <w:rPr>
          <w:rFonts w:ascii="Times New Roman" w:hAnsi="Times New Roman" w:cs="Times New Roman"/>
          <w:noProof/>
          <w:sz w:val="28"/>
          <w:szCs w:val="28"/>
        </w:rPr>
        <w:t xml:space="preserve">Programul activităţii de audit </w:t>
      </w:r>
      <w:r w:rsidRPr="001D0846">
        <w:rPr>
          <w:rFonts w:ascii="Times New Roman" w:hAnsi="Times New Roman" w:cs="Times New Roman"/>
          <w:sz w:val="28"/>
          <w:szCs w:val="28"/>
        </w:rPr>
        <w:t xml:space="preserve">pe anul 2017, a </w:t>
      </w:r>
      <w:r w:rsidRPr="001D0846">
        <w:rPr>
          <w:rFonts w:ascii="Times New Roman" w:eastAsia="Calibri" w:hAnsi="Times New Roman" w:cs="Times New Roman"/>
          <w:sz w:val="28"/>
          <w:szCs w:val="28"/>
        </w:rPr>
        <w:t xml:space="preserve">inițiat </w:t>
      </w:r>
      <w:r w:rsidRPr="001D0846">
        <w:rPr>
          <w:rFonts w:ascii="Times New Roman" w:hAnsi="Times New Roman" w:cs="Times New Roman"/>
          <w:noProof/>
          <w:color w:val="000000"/>
          <w:sz w:val="28"/>
          <w:szCs w:val="28"/>
        </w:rPr>
        <w:t xml:space="preserve">auditul performanței </w:t>
      </w:r>
      <w:r w:rsidRPr="001D0846">
        <w:rPr>
          <w:rFonts w:ascii="Times New Roman" w:hAnsi="Times New Roman" w:cs="Times New Roman"/>
          <w:color w:val="000000"/>
          <w:sz w:val="28"/>
          <w:szCs w:val="28"/>
          <w:lang w:bidi="en-US"/>
        </w:rPr>
        <w:t>„</w:t>
      </w:r>
      <w:r w:rsidRPr="001D0846">
        <w:rPr>
          <w:rFonts w:ascii="Times New Roman" w:hAnsi="Times New Roman" w:cs="Times New Roman"/>
          <w:sz w:val="28"/>
          <w:szCs w:val="28"/>
        </w:rPr>
        <w:t xml:space="preserve">Funcționalitatea și </w:t>
      </w:r>
      <w:proofErr w:type="spellStart"/>
      <w:r w:rsidRPr="001D0846">
        <w:rPr>
          <w:rFonts w:ascii="Times New Roman" w:hAnsi="Times New Roman" w:cs="Times New Roman"/>
          <w:sz w:val="28"/>
          <w:szCs w:val="28"/>
        </w:rPr>
        <w:t>rezult</w:t>
      </w:r>
      <w:r>
        <w:rPr>
          <w:rFonts w:ascii="Times New Roman" w:hAnsi="Times New Roman" w:cs="Times New Roman"/>
          <w:sz w:val="28"/>
          <w:szCs w:val="28"/>
        </w:rPr>
        <w:t>ativitatea</w:t>
      </w:r>
      <w:proofErr w:type="spellEnd"/>
      <w:r>
        <w:rPr>
          <w:rFonts w:ascii="Times New Roman" w:hAnsi="Times New Roman" w:cs="Times New Roman"/>
          <w:sz w:val="28"/>
          <w:szCs w:val="28"/>
        </w:rPr>
        <w:t xml:space="preserve"> operațională aferente</w:t>
      </w:r>
      <w:r w:rsidRPr="001D0846">
        <w:rPr>
          <w:rFonts w:ascii="Times New Roman" w:hAnsi="Times New Roman" w:cs="Times New Roman"/>
          <w:sz w:val="28"/>
          <w:szCs w:val="28"/>
        </w:rPr>
        <w:t xml:space="preserve"> administrării impozitelor și taxelor”. În acest context</w:t>
      </w:r>
      <w:r>
        <w:rPr>
          <w:rFonts w:ascii="Times New Roman" w:hAnsi="Times New Roman" w:cs="Times New Roman"/>
          <w:sz w:val="28"/>
          <w:szCs w:val="28"/>
        </w:rPr>
        <w:t>,</w:t>
      </w:r>
      <w:r w:rsidRPr="001D0846">
        <w:rPr>
          <w:rFonts w:ascii="Times New Roman" w:hAnsi="Times New Roman" w:cs="Times New Roman"/>
          <w:sz w:val="28"/>
          <w:szCs w:val="28"/>
        </w:rPr>
        <w:t xml:space="preserve"> auditul și-a propus să evalueze managementul și performanțele administrării impozitelor și taxelor, să identifice riscurile, problemele și vulnerabilitățile care pot avea impact asupra realizării performanțelor sistemului de administrare, precum și să elaboreze recomandări pentru îmbunătățirea managementului și a rezultatelor administrării unor impozite și taxe.</w:t>
      </w:r>
    </w:p>
    <w:p w:rsidR="00714F5D" w:rsidRPr="001D0846" w:rsidRDefault="00714F5D" w:rsidP="00714F5D">
      <w:pPr>
        <w:tabs>
          <w:tab w:val="left" w:pos="0"/>
        </w:tabs>
        <w:spacing w:after="0" w:line="276" w:lineRule="auto"/>
        <w:ind w:firstLine="450"/>
        <w:jc w:val="both"/>
        <w:rPr>
          <w:rFonts w:ascii="Times New Roman" w:eastAsia="Calibri" w:hAnsi="Times New Roman" w:cs="Times New Roman"/>
          <w:sz w:val="28"/>
          <w:szCs w:val="28"/>
        </w:rPr>
      </w:pPr>
      <w:r w:rsidRPr="001D0846">
        <w:rPr>
          <w:rFonts w:ascii="Times New Roman" w:hAnsi="Times New Roman" w:cs="Times New Roman"/>
          <w:sz w:val="28"/>
          <w:szCs w:val="28"/>
        </w:rPr>
        <w:t>În cadrul misiunii de audit,</w:t>
      </w:r>
      <w:r w:rsidRPr="001D0846">
        <w:rPr>
          <w:rFonts w:ascii="Times New Roman" w:eastAsia="Times New Roman" w:hAnsi="Times New Roman" w:cs="Times New Roman"/>
          <w:sz w:val="28"/>
          <w:szCs w:val="28"/>
        </w:rPr>
        <w:t xml:space="preserve"> la efectuarea activităților aferente</w:t>
      </w:r>
      <w:r>
        <w:rPr>
          <w:rFonts w:ascii="Times New Roman" w:eastAsia="Times New Roman" w:hAnsi="Times New Roman" w:cs="Times New Roman"/>
          <w:sz w:val="28"/>
          <w:szCs w:val="28"/>
        </w:rPr>
        <w:t>,</w:t>
      </w:r>
      <w:r w:rsidRPr="001D0846">
        <w:rPr>
          <w:rFonts w:ascii="Times New Roman" w:hAnsi="Times New Roman" w:cs="Times New Roman"/>
          <w:sz w:val="28"/>
          <w:szCs w:val="28"/>
        </w:rPr>
        <w:t xml:space="preserve"> echipa de audit </w:t>
      </w:r>
      <w:r>
        <w:rPr>
          <w:rFonts w:ascii="Times New Roman" w:hAnsi="Times New Roman" w:cs="Times New Roman"/>
          <w:sz w:val="28"/>
          <w:szCs w:val="28"/>
        </w:rPr>
        <w:t xml:space="preserve">   </w:t>
      </w:r>
      <w:r w:rsidRPr="001D0846">
        <w:rPr>
          <w:rFonts w:ascii="Times New Roman" w:hAnsi="Times New Roman" w:cs="Times New Roman"/>
          <w:sz w:val="28"/>
          <w:szCs w:val="28"/>
        </w:rPr>
        <w:t>s-a ghidat de:</w:t>
      </w:r>
    </w:p>
    <w:p w:rsidR="00714F5D" w:rsidRPr="001D0846" w:rsidRDefault="00714F5D" w:rsidP="00714F5D">
      <w:pPr>
        <w:numPr>
          <w:ilvl w:val="0"/>
          <w:numId w:val="5"/>
        </w:numPr>
        <w:tabs>
          <w:tab w:val="left" w:pos="0"/>
        </w:tabs>
        <w:spacing w:after="0" w:line="276" w:lineRule="auto"/>
        <w:ind w:firstLine="450"/>
        <w:jc w:val="both"/>
        <w:rPr>
          <w:rFonts w:ascii="Times New Roman" w:hAnsi="Times New Roman" w:cs="Times New Roman"/>
          <w:b/>
          <w:sz w:val="28"/>
          <w:szCs w:val="28"/>
        </w:rPr>
      </w:pPr>
      <w:r w:rsidRPr="001D0846">
        <w:rPr>
          <w:rFonts w:ascii="Times New Roman" w:hAnsi="Times New Roman" w:cs="Times New Roman"/>
          <w:sz w:val="28"/>
          <w:szCs w:val="28"/>
        </w:rPr>
        <w:t>ISSAI 300 „Principii fundamentale ale auditului performanței”;</w:t>
      </w:r>
    </w:p>
    <w:p w:rsidR="00714F5D" w:rsidRPr="001D0846" w:rsidRDefault="00714F5D" w:rsidP="00714F5D">
      <w:pPr>
        <w:numPr>
          <w:ilvl w:val="0"/>
          <w:numId w:val="5"/>
        </w:numPr>
        <w:tabs>
          <w:tab w:val="left" w:pos="0"/>
        </w:tabs>
        <w:spacing w:after="0" w:line="276" w:lineRule="auto"/>
        <w:ind w:firstLine="450"/>
        <w:jc w:val="both"/>
        <w:rPr>
          <w:rFonts w:ascii="Times New Roman" w:hAnsi="Times New Roman" w:cs="Times New Roman"/>
          <w:b/>
          <w:sz w:val="28"/>
          <w:szCs w:val="28"/>
        </w:rPr>
      </w:pPr>
      <w:r w:rsidRPr="001D0846">
        <w:rPr>
          <w:rFonts w:ascii="Times New Roman" w:hAnsi="Times New Roman" w:cs="Times New Roman"/>
          <w:sz w:val="28"/>
          <w:szCs w:val="28"/>
        </w:rPr>
        <w:t>ISSAI 3100 „Ghidul auditului performanței – principii de bază”;</w:t>
      </w:r>
    </w:p>
    <w:p w:rsidR="00714F5D" w:rsidRPr="001D0846" w:rsidRDefault="00714F5D" w:rsidP="00714F5D">
      <w:pPr>
        <w:numPr>
          <w:ilvl w:val="0"/>
          <w:numId w:val="5"/>
        </w:numPr>
        <w:tabs>
          <w:tab w:val="left" w:pos="0"/>
        </w:tabs>
        <w:spacing w:after="0" w:line="276" w:lineRule="auto"/>
        <w:ind w:firstLine="450"/>
        <w:jc w:val="both"/>
        <w:rPr>
          <w:rFonts w:ascii="Times New Roman" w:hAnsi="Times New Roman" w:cs="Times New Roman"/>
          <w:b/>
          <w:sz w:val="28"/>
          <w:szCs w:val="28"/>
        </w:rPr>
      </w:pPr>
      <w:r w:rsidRPr="001D0846">
        <w:rPr>
          <w:rFonts w:ascii="Times New Roman" w:hAnsi="Times New Roman" w:cs="Times New Roman"/>
          <w:sz w:val="28"/>
          <w:szCs w:val="28"/>
        </w:rPr>
        <w:t>Manualul de audit al performanței</w:t>
      </w:r>
      <w:r w:rsidRPr="001D0846">
        <w:rPr>
          <w:rFonts w:ascii="Times New Roman" w:hAnsi="Times New Roman" w:cs="Times New Roman"/>
          <w:sz w:val="28"/>
          <w:szCs w:val="28"/>
          <w:vertAlign w:val="superscript"/>
        </w:rPr>
        <w:footnoteReference w:id="23"/>
      </w:r>
      <w:r w:rsidRPr="001D0846">
        <w:rPr>
          <w:rFonts w:ascii="Times New Roman" w:hAnsi="Times New Roman" w:cs="Times New Roman"/>
          <w:sz w:val="28"/>
          <w:szCs w:val="28"/>
        </w:rPr>
        <w:t>.</w:t>
      </w:r>
    </w:p>
    <w:p w:rsidR="00714F5D" w:rsidRPr="001D0846" w:rsidRDefault="00714F5D" w:rsidP="00714F5D">
      <w:pPr>
        <w:tabs>
          <w:tab w:val="left" w:pos="0"/>
        </w:tabs>
        <w:spacing w:after="0" w:line="276" w:lineRule="auto"/>
        <w:ind w:firstLine="450"/>
        <w:jc w:val="both"/>
        <w:rPr>
          <w:rFonts w:ascii="Times New Roman" w:hAnsi="Times New Roman" w:cs="Times New Roman"/>
          <w:sz w:val="28"/>
          <w:szCs w:val="28"/>
        </w:rPr>
      </w:pPr>
      <w:r w:rsidRPr="001D0846">
        <w:rPr>
          <w:rFonts w:ascii="Times New Roman" w:hAnsi="Times New Roman" w:cs="Times New Roman"/>
          <w:sz w:val="28"/>
          <w:szCs w:val="28"/>
        </w:rPr>
        <w:t>În scopul evaluării performanței în cadrul auditului, au fost stabilite sursele criteriilor de audit pentru auditarea domeniilor-cheie, după cum urmează:</w:t>
      </w:r>
    </w:p>
    <w:p w:rsidR="00714F5D" w:rsidRPr="001D0846" w:rsidRDefault="00714F5D" w:rsidP="00714F5D">
      <w:pPr>
        <w:pStyle w:val="a7"/>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sidRPr="001D0846">
        <w:rPr>
          <w:rFonts w:ascii="Times New Roman" w:hAnsi="Times New Roman" w:cs="Times New Roman"/>
          <w:sz w:val="28"/>
          <w:szCs w:val="28"/>
        </w:rPr>
        <w:t>cadrul legislativ-normativ de reglementare a domeniilor administrării impozitelor și taxelor, precum și a sistemului de control intern;</w:t>
      </w:r>
    </w:p>
    <w:p w:rsidR="00714F5D" w:rsidRPr="001D0846" w:rsidRDefault="00714F5D" w:rsidP="00714F5D">
      <w:pPr>
        <w:pStyle w:val="a7"/>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sidRPr="001D0846">
        <w:rPr>
          <w:rFonts w:ascii="Times New Roman" w:hAnsi="Times New Roman" w:cs="Times New Roman"/>
          <w:sz w:val="28"/>
          <w:szCs w:val="28"/>
          <w:lang w:eastAsia="ru-RU"/>
        </w:rPr>
        <w:t>programele,</w:t>
      </w:r>
      <w:r>
        <w:rPr>
          <w:rFonts w:ascii="Times New Roman" w:hAnsi="Times New Roman" w:cs="Times New Roman"/>
          <w:sz w:val="28"/>
          <w:szCs w:val="28"/>
          <w:lang w:eastAsia="ru-RU"/>
        </w:rPr>
        <w:t xml:space="preserve"> strategiile și alte documente</w:t>
      </w:r>
      <w:r w:rsidRPr="001D0846">
        <w:rPr>
          <w:rFonts w:ascii="Times New Roman" w:hAnsi="Times New Roman" w:cs="Times New Roman"/>
          <w:sz w:val="28"/>
          <w:szCs w:val="28"/>
          <w:lang w:eastAsia="ru-RU"/>
        </w:rPr>
        <w:t xml:space="preserve"> de planificare strategică privind</w:t>
      </w:r>
      <w:r w:rsidRPr="001D0846">
        <w:rPr>
          <w:rFonts w:ascii="Times New Roman" w:hAnsi="Times New Roman" w:cs="Times New Roman"/>
          <w:sz w:val="28"/>
          <w:szCs w:val="28"/>
        </w:rPr>
        <w:t xml:space="preserve"> administrarea impozitelor și taxelor;</w:t>
      </w:r>
    </w:p>
    <w:p w:rsidR="00714F5D" w:rsidRPr="001D0846" w:rsidRDefault="00714F5D" w:rsidP="00714F5D">
      <w:pPr>
        <w:pStyle w:val="a7"/>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sidRPr="001D0846">
        <w:rPr>
          <w:rFonts w:ascii="Times New Roman" w:hAnsi="Times New Roman" w:cs="Times New Roman"/>
          <w:sz w:val="28"/>
          <w:szCs w:val="28"/>
        </w:rPr>
        <w:t xml:space="preserve">planurile de activitate, indicatorii-cheie de performanță/rezultat stabiliți </w:t>
      </w:r>
      <w:r w:rsidRPr="001D0846">
        <w:rPr>
          <w:rFonts w:ascii="Times New Roman" w:hAnsi="Times New Roman" w:cs="Times New Roman"/>
          <w:color w:val="000000"/>
          <w:sz w:val="28"/>
          <w:szCs w:val="28"/>
          <w:lang w:bidi="en-US"/>
        </w:rPr>
        <w:t>în activitatea de administrare a impozitelor și taxelor;</w:t>
      </w:r>
    </w:p>
    <w:p w:rsidR="00714F5D" w:rsidRPr="001D0846" w:rsidRDefault="00714F5D" w:rsidP="00714F5D">
      <w:pPr>
        <w:pStyle w:val="a7"/>
        <w:numPr>
          <w:ilvl w:val="0"/>
          <w:numId w:val="2"/>
        </w:numPr>
        <w:tabs>
          <w:tab w:val="left" w:pos="0"/>
          <w:tab w:val="left" w:pos="270"/>
          <w:tab w:val="left" w:pos="540"/>
          <w:tab w:val="left" w:pos="630"/>
          <w:tab w:val="left" w:pos="720"/>
        </w:tabs>
        <w:spacing w:after="0" w:line="276" w:lineRule="auto"/>
        <w:ind w:left="-90" w:firstLine="450"/>
        <w:jc w:val="both"/>
        <w:rPr>
          <w:rFonts w:ascii="Times New Roman" w:hAnsi="Times New Roman" w:cs="Times New Roman"/>
          <w:sz w:val="28"/>
          <w:szCs w:val="28"/>
        </w:rPr>
      </w:pPr>
      <w:r w:rsidRPr="001D0846">
        <w:rPr>
          <w:rFonts w:ascii="Times New Roman" w:hAnsi="Times New Roman" w:cs="Times New Roman"/>
          <w:bCs/>
          <w:color w:val="000000" w:themeColor="text1"/>
          <w:sz w:val="28"/>
          <w:szCs w:val="28"/>
        </w:rPr>
        <w:t>manualul de audit al performanței, ghidul auditării veniturilor publice, precum și bunele practici ale Curții de Conturi în auditarea veniturilor publice.</w:t>
      </w:r>
    </w:p>
    <w:p w:rsidR="00714F5D" w:rsidRPr="001D0846" w:rsidRDefault="00714F5D" w:rsidP="00714F5D">
      <w:pPr>
        <w:tabs>
          <w:tab w:val="left" w:pos="0"/>
        </w:tabs>
        <w:spacing w:after="0" w:line="276" w:lineRule="auto"/>
        <w:ind w:firstLine="450"/>
        <w:jc w:val="both"/>
        <w:rPr>
          <w:rFonts w:ascii="Times New Roman" w:hAnsi="Times New Roman" w:cs="Times New Roman"/>
          <w:sz w:val="28"/>
          <w:szCs w:val="28"/>
        </w:rPr>
      </w:pPr>
      <w:r w:rsidRPr="001D0846">
        <w:rPr>
          <w:rFonts w:ascii="Times New Roman" w:hAnsi="Times New Roman" w:cs="Times New Roman"/>
          <w:sz w:val="28"/>
          <w:szCs w:val="28"/>
        </w:rPr>
        <w:t xml:space="preserve">Misiunea de </w:t>
      </w:r>
      <w:proofErr w:type="spellStart"/>
      <w:r w:rsidRPr="001D0846">
        <w:rPr>
          <w:rFonts w:ascii="Times New Roman" w:hAnsi="Times New Roman" w:cs="Times New Roman"/>
          <w:sz w:val="28"/>
          <w:szCs w:val="28"/>
        </w:rPr>
        <w:t>audt</w:t>
      </w:r>
      <w:proofErr w:type="spellEnd"/>
      <w:r w:rsidRPr="001D0846">
        <w:rPr>
          <w:rFonts w:ascii="Times New Roman" w:hAnsi="Times New Roman" w:cs="Times New Roman"/>
          <w:sz w:val="28"/>
          <w:szCs w:val="28"/>
        </w:rPr>
        <w:t xml:space="preserve"> s-a desfășurat la Serviciul Fiscal de Stat și </w:t>
      </w:r>
      <w:r>
        <w:rPr>
          <w:rFonts w:ascii="Times New Roman" w:hAnsi="Times New Roman" w:cs="Times New Roman"/>
          <w:sz w:val="28"/>
          <w:szCs w:val="28"/>
        </w:rPr>
        <w:t xml:space="preserve">la </w:t>
      </w:r>
      <w:r w:rsidRPr="001D0846">
        <w:rPr>
          <w:rFonts w:ascii="Times New Roman" w:hAnsi="Times New Roman" w:cs="Times New Roman"/>
          <w:sz w:val="28"/>
          <w:szCs w:val="28"/>
        </w:rPr>
        <w:t>Serviciul Vamal – principalii administratori de impozite și taxe.</w:t>
      </w:r>
    </w:p>
    <w:p w:rsidR="00714F5D" w:rsidRPr="001D0846" w:rsidRDefault="00714F5D" w:rsidP="00714F5D">
      <w:pPr>
        <w:tabs>
          <w:tab w:val="left" w:pos="0"/>
        </w:tabs>
        <w:spacing w:after="0" w:line="276" w:lineRule="auto"/>
        <w:ind w:firstLine="450"/>
        <w:jc w:val="both"/>
        <w:rPr>
          <w:rFonts w:ascii="Times New Roman" w:hAnsi="Times New Roman" w:cs="Times New Roman"/>
          <w:sz w:val="28"/>
          <w:szCs w:val="28"/>
        </w:rPr>
      </w:pPr>
    </w:p>
    <w:p w:rsidR="00714F5D" w:rsidRPr="001D0846" w:rsidRDefault="00714F5D" w:rsidP="00714F5D">
      <w:pPr>
        <w:tabs>
          <w:tab w:val="left" w:pos="0"/>
        </w:tabs>
        <w:spacing w:after="0" w:line="276" w:lineRule="auto"/>
        <w:ind w:firstLine="450"/>
        <w:jc w:val="both"/>
        <w:rPr>
          <w:rFonts w:ascii="Times New Roman" w:hAnsi="Times New Roman" w:cs="Times New Roman"/>
          <w:b/>
          <w:i/>
          <w:sz w:val="28"/>
          <w:szCs w:val="28"/>
        </w:rPr>
      </w:pPr>
      <w:r w:rsidRPr="001D0846">
        <w:rPr>
          <w:rFonts w:ascii="Times New Roman" w:hAnsi="Times New Roman" w:cs="Times New Roman"/>
          <w:b/>
          <w:i/>
          <w:sz w:val="28"/>
          <w:szCs w:val="28"/>
        </w:rPr>
        <w:t>Metodologia</w:t>
      </w:r>
      <w:r w:rsidRPr="001D0846">
        <w:rPr>
          <w:rFonts w:ascii="Times New Roman" w:hAnsi="Times New Roman" w:cs="Times New Roman"/>
          <w:b/>
          <w:sz w:val="28"/>
          <w:szCs w:val="28"/>
        </w:rPr>
        <w:t xml:space="preserve"> </w:t>
      </w:r>
      <w:r w:rsidRPr="001D0846">
        <w:rPr>
          <w:rFonts w:ascii="Times New Roman" w:hAnsi="Times New Roman" w:cs="Times New Roman"/>
          <w:b/>
          <w:i/>
          <w:sz w:val="28"/>
          <w:szCs w:val="28"/>
        </w:rPr>
        <w:t>auditului</w:t>
      </w:r>
    </w:p>
    <w:p w:rsidR="00714F5D" w:rsidRPr="001D0846" w:rsidRDefault="00714F5D" w:rsidP="00714F5D">
      <w:pPr>
        <w:tabs>
          <w:tab w:val="left" w:pos="0"/>
        </w:tabs>
        <w:spacing w:after="0" w:line="276" w:lineRule="auto"/>
        <w:ind w:firstLine="450"/>
        <w:jc w:val="both"/>
        <w:rPr>
          <w:rFonts w:ascii="Times New Roman" w:hAnsi="Times New Roman" w:cs="Times New Roman"/>
          <w:sz w:val="28"/>
          <w:szCs w:val="28"/>
        </w:rPr>
      </w:pPr>
      <w:r w:rsidRPr="001D0846">
        <w:rPr>
          <w:rFonts w:ascii="Times New Roman" w:hAnsi="Times New Roman" w:cs="Times New Roman"/>
          <w:sz w:val="28"/>
          <w:szCs w:val="28"/>
        </w:rPr>
        <w:t xml:space="preserve">Pentru obținerea unor probe suficiente și adecvate, care să susțină concluzia și credibilitatea constatărilor expuse în Raportul de audit, echipa de audit a utilizat următoarele proceduri de audit, cum ar fi: </w:t>
      </w:r>
    </w:p>
    <w:p w:rsidR="00714F5D" w:rsidRPr="001D0846" w:rsidRDefault="00714F5D" w:rsidP="00714F5D">
      <w:pPr>
        <w:pStyle w:val="a7"/>
        <w:numPr>
          <w:ilvl w:val="0"/>
          <w:numId w:val="16"/>
        </w:numPr>
        <w:tabs>
          <w:tab w:val="left" w:pos="630"/>
        </w:tabs>
        <w:spacing w:after="0" w:line="276" w:lineRule="auto"/>
        <w:ind w:left="0" w:firstLine="270"/>
        <w:jc w:val="both"/>
        <w:rPr>
          <w:rFonts w:ascii="Times New Roman" w:hAnsi="Times New Roman" w:cs="Times New Roman"/>
          <w:sz w:val="28"/>
          <w:szCs w:val="28"/>
        </w:rPr>
      </w:pPr>
      <w:r w:rsidRPr="001D0846">
        <w:rPr>
          <w:rFonts w:ascii="Times New Roman" w:hAnsi="Times New Roman" w:cs="Times New Roman"/>
          <w:b/>
          <w:color w:val="000000" w:themeColor="text1"/>
          <w:sz w:val="28"/>
          <w:szCs w:val="28"/>
        </w:rPr>
        <w:lastRenderedPageBreak/>
        <w:t>examinarea</w:t>
      </w:r>
      <w:r w:rsidRPr="001D0846">
        <w:rPr>
          <w:rFonts w:ascii="Times New Roman" w:hAnsi="Times New Roman" w:cs="Times New Roman"/>
          <w:color w:val="000000" w:themeColor="text1"/>
          <w:sz w:val="28"/>
          <w:szCs w:val="28"/>
        </w:rPr>
        <w:t xml:space="preserve"> planurilor și rapoartelor de activitate</w:t>
      </w:r>
      <w:r w:rsidRPr="001D0846">
        <w:rPr>
          <w:rFonts w:ascii="Times New Roman" w:hAnsi="Times New Roman" w:cs="Times New Roman"/>
          <w:b/>
          <w:color w:val="000000" w:themeColor="text1"/>
          <w:sz w:val="28"/>
          <w:szCs w:val="28"/>
        </w:rPr>
        <w:t xml:space="preserve"> </w:t>
      </w:r>
      <w:r w:rsidRPr="001D0846">
        <w:rPr>
          <w:rFonts w:ascii="Times New Roman" w:hAnsi="Times New Roman" w:cs="Times New Roman"/>
          <w:color w:val="000000" w:themeColor="text1"/>
          <w:sz w:val="28"/>
          <w:szCs w:val="28"/>
        </w:rPr>
        <w:t>în scopul analizei rezultatelor obținute în raport cu sarcinile stabilite;</w:t>
      </w:r>
    </w:p>
    <w:p w:rsidR="00714F5D" w:rsidRPr="001D0846" w:rsidRDefault="00714F5D" w:rsidP="00714F5D">
      <w:pPr>
        <w:pStyle w:val="a7"/>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1D0846">
        <w:rPr>
          <w:rFonts w:ascii="Times New Roman" w:hAnsi="Times New Roman" w:cs="Times New Roman"/>
          <w:b/>
          <w:color w:val="000000" w:themeColor="text1"/>
          <w:sz w:val="28"/>
          <w:szCs w:val="28"/>
        </w:rPr>
        <w:t xml:space="preserve">intervievarea </w:t>
      </w:r>
      <w:r w:rsidRPr="001D0846">
        <w:rPr>
          <w:rFonts w:ascii="Times New Roman" w:hAnsi="Times New Roman" w:cs="Times New Roman"/>
          <w:color w:val="000000" w:themeColor="text1"/>
          <w:sz w:val="28"/>
          <w:szCs w:val="28"/>
        </w:rPr>
        <w:t>persoanelor responsabile din cadrul entităților selectate pentru auditare, precum și întocmirea chestionarelor în scopul identificării riscurilor, vulnerabilităților și problemelor din domeniu;</w:t>
      </w:r>
    </w:p>
    <w:p w:rsidR="00714F5D" w:rsidRPr="001D0846" w:rsidRDefault="00714F5D" w:rsidP="00714F5D">
      <w:pPr>
        <w:pStyle w:val="a7"/>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1D0846">
        <w:rPr>
          <w:rFonts w:ascii="Times New Roman" w:hAnsi="Times New Roman" w:cs="Times New Roman"/>
          <w:b/>
          <w:color w:val="000000" w:themeColor="text1"/>
          <w:sz w:val="28"/>
          <w:szCs w:val="28"/>
        </w:rPr>
        <w:t xml:space="preserve">analiza </w:t>
      </w:r>
      <w:r w:rsidRPr="001D0846">
        <w:rPr>
          <w:rFonts w:ascii="Times New Roman" w:hAnsi="Times New Roman" w:cs="Times New Roman"/>
          <w:color w:val="000000" w:themeColor="text1"/>
          <w:sz w:val="28"/>
          <w:szCs w:val="28"/>
        </w:rPr>
        <w:t>documentelor, datelor și informațiilor în cadrul entităților;</w:t>
      </w:r>
    </w:p>
    <w:p w:rsidR="00714F5D" w:rsidRPr="001D0846" w:rsidRDefault="00714F5D" w:rsidP="00714F5D">
      <w:pPr>
        <w:pStyle w:val="a7"/>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1D0846">
        <w:rPr>
          <w:rFonts w:ascii="Times New Roman" w:hAnsi="Times New Roman" w:cs="Times New Roman"/>
          <w:b/>
          <w:color w:val="000000" w:themeColor="text1"/>
          <w:sz w:val="28"/>
          <w:szCs w:val="28"/>
        </w:rPr>
        <w:t xml:space="preserve">observații directe, </w:t>
      </w:r>
      <w:r w:rsidRPr="001D0846">
        <w:rPr>
          <w:rFonts w:ascii="Times New Roman" w:hAnsi="Times New Roman" w:cs="Times New Roman"/>
          <w:color w:val="000000" w:themeColor="text1"/>
          <w:sz w:val="28"/>
          <w:szCs w:val="28"/>
        </w:rPr>
        <w:t>prin</w:t>
      </w:r>
      <w:r w:rsidRPr="001D0846">
        <w:rPr>
          <w:rFonts w:ascii="Times New Roman" w:hAnsi="Times New Roman" w:cs="Times New Roman"/>
          <w:b/>
          <w:color w:val="000000" w:themeColor="text1"/>
          <w:sz w:val="28"/>
          <w:szCs w:val="28"/>
        </w:rPr>
        <w:t xml:space="preserve"> </w:t>
      </w:r>
      <w:r w:rsidRPr="001D0846">
        <w:rPr>
          <w:rFonts w:ascii="Times New Roman" w:hAnsi="Times New Roman" w:cs="Times New Roman"/>
          <w:color w:val="000000" w:themeColor="text1"/>
          <w:sz w:val="28"/>
          <w:szCs w:val="28"/>
        </w:rPr>
        <w:t>organizarea vizitelor în teritoriu pentru acumularea unor probe fizice în activitatea de administrare a impozitelor și taxelor;</w:t>
      </w:r>
    </w:p>
    <w:p w:rsidR="00714F5D" w:rsidRPr="001D0846" w:rsidRDefault="00714F5D" w:rsidP="00714F5D">
      <w:pPr>
        <w:pStyle w:val="a7"/>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1D0846">
        <w:rPr>
          <w:rFonts w:ascii="Times New Roman" w:hAnsi="Times New Roman" w:cs="Times New Roman"/>
          <w:b/>
          <w:color w:val="000000" w:themeColor="text1"/>
          <w:sz w:val="28"/>
          <w:szCs w:val="28"/>
        </w:rPr>
        <w:t xml:space="preserve">verificarea </w:t>
      </w:r>
      <w:proofErr w:type="spellStart"/>
      <w:r w:rsidRPr="001D0846">
        <w:rPr>
          <w:rFonts w:ascii="Times New Roman" w:hAnsi="Times New Roman" w:cs="Times New Roman"/>
          <w:color w:val="000000" w:themeColor="text1"/>
          <w:sz w:val="28"/>
          <w:szCs w:val="28"/>
        </w:rPr>
        <w:t>rezultativității</w:t>
      </w:r>
      <w:proofErr w:type="spellEnd"/>
      <w:r w:rsidRPr="001D0846">
        <w:rPr>
          <w:rFonts w:ascii="Times New Roman" w:hAnsi="Times New Roman" w:cs="Times New Roman"/>
          <w:color w:val="000000" w:themeColor="text1"/>
          <w:sz w:val="28"/>
          <w:szCs w:val="28"/>
        </w:rPr>
        <w:t xml:space="preserve"> măsurilor/acțiunilor realizate în activitatea de administrare a impozitelor și taxelor; </w:t>
      </w:r>
    </w:p>
    <w:p w:rsidR="00714F5D" w:rsidRPr="001D0846" w:rsidRDefault="00714F5D" w:rsidP="00714F5D">
      <w:pPr>
        <w:pStyle w:val="a7"/>
        <w:numPr>
          <w:ilvl w:val="0"/>
          <w:numId w:val="15"/>
        </w:numPr>
        <w:tabs>
          <w:tab w:val="left" w:pos="540"/>
          <w:tab w:val="left" w:pos="851"/>
        </w:tabs>
        <w:spacing w:after="0" w:line="276" w:lineRule="auto"/>
        <w:ind w:left="0" w:firstLine="180"/>
        <w:jc w:val="both"/>
        <w:rPr>
          <w:rFonts w:ascii="Times New Roman" w:hAnsi="Times New Roman" w:cs="Times New Roman"/>
          <w:color w:val="000000" w:themeColor="text1"/>
          <w:sz w:val="28"/>
          <w:szCs w:val="28"/>
        </w:rPr>
      </w:pPr>
      <w:r w:rsidRPr="001D0846">
        <w:rPr>
          <w:rFonts w:ascii="Times New Roman" w:hAnsi="Times New Roman" w:cs="Times New Roman"/>
          <w:b/>
          <w:sz w:val="28"/>
          <w:szCs w:val="28"/>
        </w:rPr>
        <w:t xml:space="preserve">compararea </w:t>
      </w:r>
      <w:r w:rsidRPr="001D0846">
        <w:rPr>
          <w:rFonts w:ascii="Times New Roman" w:hAnsi="Times New Roman" w:cs="Times New Roman"/>
          <w:sz w:val="28"/>
          <w:szCs w:val="28"/>
        </w:rPr>
        <w:t>în dinamică</w:t>
      </w:r>
      <w:r w:rsidRPr="001D0846">
        <w:rPr>
          <w:rFonts w:ascii="Times New Roman" w:hAnsi="Times New Roman" w:cs="Times New Roman"/>
          <w:b/>
          <w:sz w:val="28"/>
          <w:szCs w:val="28"/>
        </w:rPr>
        <w:t xml:space="preserve"> </w:t>
      </w:r>
      <w:r>
        <w:rPr>
          <w:rFonts w:ascii="Times New Roman" w:hAnsi="Times New Roman" w:cs="Times New Roman"/>
          <w:b/>
          <w:sz w:val="28"/>
          <w:szCs w:val="28"/>
        </w:rPr>
        <w:t xml:space="preserve">a </w:t>
      </w:r>
      <w:r w:rsidRPr="001D0846">
        <w:rPr>
          <w:rFonts w:ascii="Times New Roman" w:hAnsi="Times New Roman" w:cs="Times New Roman"/>
          <w:sz w:val="28"/>
          <w:szCs w:val="28"/>
        </w:rPr>
        <w:t>rezultatelor</w:t>
      </w:r>
      <w:r w:rsidRPr="001D0846">
        <w:rPr>
          <w:rFonts w:ascii="Times New Roman" w:hAnsi="Times New Roman" w:cs="Times New Roman"/>
          <w:b/>
          <w:sz w:val="28"/>
          <w:szCs w:val="28"/>
        </w:rPr>
        <w:t>/</w:t>
      </w:r>
      <w:r w:rsidRPr="001D0846">
        <w:rPr>
          <w:rFonts w:ascii="Times New Roman" w:hAnsi="Times New Roman" w:cs="Times New Roman"/>
          <w:sz w:val="28"/>
          <w:szCs w:val="28"/>
        </w:rPr>
        <w:t>performanțelor înregistrate în activitatea de administrare a impozitelor și taxelor.</w:t>
      </w:r>
    </w:p>
    <w:p w:rsidR="00714F5D" w:rsidRPr="001D0846" w:rsidRDefault="00714F5D" w:rsidP="00714F5D">
      <w:pPr>
        <w:tabs>
          <w:tab w:val="left" w:pos="900"/>
        </w:tabs>
        <w:spacing w:after="0" w:line="276" w:lineRule="auto"/>
        <w:ind w:firstLine="720"/>
        <w:jc w:val="both"/>
        <w:rPr>
          <w:rFonts w:ascii="Times New Roman" w:hAnsi="Times New Roman" w:cs="Times New Roman"/>
          <w:b/>
          <w:sz w:val="28"/>
          <w:szCs w:val="28"/>
        </w:rPr>
      </w:pPr>
      <w:r w:rsidRPr="001D0846">
        <w:rPr>
          <w:rFonts w:ascii="Times New Roman" w:hAnsi="Times New Roman" w:cs="Times New Roman"/>
          <w:sz w:val="28"/>
          <w:szCs w:val="28"/>
        </w:rPr>
        <w:t>În cadrul misiunii de audit au fost colectate, sintetizate, analizate și interpretate mai multe tipuri de probe de audit: fizice, verbale, documentare și analitice,</w:t>
      </w:r>
      <w:r w:rsidRPr="001D0846">
        <w:rPr>
          <w:rFonts w:ascii="Times New Roman" w:eastAsia="Times New Roman" w:hAnsi="Times New Roman" w:cs="Times New Roman"/>
          <w:sz w:val="28"/>
          <w:szCs w:val="28"/>
          <w:lang w:eastAsia="ro-MD"/>
        </w:rPr>
        <w:t xml:space="preserve"> pentru a fi rezonabile în formularea concluziilor relevante</w:t>
      </w:r>
      <w:r w:rsidRPr="001D0846">
        <w:rPr>
          <w:rFonts w:ascii="Times New Roman" w:hAnsi="Times New Roman" w:cs="Times New Roman"/>
          <w:sz w:val="28"/>
          <w:szCs w:val="28"/>
        </w:rPr>
        <w:t>.</w:t>
      </w:r>
    </w:p>
    <w:p w:rsidR="00714F5D" w:rsidRPr="001D0846" w:rsidRDefault="00714F5D" w:rsidP="00714F5D">
      <w:pPr>
        <w:spacing w:after="0" w:line="276" w:lineRule="auto"/>
        <w:ind w:firstLine="567"/>
        <w:rPr>
          <w:rFonts w:cs="Times New Roman"/>
          <w:sz w:val="28"/>
          <w:szCs w:val="28"/>
        </w:rPr>
      </w:pPr>
    </w:p>
    <w:p w:rsidR="00714F5D" w:rsidRPr="001D0846" w:rsidRDefault="00714F5D" w:rsidP="00714F5D">
      <w:pPr>
        <w:spacing w:after="0" w:line="276" w:lineRule="auto"/>
        <w:rPr>
          <w:rFonts w:ascii="Times New Roman" w:hAnsi="Times New Roman" w:cs="Times New Roman"/>
          <w:b/>
          <w:i/>
          <w:sz w:val="28"/>
          <w:szCs w:val="28"/>
        </w:rPr>
      </w:pPr>
      <w:r w:rsidRPr="001D0846">
        <w:rPr>
          <w:rFonts w:ascii="Times New Roman" w:hAnsi="Times New Roman" w:cs="Times New Roman"/>
          <w:b/>
          <w:i/>
          <w:sz w:val="28"/>
          <w:szCs w:val="28"/>
        </w:rPr>
        <w:t>Responsabilități</w:t>
      </w:r>
    </w:p>
    <w:p w:rsidR="00714F5D" w:rsidRPr="001D0846" w:rsidRDefault="00714F5D" w:rsidP="00714F5D">
      <w:pPr>
        <w:tabs>
          <w:tab w:val="left" w:pos="450"/>
          <w:tab w:val="left" w:pos="709"/>
        </w:tabs>
        <w:spacing w:after="0" w:line="276" w:lineRule="auto"/>
        <w:ind w:right="9"/>
        <w:contextualSpacing/>
        <w:jc w:val="both"/>
        <w:rPr>
          <w:rFonts w:ascii="Times New Roman" w:hAnsi="Times New Roman" w:cs="Times New Roman"/>
          <w:sz w:val="28"/>
          <w:szCs w:val="28"/>
        </w:rPr>
      </w:pPr>
      <w:r w:rsidRPr="001D0846">
        <w:rPr>
          <w:rFonts w:ascii="Times New Roman" w:hAnsi="Times New Roman" w:cs="Times New Roman"/>
          <w:sz w:val="28"/>
          <w:szCs w:val="28"/>
        </w:rPr>
        <w:tab/>
      </w:r>
      <w:r w:rsidRPr="001D0846">
        <w:rPr>
          <w:rFonts w:ascii="Times New Roman" w:hAnsi="Times New Roman" w:cs="Times New Roman"/>
          <w:sz w:val="28"/>
          <w:szCs w:val="28"/>
        </w:rPr>
        <w:tab/>
      </w:r>
      <w:r w:rsidRPr="001D0846">
        <w:rPr>
          <w:rFonts w:ascii="Times New Roman" w:hAnsi="Times New Roman" w:cs="Times New Roman"/>
          <w:b/>
          <w:i/>
          <w:sz w:val="28"/>
          <w:szCs w:val="28"/>
        </w:rPr>
        <w:t xml:space="preserve">Conducerea SFS și </w:t>
      </w:r>
      <w:r>
        <w:rPr>
          <w:rFonts w:ascii="Times New Roman" w:hAnsi="Times New Roman" w:cs="Times New Roman"/>
          <w:b/>
          <w:i/>
          <w:sz w:val="28"/>
          <w:szCs w:val="28"/>
        </w:rPr>
        <w:t xml:space="preserve">a </w:t>
      </w:r>
      <w:r w:rsidRPr="001D0846">
        <w:rPr>
          <w:rFonts w:ascii="Times New Roman" w:hAnsi="Times New Roman" w:cs="Times New Roman"/>
          <w:b/>
          <w:i/>
          <w:sz w:val="28"/>
          <w:szCs w:val="28"/>
        </w:rPr>
        <w:t xml:space="preserve">SV </w:t>
      </w:r>
      <w:r>
        <w:rPr>
          <w:rFonts w:ascii="Times New Roman" w:hAnsi="Times New Roman" w:cs="Times New Roman"/>
          <w:sz w:val="28"/>
          <w:szCs w:val="28"/>
        </w:rPr>
        <w:t>sunt responsabile</w:t>
      </w:r>
      <w:r w:rsidRPr="001D0846">
        <w:rPr>
          <w:rFonts w:ascii="Times New Roman" w:hAnsi="Times New Roman" w:cs="Times New Roman"/>
          <w:sz w:val="28"/>
          <w:szCs w:val="28"/>
        </w:rPr>
        <w:t xml:space="preserve"> de </w:t>
      </w:r>
      <w:r w:rsidRPr="001D0846">
        <w:rPr>
          <w:rFonts w:ascii="Times New Roman" w:eastAsia="Times New Roman" w:hAnsi="Times New Roman" w:cs="Times New Roman"/>
          <w:sz w:val="28"/>
          <w:szCs w:val="28"/>
          <w:lang w:eastAsia="ru-RU"/>
        </w:rPr>
        <w:t>asigurarea unui management instituțional eficient</w:t>
      </w:r>
      <w:r>
        <w:rPr>
          <w:rFonts w:ascii="Times New Roman" w:eastAsia="Times New Roman" w:hAnsi="Times New Roman" w:cs="Times New Roman"/>
          <w:sz w:val="28"/>
          <w:szCs w:val="28"/>
          <w:lang w:eastAsia="ru-RU"/>
        </w:rPr>
        <w:t>,</w:t>
      </w:r>
      <w:r w:rsidRPr="001D0846">
        <w:rPr>
          <w:rFonts w:ascii="Times New Roman" w:eastAsia="Times New Roman" w:hAnsi="Times New Roman" w:cs="Times New Roman"/>
          <w:sz w:val="28"/>
          <w:szCs w:val="28"/>
          <w:lang w:eastAsia="ru-RU"/>
        </w:rPr>
        <w:t xml:space="preserve"> menit să asigure realizarea </w:t>
      </w:r>
      <w:r w:rsidRPr="001D0846">
        <w:rPr>
          <w:rFonts w:ascii="Times New Roman" w:hAnsi="Times New Roman" w:cs="Times New Roman"/>
          <w:sz w:val="28"/>
          <w:szCs w:val="28"/>
        </w:rPr>
        <w:t xml:space="preserve">obiectivelor și atingerea performanțelor în administrarea impozitelor și taxelor în condiții de economicitate. </w:t>
      </w:r>
      <w:r w:rsidRPr="001D0846">
        <w:rPr>
          <w:rFonts w:ascii="Times New Roman" w:eastAsia="Times New Roman" w:hAnsi="Times New Roman" w:cs="Times New Roman"/>
          <w:bCs/>
          <w:sz w:val="28"/>
          <w:szCs w:val="28"/>
        </w:rPr>
        <w:t>Totodată</w:t>
      </w:r>
      <w:r>
        <w:rPr>
          <w:rFonts w:ascii="Times New Roman" w:eastAsia="Times New Roman" w:hAnsi="Times New Roman" w:cs="Times New Roman"/>
          <w:bCs/>
          <w:sz w:val="28"/>
          <w:szCs w:val="28"/>
        </w:rPr>
        <w:t>,</w:t>
      </w:r>
      <w:r w:rsidRPr="001D0846">
        <w:rPr>
          <w:rFonts w:ascii="Times New Roman" w:eastAsia="Times New Roman" w:hAnsi="Times New Roman" w:cs="Times New Roman"/>
          <w:bCs/>
          <w:sz w:val="28"/>
          <w:szCs w:val="28"/>
        </w:rPr>
        <w:t xml:space="preserve"> responsabilitatea </w:t>
      </w:r>
      <w:r w:rsidRPr="001D0846">
        <w:rPr>
          <w:rFonts w:ascii="Times New Roman" w:eastAsia="Times New Roman" w:hAnsi="Times New Roman" w:cs="Times New Roman"/>
          <w:sz w:val="28"/>
          <w:szCs w:val="28"/>
        </w:rPr>
        <w:t xml:space="preserve">SFS și </w:t>
      </w:r>
      <w:r>
        <w:rPr>
          <w:rFonts w:ascii="Times New Roman" w:eastAsia="Times New Roman" w:hAnsi="Times New Roman" w:cs="Times New Roman"/>
          <w:sz w:val="28"/>
          <w:szCs w:val="28"/>
        </w:rPr>
        <w:t>a SV constau</w:t>
      </w:r>
      <w:r w:rsidRPr="001D0846">
        <w:rPr>
          <w:rFonts w:ascii="Times New Roman" w:eastAsia="Times New Roman" w:hAnsi="Times New Roman" w:cs="Times New Roman"/>
          <w:sz w:val="28"/>
          <w:szCs w:val="28"/>
        </w:rPr>
        <w:t xml:space="preserve"> în organizarea și efectuarea adm</w:t>
      </w:r>
      <w:r>
        <w:rPr>
          <w:rFonts w:ascii="Times New Roman" w:eastAsia="Times New Roman" w:hAnsi="Times New Roman" w:cs="Times New Roman"/>
          <w:sz w:val="28"/>
          <w:szCs w:val="28"/>
        </w:rPr>
        <w:t>inistrării fiscale și vamale, la</w:t>
      </w:r>
      <w:r w:rsidRPr="001D0846">
        <w:rPr>
          <w:rFonts w:ascii="Times New Roman" w:eastAsia="Times New Roman" w:hAnsi="Times New Roman" w:cs="Times New Roman"/>
          <w:sz w:val="28"/>
          <w:szCs w:val="28"/>
        </w:rPr>
        <w:t xml:space="preserve"> exercitarea competențelor atribuite în acest domeniu prin prisma Codului fiscal și </w:t>
      </w:r>
      <w:r>
        <w:rPr>
          <w:rFonts w:ascii="Times New Roman" w:eastAsia="Times New Roman" w:hAnsi="Times New Roman" w:cs="Times New Roman"/>
          <w:sz w:val="28"/>
          <w:szCs w:val="28"/>
        </w:rPr>
        <w:t xml:space="preserve">Codului </w:t>
      </w:r>
      <w:r w:rsidRPr="001D0846">
        <w:rPr>
          <w:rFonts w:ascii="Times New Roman" w:eastAsia="Times New Roman" w:hAnsi="Times New Roman" w:cs="Times New Roman"/>
          <w:sz w:val="28"/>
          <w:szCs w:val="28"/>
        </w:rPr>
        <w:t>vamal</w:t>
      </w:r>
      <w:r>
        <w:rPr>
          <w:rFonts w:ascii="Times New Roman" w:eastAsia="Times New Roman" w:hAnsi="Times New Roman" w:cs="Times New Roman"/>
          <w:sz w:val="28"/>
          <w:szCs w:val="28"/>
        </w:rPr>
        <w:t>, precum</w:t>
      </w:r>
      <w:r w:rsidRPr="001D0846">
        <w:rPr>
          <w:rFonts w:ascii="Times New Roman" w:eastAsia="Times New Roman" w:hAnsi="Times New Roman" w:cs="Times New Roman"/>
          <w:sz w:val="28"/>
          <w:szCs w:val="28"/>
        </w:rPr>
        <w:t xml:space="preserve"> și altor acte legislative și normative. </w:t>
      </w:r>
    </w:p>
    <w:p w:rsidR="00714F5D" w:rsidRPr="001D0846" w:rsidRDefault="00714F5D" w:rsidP="00714F5D">
      <w:pPr>
        <w:tabs>
          <w:tab w:val="left" w:pos="450"/>
          <w:tab w:val="left" w:pos="720"/>
        </w:tabs>
        <w:spacing w:after="0" w:line="276" w:lineRule="auto"/>
        <w:ind w:right="9"/>
        <w:contextualSpacing/>
        <w:jc w:val="both"/>
        <w:rPr>
          <w:rFonts w:ascii="Times New Roman" w:eastAsia="Times New Roman" w:hAnsi="Times New Roman" w:cs="Times New Roman"/>
          <w:sz w:val="28"/>
          <w:szCs w:val="28"/>
        </w:rPr>
      </w:pPr>
      <w:r w:rsidRPr="001D0846">
        <w:rPr>
          <w:rFonts w:ascii="Times New Roman" w:eastAsiaTheme="majorEastAsia" w:hAnsi="Times New Roman" w:cs="Times New Roman"/>
          <w:b/>
          <w:sz w:val="28"/>
          <w:szCs w:val="28"/>
        </w:rPr>
        <w:tab/>
      </w:r>
      <w:r w:rsidRPr="001D0846">
        <w:rPr>
          <w:rFonts w:ascii="Times New Roman" w:eastAsiaTheme="majorEastAsia" w:hAnsi="Times New Roman" w:cs="Times New Roman"/>
          <w:b/>
          <w:sz w:val="28"/>
          <w:szCs w:val="28"/>
        </w:rPr>
        <w:tab/>
      </w:r>
      <w:r w:rsidRPr="001D0846">
        <w:rPr>
          <w:rFonts w:ascii="Times New Roman" w:hAnsi="Times New Roman" w:cs="Times New Roman"/>
          <w:b/>
          <w:i/>
          <w:sz w:val="28"/>
          <w:szCs w:val="28"/>
        </w:rPr>
        <w:t xml:space="preserve">Responsabilitatea echipei de audit </w:t>
      </w:r>
      <w:r w:rsidRPr="001D0846">
        <w:rPr>
          <w:rFonts w:ascii="Times New Roman" w:eastAsia="Times New Roman" w:hAnsi="Times New Roman" w:cs="Times New Roman"/>
          <w:sz w:val="28"/>
          <w:szCs w:val="28"/>
        </w:rPr>
        <w:t xml:space="preserve">a constat în obținerea probelor de audit suficiente și adecvate pentru susținerea constatărilor și concluziilor de audit privind evaluarea funcționalității și </w:t>
      </w:r>
      <w:proofErr w:type="spellStart"/>
      <w:r w:rsidRPr="001D0846">
        <w:rPr>
          <w:rFonts w:ascii="Times New Roman" w:eastAsia="Times New Roman" w:hAnsi="Times New Roman" w:cs="Times New Roman"/>
          <w:sz w:val="28"/>
          <w:szCs w:val="28"/>
        </w:rPr>
        <w:t>rezult</w:t>
      </w:r>
      <w:r>
        <w:rPr>
          <w:rFonts w:ascii="Times New Roman" w:eastAsia="Times New Roman" w:hAnsi="Times New Roman" w:cs="Times New Roman"/>
          <w:sz w:val="28"/>
          <w:szCs w:val="28"/>
        </w:rPr>
        <w:t>ativității</w:t>
      </w:r>
      <w:proofErr w:type="spellEnd"/>
      <w:r>
        <w:rPr>
          <w:rFonts w:ascii="Times New Roman" w:eastAsia="Times New Roman" w:hAnsi="Times New Roman" w:cs="Times New Roman"/>
          <w:sz w:val="28"/>
          <w:szCs w:val="28"/>
        </w:rPr>
        <w:t xml:space="preserve"> operaționale aferente</w:t>
      </w:r>
      <w:r w:rsidRPr="001D0846">
        <w:rPr>
          <w:rFonts w:ascii="Times New Roman" w:eastAsia="Times New Roman" w:hAnsi="Times New Roman" w:cs="Times New Roman"/>
          <w:sz w:val="28"/>
          <w:szCs w:val="28"/>
        </w:rPr>
        <w:t xml:space="preserve"> administrării impozitelor și taxelor, cu formularea recomandărilor de audit.</w:t>
      </w:r>
    </w:p>
    <w:p w:rsidR="00714F5D" w:rsidRPr="001D0846" w:rsidRDefault="00714F5D" w:rsidP="00714F5D">
      <w:pPr>
        <w:spacing w:after="0" w:line="276" w:lineRule="auto"/>
        <w:rPr>
          <w:rFonts w:ascii="Times New Roman" w:hAnsi="Times New Roman" w:cs="Times New Roman"/>
          <w:b/>
          <w:sz w:val="28"/>
          <w:szCs w:val="28"/>
        </w:rPr>
      </w:pPr>
    </w:p>
    <w:p w:rsidR="00714F5D" w:rsidRPr="001D0846" w:rsidRDefault="00714F5D" w:rsidP="00714F5D">
      <w:pPr>
        <w:spacing w:after="0" w:line="276" w:lineRule="auto"/>
        <w:rPr>
          <w:rFonts w:ascii="Times New Roman" w:hAnsi="Times New Roman" w:cs="Times New Roman"/>
          <w:b/>
          <w:sz w:val="28"/>
          <w:szCs w:val="28"/>
        </w:rPr>
      </w:pPr>
    </w:p>
    <w:p w:rsidR="00714F5D" w:rsidRPr="001D0846" w:rsidRDefault="00714F5D" w:rsidP="00714F5D">
      <w:pPr>
        <w:spacing w:after="0" w:line="276" w:lineRule="auto"/>
        <w:rPr>
          <w:rFonts w:ascii="Times New Roman" w:hAnsi="Times New Roman" w:cs="Times New Roman"/>
          <w:b/>
          <w:sz w:val="28"/>
          <w:szCs w:val="28"/>
        </w:rPr>
      </w:pPr>
    </w:p>
    <w:p w:rsidR="00714F5D" w:rsidRPr="001D0846" w:rsidRDefault="00714F5D" w:rsidP="00714F5D">
      <w:pPr>
        <w:spacing w:after="0" w:line="276" w:lineRule="auto"/>
        <w:rPr>
          <w:rFonts w:ascii="Times New Roman" w:hAnsi="Times New Roman" w:cs="Times New Roman"/>
          <w:b/>
          <w:sz w:val="28"/>
          <w:szCs w:val="28"/>
        </w:rPr>
      </w:pPr>
    </w:p>
    <w:p w:rsidR="00714F5D" w:rsidRPr="001D0846" w:rsidRDefault="00714F5D" w:rsidP="00714F5D">
      <w:pPr>
        <w:pStyle w:val="1"/>
        <w:jc w:val="both"/>
        <w:rPr>
          <w:rFonts w:ascii="Times New Roman" w:hAnsi="Times New Roman" w:cs="Times New Roman"/>
          <w:b/>
          <w:color w:val="auto"/>
          <w:sz w:val="28"/>
          <w:szCs w:val="28"/>
        </w:rPr>
        <w:sectPr w:rsidR="00714F5D" w:rsidRPr="001D0846" w:rsidSect="001C1589">
          <w:pgSz w:w="12240" w:h="15840"/>
          <w:pgMar w:top="1440" w:right="1166" w:bottom="1138" w:left="1699" w:header="706" w:footer="706" w:gutter="0"/>
          <w:cols w:space="708"/>
          <w:docGrid w:linePitch="360"/>
        </w:sectPr>
      </w:pPr>
    </w:p>
    <w:p w:rsidR="00714F5D" w:rsidRPr="00714F5D" w:rsidRDefault="00714F5D" w:rsidP="00714F5D">
      <w:pPr>
        <w:pStyle w:val="1"/>
        <w:jc w:val="both"/>
        <w:rPr>
          <w:rFonts w:ascii="Times New Roman" w:hAnsi="Times New Roman" w:cs="Times New Roman"/>
          <w:i/>
          <w:color w:val="auto"/>
          <w:sz w:val="28"/>
          <w:szCs w:val="28"/>
        </w:rPr>
      </w:pPr>
      <w:bookmarkStart w:id="33" w:name="_Toc515344963"/>
      <w:bookmarkStart w:id="34" w:name="_Toc515894901"/>
      <w:r w:rsidRPr="00714F5D">
        <w:rPr>
          <w:rFonts w:ascii="Times New Roman" w:hAnsi="Times New Roman" w:cs="Times New Roman"/>
          <w:b/>
          <w:i/>
          <w:color w:val="auto"/>
          <w:sz w:val="28"/>
          <w:szCs w:val="28"/>
        </w:rPr>
        <w:lastRenderedPageBreak/>
        <w:t>Anexa nr.3</w:t>
      </w:r>
      <w:r>
        <w:rPr>
          <w:rFonts w:ascii="Times New Roman" w:hAnsi="Times New Roman" w:cs="Times New Roman"/>
          <w:b/>
          <w:i/>
          <w:color w:val="auto"/>
          <w:sz w:val="28"/>
          <w:szCs w:val="28"/>
        </w:rPr>
        <w:t xml:space="preserve">. </w:t>
      </w:r>
      <w:r w:rsidRPr="00714F5D">
        <w:rPr>
          <w:rFonts w:ascii="Times New Roman" w:hAnsi="Times New Roman" w:cs="Times New Roman"/>
          <w:i/>
          <w:color w:val="auto"/>
          <w:sz w:val="28"/>
          <w:szCs w:val="28"/>
        </w:rPr>
        <w:t>Tabele întocmite de către echipa de audit în baza informațiilor prezentate de către entități.</w:t>
      </w:r>
      <w:bookmarkEnd w:id="33"/>
      <w:bookmarkEnd w:id="34"/>
    </w:p>
    <w:p w:rsidR="00714F5D" w:rsidRPr="00714F5D" w:rsidRDefault="00714F5D" w:rsidP="00714F5D">
      <w:pPr>
        <w:rPr>
          <w:i/>
        </w:rPr>
      </w:pPr>
    </w:p>
    <w:p w:rsidR="00714F5D" w:rsidRPr="001D0846" w:rsidRDefault="00714F5D" w:rsidP="00714F5D">
      <w:pPr>
        <w:tabs>
          <w:tab w:val="left" w:pos="0"/>
        </w:tabs>
        <w:spacing w:after="0" w:line="276" w:lineRule="auto"/>
        <w:jc w:val="right"/>
        <w:rPr>
          <w:rFonts w:ascii="Times New Roman" w:hAnsi="Times New Roman" w:cs="Times New Roman"/>
          <w:b/>
          <w:i/>
          <w:sz w:val="28"/>
          <w:szCs w:val="28"/>
        </w:rPr>
      </w:pPr>
      <w:r w:rsidRPr="001D0846">
        <w:rPr>
          <w:rFonts w:ascii="Times New Roman" w:hAnsi="Times New Roman" w:cs="Times New Roman"/>
          <w:b/>
          <w:i/>
          <w:sz w:val="28"/>
          <w:szCs w:val="28"/>
        </w:rPr>
        <w:t>Tabelul nr.1</w:t>
      </w:r>
    </w:p>
    <w:p w:rsidR="00714F5D" w:rsidRPr="001D0846" w:rsidRDefault="00714F5D" w:rsidP="00714F5D">
      <w:pPr>
        <w:tabs>
          <w:tab w:val="left" w:pos="0"/>
        </w:tabs>
        <w:spacing w:after="0" w:line="276" w:lineRule="auto"/>
        <w:jc w:val="center"/>
        <w:rPr>
          <w:rFonts w:ascii="Times New Roman" w:hAnsi="Times New Roman" w:cs="Times New Roman"/>
          <w:i/>
          <w:sz w:val="28"/>
          <w:szCs w:val="28"/>
          <w:lang w:val="ro-MD"/>
        </w:rPr>
      </w:pPr>
      <w:r w:rsidRPr="001D0846">
        <w:rPr>
          <w:rFonts w:ascii="Times New Roman" w:hAnsi="Times New Roman" w:cs="Times New Roman"/>
          <w:i/>
          <w:sz w:val="28"/>
          <w:szCs w:val="28"/>
        </w:rPr>
        <w:t>Informa</w:t>
      </w:r>
      <w:proofErr w:type="spellStart"/>
      <w:r w:rsidRPr="001D0846">
        <w:rPr>
          <w:rFonts w:ascii="Times New Roman" w:hAnsi="Times New Roman" w:cs="Times New Roman"/>
          <w:i/>
          <w:sz w:val="28"/>
          <w:szCs w:val="28"/>
          <w:lang w:val="ro-MD"/>
        </w:rPr>
        <w:t>ția</w:t>
      </w:r>
      <w:proofErr w:type="spellEnd"/>
      <w:r w:rsidRPr="001D0846">
        <w:rPr>
          <w:rFonts w:ascii="Times New Roman" w:hAnsi="Times New Roman" w:cs="Times New Roman"/>
          <w:i/>
          <w:sz w:val="28"/>
          <w:szCs w:val="28"/>
          <w:lang w:val="ro-MD"/>
        </w:rPr>
        <w:t xml:space="preserve"> privind realizarea obiectivelor aprobate de către MF și raportarea rezultatelor atinse de către SFS </w:t>
      </w:r>
    </w:p>
    <w:p w:rsidR="00714F5D" w:rsidRPr="001D0846" w:rsidRDefault="00714F5D" w:rsidP="00714F5D">
      <w:pPr>
        <w:tabs>
          <w:tab w:val="left" w:pos="0"/>
        </w:tabs>
        <w:spacing w:after="0" w:line="276" w:lineRule="auto"/>
        <w:jc w:val="center"/>
        <w:rPr>
          <w:rFonts w:ascii="Times New Roman" w:hAnsi="Times New Roman" w:cs="Times New Roman"/>
          <w:i/>
          <w:sz w:val="28"/>
          <w:szCs w:val="28"/>
          <w:lang w:val="ro-MD"/>
        </w:rPr>
      </w:pPr>
      <w:r w:rsidRPr="001D0846">
        <w:rPr>
          <w:rFonts w:ascii="Times New Roman" w:hAnsi="Times New Roman" w:cs="Times New Roman"/>
          <w:i/>
          <w:sz w:val="28"/>
          <w:szCs w:val="28"/>
          <w:lang w:val="ro-MD"/>
        </w:rPr>
        <w:t>în anul 2017</w:t>
      </w:r>
    </w:p>
    <w:tbl>
      <w:tblPr>
        <w:tblStyle w:val="a3"/>
        <w:tblW w:w="13325" w:type="dxa"/>
        <w:tblInd w:w="-5" w:type="dxa"/>
        <w:tblLayout w:type="fixed"/>
        <w:tblLook w:val="04A0" w:firstRow="1" w:lastRow="0" w:firstColumn="1" w:lastColumn="0" w:noHBand="0" w:noVBand="1"/>
      </w:tblPr>
      <w:tblGrid>
        <w:gridCol w:w="630"/>
        <w:gridCol w:w="6600"/>
        <w:gridCol w:w="6095"/>
      </w:tblGrid>
      <w:tr w:rsidR="00714F5D" w:rsidRPr="001D0846" w:rsidTr="008C5C6A">
        <w:trPr>
          <w:trHeight w:val="269"/>
        </w:trPr>
        <w:tc>
          <w:tcPr>
            <w:tcW w:w="63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Nr.</w:t>
            </w: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d/o</w:t>
            </w:r>
          </w:p>
        </w:tc>
        <w:tc>
          <w:tcPr>
            <w:tcW w:w="6600" w:type="dxa"/>
            <w:tcBorders>
              <w:top w:val="single" w:sz="4" w:space="0" w:color="auto"/>
              <w:left w:val="single" w:sz="4" w:space="0" w:color="auto"/>
              <w:bottom w:val="single" w:sz="4" w:space="0" w:color="auto"/>
              <w:right w:val="single" w:sz="4" w:space="0" w:color="auto"/>
            </w:tcBorders>
            <w:vAlign w:val="center"/>
            <w:hideMark/>
          </w:tcPr>
          <w:p w:rsidR="00714F5D" w:rsidRPr="00E330C1" w:rsidRDefault="00714F5D" w:rsidP="008C5C6A">
            <w:pPr>
              <w:tabs>
                <w:tab w:val="left" w:pos="0"/>
              </w:tabs>
              <w:spacing w:line="276" w:lineRule="auto"/>
              <w:jc w:val="center"/>
              <w:rPr>
                <w:rFonts w:ascii="Times New Roman" w:hAnsi="Times New Roman" w:cs="Times New Roman"/>
                <w:b/>
                <w:sz w:val="20"/>
                <w:szCs w:val="20"/>
              </w:rPr>
            </w:pPr>
            <w:r w:rsidRPr="00E330C1">
              <w:rPr>
                <w:rFonts w:ascii="Times New Roman" w:hAnsi="Times New Roman" w:cs="Times New Roman"/>
                <w:b/>
                <w:sz w:val="20"/>
                <w:szCs w:val="20"/>
              </w:rPr>
              <w:t>Obiective aprobate de MF</w:t>
            </w:r>
          </w:p>
        </w:tc>
        <w:tc>
          <w:tcPr>
            <w:tcW w:w="6095" w:type="dxa"/>
            <w:tcBorders>
              <w:top w:val="single" w:sz="4" w:space="0" w:color="auto"/>
              <w:left w:val="single" w:sz="4" w:space="0" w:color="auto"/>
              <w:bottom w:val="single" w:sz="4" w:space="0" w:color="auto"/>
              <w:right w:val="single" w:sz="4" w:space="0" w:color="auto"/>
            </w:tcBorders>
            <w:vAlign w:val="center"/>
            <w:hideMark/>
          </w:tcPr>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Obiective raportate de SFS</w:t>
            </w:r>
          </w:p>
        </w:tc>
      </w:tr>
      <w:tr w:rsidR="00714F5D" w:rsidRPr="001D0846" w:rsidTr="008C5C6A">
        <w:trPr>
          <w:trHeight w:val="611"/>
        </w:trPr>
        <w:tc>
          <w:tcPr>
            <w:tcW w:w="63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b/>
                <w:sz w:val="20"/>
                <w:szCs w:val="20"/>
              </w:rPr>
            </w:pP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0"/>
              </w:tabs>
              <w:spacing w:line="276" w:lineRule="auto"/>
              <w:ind w:left="0"/>
              <w:jc w:val="both"/>
              <w:rPr>
                <w:rFonts w:ascii="Times New Roman" w:hAnsi="Times New Roman" w:cs="Times New Roman"/>
                <w:sz w:val="20"/>
                <w:szCs w:val="20"/>
              </w:rPr>
            </w:pPr>
            <w:r w:rsidRPr="001D0846">
              <w:rPr>
                <w:rFonts w:ascii="Times New Roman" w:hAnsi="Times New Roman" w:cs="Times New Roman"/>
                <w:sz w:val="20"/>
                <w:szCs w:val="20"/>
              </w:rPr>
              <w:t>Executarea planului de venituri pentru toate bugetele componente ale BPN la nivel de 100%</w:t>
            </w:r>
          </w:p>
        </w:tc>
        <w:tc>
          <w:tcPr>
            <w:tcW w:w="6095"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0"/>
              </w:tabs>
              <w:spacing w:line="276" w:lineRule="auto"/>
              <w:ind w:left="0"/>
              <w:jc w:val="both"/>
              <w:rPr>
                <w:rFonts w:ascii="Times New Roman" w:hAnsi="Times New Roman" w:cs="Times New Roman"/>
                <w:sz w:val="20"/>
                <w:szCs w:val="20"/>
              </w:rPr>
            </w:pPr>
            <w:r w:rsidRPr="001D0846">
              <w:rPr>
                <w:rFonts w:ascii="Times New Roman" w:hAnsi="Times New Roman" w:cs="Times New Roman"/>
                <w:sz w:val="20"/>
                <w:szCs w:val="20"/>
              </w:rPr>
              <w:t>Executarea planului de venituri pentru toate bugetele componente ale BPN la nivel de 100%</w:t>
            </w:r>
            <w:r w:rsidRPr="001D0846">
              <w:rPr>
                <w:rFonts w:ascii="Times New Roman" w:hAnsi="Times New Roman" w:cs="Times New Roman"/>
                <w:color w:val="FFFFFF" w:themeColor="background1"/>
                <w:sz w:val="20"/>
                <w:szCs w:val="20"/>
              </w:rPr>
              <w:t>%;</w:t>
            </w:r>
          </w:p>
        </w:tc>
      </w:tr>
      <w:tr w:rsidR="00714F5D" w:rsidRPr="001D0846" w:rsidTr="008C5C6A">
        <w:tc>
          <w:tcPr>
            <w:tcW w:w="63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b/>
                <w:sz w:val="20"/>
                <w:szCs w:val="20"/>
              </w:rPr>
            </w:pP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Creșterea calității serviciilor fiscale pentru asigurarea eficientizării administrării fiscale</w:t>
            </w:r>
          </w:p>
        </w:tc>
        <w:tc>
          <w:tcPr>
            <w:tcW w:w="6095"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sz w:val="20"/>
                <w:szCs w:val="20"/>
              </w:rPr>
            </w:pPr>
          </w:p>
          <w:p w:rsidR="00714F5D" w:rsidRPr="001D0846" w:rsidRDefault="00714F5D" w:rsidP="008C5C6A">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714F5D" w:rsidRPr="001D0846" w:rsidTr="008C5C6A">
        <w:tc>
          <w:tcPr>
            <w:tcW w:w="63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b/>
                <w:sz w:val="20"/>
                <w:szCs w:val="20"/>
              </w:rPr>
            </w:pP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Consolidarea managementului de conformare fiscală prin elaborarea și implementarea documentației specifice (meto</w:t>
            </w:r>
            <w:r>
              <w:rPr>
                <w:rFonts w:ascii="Times New Roman" w:hAnsi="Times New Roman" w:cs="Times New Roman"/>
                <w:sz w:val="20"/>
                <w:szCs w:val="20"/>
              </w:rPr>
              <w:t>do</w:t>
            </w:r>
            <w:r w:rsidRPr="001D0846">
              <w:rPr>
                <w:rFonts w:ascii="Times New Roman" w:hAnsi="Times New Roman" w:cs="Times New Roman"/>
                <w:sz w:val="20"/>
                <w:szCs w:val="20"/>
              </w:rPr>
              <w:t>logii, strategii, programe, studii)</w:t>
            </w:r>
          </w:p>
        </w:tc>
        <w:tc>
          <w:tcPr>
            <w:tcW w:w="6095"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sz w:val="20"/>
                <w:szCs w:val="20"/>
              </w:rPr>
            </w:pPr>
          </w:p>
          <w:p w:rsidR="00714F5D" w:rsidRPr="001D0846" w:rsidRDefault="00714F5D" w:rsidP="008C5C6A">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714F5D" w:rsidRPr="001D0846" w:rsidTr="008C5C6A">
        <w:tc>
          <w:tcPr>
            <w:tcW w:w="63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4.</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Modernizarea controlului fiscal</w:t>
            </w:r>
          </w:p>
        </w:tc>
        <w:tc>
          <w:tcPr>
            <w:tcW w:w="6095"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Majorarea eficienței controalelor fiscale bazate pe riscuri</w:t>
            </w:r>
          </w:p>
        </w:tc>
      </w:tr>
      <w:tr w:rsidR="00714F5D" w:rsidRPr="001D0846" w:rsidTr="008C5C6A">
        <w:trPr>
          <w:trHeight w:val="566"/>
        </w:trPr>
        <w:tc>
          <w:tcPr>
            <w:tcW w:w="63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5.</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0"/>
              </w:tabs>
              <w:spacing w:line="276" w:lineRule="auto"/>
              <w:ind w:left="0"/>
              <w:jc w:val="both"/>
              <w:rPr>
                <w:rFonts w:ascii="Times New Roman" w:hAnsi="Times New Roman" w:cs="Times New Roman"/>
                <w:sz w:val="20"/>
                <w:szCs w:val="20"/>
              </w:rPr>
            </w:pPr>
            <w:r w:rsidRPr="001D0846">
              <w:rPr>
                <w:rFonts w:ascii="Times New Roman" w:hAnsi="Times New Roman" w:cs="Times New Roman"/>
                <w:sz w:val="20"/>
                <w:szCs w:val="20"/>
              </w:rPr>
              <w:t>Dezvoltarea unui sistem eficient de gestionare a restanțelor</w:t>
            </w:r>
          </w:p>
        </w:tc>
        <w:tc>
          <w:tcPr>
            <w:tcW w:w="6095"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Diminuarea arieratelor la BPN (cu cel puțin 10% față de perioada precedentă)</w:t>
            </w:r>
          </w:p>
        </w:tc>
      </w:tr>
      <w:tr w:rsidR="00714F5D" w:rsidRPr="001D0846" w:rsidTr="008C5C6A">
        <w:trPr>
          <w:trHeight w:val="800"/>
        </w:trPr>
        <w:tc>
          <w:tcPr>
            <w:tcW w:w="63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b/>
                <w:sz w:val="20"/>
                <w:szCs w:val="20"/>
              </w:rPr>
            </w:pP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6.</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0"/>
              </w:tabs>
              <w:spacing w:line="276" w:lineRule="auto"/>
              <w:ind w:left="0"/>
              <w:jc w:val="both"/>
              <w:rPr>
                <w:rFonts w:ascii="Times New Roman" w:hAnsi="Times New Roman" w:cs="Times New Roman"/>
                <w:sz w:val="20"/>
                <w:szCs w:val="20"/>
              </w:rPr>
            </w:pPr>
            <w:r w:rsidRPr="001D0846">
              <w:rPr>
                <w:rFonts w:ascii="Times New Roman" w:hAnsi="Times New Roman" w:cs="Times New Roman"/>
                <w:sz w:val="20"/>
                <w:szCs w:val="20"/>
              </w:rPr>
              <w:t>Modernizarea infrastructurii tehnice și adaptarea acesteia la noua structură organizatorică</w:t>
            </w:r>
          </w:p>
        </w:tc>
        <w:tc>
          <w:tcPr>
            <w:tcW w:w="6095"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both"/>
              <w:rPr>
                <w:rFonts w:ascii="Times New Roman" w:hAnsi="Times New Roman" w:cs="Times New Roman"/>
                <w:sz w:val="20"/>
                <w:szCs w:val="20"/>
              </w:rPr>
            </w:pPr>
          </w:p>
          <w:p w:rsidR="00714F5D" w:rsidRPr="001D0846" w:rsidRDefault="00714F5D" w:rsidP="008C5C6A">
            <w:pPr>
              <w:tabs>
                <w:tab w:val="left" w:pos="0"/>
              </w:tabs>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w:t>
            </w:r>
          </w:p>
        </w:tc>
      </w:tr>
      <w:tr w:rsidR="00714F5D" w:rsidRPr="001D0846" w:rsidTr="008C5C6A">
        <w:tc>
          <w:tcPr>
            <w:tcW w:w="63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7.</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xml:space="preserve">Implementarea sistemului </w:t>
            </w:r>
            <w:proofErr w:type="spellStart"/>
            <w:r w:rsidRPr="001D0846">
              <w:rPr>
                <w:rFonts w:ascii="Times New Roman" w:hAnsi="Times New Roman" w:cs="Times New Roman"/>
                <w:sz w:val="20"/>
                <w:szCs w:val="20"/>
              </w:rPr>
              <w:t>informational</w:t>
            </w:r>
            <w:proofErr w:type="spellEnd"/>
            <w:r w:rsidRPr="001D0846">
              <w:rPr>
                <w:rFonts w:ascii="Times New Roman" w:hAnsi="Times New Roman" w:cs="Times New Roman"/>
                <w:sz w:val="20"/>
                <w:szCs w:val="20"/>
              </w:rPr>
              <w:t xml:space="preserve"> integrat</w:t>
            </w:r>
          </w:p>
        </w:tc>
        <w:tc>
          <w:tcPr>
            <w:tcW w:w="6095"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xml:space="preserve">* Dezvoltarea sistemului de declarare fiscală prin utilizarea tehnologiilor informaționale  </w:t>
            </w:r>
          </w:p>
        </w:tc>
      </w:tr>
      <w:tr w:rsidR="00714F5D" w:rsidRPr="001D0846" w:rsidTr="008C5C6A">
        <w:tc>
          <w:tcPr>
            <w:tcW w:w="63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tabs>
                <w:tab w:val="left" w:pos="0"/>
              </w:tabs>
              <w:spacing w:line="276" w:lineRule="auto"/>
              <w:jc w:val="center"/>
              <w:rPr>
                <w:rFonts w:ascii="Times New Roman" w:hAnsi="Times New Roman" w:cs="Times New Roman"/>
                <w:b/>
                <w:sz w:val="20"/>
                <w:szCs w:val="20"/>
              </w:rPr>
            </w:pPr>
          </w:p>
          <w:p w:rsidR="00714F5D" w:rsidRPr="001D0846" w:rsidRDefault="00714F5D" w:rsidP="008C5C6A">
            <w:pPr>
              <w:tabs>
                <w:tab w:val="left" w:pos="0"/>
              </w:tabs>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8.</w:t>
            </w:r>
          </w:p>
        </w:tc>
        <w:tc>
          <w:tcPr>
            <w:tcW w:w="66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0"/>
              </w:tabs>
              <w:spacing w:line="276" w:lineRule="auto"/>
              <w:ind w:left="0"/>
              <w:jc w:val="both"/>
              <w:rPr>
                <w:rFonts w:ascii="Times New Roman" w:hAnsi="Times New Roman" w:cs="Times New Roman"/>
                <w:sz w:val="20"/>
                <w:szCs w:val="20"/>
              </w:rPr>
            </w:pPr>
            <w:r w:rsidRPr="001D0846">
              <w:rPr>
                <w:rFonts w:ascii="Times New Roman" w:hAnsi="Times New Roman" w:cs="Times New Roman"/>
                <w:sz w:val="20"/>
                <w:szCs w:val="20"/>
              </w:rPr>
              <w:t>Optimizarea procedurilor de administrare fiscală a contribuabililor mari</w:t>
            </w:r>
          </w:p>
        </w:tc>
        <w:tc>
          <w:tcPr>
            <w:tcW w:w="6095"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tabs>
                <w:tab w:val="left" w:pos="0"/>
              </w:tabs>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Optimizarea procedurilor de administrare fiscală a contribuabililor mari</w:t>
            </w:r>
          </w:p>
        </w:tc>
      </w:tr>
    </w:tbl>
    <w:p w:rsidR="00714F5D" w:rsidRPr="001D0846" w:rsidRDefault="00714F5D" w:rsidP="00714F5D">
      <w:pPr>
        <w:tabs>
          <w:tab w:val="left" w:pos="0"/>
        </w:tabs>
        <w:spacing w:after="0" w:line="276" w:lineRule="auto"/>
        <w:jc w:val="both"/>
        <w:rPr>
          <w:rFonts w:ascii="Times New Roman" w:hAnsi="Times New Roman" w:cs="Times New Roman"/>
          <w:i/>
          <w:sz w:val="20"/>
          <w:szCs w:val="20"/>
        </w:rPr>
      </w:pPr>
      <w:r w:rsidRPr="001D0846">
        <w:rPr>
          <w:rFonts w:ascii="Times New Roman" w:hAnsi="Times New Roman" w:cs="Times New Roman"/>
          <w:i/>
          <w:sz w:val="20"/>
          <w:szCs w:val="20"/>
        </w:rPr>
        <w:t>*</w:t>
      </w: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Raportul de performanță la situația din 01.01.2018 (Forma FD053).</w:t>
      </w:r>
    </w:p>
    <w:p w:rsidR="00714F5D" w:rsidRPr="001D0846" w:rsidRDefault="00714F5D" w:rsidP="00714F5D">
      <w:pPr>
        <w:spacing w:after="0" w:line="276" w:lineRule="auto"/>
      </w:pPr>
    </w:p>
    <w:p w:rsidR="00714F5D" w:rsidRPr="001D0846" w:rsidRDefault="00714F5D" w:rsidP="00714F5D">
      <w:pPr>
        <w:spacing w:after="0" w:line="276" w:lineRule="auto"/>
        <w:rPr>
          <w:rFonts w:ascii="Times New Roman" w:hAnsi="Times New Roman" w:cs="Times New Roman"/>
        </w:rPr>
        <w:sectPr w:rsidR="00714F5D" w:rsidRPr="001D0846" w:rsidSect="000965FB">
          <w:pgSz w:w="15840" w:h="12240" w:orient="landscape"/>
          <w:pgMar w:top="851" w:right="851" w:bottom="851" w:left="1701" w:header="709" w:footer="709" w:gutter="0"/>
          <w:cols w:space="708"/>
          <w:docGrid w:linePitch="360"/>
        </w:sectPr>
      </w:pPr>
    </w:p>
    <w:p w:rsidR="00714F5D" w:rsidRPr="001D0846" w:rsidRDefault="00714F5D" w:rsidP="00714F5D">
      <w:pPr>
        <w:pStyle w:val="a7"/>
        <w:tabs>
          <w:tab w:val="left" w:pos="0"/>
        </w:tabs>
        <w:spacing w:after="0" w:line="276" w:lineRule="auto"/>
        <w:ind w:left="0" w:firstLine="709"/>
        <w:jc w:val="right"/>
        <w:rPr>
          <w:rFonts w:ascii="Times New Roman" w:hAnsi="Times New Roman" w:cs="Times New Roman"/>
          <w:b/>
          <w:i/>
          <w:sz w:val="28"/>
          <w:szCs w:val="28"/>
        </w:rPr>
      </w:pPr>
      <w:r w:rsidRPr="001D0846">
        <w:rPr>
          <w:rFonts w:ascii="Times New Roman" w:hAnsi="Times New Roman" w:cs="Times New Roman"/>
          <w:b/>
          <w:i/>
          <w:sz w:val="28"/>
          <w:szCs w:val="28"/>
        </w:rPr>
        <w:lastRenderedPageBreak/>
        <w:t>Tabelul nr. 2</w:t>
      </w:r>
    </w:p>
    <w:p w:rsidR="00714F5D" w:rsidRPr="001D0846" w:rsidRDefault="00714F5D" w:rsidP="00714F5D">
      <w:pPr>
        <w:pStyle w:val="a7"/>
        <w:tabs>
          <w:tab w:val="left" w:pos="0"/>
        </w:tabs>
        <w:spacing w:after="0" w:line="276" w:lineRule="auto"/>
        <w:ind w:left="0" w:firstLine="709"/>
        <w:jc w:val="center"/>
        <w:rPr>
          <w:rFonts w:ascii="Times New Roman" w:hAnsi="Times New Roman" w:cs="Times New Roman"/>
          <w:i/>
          <w:sz w:val="28"/>
          <w:szCs w:val="28"/>
          <w:lang w:val="ro-MD"/>
        </w:rPr>
      </w:pPr>
      <w:r w:rsidRPr="001D0846">
        <w:rPr>
          <w:rFonts w:ascii="Times New Roman" w:hAnsi="Times New Roman" w:cs="Times New Roman"/>
          <w:i/>
          <w:sz w:val="28"/>
          <w:szCs w:val="28"/>
          <w:lang w:val="ro-MD"/>
        </w:rPr>
        <w:t>Informația privind nivelul de realizare de către SFS a indicatorilor de performanță în activitatea de administrare fiscală în anul 2017</w:t>
      </w:r>
    </w:p>
    <w:tbl>
      <w:tblPr>
        <w:tblStyle w:val="a3"/>
        <w:tblpPr w:leftFromText="180" w:rightFromText="180" w:vertAnchor="text" w:horzAnchor="margin" w:tblpXSpec="center" w:tblpY="36"/>
        <w:tblW w:w="13745" w:type="dxa"/>
        <w:tblLayout w:type="fixed"/>
        <w:tblLook w:val="04A0" w:firstRow="1" w:lastRow="0" w:firstColumn="1" w:lastColumn="0" w:noHBand="0" w:noVBand="1"/>
      </w:tblPr>
      <w:tblGrid>
        <w:gridCol w:w="562"/>
        <w:gridCol w:w="4253"/>
        <w:gridCol w:w="4394"/>
        <w:gridCol w:w="1040"/>
        <w:gridCol w:w="900"/>
        <w:gridCol w:w="990"/>
        <w:gridCol w:w="900"/>
        <w:gridCol w:w="706"/>
      </w:tblGrid>
      <w:tr w:rsidR="00714F5D" w:rsidRPr="001D0846" w:rsidTr="008C5C6A">
        <w:tc>
          <w:tcPr>
            <w:tcW w:w="56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14F5D" w:rsidRPr="001D0846" w:rsidRDefault="00714F5D" w:rsidP="008C5C6A">
            <w:pPr>
              <w:pStyle w:val="a7"/>
              <w:tabs>
                <w:tab w:val="left" w:pos="1134"/>
              </w:tabs>
              <w:spacing w:line="276" w:lineRule="auto"/>
              <w:ind w:left="56" w:right="113"/>
              <w:jc w:val="center"/>
              <w:rPr>
                <w:rFonts w:ascii="Times New Roman" w:hAnsi="Times New Roman" w:cs="Times New Roman"/>
                <w:b/>
                <w:sz w:val="20"/>
                <w:szCs w:val="20"/>
              </w:rPr>
            </w:pPr>
            <w:r w:rsidRPr="001D0846">
              <w:rPr>
                <w:rFonts w:ascii="Times New Roman" w:hAnsi="Times New Roman" w:cs="Times New Roman"/>
                <w:b/>
                <w:sz w:val="20"/>
                <w:szCs w:val="20"/>
              </w:rPr>
              <w:t>Categoria</w:t>
            </w: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sz w:val="20"/>
                <w:szCs w:val="20"/>
              </w:rPr>
              <w:t>Indicatori aprobați de către MF</w:t>
            </w:r>
          </w:p>
        </w:tc>
        <w:tc>
          <w:tcPr>
            <w:tcW w:w="893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rPr>
                <w:rFonts w:ascii="Times New Roman" w:hAnsi="Times New Roman" w:cs="Times New Roman"/>
                <w:b/>
                <w:sz w:val="20"/>
                <w:szCs w:val="20"/>
              </w:rPr>
            </w:pPr>
            <w:r w:rsidRPr="001D0846">
              <w:rPr>
                <w:rFonts w:ascii="Times New Roman" w:hAnsi="Times New Roman" w:cs="Times New Roman"/>
                <w:b/>
                <w:sz w:val="20"/>
                <w:szCs w:val="20"/>
              </w:rPr>
              <w:t>Indicatori raportați de către SFS</w:t>
            </w:r>
          </w:p>
        </w:tc>
      </w:tr>
      <w:tr w:rsidR="00714F5D" w:rsidRPr="001D0846" w:rsidTr="008C5C6A">
        <w:tc>
          <w:tcPr>
            <w:tcW w:w="562" w:type="dxa"/>
            <w:vMerge/>
            <w:tcBorders>
              <w:top w:val="single" w:sz="4" w:space="0" w:color="auto"/>
              <w:left w:val="single" w:sz="4" w:space="0" w:color="auto"/>
              <w:bottom w:val="single" w:sz="4" w:space="0" w:color="auto"/>
              <w:right w:val="single" w:sz="4" w:space="0" w:color="auto"/>
            </w:tcBorders>
            <w:vAlign w:val="center"/>
            <w:hideMark/>
          </w:tcPr>
          <w:p w:rsidR="00714F5D" w:rsidRPr="001D0846" w:rsidRDefault="00714F5D" w:rsidP="008C5C6A">
            <w:pPr>
              <w:spacing w:line="276" w:lineRule="auto"/>
              <w:rPr>
                <w:rFonts w:ascii="Times New Roman" w:hAnsi="Times New Roman" w:cs="Times New Roman"/>
                <w:b/>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 rezultat</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 rezultat</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Unitatea de măsură (%)</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Aprobat</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Executat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Devieri (+/-)</w:t>
            </w:r>
          </w:p>
        </w:tc>
        <w:tc>
          <w:tcPr>
            <w:tcW w:w="70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Neexecutați</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Gradul de reducere a restanței la BPN în baza măsurilor de executare silită a obligațiilor fiscale</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Gradul de reducere a restanței la BPN în baza măsurilor de executare silită a obligațiilor fiscale</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32</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50,5</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+18,5</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R11</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sz w:val="20"/>
                <w:szCs w:val="20"/>
              </w:rPr>
            </w:pPr>
            <w:r w:rsidRPr="001D0846">
              <w:rPr>
                <w:rFonts w:ascii="Times New Roman" w:hAnsi="Times New Roman" w:cs="Times New Roman"/>
                <w:sz w:val="20"/>
                <w:szCs w:val="20"/>
              </w:rPr>
              <w:t>Nivelul de conformare voluntară a contribuabililor (ponderea impozitelor și taxelor la un leu de vânzări)</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Nivelul de conformare voluntară a contribuabililor</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29,4</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+14,4</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R12</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Reducerea decalajului fiscal (prin diminuarea economiei tenebre și majorarea nivelului de conformare voluntară) față de perioada similară a anului precedent</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Reducerea decalajului fiscal (prin diminuarea economiei tenebre și majorarea nivelului de conformare voluntară) față de perioada similară a anului precedent</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3,58</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+2,08</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R2</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Ponderea veniturilor la bugetul de stat administrate de SFS, încasate de la contribuabilii mari, în totalul încasărilor</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Ponderea veniturilor la bugetul de stat administrate de SFS, încasate de la contribuabilii mari, în totalul încasărilor</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50,2</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+5,2</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R3</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Ponderea dărilor de seamă prezentate în mod automatizat, în baza utilizării tehnologiilor informaționale, în totalul dărilor de seamă prezentate (Decl</w:t>
            </w:r>
            <w:r>
              <w:rPr>
                <w:rFonts w:ascii="Times New Roman" w:hAnsi="Times New Roman" w:cs="Times New Roman"/>
                <w:sz w:val="20"/>
                <w:szCs w:val="20"/>
              </w:rPr>
              <w:t>arația electronică și Declarația</w:t>
            </w:r>
            <w:r w:rsidRPr="001D0846">
              <w:rPr>
                <w:rFonts w:ascii="Times New Roman" w:hAnsi="Times New Roman" w:cs="Times New Roman"/>
                <w:sz w:val="20"/>
                <w:szCs w:val="20"/>
              </w:rPr>
              <w:t xml:space="preserve"> rapidă)</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Ponderea dărilor de seamă prezentate în mod automatizat, în baza utilizării tehnologiilor informaționale, în totalul dărilor de seamă prezentate (Declarația electronică și Declarați</w:t>
            </w:r>
            <w:r>
              <w:rPr>
                <w:rFonts w:ascii="Times New Roman" w:hAnsi="Times New Roman" w:cs="Times New Roman"/>
                <w:sz w:val="20"/>
                <w:szCs w:val="20"/>
              </w:rPr>
              <w:t>a</w:t>
            </w:r>
            <w:r w:rsidRPr="001D0846">
              <w:rPr>
                <w:rFonts w:ascii="Times New Roman" w:hAnsi="Times New Roman" w:cs="Times New Roman"/>
                <w:sz w:val="20"/>
                <w:szCs w:val="20"/>
              </w:rPr>
              <w:t xml:space="preserve"> rapidă)</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72</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83,03</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+11,03</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R4</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Realizarea planului de venituri la BPN de către SFS</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Realizarea planului de venituri la BPN de către SFS</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101,9</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+1,9</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R5</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sz w:val="20"/>
                <w:szCs w:val="20"/>
              </w:rPr>
              <w:t xml:space="preserve">Ponderea sumelor încasate </w:t>
            </w:r>
            <w:r>
              <w:rPr>
                <w:rFonts w:ascii="Times New Roman" w:hAnsi="Times New Roman" w:cs="Times New Roman"/>
                <w:sz w:val="20"/>
                <w:szCs w:val="20"/>
              </w:rPr>
              <w:t>în</w:t>
            </w:r>
            <w:r w:rsidRPr="001D0846">
              <w:rPr>
                <w:rFonts w:ascii="Times New Roman" w:hAnsi="Times New Roman" w:cs="Times New Roman"/>
                <w:sz w:val="20"/>
                <w:szCs w:val="20"/>
              </w:rPr>
              <w:t xml:space="preserve"> totalul sumelor calculate în rezultatul controalelor fiscale</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 xml:space="preserve">Ponderea sumelor încasate </w:t>
            </w:r>
            <w:r>
              <w:rPr>
                <w:rFonts w:ascii="Times New Roman" w:hAnsi="Times New Roman" w:cs="Times New Roman"/>
                <w:sz w:val="20"/>
                <w:szCs w:val="20"/>
              </w:rPr>
              <w:t>în</w:t>
            </w:r>
            <w:r w:rsidRPr="001D0846">
              <w:rPr>
                <w:rFonts w:ascii="Times New Roman" w:hAnsi="Times New Roman" w:cs="Times New Roman"/>
                <w:sz w:val="20"/>
                <w:szCs w:val="20"/>
              </w:rPr>
              <w:t xml:space="preserve"> totalul sumelor calculate în rezultatul controalelor fiscale</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70,62</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-4,38</w:t>
            </w:r>
          </w:p>
        </w:tc>
        <w:tc>
          <w:tcPr>
            <w:tcW w:w="70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produs</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produs</w:t>
            </w:r>
          </w:p>
        </w:tc>
        <w:tc>
          <w:tcPr>
            <w:tcW w:w="104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O1</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Nr</w:t>
            </w:r>
            <w:r>
              <w:rPr>
                <w:rFonts w:ascii="Times New Roman" w:hAnsi="Times New Roman" w:cs="Times New Roman"/>
                <w:sz w:val="20"/>
                <w:szCs w:val="20"/>
              </w:rPr>
              <w:t>.</w:t>
            </w:r>
            <w:r w:rsidRPr="001D0846">
              <w:rPr>
                <w:rFonts w:ascii="Times New Roman" w:hAnsi="Times New Roman" w:cs="Times New Roman"/>
                <w:sz w:val="20"/>
                <w:szCs w:val="20"/>
              </w:rPr>
              <w:t xml:space="preserve"> agenților economici–contribuabili mari, administrați de SFS</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Nr</w:t>
            </w:r>
            <w:r>
              <w:rPr>
                <w:rFonts w:ascii="Times New Roman" w:hAnsi="Times New Roman" w:cs="Times New Roman"/>
                <w:sz w:val="20"/>
                <w:szCs w:val="20"/>
              </w:rPr>
              <w:t>.</w:t>
            </w:r>
            <w:r w:rsidRPr="001D0846">
              <w:rPr>
                <w:rFonts w:ascii="Times New Roman" w:hAnsi="Times New Roman" w:cs="Times New Roman"/>
                <w:sz w:val="20"/>
                <w:szCs w:val="20"/>
              </w:rPr>
              <w:t xml:space="preserve"> agenților economici–contribuabili mari, administrați de SFS</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unități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450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650</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+200</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lastRenderedPageBreak/>
              <w:t>O6</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Nr</w:t>
            </w:r>
            <w:r>
              <w:rPr>
                <w:rFonts w:ascii="Times New Roman" w:hAnsi="Times New Roman" w:cs="Times New Roman"/>
                <w:sz w:val="20"/>
                <w:szCs w:val="20"/>
              </w:rPr>
              <w:t>.</w:t>
            </w:r>
            <w:r w:rsidRPr="001D0846">
              <w:rPr>
                <w:rFonts w:ascii="Times New Roman" w:hAnsi="Times New Roman" w:cs="Times New Roman"/>
                <w:sz w:val="20"/>
                <w:szCs w:val="20"/>
              </w:rPr>
              <w:t xml:space="preserve"> dărilor de seamă recepționate și prelucrate de </w:t>
            </w:r>
            <w:r>
              <w:rPr>
                <w:rFonts w:ascii="Times New Roman" w:hAnsi="Times New Roman" w:cs="Times New Roman"/>
                <w:sz w:val="20"/>
                <w:szCs w:val="20"/>
              </w:rPr>
              <w:t xml:space="preserve">către </w:t>
            </w:r>
            <w:r w:rsidRPr="001D0846">
              <w:rPr>
                <w:rFonts w:ascii="Times New Roman" w:hAnsi="Times New Roman" w:cs="Times New Roman"/>
                <w:sz w:val="20"/>
                <w:szCs w:val="20"/>
              </w:rPr>
              <w:t>SFS</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 xml:space="preserve">Nr. dărilor de seamă recepționate și prelucrate de </w:t>
            </w:r>
            <w:r>
              <w:rPr>
                <w:rFonts w:ascii="Times New Roman" w:hAnsi="Times New Roman" w:cs="Times New Roman"/>
                <w:sz w:val="20"/>
                <w:szCs w:val="20"/>
              </w:rPr>
              <w:t xml:space="preserve">către </w:t>
            </w:r>
            <w:r w:rsidRPr="001D0846">
              <w:rPr>
                <w:rFonts w:ascii="Times New Roman" w:hAnsi="Times New Roman" w:cs="Times New Roman"/>
                <w:sz w:val="20"/>
                <w:szCs w:val="20"/>
              </w:rPr>
              <w:t>SFS</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mii unități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1700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1937,8</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+237,8</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O7</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Suma încasărilor obținute în urma aplicării modalității de executare silită față de contribuabilii restanțieri</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Suma încasărilor obținute în urma aplicării modalității de executare silită față de contribuabilii restanțieri</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mil.lei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600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1102,48</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+502,48</w:t>
            </w: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O6</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Sistem informațional integrat procurat și implementat</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Sistem informațional integrat procurat și implementat</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mil.lei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40,8</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eficiență</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eficiență</w:t>
            </w:r>
          </w:p>
        </w:tc>
        <w:tc>
          <w:tcPr>
            <w:tcW w:w="104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E1</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Costul administrării fiscale la un leu de venituri la BPN</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Costul administrării fiscale la un leu de venituri la BPN</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lei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0,01</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0,01</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0</w:t>
            </w:r>
          </w:p>
        </w:tc>
        <w:tc>
          <w:tcPr>
            <w:tcW w:w="70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E2</w:t>
            </w:r>
          </w:p>
        </w:tc>
        <w:tc>
          <w:tcPr>
            <w:tcW w:w="4253"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Gradul de reducere a restanței recuperabile, comparativ cu începutul anului</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Gradul de reducere a restanței recuperabile, comparativ cu începutul anului</w:t>
            </w:r>
          </w:p>
        </w:tc>
        <w:tc>
          <w:tcPr>
            <w:tcW w:w="104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bl>
    <w:p w:rsidR="00714F5D" w:rsidRPr="001D0846" w:rsidRDefault="00714F5D" w:rsidP="00714F5D">
      <w:pPr>
        <w:spacing w:after="0" w:line="276" w:lineRule="auto"/>
        <w:rPr>
          <w:rFonts w:ascii="Times New Roman" w:hAnsi="Times New Roman" w:cs="Times New Roman"/>
          <w:i/>
          <w:sz w:val="20"/>
          <w:szCs w:val="20"/>
        </w:rPr>
      </w:pP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Raportul de performanță la situația din 01.01.2018 (Forma FD053).</w:t>
      </w:r>
    </w:p>
    <w:p w:rsidR="00714F5D" w:rsidRPr="001D0846" w:rsidRDefault="00714F5D" w:rsidP="00714F5D">
      <w:pPr>
        <w:pStyle w:val="a7"/>
        <w:tabs>
          <w:tab w:val="left" w:pos="0"/>
        </w:tabs>
        <w:spacing w:after="0" w:line="276" w:lineRule="auto"/>
        <w:ind w:left="0" w:right="-37" w:firstLine="709"/>
        <w:jc w:val="right"/>
        <w:rPr>
          <w:rFonts w:ascii="Times New Roman" w:hAnsi="Times New Roman" w:cs="Times New Roman"/>
          <w:b/>
          <w:i/>
          <w:sz w:val="28"/>
          <w:szCs w:val="28"/>
        </w:rPr>
      </w:pPr>
      <w:r w:rsidRPr="001D0846">
        <w:rPr>
          <w:rFonts w:ascii="Times New Roman" w:hAnsi="Times New Roman" w:cs="Times New Roman"/>
          <w:b/>
          <w:i/>
          <w:sz w:val="28"/>
          <w:szCs w:val="28"/>
        </w:rPr>
        <w:t>Tabelul nr.3</w:t>
      </w:r>
    </w:p>
    <w:p w:rsidR="00714F5D" w:rsidRPr="001D0846" w:rsidRDefault="00714F5D" w:rsidP="00714F5D">
      <w:pPr>
        <w:pStyle w:val="a7"/>
        <w:tabs>
          <w:tab w:val="left" w:pos="0"/>
        </w:tabs>
        <w:spacing w:after="0" w:line="276" w:lineRule="auto"/>
        <w:ind w:left="0" w:firstLine="709"/>
        <w:jc w:val="center"/>
        <w:rPr>
          <w:rFonts w:ascii="Times New Roman" w:hAnsi="Times New Roman" w:cs="Times New Roman"/>
          <w:i/>
          <w:sz w:val="28"/>
          <w:szCs w:val="28"/>
          <w:lang w:val="ro-MD"/>
        </w:rPr>
      </w:pPr>
      <w:r w:rsidRPr="001D0846">
        <w:rPr>
          <w:rFonts w:ascii="Times New Roman" w:hAnsi="Times New Roman" w:cs="Times New Roman"/>
          <w:i/>
          <w:sz w:val="28"/>
          <w:szCs w:val="28"/>
          <w:lang w:val="ro-MD"/>
        </w:rPr>
        <w:t>Informația privind nivelul de realizare de către SV a indicatorilor de performanță în activitatea de administrare vamală în anul 2017</w:t>
      </w:r>
    </w:p>
    <w:tbl>
      <w:tblPr>
        <w:tblStyle w:val="a3"/>
        <w:tblpPr w:leftFromText="180" w:rightFromText="180" w:vertAnchor="text" w:horzAnchor="margin" w:tblpXSpec="center" w:tblpY="36"/>
        <w:tblW w:w="13745" w:type="dxa"/>
        <w:tblLayout w:type="fixed"/>
        <w:tblLook w:val="04A0" w:firstRow="1" w:lastRow="0" w:firstColumn="1" w:lastColumn="0" w:noHBand="0" w:noVBand="1"/>
      </w:tblPr>
      <w:tblGrid>
        <w:gridCol w:w="562"/>
        <w:gridCol w:w="4111"/>
        <w:gridCol w:w="4394"/>
        <w:gridCol w:w="972"/>
        <w:gridCol w:w="900"/>
        <w:gridCol w:w="990"/>
        <w:gridCol w:w="900"/>
        <w:gridCol w:w="916"/>
      </w:tblGrid>
      <w:tr w:rsidR="00714F5D" w:rsidRPr="001D0846" w:rsidTr="008C5C6A">
        <w:tc>
          <w:tcPr>
            <w:tcW w:w="56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14F5D" w:rsidRPr="001D0846" w:rsidRDefault="00714F5D" w:rsidP="008C5C6A">
            <w:pPr>
              <w:pStyle w:val="a7"/>
              <w:tabs>
                <w:tab w:val="left" w:pos="1134"/>
              </w:tabs>
              <w:spacing w:line="276" w:lineRule="auto"/>
              <w:ind w:left="113" w:right="113"/>
              <w:jc w:val="center"/>
              <w:rPr>
                <w:rFonts w:ascii="Times New Roman" w:hAnsi="Times New Roman" w:cs="Times New Roman"/>
                <w:b/>
                <w:sz w:val="20"/>
                <w:szCs w:val="20"/>
              </w:rPr>
            </w:pPr>
            <w:r w:rsidRPr="001D0846">
              <w:rPr>
                <w:rFonts w:ascii="Times New Roman" w:hAnsi="Times New Roman" w:cs="Times New Roman"/>
                <w:b/>
                <w:sz w:val="20"/>
                <w:szCs w:val="20"/>
              </w:rPr>
              <w:t>Categoria</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sz w:val="20"/>
                <w:szCs w:val="20"/>
              </w:rPr>
              <w:t>Indicatori aprobați de MF</w:t>
            </w:r>
          </w:p>
        </w:tc>
        <w:tc>
          <w:tcPr>
            <w:tcW w:w="907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rPr>
                <w:rFonts w:ascii="Times New Roman" w:hAnsi="Times New Roman" w:cs="Times New Roman"/>
                <w:b/>
                <w:sz w:val="20"/>
                <w:szCs w:val="20"/>
              </w:rPr>
            </w:pPr>
            <w:r w:rsidRPr="001D0846">
              <w:rPr>
                <w:rFonts w:ascii="Times New Roman" w:hAnsi="Times New Roman" w:cs="Times New Roman"/>
                <w:b/>
                <w:sz w:val="20"/>
                <w:szCs w:val="20"/>
              </w:rPr>
              <w:t>Indicatori raportați de SV</w:t>
            </w:r>
          </w:p>
        </w:tc>
      </w:tr>
      <w:tr w:rsidR="00714F5D" w:rsidRPr="001D0846" w:rsidTr="008C5C6A">
        <w:trPr>
          <w:trHeight w:val="8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14F5D" w:rsidRPr="001D0846" w:rsidRDefault="00714F5D" w:rsidP="008C5C6A">
            <w:pPr>
              <w:spacing w:line="276" w:lineRule="auto"/>
              <w:rPr>
                <w:rFonts w:ascii="Times New Roman" w:hAnsi="Times New Roman" w:cs="Times New Roman"/>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 rezultat</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 rezultat</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Unitatea de măsură (%)</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Aprobat</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Executat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Devieri (+/-)</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Neexecutați</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R6</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perfectate electronic</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perfectate electronic</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62</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37</w:t>
            </w: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R7</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de import direcționate pentru control fizic</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de import direcționate pentru control fizic</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7,2</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R8</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de export direcționate pentru control fizic</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Cota declarațiilor vamale de export direcționate pentru control fizic</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3,3</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R9</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proofErr w:type="spellStart"/>
            <w:r w:rsidRPr="001D0846">
              <w:rPr>
                <w:rFonts w:ascii="Times New Roman" w:hAnsi="Times New Roman" w:cs="Times New Roman"/>
                <w:sz w:val="20"/>
                <w:szCs w:val="20"/>
              </w:rPr>
              <w:t>Rezultativitatea</w:t>
            </w:r>
            <w:proofErr w:type="spellEnd"/>
            <w:r w:rsidRPr="001D0846">
              <w:rPr>
                <w:rFonts w:ascii="Times New Roman" w:hAnsi="Times New Roman" w:cs="Times New Roman"/>
                <w:sz w:val="20"/>
                <w:szCs w:val="20"/>
              </w:rPr>
              <w:t xml:space="preserve"> efectuării </w:t>
            </w:r>
            <w:proofErr w:type="spellStart"/>
            <w:r w:rsidRPr="001D0846">
              <w:rPr>
                <w:rFonts w:ascii="Times New Roman" w:hAnsi="Times New Roman" w:cs="Times New Roman"/>
                <w:sz w:val="20"/>
                <w:szCs w:val="20"/>
              </w:rPr>
              <w:t>cotrolului</w:t>
            </w:r>
            <w:proofErr w:type="spellEnd"/>
            <w:r w:rsidRPr="001D0846">
              <w:rPr>
                <w:rFonts w:ascii="Times New Roman" w:hAnsi="Times New Roman" w:cs="Times New Roman"/>
                <w:sz w:val="20"/>
                <w:szCs w:val="20"/>
              </w:rPr>
              <w:t xml:space="preserve"> ulterior</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proofErr w:type="spellStart"/>
            <w:r w:rsidRPr="001D0846">
              <w:rPr>
                <w:rFonts w:ascii="Times New Roman" w:hAnsi="Times New Roman" w:cs="Times New Roman"/>
                <w:sz w:val="20"/>
                <w:szCs w:val="20"/>
              </w:rPr>
              <w:t>Rezultativitatea</w:t>
            </w:r>
            <w:proofErr w:type="spellEnd"/>
            <w:r w:rsidRPr="001D0846">
              <w:rPr>
                <w:rFonts w:ascii="Times New Roman" w:hAnsi="Times New Roman" w:cs="Times New Roman"/>
                <w:sz w:val="20"/>
                <w:szCs w:val="20"/>
              </w:rPr>
              <w:t xml:space="preserve"> efectuării </w:t>
            </w:r>
            <w:proofErr w:type="spellStart"/>
            <w:r w:rsidRPr="001D0846">
              <w:rPr>
                <w:rFonts w:ascii="Times New Roman" w:hAnsi="Times New Roman" w:cs="Times New Roman"/>
                <w:sz w:val="20"/>
                <w:szCs w:val="20"/>
              </w:rPr>
              <w:t>cotrolului</w:t>
            </w:r>
            <w:proofErr w:type="spellEnd"/>
            <w:r w:rsidRPr="001D0846">
              <w:rPr>
                <w:rFonts w:ascii="Times New Roman" w:hAnsi="Times New Roman" w:cs="Times New Roman"/>
                <w:sz w:val="20"/>
                <w:szCs w:val="20"/>
              </w:rPr>
              <w:t xml:space="preserve"> ulterior</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75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83</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8</w:t>
            </w: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R10</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 xml:space="preserve">Gradul de realizare a planului încasărilor de </w:t>
            </w:r>
            <w:r>
              <w:rPr>
                <w:rFonts w:ascii="Times New Roman" w:hAnsi="Times New Roman" w:cs="Times New Roman"/>
                <w:sz w:val="20"/>
                <w:szCs w:val="20"/>
              </w:rPr>
              <w:t xml:space="preserve">către </w:t>
            </w:r>
            <w:r w:rsidRPr="001D0846">
              <w:rPr>
                <w:rFonts w:ascii="Times New Roman" w:hAnsi="Times New Roman" w:cs="Times New Roman"/>
                <w:sz w:val="20"/>
                <w:szCs w:val="20"/>
              </w:rPr>
              <w:t>SV</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 xml:space="preserve">Gradul de realizare a planului încasărilor de </w:t>
            </w:r>
            <w:r>
              <w:rPr>
                <w:rFonts w:ascii="Times New Roman" w:hAnsi="Times New Roman" w:cs="Times New Roman"/>
                <w:sz w:val="20"/>
                <w:szCs w:val="20"/>
              </w:rPr>
              <w:t xml:space="preserve">către </w:t>
            </w:r>
            <w:r w:rsidRPr="001D0846">
              <w:rPr>
                <w:rFonts w:ascii="Times New Roman" w:hAnsi="Times New Roman" w:cs="Times New Roman"/>
                <w:sz w:val="20"/>
                <w:szCs w:val="20"/>
              </w:rPr>
              <w:t>SV</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102</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w:t>
            </w: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produs</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produs</w:t>
            </w:r>
          </w:p>
        </w:tc>
        <w:tc>
          <w:tcPr>
            <w:tcW w:w="972"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O4</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Numărul cazuri</w:t>
            </w:r>
            <w:r>
              <w:rPr>
                <w:rFonts w:ascii="Times New Roman" w:hAnsi="Times New Roman" w:cs="Times New Roman"/>
                <w:sz w:val="20"/>
                <w:szCs w:val="20"/>
              </w:rPr>
              <w:t>lor</w:t>
            </w:r>
            <w:r w:rsidRPr="001D0846">
              <w:rPr>
                <w:rFonts w:ascii="Times New Roman" w:hAnsi="Times New Roman" w:cs="Times New Roman"/>
                <w:sz w:val="20"/>
                <w:szCs w:val="20"/>
              </w:rPr>
              <w:t xml:space="preserve"> de reținere a mărfurilor suspecte a fi contrafăcute</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Numărul cazuri</w:t>
            </w:r>
            <w:r>
              <w:rPr>
                <w:rFonts w:ascii="Times New Roman" w:hAnsi="Times New Roman" w:cs="Times New Roman"/>
                <w:sz w:val="20"/>
                <w:szCs w:val="20"/>
              </w:rPr>
              <w:t>lor</w:t>
            </w:r>
            <w:r w:rsidRPr="001D0846">
              <w:rPr>
                <w:rFonts w:ascii="Times New Roman" w:hAnsi="Times New Roman" w:cs="Times New Roman"/>
                <w:sz w:val="20"/>
                <w:szCs w:val="20"/>
              </w:rPr>
              <w:t xml:space="preserve"> de reținere a mărfurilor suspecte a fi contrafăcute</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unități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41</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-9</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lastRenderedPageBreak/>
              <w:t>O5</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Numărul de colaboratori vamali participanți la activități</w:t>
            </w:r>
            <w:r>
              <w:rPr>
                <w:rFonts w:ascii="Times New Roman" w:hAnsi="Times New Roman" w:cs="Times New Roman"/>
                <w:sz w:val="20"/>
                <w:szCs w:val="20"/>
              </w:rPr>
              <w:t>le</w:t>
            </w:r>
            <w:r w:rsidRPr="001D0846">
              <w:rPr>
                <w:rFonts w:ascii="Times New Roman" w:hAnsi="Times New Roman" w:cs="Times New Roman"/>
                <w:sz w:val="20"/>
                <w:szCs w:val="20"/>
              </w:rPr>
              <w:t xml:space="preserve"> de instruire în cadrul Centrului de instruire</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Numărul de colaboratori vamali participanți la activități</w:t>
            </w:r>
            <w:r>
              <w:rPr>
                <w:rFonts w:ascii="Times New Roman" w:hAnsi="Times New Roman" w:cs="Times New Roman"/>
                <w:sz w:val="20"/>
                <w:szCs w:val="20"/>
              </w:rPr>
              <w:t>le</w:t>
            </w:r>
            <w:r w:rsidRPr="001D0846">
              <w:rPr>
                <w:rFonts w:ascii="Times New Roman" w:hAnsi="Times New Roman" w:cs="Times New Roman"/>
                <w:sz w:val="20"/>
                <w:szCs w:val="20"/>
              </w:rPr>
              <w:t xml:space="preserve"> de instruire în cadrul Centrului de instruire</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unități</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1250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3235</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1985</w:t>
            </w: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eficiență</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De eficiență</w:t>
            </w:r>
          </w:p>
        </w:tc>
        <w:tc>
          <w:tcPr>
            <w:tcW w:w="972"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9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c>
          <w:tcPr>
            <w:tcW w:w="916" w:type="dxa"/>
            <w:tcBorders>
              <w:top w:val="single" w:sz="4" w:space="0" w:color="auto"/>
              <w:left w:val="single" w:sz="4" w:space="0" w:color="auto"/>
              <w:bottom w:val="single" w:sz="4" w:space="0" w:color="auto"/>
              <w:right w:val="single" w:sz="4" w:space="0" w:color="auto"/>
            </w:tcBorders>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E3</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Durata medie a procedurii de vămuire la import</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Durata medie a procedurii de vămuire la import</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min.</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r w:rsidR="00714F5D" w:rsidRPr="001D0846" w:rsidTr="008C5C6A">
        <w:tc>
          <w:tcPr>
            <w:tcW w:w="56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b/>
                <w:i/>
                <w:sz w:val="20"/>
                <w:szCs w:val="20"/>
              </w:rPr>
            </w:pPr>
            <w:r w:rsidRPr="001D0846">
              <w:rPr>
                <w:rFonts w:ascii="Times New Roman" w:hAnsi="Times New Roman" w:cs="Times New Roman"/>
                <w:b/>
                <w:i/>
                <w:sz w:val="20"/>
                <w:szCs w:val="20"/>
              </w:rPr>
              <w:t>E4</w:t>
            </w:r>
          </w:p>
        </w:tc>
        <w:tc>
          <w:tcPr>
            <w:tcW w:w="4111"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Durata medie a procedurii de vămuire la export</w:t>
            </w:r>
          </w:p>
        </w:tc>
        <w:tc>
          <w:tcPr>
            <w:tcW w:w="4394"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rPr>
                <w:rFonts w:ascii="Times New Roman" w:hAnsi="Times New Roman" w:cs="Times New Roman"/>
                <w:sz w:val="20"/>
                <w:szCs w:val="20"/>
              </w:rPr>
            </w:pPr>
            <w:r w:rsidRPr="001D0846">
              <w:rPr>
                <w:rFonts w:ascii="Times New Roman" w:hAnsi="Times New Roman" w:cs="Times New Roman"/>
                <w:sz w:val="20"/>
                <w:szCs w:val="20"/>
              </w:rPr>
              <w:t>Durata medie a procedurii de vămuire la export</w:t>
            </w:r>
          </w:p>
        </w:tc>
        <w:tc>
          <w:tcPr>
            <w:tcW w:w="972"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sz w:val="20"/>
                <w:szCs w:val="20"/>
              </w:rPr>
            </w:pPr>
            <w:r w:rsidRPr="001D0846">
              <w:rPr>
                <w:rFonts w:ascii="Times New Roman" w:hAnsi="Times New Roman" w:cs="Times New Roman"/>
                <w:sz w:val="20"/>
                <w:szCs w:val="20"/>
              </w:rPr>
              <w:t>min.</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i/>
                <w:sz w:val="20"/>
                <w:szCs w:val="20"/>
              </w:rPr>
            </w:pPr>
            <w:r w:rsidRPr="001D0846">
              <w:rPr>
                <w:rFonts w:ascii="Times New Roman" w:hAnsi="Times New Roman" w:cs="Times New Roman"/>
                <w:i/>
                <w:sz w:val="20"/>
                <w:szCs w:val="20"/>
              </w:rPr>
              <w:t>-15</w:t>
            </w:r>
          </w:p>
        </w:tc>
        <w:tc>
          <w:tcPr>
            <w:tcW w:w="916" w:type="dxa"/>
            <w:tcBorders>
              <w:top w:val="single" w:sz="4" w:space="0" w:color="auto"/>
              <w:left w:val="single" w:sz="4" w:space="0" w:color="auto"/>
              <w:bottom w:val="single" w:sz="4" w:space="0" w:color="auto"/>
              <w:right w:val="single" w:sz="4" w:space="0" w:color="auto"/>
            </w:tcBorders>
            <w:hideMark/>
          </w:tcPr>
          <w:p w:rsidR="00714F5D" w:rsidRPr="001D0846" w:rsidRDefault="00714F5D" w:rsidP="008C5C6A">
            <w:pPr>
              <w:pStyle w:val="a7"/>
              <w:tabs>
                <w:tab w:val="left" w:pos="1134"/>
              </w:tabs>
              <w:spacing w:line="276" w:lineRule="auto"/>
              <w:ind w:left="0"/>
              <w:jc w:val="center"/>
              <w:rPr>
                <w:rFonts w:ascii="Times New Roman" w:hAnsi="Times New Roman" w:cs="Times New Roman"/>
                <w:b/>
                <w:i/>
                <w:sz w:val="20"/>
                <w:szCs w:val="20"/>
              </w:rPr>
            </w:pPr>
            <w:r w:rsidRPr="001D0846">
              <w:rPr>
                <w:rFonts w:ascii="Times New Roman" w:hAnsi="Times New Roman" w:cs="Times New Roman"/>
                <w:b/>
                <w:i/>
                <w:sz w:val="20"/>
                <w:szCs w:val="20"/>
              </w:rPr>
              <w:t>v</w:t>
            </w:r>
          </w:p>
        </w:tc>
      </w:tr>
    </w:tbl>
    <w:p w:rsidR="00714F5D" w:rsidRDefault="00714F5D" w:rsidP="00714F5D">
      <w:pPr>
        <w:spacing w:after="0" w:line="276" w:lineRule="auto"/>
        <w:rPr>
          <w:rFonts w:ascii="Times New Roman" w:hAnsi="Times New Roman" w:cs="Times New Roman"/>
          <w:i/>
          <w:sz w:val="20"/>
          <w:szCs w:val="20"/>
        </w:rPr>
      </w:pP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Raportul de performanță la situația din 01.01.2018 (Forma FD053).</w:t>
      </w:r>
    </w:p>
    <w:p w:rsidR="00714F5D" w:rsidRDefault="00714F5D" w:rsidP="00714F5D">
      <w:pPr>
        <w:spacing w:after="0" w:line="276" w:lineRule="auto"/>
        <w:rPr>
          <w:rFonts w:ascii="Times New Roman" w:hAnsi="Times New Roman" w:cs="Times New Roman"/>
          <w:i/>
          <w:sz w:val="20"/>
          <w:szCs w:val="20"/>
        </w:rPr>
      </w:pPr>
    </w:p>
    <w:p w:rsidR="00714F5D" w:rsidRDefault="00714F5D" w:rsidP="00714F5D">
      <w:pPr>
        <w:spacing w:line="276" w:lineRule="auto"/>
        <w:jc w:val="right"/>
        <w:rPr>
          <w:rFonts w:ascii="Times New Roman" w:hAnsi="Times New Roman" w:cs="Times New Roman"/>
          <w:b/>
          <w:bCs/>
          <w:i/>
          <w:iCs/>
          <w:sz w:val="28"/>
          <w:szCs w:val="28"/>
          <w:lang w:val="ro-MD" w:eastAsia="ru-RU"/>
        </w:rPr>
      </w:pPr>
      <w:r>
        <w:rPr>
          <w:rFonts w:ascii="Times New Roman" w:hAnsi="Times New Roman" w:cs="Times New Roman"/>
          <w:b/>
          <w:bCs/>
          <w:i/>
          <w:iCs/>
          <w:sz w:val="28"/>
          <w:szCs w:val="28"/>
          <w:lang w:val="ro-MD" w:eastAsia="ru-RU"/>
        </w:rPr>
        <w:t>Tabelul nr.4</w:t>
      </w:r>
    </w:p>
    <w:p w:rsidR="00714F5D" w:rsidRDefault="00714F5D" w:rsidP="00714F5D">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Informația privind venituril</w:t>
      </w:r>
      <w:r w:rsidR="00703842">
        <w:rPr>
          <w:rFonts w:ascii="Times New Roman" w:hAnsi="Times New Roman" w:cs="Times New Roman"/>
          <w:i/>
          <w:iCs/>
          <w:sz w:val="28"/>
          <w:szCs w:val="28"/>
        </w:rPr>
        <w:t>e</w:t>
      </w:r>
      <w:r>
        <w:rPr>
          <w:rFonts w:ascii="Times New Roman" w:hAnsi="Times New Roman" w:cs="Times New Roman"/>
          <w:i/>
          <w:iCs/>
          <w:sz w:val="28"/>
          <w:szCs w:val="28"/>
        </w:rPr>
        <w:t xml:space="preserve"> BPN pentru anii 2015-2017</w:t>
      </w:r>
      <w:r w:rsidR="00703842">
        <w:rPr>
          <w:rFonts w:ascii="Times New Roman" w:hAnsi="Times New Roman" w:cs="Times New Roman"/>
          <w:i/>
          <w:iCs/>
          <w:sz w:val="28"/>
          <w:szCs w:val="28"/>
        </w:rPr>
        <w:t xml:space="preserve"> administrate de SFS</w:t>
      </w:r>
    </w:p>
    <w:p w:rsidR="00714F5D" w:rsidRPr="00EC4D50" w:rsidRDefault="00714F5D" w:rsidP="00714F5D">
      <w:pPr>
        <w:spacing w:line="276" w:lineRule="auto"/>
        <w:jc w:val="right"/>
        <w:rPr>
          <w:rFonts w:ascii="Times New Roman" w:hAnsi="Times New Roman" w:cs="Times New Roman"/>
          <w:bCs/>
          <w:i/>
          <w:iCs/>
          <w:sz w:val="28"/>
          <w:szCs w:val="28"/>
        </w:rPr>
      </w:pPr>
      <w:r w:rsidRPr="00EC4D50">
        <w:rPr>
          <w:rFonts w:ascii="Times New Roman" w:hAnsi="Times New Roman" w:cs="Times New Roman"/>
          <w:bCs/>
          <w:i/>
          <w:iCs/>
          <w:sz w:val="28"/>
          <w:szCs w:val="28"/>
        </w:rPr>
        <w:t>(</w:t>
      </w:r>
      <w:proofErr w:type="spellStart"/>
      <w:r w:rsidRPr="00EC4D50">
        <w:rPr>
          <w:rFonts w:ascii="Times New Roman" w:hAnsi="Times New Roman" w:cs="Times New Roman"/>
          <w:bCs/>
          <w:i/>
          <w:iCs/>
          <w:sz w:val="28"/>
          <w:szCs w:val="28"/>
        </w:rPr>
        <w:t>mlrd.lei</w:t>
      </w:r>
      <w:proofErr w:type="spellEnd"/>
      <w:r w:rsidRPr="00EC4D50">
        <w:rPr>
          <w:rFonts w:ascii="Times New Roman" w:hAnsi="Times New Roman" w:cs="Times New Roman"/>
          <w:bCs/>
          <w:i/>
          <w:iCs/>
          <w:sz w:val="28"/>
          <w:szCs w:val="28"/>
        </w:rPr>
        <w:t>)</w:t>
      </w:r>
    </w:p>
    <w:tbl>
      <w:tblPr>
        <w:tblW w:w="13278" w:type="dxa"/>
        <w:tblCellMar>
          <w:left w:w="0" w:type="dxa"/>
          <w:right w:w="0" w:type="dxa"/>
        </w:tblCellMar>
        <w:tblLook w:val="04A0" w:firstRow="1" w:lastRow="0" w:firstColumn="1" w:lastColumn="0" w:noHBand="0" w:noVBand="1"/>
      </w:tblPr>
      <w:tblGrid>
        <w:gridCol w:w="1650"/>
        <w:gridCol w:w="1119"/>
        <w:gridCol w:w="1130"/>
        <w:gridCol w:w="1176"/>
        <w:gridCol w:w="1251"/>
        <w:gridCol w:w="1192"/>
        <w:gridCol w:w="1204"/>
        <w:gridCol w:w="1290"/>
        <w:gridCol w:w="1633"/>
        <w:gridCol w:w="1633"/>
      </w:tblGrid>
      <w:tr w:rsidR="00714F5D" w:rsidTr="008C5C6A">
        <w:trPr>
          <w:trHeight w:val="792"/>
        </w:trPr>
        <w:tc>
          <w:tcPr>
            <w:tcW w:w="1650"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Denumirea</w:t>
            </w:r>
          </w:p>
        </w:tc>
        <w:tc>
          <w:tcPr>
            <w:tcW w:w="111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Estimări</w:t>
            </w:r>
          </w:p>
        </w:tc>
        <w:tc>
          <w:tcPr>
            <w:tcW w:w="355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 xml:space="preserve">Venituri </w:t>
            </w:r>
          </w:p>
        </w:tc>
        <w:tc>
          <w:tcPr>
            <w:tcW w:w="119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 xml:space="preserve">Venituri executate </w:t>
            </w:r>
          </w:p>
        </w:tc>
        <w:tc>
          <w:tcPr>
            <w:tcW w:w="24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Nivelul executării  planului de încasări (%)</w:t>
            </w:r>
          </w:p>
        </w:tc>
        <w:tc>
          <w:tcPr>
            <w:tcW w:w="32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Devieri (+/-), executat</w:t>
            </w:r>
          </w:p>
        </w:tc>
      </w:tr>
      <w:tr w:rsidR="00714F5D" w:rsidTr="008C5C6A">
        <w:trPr>
          <w:trHeight w:val="5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14F5D" w:rsidRDefault="00714F5D" w:rsidP="008C5C6A">
            <w:pPr>
              <w:rPr>
                <w:rFonts w:ascii="Times New Roman" w:hAnsi="Times New Roman" w:cs="Times New Roman"/>
                <w:b/>
                <w:bCs/>
                <w:color w:val="000000"/>
                <w:sz w:val="20"/>
                <w:szCs w:val="20"/>
                <w:lang w:val="ro-MD"/>
              </w:rPr>
            </w:pPr>
          </w:p>
        </w:tc>
        <w:tc>
          <w:tcPr>
            <w:tcW w:w="0" w:type="auto"/>
            <w:vMerge/>
            <w:tcBorders>
              <w:top w:val="single" w:sz="8" w:space="0" w:color="auto"/>
              <w:left w:val="nil"/>
              <w:bottom w:val="single" w:sz="8" w:space="0" w:color="000000"/>
              <w:right w:val="single" w:sz="8" w:space="0" w:color="auto"/>
            </w:tcBorders>
            <w:vAlign w:val="center"/>
            <w:hideMark/>
          </w:tcPr>
          <w:p w:rsidR="00714F5D" w:rsidRDefault="00714F5D" w:rsidP="008C5C6A">
            <w:pPr>
              <w:rPr>
                <w:rFonts w:ascii="Times New Roman" w:hAnsi="Times New Roman" w:cs="Times New Roman"/>
                <w:b/>
                <w:bCs/>
                <w:color w:val="000000"/>
                <w:sz w:val="20"/>
                <w:szCs w:val="20"/>
                <w:lang w:val="ro-MD"/>
              </w:rPr>
            </w:pP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aprobate</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precizate</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gradul de precizare (%)</w:t>
            </w:r>
          </w:p>
        </w:tc>
        <w:tc>
          <w:tcPr>
            <w:tcW w:w="0" w:type="auto"/>
            <w:vMerge/>
            <w:tcBorders>
              <w:top w:val="single" w:sz="8" w:space="0" w:color="auto"/>
              <w:left w:val="nil"/>
              <w:bottom w:val="single" w:sz="8" w:space="0" w:color="000000"/>
              <w:right w:val="single" w:sz="8" w:space="0" w:color="auto"/>
            </w:tcBorders>
            <w:vAlign w:val="center"/>
            <w:hideMark/>
          </w:tcPr>
          <w:p w:rsidR="00714F5D" w:rsidRDefault="00714F5D" w:rsidP="008C5C6A">
            <w:pPr>
              <w:rPr>
                <w:rFonts w:ascii="Times New Roman" w:hAnsi="Times New Roman" w:cs="Times New Roman"/>
                <w:b/>
                <w:bCs/>
                <w:color w:val="000000"/>
                <w:sz w:val="20"/>
                <w:szCs w:val="20"/>
                <w:lang w:val="ro-MD"/>
              </w:rPr>
            </w:pP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aprobat</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precizat</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față de aprobat</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față de precizat</w:t>
            </w:r>
          </w:p>
        </w:tc>
      </w:tr>
      <w:tr w:rsidR="00714F5D" w:rsidTr="008C5C6A">
        <w:trPr>
          <w:trHeight w:val="228"/>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2</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4</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5=4/3*100-100</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7=6/3*100</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8=6/4*100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9=6-3</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10=6-4</w:t>
            </w:r>
          </w:p>
        </w:tc>
      </w:tr>
      <w:tr w:rsidR="00714F5D" w:rsidTr="008C5C6A">
        <w:trPr>
          <w:trHeight w:val="288"/>
        </w:trPr>
        <w:tc>
          <w:tcPr>
            <w:tcW w:w="13278" w:type="dxa"/>
            <w:gridSpan w:val="10"/>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Anul 2015 </w:t>
            </w:r>
          </w:p>
        </w:tc>
      </w:tr>
      <w:tr w:rsidR="00714F5D" w:rsidTr="008C5C6A">
        <w:trPr>
          <w:trHeight w:val="288"/>
        </w:trPr>
        <w:tc>
          <w:tcPr>
            <w:tcW w:w="165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BPN, inclusiv:</w:t>
            </w:r>
          </w:p>
        </w:tc>
        <w:tc>
          <w:tcPr>
            <w:tcW w:w="11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1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20,30</w:t>
            </w:r>
          </w:p>
        </w:tc>
        <w:tc>
          <w:tcPr>
            <w:tcW w:w="11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24,86</w:t>
            </w:r>
          </w:p>
        </w:tc>
        <w:tc>
          <w:tcPr>
            <w:tcW w:w="12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22.46</w:t>
            </w:r>
          </w:p>
        </w:tc>
        <w:tc>
          <w:tcPr>
            <w:tcW w:w="11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25,12</w:t>
            </w:r>
          </w:p>
        </w:tc>
        <w:tc>
          <w:tcPr>
            <w:tcW w:w="12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123,74</w:t>
            </w:r>
          </w:p>
        </w:tc>
        <w:tc>
          <w:tcPr>
            <w:tcW w:w="1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101,05</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4,82</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0,26</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BS/BUAT</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11,8</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9,87</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13,32</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34,95</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13,45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136,27</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100,98</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3,58</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0,13</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BASS</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8,10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8,81</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8.77</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highlight w:val="yellow"/>
                <w:lang w:val="ro-MD"/>
              </w:rPr>
            </w:pPr>
            <w:r>
              <w:rPr>
                <w:rFonts w:ascii="Times New Roman" w:hAnsi="Times New Roman" w:cs="Times New Roman"/>
                <w:color w:val="000000"/>
                <w:sz w:val="20"/>
                <w:szCs w:val="20"/>
                <w:lang w:val="ro-MD"/>
              </w:rPr>
              <w:t>8,91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highlight w:val="yellow"/>
                <w:lang w:val="ro-MD"/>
              </w:rPr>
            </w:pPr>
            <w:r>
              <w:rPr>
                <w:rFonts w:ascii="Times New Roman" w:hAnsi="Times New Roman" w:cs="Times New Roman"/>
                <w:color w:val="000000"/>
                <w:sz w:val="20"/>
                <w:szCs w:val="20"/>
                <w:lang w:val="ro-MD"/>
              </w:rPr>
              <w:t>110,00</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highlight w:val="yellow"/>
                <w:lang w:val="ro-MD"/>
              </w:rPr>
            </w:pPr>
            <w:r>
              <w:rPr>
                <w:rFonts w:ascii="Times New Roman" w:hAnsi="Times New Roman" w:cs="Times New Roman"/>
                <w:color w:val="000000"/>
                <w:sz w:val="20"/>
                <w:szCs w:val="20"/>
                <w:lang w:val="ro-MD"/>
              </w:rPr>
              <w:t>101,14</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highlight w:val="yellow"/>
                <w:lang w:val="ro-MD"/>
              </w:rPr>
            </w:pPr>
            <w:r>
              <w:rPr>
                <w:rFonts w:ascii="Times New Roman" w:hAnsi="Times New Roman" w:cs="Times New Roman"/>
                <w:color w:val="000000"/>
                <w:sz w:val="20"/>
                <w:szCs w:val="20"/>
                <w:lang w:val="ro-MD"/>
              </w:rPr>
              <w:t>0,81</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highlight w:val="yellow"/>
                <w:lang w:val="ro-MD"/>
              </w:rPr>
            </w:pPr>
            <w:r>
              <w:rPr>
                <w:rFonts w:ascii="Times New Roman" w:hAnsi="Times New Roman" w:cs="Times New Roman"/>
                <w:color w:val="000000"/>
                <w:sz w:val="20"/>
                <w:szCs w:val="20"/>
                <w:lang w:val="ro-MD"/>
              </w:rPr>
              <w:t>0,10</w:t>
            </w:r>
          </w:p>
        </w:tc>
      </w:tr>
      <w:tr w:rsidR="00714F5D" w:rsidTr="008C5C6A">
        <w:trPr>
          <w:trHeight w:val="166"/>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FAOAM</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Pr="00FE7E52" w:rsidRDefault="00714F5D" w:rsidP="008C5C6A">
            <w:pPr>
              <w:jc w:val="center"/>
              <w:rPr>
                <w:rFonts w:ascii="Times New Roman" w:hAnsi="Times New Roman" w:cs="Times New Roman"/>
                <w:color w:val="000000"/>
                <w:sz w:val="20"/>
                <w:szCs w:val="20"/>
                <w:lang w:val="ro-MD"/>
              </w:rPr>
            </w:pPr>
            <w:r w:rsidRPr="00FE7E52">
              <w:rPr>
                <w:rFonts w:ascii="Times New Roman" w:hAnsi="Times New Roman" w:cs="Times New Roman"/>
                <w:color w:val="000000"/>
                <w:sz w:val="20"/>
                <w:szCs w:val="20"/>
                <w:lang w:val="ro-MD"/>
              </w:rPr>
              <w:t>2,33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2,73</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17,17</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2,76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118.45</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101,10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0,43</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0,03</w:t>
            </w:r>
          </w:p>
        </w:tc>
      </w:tr>
      <w:tr w:rsidR="00714F5D" w:rsidTr="008C5C6A">
        <w:trPr>
          <w:trHeight w:val="288"/>
        </w:trPr>
        <w:tc>
          <w:tcPr>
            <w:tcW w:w="13278" w:type="dxa"/>
            <w:gridSpan w:val="10"/>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rsidR="00714F5D" w:rsidRPr="00FE7E52" w:rsidRDefault="00714F5D" w:rsidP="008C5C6A">
            <w:pPr>
              <w:jc w:val="center"/>
              <w:rPr>
                <w:rFonts w:ascii="Times New Roman" w:hAnsi="Times New Roman" w:cs="Times New Roman"/>
                <w:b/>
                <w:bCs/>
                <w:color w:val="000000"/>
                <w:sz w:val="20"/>
                <w:szCs w:val="20"/>
                <w:lang w:val="ro-MD"/>
              </w:rPr>
            </w:pPr>
            <w:r w:rsidRPr="00FE7E52">
              <w:rPr>
                <w:rFonts w:ascii="Times New Roman" w:hAnsi="Times New Roman" w:cs="Times New Roman"/>
                <w:b/>
                <w:bCs/>
                <w:color w:val="000000"/>
                <w:sz w:val="20"/>
                <w:szCs w:val="20"/>
                <w:lang w:val="ro-MD"/>
              </w:rPr>
              <w:t>Anul 2016</w:t>
            </w:r>
          </w:p>
        </w:tc>
      </w:tr>
      <w:tr w:rsidR="00714F5D" w:rsidTr="008C5C6A">
        <w:trPr>
          <w:trHeight w:val="288"/>
        </w:trPr>
        <w:tc>
          <w:tcPr>
            <w:tcW w:w="165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BPN, inclusiv:</w:t>
            </w:r>
          </w:p>
        </w:tc>
        <w:tc>
          <w:tcPr>
            <w:tcW w:w="11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1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Pr="00FE7E52" w:rsidRDefault="00714F5D" w:rsidP="008C5C6A">
            <w:pPr>
              <w:jc w:val="center"/>
              <w:rPr>
                <w:rFonts w:ascii="Times New Roman" w:hAnsi="Times New Roman" w:cs="Times New Roman"/>
                <w:b/>
                <w:bCs/>
                <w:color w:val="000000"/>
                <w:sz w:val="20"/>
                <w:szCs w:val="20"/>
                <w:lang w:val="ro-MD"/>
              </w:rPr>
            </w:pPr>
            <w:r w:rsidRPr="00FE7E52">
              <w:rPr>
                <w:rFonts w:ascii="Times New Roman" w:hAnsi="Times New Roman" w:cs="Times New Roman"/>
                <w:b/>
                <w:bCs/>
                <w:color w:val="000000"/>
                <w:sz w:val="20"/>
                <w:szCs w:val="20"/>
                <w:lang w:val="ro-MD"/>
              </w:rPr>
              <w:t>26,75</w:t>
            </w:r>
          </w:p>
        </w:tc>
        <w:tc>
          <w:tcPr>
            <w:tcW w:w="11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27,35</w:t>
            </w:r>
          </w:p>
        </w:tc>
        <w:tc>
          <w:tcPr>
            <w:tcW w:w="12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2,24</w:t>
            </w:r>
          </w:p>
        </w:tc>
        <w:tc>
          <w:tcPr>
            <w:tcW w:w="11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27,62</w:t>
            </w:r>
          </w:p>
        </w:tc>
        <w:tc>
          <w:tcPr>
            <w:tcW w:w="12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103,25</w:t>
            </w:r>
          </w:p>
        </w:tc>
        <w:tc>
          <w:tcPr>
            <w:tcW w:w="1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100,99</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0,87</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0,27</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lastRenderedPageBreak/>
              <w:t>BS/BUAT</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13,5</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Pr="00FE7E52" w:rsidRDefault="00714F5D" w:rsidP="008C5C6A">
            <w:pPr>
              <w:jc w:val="center"/>
              <w:rPr>
                <w:rFonts w:ascii="Times New Roman" w:hAnsi="Times New Roman" w:cs="Times New Roman"/>
                <w:color w:val="000000"/>
                <w:sz w:val="20"/>
                <w:szCs w:val="20"/>
                <w:lang w:val="ro-MD"/>
              </w:rPr>
            </w:pPr>
            <w:r w:rsidRPr="00FE7E52">
              <w:rPr>
                <w:rFonts w:ascii="Times New Roman" w:hAnsi="Times New Roman" w:cs="Times New Roman"/>
                <w:color w:val="000000"/>
                <w:sz w:val="20"/>
                <w:szCs w:val="20"/>
                <w:lang w:val="ro-MD"/>
              </w:rPr>
              <w:t>14,22</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14,57</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2.46</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14,82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104.22</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101,72</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0,60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0,25</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BASS</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9,80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9,61</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-1,94</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9,65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98,47</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100,42</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-0,15</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0,04</w:t>
            </w:r>
          </w:p>
        </w:tc>
      </w:tr>
      <w:tr w:rsidR="00714F5D" w:rsidTr="008C5C6A">
        <w:trPr>
          <w:trHeight w:val="260"/>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FAOAM</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2,73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3,17</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16,12</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3,15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115,38</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99,37</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0,42</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-0,02</w:t>
            </w:r>
          </w:p>
        </w:tc>
      </w:tr>
      <w:tr w:rsidR="00714F5D" w:rsidTr="008C5C6A">
        <w:trPr>
          <w:trHeight w:val="288"/>
        </w:trPr>
        <w:tc>
          <w:tcPr>
            <w:tcW w:w="13278" w:type="dxa"/>
            <w:gridSpan w:val="10"/>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Anul 2017</w:t>
            </w:r>
          </w:p>
        </w:tc>
      </w:tr>
      <w:tr w:rsidR="00714F5D" w:rsidTr="008C5C6A">
        <w:trPr>
          <w:trHeight w:val="288"/>
        </w:trPr>
        <w:tc>
          <w:tcPr>
            <w:tcW w:w="165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BPN, inclusiv:</w:t>
            </w:r>
          </w:p>
        </w:tc>
        <w:tc>
          <w:tcPr>
            <w:tcW w:w="11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1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30,32</w:t>
            </w:r>
          </w:p>
        </w:tc>
        <w:tc>
          <w:tcPr>
            <w:tcW w:w="11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32,09</w:t>
            </w:r>
          </w:p>
        </w:tc>
        <w:tc>
          <w:tcPr>
            <w:tcW w:w="12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5,84</w:t>
            </w:r>
          </w:p>
        </w:tc>
        <w:tc>
          <w:tcPr>
            <w:tcW w:w="11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32,71</w:t>
            </w:r>
          </w:p>
        </w:tc>
        <w:tc>
          <w:tcPr>
            <w:tcW w:w="12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107,88</w:t>
            </w:r>
          </w:p>
        </w:tc>
        <w:tc>
          <w:tcPr>
            <w:tcW w:w="12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101,93</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714F5D" w:rsidRDefault="00714F5D" w:rsidP="008C5C6A">
            <w:pPr>
              <w:spacing w:line="276" w:lineRule="auto"/>
              <w:ind w:right="-334"/>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2,39</w:t>
            </w:r>
          </w:p>
        </w:tc>
        <w:tc>
          <w:tcPr>
            <w:tcW w:w="16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0,62</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BS/BUAT</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15,9</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15,89</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17,39</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9,44</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17,74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111,64</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102,01</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spacing w:line="276" w:lineRule="auto"/>
              <w:ind w:right="-334"/>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1,85</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0,35</w:t>
            </w:r>
          </w:p>
        </w:tc>
      </w:tr>
      <w:tr w:rsidR="00714F5D" w:rsidTr="008C5C6A">
        <w:trPr>
          <w:trHeight w:val="312"/>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BASS</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10,98</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11,18</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1,82</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11,43</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104,10</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102,24</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spacing w:line="276" w:lineRule="auto"/>
              <w:ind w:right="-334"/>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0,45</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0,25</w:t>
            </w:r>
          </w:p>
        </w:tc>
      </w:tr>
      <w:tr w:rsidR="00714F5D" w:rsidTr="008C5C6A">
        <w:trPr>
          <w:trHeight w:val="311"/>
        </w:trPr>
        <w:tc>
          <w:tcPr>
            <w:tcW w:w="1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5D" w:rsidRDefault="00714F5D" w:rsidP="008C5C6A">
            <w:pP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FAOAM</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b/>
                <w:bCs/>
                <w:color w:val="000000"/>
                <w:sz w:val="20"/>
                <w:szCs w:val="20"/>
                <w:lang w:val="ro-MD"/>
              </w:rPr>
            </w:pPr>
            <w:r>
              <w:rPr>
                <w:rFonts w:ascii="Times New Roman" w:hAnsi="Times New Roman" w:cs="Times New Roman"/>
                <w:b/>
                <w:bCs/>
                <w:color w:val="000000"/>
                <w:sz w:val="20"/>
                <w:szCs w:val="20"/>
                <w:lang w:val="ro-MD"/>
              </w:rPr>
              <w:t>x</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3,45</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3,52</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2,03</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3,54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102,61</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100,57</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14F5D" w:rsidRDefault="00714F5D" w:rsidP="008C5C6A">
            <w:pPr>
              <w:spacing w:line="276" w:lineRule="auto"/>
              <w:ind w:right="-334"/>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0,09</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714F5D" w:rsidRDefault="00714F5D" w:rsidP="008C5C6A">
            <w:pPr>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0,02</w:t>
            </w:r>
          </w:p>
        </w:tc>
      </w:tr>
    </w:tbl>
    <w:p w:rsidR="00714F5D" w:rsidRDefault="00714F5D" w:rsidP="00714F5D">
      <w:pPr>
        <w:spacing w:line="276" w:lineRule="auto"/>
        <w:jc w:val="both"/>
        <w:rPr>
          <w:rFonts w:ascii="Times New Roman" w:hAnsi="Times New Roman" w:cs="Times New Roman"/>
          <w:i/>
          <w:iCs/>
          <w:sz w:val="20"/>
          <w:szCs w:val="20"/>
          <w:lang w:val="ro-MD"/>
        </w:rPr>
      </w:pPr>
      <w:r>
        <w:rPr>
          <w:rFonts w:ascii="Times New Roman" w:hAnsi="Times New Roman" w:cs="Times New Roman"/>
          <w:b/>
          <w:bCs/>
          <w:i/>
          <w:iCs/>
          <w:sz w:val="20"/>
          <w:szCs w:val="20"/>
          <w:lang w:val="ro-MD"/>
        </w:rPr>
        <w:t>Sursă:</w:t>
      </w:r>
      <w:r>
        <w:rPr>
          <w:rFonts w:ascii="Times New Roman" w:hAnsi="Times New Roman" w:cs="Times New Roman"/>
          <w:i/>
          <w:iCs/>
          <w:sz w:val="20"/>
          <w:szCs w:val="20"/>
          <w:lang w:val="ro-MD"/>
        </w:rPr>
        <w:t xml:space="preserve"> Datele generalizate de către echipa de audit în baza informațiilor din dările de seamă privind încasările la BPN administrate de SFS pe anii 2015-2017.</w:t>
      </w:r>
    </w:p>
    <w:p w:rsidR="00714F5D" w:rsidRPr="001D0846" w:rsidRDefault="00714F5D" w:rsidP="00714F5D">
      <w:pPr>
        <w:spacing w:after="0" w:line="276" w:lineRule="auto"/>
        <w:rPr>
          <w:rFonts w:ascii="Times New Roman" w:hAnsi="Times New Roman" w:cs="Times New Roman"/>
          <w:i/>
          <w:sz w:val="20"/>
          <w:szCs w:val="20"/>
        </w:rPr>
      </w:pPr>
    </w:p>
    <w:p w:rsidR="00714F5D" w:rsidRPr="001D0846" w:rsidRDefault="00714F5D" w:rsidP="00714F5D">
      <w:pPr>
        <w:spacing w:after="0" w:line="276" w:lineRule="auto"/>
        <w:ind w:right="105" w:firstLine="720"/>
        <w:jc w:val="right"/>
        <w:rPr>
          <w:rFonts w:ascii="Times New Roman" w:hAnsi="Times New Roman" w:cs="Times New Roman"/>
          <w:b/>
          <w:i/>
          <w:sz w:val="28"/>
          <w:szCs w:val="28"/>
          <w:lang w:val="ro-MD"/>
        </w:rPr>
      </w:pPr>
      <w:r w:rsidRPr="001D0846">
        <w:rPr>
          <w:rFonts w:ascii="Times New Roman" w:hAnsi="Times New Roman" w:cs="Times New Roman"/>
          <w:b/>
          <w:i/>
          <w:sz w:val="28"/>
          <w:szCs w:val="28"/>
          <w:lang w:val="ro-MD"/>
        </w:rPr>
        <w:t>Tabelul nr.5</w:t>
      </w:r>
    </w:p>
    <w:p w:rsidR="00714F5D" w:rsidRPr="001D0846" w:rsidRDefault="00714F5D" w:rsidP="00714F5D">
      <w:pPr>
        <w:spacing w:after="0" w:line="240" w:lineRule="auto"/>
        <w:jc w:val="center"/>
        <w:rPr>
          <w:rFonts w:ascii="Times New Roman" w:hAnsi="Times New Roman" w:cs="Times New Roman"/>
          <w:i/>
          <w:sz w:val="28"/>
          <w:szCs w:val="28"/>
        </w:rPr>
      </w:pPr>
      <w:r w:rsidRPr="001D0846">
        <w:rPr>
          <w:rFonts w:ascii="Times New Roman" w:hAnsi="Times New Roman" w:cs="Times New Roman"/>
          <w:i/>
          <w:sz w:val="28"/>
          <w:szCs w:val="28"/>
        </w:rPr>
        <w:t xml:space="preserve">Informația privind </w:t>
      </w:r>
      <w:r>
        <w:rPr>
          <w:rFonts w:ascii="Times New Roman" w:hAnsi="Times New Roman" w:cs="Times New Roman"/>
          <w:i/>
          <w:sz w:val="28"/>
          <w:szCs w:val="28"/>
        </w:rPr>
        <w:t>venituril</w:t>
      </w:r>
      <w:r w:rsidR="00703842">
        <w:rPr>
          <w:rFonts w:ascii="Times New Roman" w:hAnsi="Times New Roman" w:cs="Times New Roman"/>
          <w:i/>
          <w:sz w:val="28"/>
          <w:szCs w:val="28"/>
        </w:rPr>
        <w:t xml:space="preserve">e </w:t>
      </w:r>
      <w:r w:rsidRPr="001D0846">
        <w:rPr>
          <w:rFonts w:ascii="Times New Roman" w:hAnsi="Times New Roman" w:cs="Times New Roman"/>
          <w:i/>
          <w:sz w:val="28"/>
          <w:szCs w:val="28"/>
        </w:rPr>
        <w:t>BS</w:t>
      </w:r>
      <w:r>
        <w:rPr>
          <w:rFonts w:ascii="Times New Roman" w:hAnsi="Times New Roman" w:cs="Times New Roman"/>
          <w:i/>
          <w:sz w:val="28"/>
          <w:szCs w:val="28"/>
        </w:rPr>
        <w:t xml:space="preserve"> pentru anii</w:t>
      </w:r>
      <w:r w:rsidRPr="001D0846">
        <w:rPr>
          <w:rFonts w:ascii="Times New Roman" w:hAnsi="Times New Roman" w:cs="Times New Roman"/>
          <w:i/>
          <w:sz w:val="28"/>
          <w:szCs w:val="28"/>
        </w:rPr>
        <w:t xml:space="preserve"> 2015-2017</w:t>
      </w:r>
      <w:r w:rsidR="00703842">
        <w:rPr>
          <w:rFonts w:ascii="Times New Roman" w:hAnsi="Times New Roman" w:cs="Times New Roman"/>
          <w:i/>
          <w:sz w:val="28"/>
          <w:szCs w:val="28"/>
        </w:rPr>
        <w:t xml:space="preserve"> administrate de SV</w:t>
      </w:r>
    </w:p>
    <w:p w:rsidR="00714F5D" w:rsidRPr="00EC4D50" w:rsidRDefault="00714F5D" w:rsidP="00714F5D">
      <w:pPr>
        <w:spacing w:after="0" w:line="240" w:lineRule="auto"/>
        <w:ind w:right="105" w:firstLine="720"/>
        <w:jc w:val="right"/>
        <w:rPr>
          <w:rFonts w:ascii="Times New Roman" w:hAnsi="Times New Roman" w:cs="Times New Roman"/>
          <w:i/>
          <w:sz w:val="28"/>
          <w:szCs w:val="28"/>
          <w:lang w:val="ro-MD"/>
        </w:rPr>
      </w:pPr>
      <w:r w:rsidRPr="00EC4D50">
        <w:rPr>
          <w:rFonts w:ascii="Times New Roman" w:hAnsi="Times New Roman" w:cs="Times New Roman"/>
          <w:i/>
          <w:sz w:val="28"/>
          <w:szCs w:val="28"/>
          <w:lang w:val="ro-MD"/>
        </w:rPr>
        <w:t>(mil.lei)</w:t>
      </w:r>
    </w:p>
    <w:tbl>
      <w:tblPr>
        <w:tblStyle w:val="a3"/>
        <w:tblW w:w="13041" w:type="dxa"/>
        <w:tblInd w:w="137" w:type="dxa"/>
        <w:tblLayout w:type="fixed"/>
        <w:tblLook w:val="04A0" w:firstRow="1" w:lastRow="0" w:firstColumn="1" w:lastColumn="0" w:noHBand="0" w:noVBand="1"/>
      </w:tblPr>
      <w:tblGrid>
        <w:gridCol w:w="1135"/>
        <w:gridCol w:w="1417"/>
        <w:gridCol w:w="1170"/>
        <w:gridCol w:w="1440"/>
        <w:gridCol w:w="1500"/>
        <w:gridCol w:w="1207"/>
        <w:gridCol w:w="1203"/>
        <w:gridCol w:w="1260"/>
        <w:gridCol w:w="7"/>
        <w:gridCol w:w="1343"/>
        <w:gridCol w:w="1359"/>
      </w:tblGrid>
      <w:tr w:rsidR="00714F5D" w:rsidRPr="001D0846" w:rsidTr="008C5C6A">
        <w:trPr>
          <w:trHeight w:val="920"/>
        </w:trPr>
        <w:tc>
          <w:tcPr>
            <w:tcW w:w="1135" w:type="dxa"/>
            <w:vMerge w:val="restart"/>
            <w:vAlign w:val="center"/>
          </w:tcPr>
          <w:p w:rsidR="00714F5D" w:rsidRPr="001D0846" w:rsidRDefault="00714F5D" w:rsidP="008C5C6A">
            <w:pPr>
              <w:spacing w:line="276" w:lineRule="auto"/>
              <w:ind w:right="30"/>
              <w:jc w:val="center"/>
              <w:rPr>
                <w:rFonts w:ascii="Times New Roman" w:hAnsi="Times New Roman" w:cs="Times New Roman"/>
                <w:b/>
                <w:lang w:val="ro-MD"/>
              </w:rPr>
            </w:pPr>
            <w:r w:rsidRPr="001D0846">
              <w:rPr>
                <w:rFonts w:ascii="Times New Roman" w:hAnsi="Times New Roman" w:cs="Times New Roman"/>
                <w:b/>
                <w:lang w:val="ro-MD"/>
              </w:rPr>
              <w:t>Anul</w:t>
            </w:r>
          </w:p>
        </w:tc>
        <w:tc>
          <w:tcPr>
            <w:tcW w:w="1417" w:type="dxa"/>
            <w:vMerge w:val="restart"/>
            <w:vAlign w:val="center"/>
          </w:tcPr>
          <w:p w:rsidR="00714F5D" w:rsidRPr="001D0846" w:rsidRDefault="00714F5D" w:rsidP="008C5C6A">
            <w:pPr>
              <w:spacing w:line="276" w:lineRule="auto"/>
              <w:ind w:right="30"/>
              <w:jc w:val="center"/>
              <w:rPr>
                <w:rFonts w:ascii="Times New Roman" w:hAnsi="Times New Roman" w:cs="Times New Roman"/>
                <w:b/>
                <w:lang w:val="ro-MD"/>
              </w:rPr>
            </w:pPr>
            <w:r w:rsidRPr="001D0846">
              <w:rPr>
                <w:rFonts w:ascii="Times New Roman" w:hAnsi="Times New Roman" w:cs="Times New Roman"/>
                <w:b/>
                <w:lang w:val="ro-MD"/>
              </w:rPr>
              <w:t>Estimări</w:t>
            </w:r>
          </w:p>
        </w:tc>
        <w:tc>
          <w:tcPr>
            <w:tcW w:w="4110" w:type="dxa"/>
            <w:gridSpan w:val="3"/>
            <w:vAlign w:val="center"/>
          </w:tcPr>
          <w:p w:rsidR="00714F5D" w:rsidRPr="001D0846" w:rsidRDefault="00714F5D" w:rsidP="008C5C6A">
            <w:pPr>
              <w:spacing w:line="276" w:lineRule="auto"/>
              <w:ind w:right="-334"/>
              <w:jc w:val="center"/>
              <w:rPr>
                <w:rFonts w:ascii="Times New Roman" w:hAnsi="Times New Roman" w:cs="Times New Roman"/>
                <w:b/>
                <w:lang w:val="ro-MD"/>
              </w:rPr>
            </w:pPr>
            <w:r w:rsidRPr="001D0846">
              <w:rPr>
                <w:rFonts w:ascii="Times New Roman" w:hAnsi="Times New Roman" w:cs="Times New Roman"/>
                <w:b/>
                <w:lang w:val="ro-MD"/>
              </w:rPr>
              <w:t>Venituri</w:t>
            </w:r>
          </w:p>
          <w:p w:rsidR="00714F5D" w:rsidRPr="001D0846" w:rsidRDefault="00714F5D" w:rsidP="008C5C6A">
            <w:pPr>
              <w:spacing w:line="276" w:lineRule="auto"/>
              <w:ind w:right="-334"/>
              <w:jc w:val="center"/>
              <w:rPr>
                <w:rFonts w:ascii="Times New Roman" w:hAnsi="Times New Roman" w:cs="Times New Roman"/>
                <w:b/>
                <w:lang w:val="ro-MD"/>
              </w:rPr>
            </w:pPr>
          </w:p>
        </w:tc>
        <w:tc>
          <w:tcPr>
            <w:tcW w:w="1207" w:type="dxa"/>
            <w:vMerge w:val="restart"/>
            <w:vAlign w:val="center"/>
          </w:tcPr>
          <w:p w:rsidR="00714F5D" w:rsidRPr="001D0846" w:rsidRDefault="00714F5D" w:rsidP="008C5C6A">
            <w:pPr>
              <w:spacing w:line="276" w:lineRule="auto"/>
              <w:ind w:right="-334"/>
              <w:rPr>
                <w:rFonts w:ascii="Times New Roman" w:hAnsi="Times New Roman" w:cs="Times New Roman"/>
                <w:b/>
                <w:lang w:val="ro-MD"/>
              </w:rPr>
            </w:pPr>
          </w:p>
          <w:p w:rsidR="00714F5D" w:rsidRPr="001D0846" w:rsidRDefault="00714F5D" w:rsidP="008C5C6A">
            <w:pPr>
              <w:spacing w:line="276" w:lineRule="auto"/>
              <w:jc w:val="center"/>
              <w:rPr>
                <w:rFonts w:ascii="Times New Roman" w:hAnsi="Times New Roman" w:cs="Times New Roman"/>
                <w:b/>
                <w:lang w:val="ro-MD"/>
              </w:rPr>
            </w:pPr>
            <w:r w:rsidRPr="001D0846">
              <w:rPr>
                <w:rFonts w:ascii="Times New Roman" w:hAnsi="Times New Roman" w:cs="Times New Roman"/>
                <w:b/>
                <w:lang w:val="ro-MD"/>
              </w:rPr>
              <w:t>Venituri</w:t>
            </w:r>
          </w:p>
          <w:p w:rsidR="00714F5D" w:rsidRPr="001D0846" w:rsidRDefault="00714F5D" w:rsidP="008C5C6A">
            <w:pPr>
              <w:spacing w:line="276" w:lineRule="auto"/>
              <w:jc w:val="center"/>
              <w:rPr>
                <w:rFonts w:ascii="Times New Roman" w:hAnsi="Times New Roman" w:cs="Times New Roman"/>
                <w:b/>
                <w:lang w:val="ro-MD"/>
              </w:rPr>
            </w:pPr>
            <w:r w:rsidRPr="001D0846">
              <w:rPr>
                <w:rFonts w:ascii="Times New Roman" w:hAnsi="Times New Roman" w:cs="Times New Roman"/>
                <w:b/>
                <w:lang w:val="ro-MD"/>
              </w:rPr>
              <w:t>realizate</w:t>
            </w:r>
          </w:p>
        </w:tc>
        <w:tc>
          <w:tcPr>
            <w:tcW w:w="2470" w:type="dxa"/>
            <w:gridSpan w:val="3"/>
            <w:vAlign w:val="center"/>
          </w:tcPr>
          <w:p w:rsidR="00714F5D" w:rsidRPr="001D0846" w:rsidRDefault="00714F5D" w:rsidP="008C5C6A">
            <w:pPr>
              <w:spacing w:line="276" w:lineRule="auto"/>
              <w:ind w:right="51"/>
              <w:jc w:val="center"/>
              <w:rPr>
                <w:rFonts w:ascii="Times New Roman" w:hAnsi="Times New Roman" w:cs="Times New Roman"/>
                <w:b/>
                <w:lang w:val="ro-MD"/>
              </w:rPr>
            </w:pPr>
            <w:r w:rsidRPr="001D0846">
              <w:rPr>
                <w:rFonts w:ascii="Times New Roman" w:hAnsi="Times New Roman" w:cs="Times New Roman"/>
                <w:b/>
                <w:lang w:val="ro-MD"/>
              </w:rPr>
              <w:t>Nivelul de realizare a planului de încasări (%)</w:t>
            </w:r>
          </w:p>
        </w:tc>
        <w:tc>
          <w:tcPr>
            <w:tcW w:w="2702" w:type="dxa"/>
            <w:gridSpan w:val="2"/>
            <w:vAlign w:val="center"/>
          </w:tcPr>
          <w:p w:rsidR="00714F5D" w:rsidRPr="001D0846" w:rsidRDefault="00714F5D" w:rsidP="008C5C6A">
            <w:pPr>
              <w:spacing w:line="276" w:lineRule="auto"/>
              <w:ind w:right="-334"/>
              <w:jc w:val="center"/>
              <w:rPr>
                <w:rFonts w:ascii="Times New Roman" w:hAnsi="Times New Roman" w:cs="Times New Roman"/>
                <w:b/>
                <w:lang w:val="ro-MD"/>
              </w:rPr>
            </w:pPr>
            <w:r w:rsidRPr="001D0846">
              <w:rPr>
                <w:rFonts w:ascii="Times New Roman" w:hAnsi="Times New Roman" w:cs="Times New Roman"/>
                <w:b/>
                <w:lang w:val="ro-MD"/>
              </w:rPr>
              <w:t>Devieri (+/-)</w:t>
            </w:r>
            <w:r>
              <w:rPr>
                <w:rFonts w:ascii="Times New Roman" w:hAnsi="Times New Roman" w:cs="Times New Roman"/>
                <w:b/>
                <w:lang w:val="ro-MD"/>
              </w:rPr>
              <w:t>,</w:t>
            </w:r>
            <w:r w:rsidRPr="001D0846">
              <w:rPr>
                <w:rFonts w:ascii="Times New Roman" w:hAnsi="Times New Roman" w:cs="Times New Roman"/>
                <w:b/>
                <w:lang w:val="ro-MD"/>
              </w:rPr>
              <w:t xml:space="preserve"> executat</w:t>
            </w:r>
          </w:p>
        </w:tc>
      </w:tr>
      <w:tr w:rsidR="00714F5D" w:rsidRPr="001D0846" w:rsidTr="008C5C6A">
        <w:trPr>
          <w:trHeight w:val="639"/>
        </w:trPr>
        <w:tc>
          <w:tcPr>
            <w:tcW w:w="1135" w:type="dxa"/>
            <w:vMerge/>
            <w:vAlign w:val="center"/>
          </w:tcPr>
          <w:p w:rsidR="00714F5D" w:rsidRPr="001D0846" w:rsidRDefault="00714F5D" w:rsidP="008C5C6A">
            <w:pPr>
              <w:spacing w:line="276" w:lineRule="auto"/>
              <w:ind w:right="-334"/>
              <w:jc w:val="center"/>
              <w:rPr>
                <w:rFonts w:ascii="Times New Roman" w:hAnsi="Times New Roman" w:cs="Times New Roman"/>
                <w:lang w:val="ro-MD"/>
              </w:rPr>
            </w:pPr>
          </w:p>
        </w:tc>
        <w:tc>
          <w:tcPr>
            <w:tcW w:w="1417" w:type="dxa"/>
            <w:vMerge/>
            <w:vAlign w:val="center"/>
          </w:tcPr>
          <w:p w:rsidR="00714F5D" w:rsidRPr="001D0846" w:rsidRDefault="00714F5D" w:rsidP="008C5C6A">
            <w:pPr>
              <w:spacing w:line="276" w:lineRule="auto"/>
              <w:ind w:right="-334"/>
              <w:jc w:val="center"/>
              <w:rPr>
                <w:rFonts w:ascii="Times New Roman" w:hAnsi="Times New Roman" w:cs="Times New Roman"/>
                <w:b/>
                <w:lang w:val="ro-MD"/>
              </w:rPr>
            </w:pPr>
          </w:p>
        </w:tc>
        <w:tc>
          <w:tcPr>
            <w:tcW w:w="1170" w:type="dxa"/>
            <w:vAlign w:val="center"/>
          </w:tcPr>
          <w:p w:rsidR="00714F5D" w:rsidRPr="001D0846" w:rsidRDefault="00714F5D" w:rsidP="008C5C6A">
            <w:pPr>
              <w:spacing w:line="276" w:lineRule="auto"/>
              <w:ind w:right="-211"/>
              <w:jc w:val="center"/>
              <w:rPr>
                <w:rFonts w:ascii="Times New Roman" w:hAnsi="Times New Roman" w:cs="Times New Roman"/>
                <w:b/>
                <w:lang w:val="ro-MD"/>
              </w:rPr>
            </w:pPr>
            <w:r w:rsidRPr="001D0846">
              <w:rPr>
                <w:rFonts w:ascii="Times New Roman" w:hAnsi="Times New Roman" w:cs="Times New Roman"/>
                <w:b/>
                <w:lang w:val="ro-MD"/>
              </w:rPr>
              <w:t>aprobate</w:t>
            </w:r>
          </w:p>
        </w:tc>
        <w:tc>
          <w:tcPr>
            <w:tcW w:w="1440" w:type="dxa"/>
            <w:vAlign w:val="center"/>
          </w:tcPr>
          <w:p w:rsidR="00714F5D" w:rsidRPr="001D0846" w:rsidRDefault="00714F5D" w:rsidP="008C5C6A">
            <w:pPr>
              <w:spacing w:line="276" w:lineRule="auto"/>
              <w:ind w:right="-189"/>
              <w:jc w:val="center"/>
              <w:rPr>
                <w:rFonts w:ascii="Times New Roman" w:hAnsi="Times New Roman" w:cs="Times New Roman"/>
                <w:b/>
                <w:lang w:val="ro-MD"/>
              </w:rPr>
            </w:pPr>
            <w:r w:rsidRPr="001D0846">
              <w:rPr>
                <w:rFonts w:ascii="Times New Roman" w:hAnsi="Times New Roman" w:cs="Times New Roman"/>
                <w:b/>
                <w:lang w:val="ro-MD"/>
              </w:rPr>
              <w:t>precizate</w:t>
            </w:r>
          </w:p>
        </w:tc>
        <w:tc>
          <w:tcPr>
            <w:tcW w:w="1500" w:type="dxa"/>
            <w:vAlign w:val="center"/>
          </w:tcPr>
          <w:p w:rsidR="00714F5D" w:rsidRPr="001D0846" w:rsidRDefault="00714F5D" w:rsidP="008C5C6A">
            <w:pPr>
              <w:spacing w:line="276" w:lineRule="auto"/>
              <w:ind w:right="35"/>
              <w:jc w:val="center"/>
              <w:rPr>
                <w:rFonts w:ascii="Times New Roman" w:hAnsi="Times New Roman" w:cs="Times New Roman"/>
                <w:b/>
                <w:lang w:val="ro-MD"/>
              </w:rPr>
            </w:pPr>
            <w:r w:rsidRPr="001D0846">
              <w:rPr>
                <w:rFonts w:ascii="Times New Roman" w:hAnsi="Times New Roman" w:cs="Times New Roman"/>
                <w:b/>
                <w:lang w:val="ro-MD"/>
              </w:rPr>
              <w:t>gradul de precizare (%)</w:t>
            </w:r>
          </w:p>
        </w:tc>
        <w:tc>
          <w:tcPr>
            <w:tcW w:w="1207" w:type="dxa"/>
            <w:vMerge/>
            <w:vAlign w:val="center"/>
          </w:tcPr>
          <w:p w:rsidR="00714F5D" w:rsidRPr="001D0846" w:rsidRDefault="00714F5D" w:rsidP="008C5C6A">
            <w:pPr>
              <w:spacing w:line="276" w:lineRule="auto"/>
              <w:ind w:right="-334"/>
              <w:rPr>
                <w:rFonts w:ascii="Times New Roman" w:hAnsi="Times New Roman" w:cs="Times New Roman"/>
                <w:lang w:val="ro-MD"/>
              </w:rPr>
            </w:pPr>
          </w:p>
        </w:tc>
        <w:tc>
          <w:tcPr>
            <w:tcW w:w="1203" w:type="dxa"/>
            <w:vAlign w:val="center"/>
          </w:tcPr>
          <w:p w:rsidR="00714F5D" w:rsidRPr="001D0846" w:rsidRDefault="00703842" w:rsidP="008C5C6A">
            <w:pPr>
              <w:spacing w:line="276" w:lineRule="auto"/>
              <w:ind w:right="-232"/>
              <w:jc w:val="center"/>
              <w:rPr>
                <w:rFonts w:ascii="Times New Roman" w:hAnsi="Times New Roman" w:cs="Times New Roman"/>
                <w:b/>
                <w:lang w:val="ro-MD"/>
              </w:rPr>
            </w:pPr>
            <w:r>
              <w:rPr>
                <w:rFonts w:ascii="Times New Roman" w:hAnsi="Times New Roman" w:cs="Times New Roman"/>
                <w:b/>
                <w:lang w:val="ro-MD"/>
              </w:rPr>
              <w:t>aprobat</w:t>
            </w:r>
          </w:p>
        </w:tc>
        <w:tc>
          <w:tcPr>
            <w:tcW w:w="1260" w:type="dxa"/>
            <w:vAlign w:val="center"/>
          </w:tcPr>
          <w:p w:rsidR="00714F5D" w:rsidRPr="001D0846" w:rsidRDefault="00703842" w:rsidP="008C5C6A">
            <w:pPr>
              <w:spacing w:line="276" w:lineRule="auto"/>
              <w:ind w:right="51"/>
              <w:jc w:val="center"/>
              <w:rPr>
                <w:rFonts w:ascii="Times New Roman" w:hAnsi="Times New Roman" w:cs="Times New Roman"/>
                <w:b/>
                <w:lang w:val="ro-MD"/>
              </w:rPr>
            </w:pPr>
            <w:r>
              <w:rPr>
                <w:rFonts w:ascii="Times New Roman" w:hAnsi="Times New Roman" w:cs="Times New Roman"/>
                <w:b/>
                <w:lang w:val="ro-MD"/>
              </w:rPr>
              <w:t>precizat</w:t>
            </w:r>
          </w:p>
        </w:tc>
        <w:tc>
          <w:tcPr>
            <w:tcW w:w="1350" w:type="dxa"/>
            <w:gridSpan w:val="2"/>
            <w:tcBorders>
              <w:right w:val="single" w:sz="4" w:space="0" w:color="auto"/>
            </w:tcBorders>
            <w:vAlign w:val="center"/>
          </w:tcPr>
          <w:p w:rsidR="00714F5D" w:rsidRPr="001D0846" w:rsidRDefault="00714F5D" w:rsidP="008C5C6A">
            <w:pPr>
              <w:spacing w:line="276" w:lineRule="auto"/>
              <w:ind w:right="-10"/>
              <w:jc w:val="center"/>
              <w:rPr>
                <w:rFonts w:ascii="Times New Roman" w:hAnsi="Times New Roman" w:cs="Times New Roman"/>
                <w:b/>
                <w:lang w:val="ro-MD"/>
              </w:rPr>
            </w:pPr>
            <w:r w:rsidRPr="001D0846">
              <w:rPr>
                <w:rFonts w:ascii="Times New Roman" w:hAnsi="Times New Roman" w:cs="Times New Roman"/>
                <w:b/>
                <w:lang w:val="ro-MD"/>
              </w:rPr>
              <w:t>față de aprobat</w:t>
            </w:r>
          </w:p>
        </w:tc>
        <w:tc>
          <w:tcPr>
            <w:tcW w:w="1359" w:type="dxa"/>
            <w:tcBorders>
              <w:left w:val="single" w:sz="4" w:space="0" w:color="auto"/>
            </w:tcBorders>
            <w:vAlign w:val="center"/>
          </w:tcPr>
          <w:p w:rsidR="00714F5D" w:rsidRPr="001D0846" w:rsidRDefault="00714F5D" w:rsidP="008C5C6A">
            <w:pPr>
              <w:spacing w:line="276" w:lineRule="auto"/>
              <w:jc w:val="center"/>
              <w:rPr>
                <w:rFonts w:ascii="Times New Roman" w:hAnsi="Times New Roman" w:cs="Times New Roman"/>
                <w:b/>
                <w:lang w:val="ro-MD"/>
              </w:rPr>
            </w:pPr>
            <w:r w:rsidRPr="001D0846">
              <w:rPr>
                <w:rFonts w:ascii="Times New Roman" w:hAnsi="Times New Roman" w:cs="Times New Roman"/>
                <w:b/>
                <w:lang w:val="ro-MD"/>
              </w:rPr>
              <w:t>față de precizat</w:t>
            </w:r>
          </w:p>
        </w:tc>
      </w:tr>
      <w:tr w:rsidR="00714F5D" w:rsidRPr="001D0846" w:rsidTr="008C5C6A">
        <w:trPr>
          <w:trHeight w:val="317"/>
        </w:trPr>
        <w:tc>
          <w:tcPr>
            <w:tcW w:w="1135" w:type="dxa"/>
            <w:vAlign w:val="center"/>
          </w:tcPr>
          <w:p w:rsidR="00714F5D" w:rsidRPr="001D0846" w:rsidRDefault="00714F5D" w:rsidP="008C5C6A">
            <w:pPr>
              <w:spacing w:line="276" w:lineRule="auto"/>
              <w:ind w:right="-334"/>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1</w:t>
            </w:r>
          </w:p>
        </w:tc>
        <w:tc>
          <w:tcPr>
            <w:tcW w:w="1417" w:type="dxa"/>
            <w:vAlign w:val="center"/>
          </w:tcPr>
          <w:p w:rsidR="00714F5D" w:rsidRPr="001D0846" w:rsidRDefault="00714F5D" w:rsidP="008C5C6A">
            <w:pPr>
              <w:spacing w:line="276" w:lineRule="auto"/>
              <w:ind w:right="-334"/>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2</w:t>
            </w:r>
          </w:p>
        </w:tc>
        <w:tc>
          <w:tcPr>
            <w:tcW w:w="1170" w:type="dxa"/>
            <w:vAlign w:val="center"/>
          </w:tcPr>
          <w:p w:rsidR="00714F5D" w:rsidRPr="001D0846" w:rsidRDefault="00714F5D" w:rsidP="008C5C6A">
            <w:pPr>
              <w:spacing w:line="276" w:lineRule="auto"/>
              <w:ind w:right="-211"/>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3</w:t>
            </w:r>
          </w:p>
        </w:tc>
        <w:tc>
          <w:tcPr>
            <w:tcW w:w="1440" w:type="dxa"/>
            <w:vAlign w:val="center"/>
          </w:tcPr>
          <w:p w:rsidR="00714F5D" w:rsidRPr="001D0846" w:rsidRDefault="00714F5D" w:rsidP="008C5C6A">
            <w:pPr>
              <w:spacing w:line="276" w:lineRule="auto"/>
              <w:ind w:right="-189"/>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4</w:t>
            </w:r>
          </w:p>
        </w:tc>
        <w:tc>
          <w:tcPr>
            <w:tcW w:w="1500" w:type="dxa"/>
            <w:vAlign w:val="center"/>
          </w:tcPr>
          <w:p w:rsidR="00714F5D" w:rsidRPr="001D0846" w:rsidRDefault="00714F5D" w:rsidP="008C5C6A">
            <w:pPr>
              <w:spacing w:line="276" w:lineRule="auto"/>
              <w:ind w:right="35"/>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5=4/3*100-100</w:t>
            </w:r>
          </w:p>
        </w:tc>
        <w:tc>
          <w:tcPr>
            <w:tcW w:w="1207" w:type="dxa"/>
            <w:vAlign w:val="center"/>
          </w:tcPr>
          <w:p w:rsidR="00714F5D" w:rsidRPr="001D0846" w:rsidRDefault="00714F5D" w:rsidP="008C5C6A">
            <w:pPr>
              <w:spacing w:line="276" w:lineRule="auto"/>
              <w:ind w:right="-334"/>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6</w:t>
            </w:r>
          </w:p>
        </w:tc>
        <w:tc>
          <w:tcPr>
            <w:tcW w:w="1203" w:type="dxa"/>
            <w:vAlign w:val="center"/>
          </w:tcPr>
          <w:p w:rsidR="00714F5D" w:rsidRPr="001D0846" w:rsidRDefault="00714F5D" w:rsidP="008C5C6A">
            <w:pPr>
              <w:spacing w:line="276" w:lineRule="auto"/>
              <w:ind w:right="-232"/>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7=6/3*100</w:t>
            </w:r>
          </w:p>
        </w:tc>
        <w:tc>
          <w:tcPr>
            <w:tcW w:w="1260" w:type="dxa"/>
            <w:vAlign w:val="center"/>
          </w:tcPr>
          <w:p w:rsidR="00714F5D" w:rsidRPr="001D0846" w:rsidRDefault="00714F5D" w:rsidP="008C5C6A">
            <w:pPr>
              <w:spacing w:line="276" w:lineRule="auto"/>
              <w:ind w:right="51"/>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8=6/4*100</w:t>
            </w:r>
          </w:p>
        </w:tc>
        <w:tc>
          <w:tcPr>
            <w:tcW w:w="1350" w:type="dxa"/>
            <w:gridSpan w:val="2"/>
            <w:tcBorders>
              <w:right w:val="single" w:sz="4" w:space="0" w:color="auto"/>
            </w:tcBorders>
            <w:vAlign w:val="center"/>
          </w:tcPr>
          <w:p w:rsidR="00714F5D" w:rsidRPr="001D0846" w:rsidRDefault="00714F5D" w:rsidP="008C5C6A">
            <w:pPr>
              <w:spacing w:line="276" w:lineRule="auto"/>
              <w:ind w:right="-10"/>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9=6-3</w:t>
            </w:r>
          </w:p>
        </w:tc>
        <w:tc>
          <w:tcPr>
            <w:tcW w:w="1359" w:type="dxa"/>
            <w:tcBorders>
              <w:left w:val="single" w:sz="4" w:space="0" w:color="auto"/>
            </w:tcBorders>
            <w:vAlign w:val="center"/>
          </w:tcPr>
          <w:p w:rsidR="00714F5D" w:rsidRPr="001D0846" w:rsidRDefault="00714F5D" w:rsidP="008C5C6A">
            <w:pPr>
              <w:spacing w:line="276" w:lineRule="auto"/>
              <w:jc w:val="center"/>
              <w:rPr>
                <w:rFonts w:ascii="Times New Roman" w:hAnsi="Times New Roman" w:cs="Times New Roman"/>
                <w:i/>
                <w:sz w:val="18"/>
                <w:szCs w:val="18"/>
                <w:lang w:val="ro-MD"/>
              </w:rPr>
            </w:pPr>
            <w:r w:rsidRPr="001D0846">
              <w:rPr>
                <w:rFonts w:ascii="Times New Roman" w:hAnsi="Times New Roman" w:cs="Times New Roman"/>
                <w:i/>
                <w:sz w:val="18"/>
                <w:szCs w:val="18"/>
                <w:lang w:val="ro-MD"/>
              </w:rPr>
              <w:t>10=6-4</w:t>
            </w:r>
          </w:p>
        </w:tc>
      </w:tr>
      <w:tr w:rsidR="00714F5D" w:rsidRPr="001D0846" w:rsidTr="008C5C6A">
        <w:tc>
          <w:tcPr>
            <w:tcW w:w="1135" w:type="dxa"/>
          </w:tcPr>
          <w:p w:rsidR="00714F5D" w:rsidRPr="001D0846" w:rsidRDefault="00714F5D" w:rsidP="008C5C6A">
            <w:pPr>
              <w:spacing w:line="276" w:lineRule="auto"/>
              <w:ind w:right="30"/>
              <w:jc w:val="center"/>
              <w:rPr>
                <w:rFonts w:ascii="Times New Roman" w:hAnsi="Times New Roman" w:cs="Times New Roman"/>
                <w:b/>
                <w:lang w:val="ro-MD"/>
              </w:rPr>
            </w:pPr>
            <w:r w:rsidRPr="001D0846">
              <w:rPr>
                <w:rFonts w:ascii="Times New Roman" w:hAnsi="Times New Roman" w:cs="Times New Roman"/>
                <w:b/>
                <w:lang w:val="ro-MD"/>
              </w:rPr>
              <w:t>2015</w:t>
            </w:r>
          </w:p>
        </w:tc>
        <w:tc>
          <w:tcPr>
            <w:tcW w:w="1417" w:type="dxa"/>
            <w:vAlign w:val="bottom"/>
          </w:tcPr>
          <w:p w:rsidR="00714F5D" w:rsidRPr="001D0846" w:rsidRDefault="00714F5D" w:rsidP="008C5C6A">
            <w:pPr>
              <w:spacing w:line="276" w:lineRule="auto"/>
              <w:jc w:val="center"/>
              <w:rPr>
                <w:rFonts w:ascii="Times New Roman" w:hAnsi="Times New Roman" w:cs="Times New Roman"/>
                <w:color w:val="000000"/>
              </w:rPr>
            </w:pPr>
            <w:r>
              <w:rPr>
                <w:rFonts w:ascii="Times New Roman" w:hAnsi="Times New Roman" w:cs="Times New Roman"/>
                <w:color w:val="000000"/>
              </w:rPr>
              <w:t>16169,1</w:t>
            </w:r>
          </w:p>
        </w:tc>
        <w:tc>
          <w:tcPr>
            <w:tcW w:w="1170" w:type="dxa"/>
          </w:tcPr>
          <w:p w:rsidR="00714F5D" w:rsidRPr="001D0846" w:rsidRDefault="00714F5D" w:rsidP="008C5C6A">
            <w:pPr>
              <w:spacing w:line="276" w:lineRule="auto"/>
              <w:ind w:right="72"/>
              <w:jc w:val="center"/>
              <w:rPr>
                <w:rFonts w:ascii="Times New Roman" w:hAnsi="Times New Roman" w:cs="Times New Roman"/>
                <w:lang w:val="ro-MD"/>
              </w:rPr>
            </w:pPr>
            <w:r w:rsidRPr="001D0846">
              <w:rPr>
                <w:rFonts w:ascii="Times New Roman" w:hAnsi="Times New Roman" w:cs="Times New Roman"/>
                <w:lang w:val="ro-MD"/>
              </w:rPr>
              <w:t>17419,80</w:t>
            </w:r>
          </w:p>
        </w:tc>
        <w:tc>
          <w:tcPr>
            <w:tcW w:w="1440" w:type="dxa"/>
          </w:tcPr>
          <w:p w:rsidR="00714F5D" w:rsidRPr="001D0846" w:rsidRDefault="00714F5D" w:rsidP="008C5C6A">
            <w:pPr>
              <w:spacing w:line="276" w:lineRule="auto"/>
              <w:jc w:val="center"/>
              <w:rPr>
                <w:rFonts w:ascii="Times New Roman" w:hAnsi="Times New Roman" w:cs="Times New Roman"/>
                <w:lang w:val="ro-MD"/>
              </w:rPr>
            </w:pPr>
            <w:r w:rsidRPr="001D0846">
              <w:rPr>
                <w:rFonts w:ascii="Times New Roman" w:hAnsi="Times New Roman" w:cs="Times New Roman"/>
                <w:lang w:val="ro-MD"/>
              </w:rPr>
              <w:t>16027,16</w:t>
            </w:r>
          </w:p>
        </w:tc>
        <w:tc>
          <w:tcPr>
            <w:tcW w:w="1500" w:type="dxa"/>
          </w:tcPr>
          <w:p w:rsidR="00714F5D" w:rsidRPr="001D0846" w:rsidRDefault="00714F5D" w:rsidP="008C5C6A">
            <w:pPr>
              <w:spacing w:line="276" w:lineRule="auto"/>
              <w:ind w:right="41"/>
              <w:jc w:val="center"/>
              <w:rPr>
                <w:rFonts w:ascii="Times New Roman" w:hAnsi="Times New Roman" w:cs="Times New Roman"/>
                <w:lang w:val="ro-MD"/>
              </w:rPr>
            </w:pPr>
            <w:r w:rsidRPr="001D0846">
              <w:rPr>
                <w:rFonts w:ascii="Times New Roman" w:hAnsi="Times New Roman" w:cs="Times New Roman"/>
                <w:lang w:val="ro-MD"/>
              </w:rPr>
              <w:t>-7,99</w:t>
            </w:r>
          </w:p>
        </w:tc>
        <w:tc>
          <w:tcPr>
            <w:tcW w:w="1207" w:type="dxa"/>
          </w:tcPr>
          <w:p w:rsidR="00714F5D" w:rsidRPr="001D0846" w:rsidRDefault="00714F5D" w:rsidP="008C5C6A">
            <w:pPr>
              <w:spacing w:line="276" w:lineRule="auto"/>
              <w:jc w:val="center"/>
              <w:rPr>
                <w:rFonts w:ascii="Times New Roman" w:hAnsi="Times New Roman" w:cs="Times New Roman"/>
                <w:lang w:val="ro-MD"/>
              </w:rPr>
            </w:pPr>
            <w:r w:rsidRPr="001D0846">
              <w:rPr>
                <w:rFonts w:ascii="Times New Roman" w:hAnsi="Times New Roman" w:cs="Times New Roman"/>
                <w:lang w:val="ro-MD"/>
              </w:rPr>
              <w:t>15829,96</w:t>
            </w:r>
          </w:p>
        </w:tc>
        <w:tc>
          <w:tcPr>
            <w:tcW w:w="1203" w:type="dxa"/>
          </w:tcPr>
          <w:p w:rsidR="00714F5D" w:rsidRPr="001D0846" w:rsidRDefault="00714F5D" w:rsidP="008C5C6A">
            <w:pPr>
              <w:spacing w:line="276" w:lineRule="auto"/>
              <w:ind w:right="-220"/>
              <w:jc w:val="center"/>
              <w:rPr>
                <w:rFonts w:ascii="Times New Roman" w:hAnsi="Times New Roman" w:cs="Times New Roman"/>
                <w:lang w:val="ro-MD"/>
              </w:rPr>
            </w:pPr>
            <w:r w:rsidRPr="001D0846">
              <w:rPr>
                <w:rFonts w:ascii="Times New Roman" w:hAnsi="Times New Roman" w:cs="Times New Roman"/>
                <w:lang w:val="ro-MD"/>
              </w:rPr>
              <w:t>90,87</w:t>
            </w:r>
          </w:p>
        </w:tc>
        <w:tc>
          <w:tcPr>
            <w:tcW w:w="1260" w:type="dxa"/>
          </w:tcPr>
          <w:p w:rsidR="00714F5D" w:rsidRPr="001D0846" w:rsidRDefault="00714F5D" w:rsidP="008C5C6A">
            <w:pPr>
              <w:spacing w:line="276" w:lineRule="auto"/>
              <w:ind w:right="-227"/>
              <w:jc w:val="center"/>
              <w:rPr>
                <w:rFonts w:ascii="Times New Roman" w:hAnsi="Times New Roman" w:cs="Times New Roman"/>
                <w:lang w:val="ro-MD"/>
              </w:rPr>
            </w:pPr>
            <w:r w:rsidRPr="001D0846">
              <w:rPr>
                <w:rFonts w:ascii="Times New Roman" w:hAnsi="Times New Roman" w:cs="Times New Roman"/>
                <w:lang w:val="ro-MD"/>
              </w:rPr>
              <w:t>98,77</w:t>
            </w:r>
          </w:p>
        </w:tc>
        <w:tc>
          <w:tcPr>
            <w:tcW w:w="1350" w:type="dxa"/>
            <w:gridSpan w:val="2"/>
          </w:tcPr>
          <w:p w:rsidR="00714F5D" w:rsidRPr="001D0846" w:rsidRDefault="00714F5D" w:rsidP="008C5C6A">
            <w:pPr>
              <w:spacing w:line="276" w:lineRule="auto"/>
              <w:ind w:right="-300"/>
              <w:jc w:val="center"/>
              <w:rPr>
                <w:rFonts w:ascii="Times New Roman" w:hAnsi="Times New Roman" w:cs="Times New Roman"/>
                <w:lang w:val="ro-MD"/>
              </w:rPr>
            </w:pPr>
            <w:r w:rsidRPr="001D0846">
              <w:rPr>
                <w:rFonts w:ascii="Times New Roman" w:hAnsi="Times New Roman" w:cs="Times New Roman"/>
                <w:lang w:val="ro-MD"/>
              </w:rPr>
              <w:t>-1589,84</w:t>
            </w:r>
          </w:p>
        </w:tc>
        <w:tc>
          <w:tcPr>
            <w:tcW w:w="1359" w:type="dxa"/>
          </w:tcPr>
          <w:p w:rsidR="00714F5D" w:rsidRPr="001D0846" w:rsidRDefault="00714F5D" w:rsidP="008C5C6A">
            <w:pPr>
              <w:spacing w:line="276" w:lineRule="auto"/>
              <w:jc w:val="center"/>
              <w:rPr>
                <w:rFonts w:ascii="Times New Roman" w:hAnsi="Times New Roman" w:cs="Times New Roman"/>
                <w:lang w:val="ro-MD"/>
              </w:rPr>
            </w:pPr>
            <w:r w:rsidRPr="001D0846">
              <w:rPr>
                <w:rFonts w:ascii="Times New Roman" w:hAnsi="Times New Roman" w:cs="Times New Roman"/>
                <w:lang w:val="ro-MD"/>
              </w:rPr>
              <w:t>-197,20</w:t>
            </w:r>
          </w:p>
        </w:tc>
      </w:tr>
      <w:tr w:rsidR="00714F5D" w:rsidRPr="001D0846" w:rsidTr="008C5C6A">
        <w:tc>
          <w:tcPr>
            <w:tcW w:w="1135" w:type="dxa"/>
          </w:tcPr>
          <w:p w:rsidR="00714F5D" w:rsidRPr="001D0846" w:rsidRDefault="00714F5D" w:rsidP="008C5C6A">
            <w:pPr>
              <w:spacing w:line="276" w:lineRule="auto"/>
              <w:ind w:right="30"/>
              <w:jc w:val="center"/>
              <w:rPr>
                <w:rFonts w:ascii="Times New Roman" w:hAnsi="Times New Roman" w:cs="Times New Roman"/>
                <w:b/>
                <w:lang w:val="ro-MD"/>
              </w:rPr>
            </w:pPr>
            <w:r w:rsidRPr="001D0846">
              <w:rPr>
                <w:rFonts w:ascii="Times New Roman" w:hAnsi="Times New Roman" w:cs="Times New Roman"/>
                <w:b/>
                <w:lang w:val="ro-MD"/>
              </w:rPr>
              <w:t>2016</w:t>
            </w:r>
          </w:p>
        </w:tc>
        <w:tc>
          <w:tcPr>
            <w:tcW w:w="1417" w:type="dxa"/>
            <w:vAlign w:val="bottom"/>
          </w:tcPr>
          <w:p w:rsidR="00714F5D" w:rsidRPr="001D0846" w:rsidRDefault="00714F5D" w:rsidP="008C5C6A">
            <w:pPr>
              <w:spacing w:line="276" w:lineRule="auto"/>
              <w:jc w:val="center"/>
              <w:rPr>
                <w:rFonts w:ascii="Times New Roman" w:hAnsi="Times New Roman" w:cs="Times New Roman"/>
                <w:color w:val="000000"/>
              </w:rPr>
            </w:pPr>
            <w:r>
              <w:rPr>
                <w:rFonts w:ascii="Times New Roman" w:hAnsi="Times New Roman" w:cs="Times New Roman"/>
                <w:color w:val="000000"/>
              </w:rPr>
              <w:t>17160,5</w:t>
            </w:r>
          </w:p>
        </w:tc>
        <w:tc>
          <w:tcPr>
            <w:tcW w:w="1170" w:type="dxa"/>
          </w:tcPr>
          <w:p w:rsidR="00714F5D" w:rsidRPr="001D0846" w:rsidRDefault="00714F5D" w:rsidP="008C5C6A">
            <w:pPr>
              <w:spacing w:line="276" w:lineRule="auto"/>
              <w:jc w:val="center"/>
              <w:rPr>
                <w:rFonts w:ascii="Times New Roman" w:hAnsi="Times New Roman" w:cs="Times New Roman"/>
                <w:lang w:val="ro-MD"/>
              </w:rPr>
            </w:pPr>
            <w:r w:rsidRPr="001D0846">
              <w:rPr>
                <w:rFonts w:ascii="Times New Roman" w:hAnsi="Times New Roman" w:cs="Times New Roman"/>
                <w:lang w:val="ro-MD"/>
              </w:rPr>
              <w:t>18480,06</w:t>
            </w:r>
          </w:p>
        </w:tc>
        <w:tc>
          <w:tcPr>
            <w:tcW w:w="1440" w:type="dxa"/>
          </w:tcPr>
          <w:p w:rsidR="00714F5D" w:rsidRPr="001D0846" w:rsidRDefault="00714F5D" w:rsidP="008C5C6A">
            <w:pPr>
              <w:spacing w:line="276" w:lineRule="auto"/>
              <w:jc w:val="center"/>
              <w:rPr>
                <w:rFonts w:ascii="Times New Roman" w:hAnsi="Times New Roman" w:cs="Times New Roman"/>
                <w:lang w:val="ro-MD"/>
              </w:rPr>
            </w:pPr>
            <w:r w:rsidRPr="001D0846">
              <w:rPr>
                <w:rFonts w:ascii="Times New Roman" w:hAnsi="Times New Roman" w:cs="Times New Roman"/>
                <w:lang w:val="ro-MD"/>
              </w:rPr>
              <w:t>17138,51</w:t>
            </w:r>
          </w:p>
        </w:tc>
        <w:tc>
          <w:tcPr>
            <w:tcW w:w="1500" w:type="dxa"/>
          </w:tcPr>
          <w:p w:rsidR="00714F5D" w:rsidRPr="001D0846" w:rsidRDefault="00714F5D" w:rsidP="008C5C6A">
            <w:pPr>
              <w:spacing w:line="276" w:lineRule="auto"/>
              <w:ind w:right="41"/>
              <w:jc w:val="center"/>
              <w:rPr>
                <w:rFonts w:ascii="Times New Roman" w:hAnsi="Times New Roman" w:cs="Times New Roman"/>
                <w:lang w:val="ro-MD"/>
              </w:rPr>
            </w:pPr>
            <w:r w:rsidRPr="001D0846">
              <w:rPr>
                <w:rFonts w:ascii="Times New Roman" w:hAnsi="Times New Roman" w:cs="Times New Roman"/>
                <w:lang w:val="ro-MD"/>
              </w:rPr>
              <w:t>-7,</w:t>
            </w:r>
            <w:r>
              <w:rPr>
                <w:rFonts w:ascii="Times New Roman" w:hAnsi="Times New Roman" w:cs="Times New Roman"/>
                <w:lang w:val="ro-MD"/>
              </w:rPr>
              <w:t>5</w:t>
            </w:r>
            <w:r w:rsidRPr="001D0846">
              <w:rPr>
                <w:rFonts w:ascii="Times New Roman" w:hAnsi="Times New Roman" w:cs="Times New Roman"/>
                <w:lang w:val="ro-MD"/>
              </w:rPr>
              <w:t>6</w:t>
            </w:r>
          </w:p>
        </w:tc>
        <w:tc>
          <w:tcPr>
            <w:tcW w:w="1207" w:type="dxa"/>
          </w:tcPr>
          <w:p w:rsidR="00714F5D" w:rsidRPr="001D0846" w:rsidRDefault="00714F5D" w:rsidP="008C5C6A">
            <w:pPr>
              <w:spacing w:line="276" w:lineRule="auto"/>
              <w:jc w:val="center"/>
              <w:rPr>
                <w:rFonts w:ascii="Times New Roman" w:hAnsi="Times New Roman" w:cs="Times New Roman"/>
                <w:lang w:val="ro-MD"/>
              </w:rPr>
            </w:pPr>
            <w:r w:rsidRPr="001D0846">
              <w:rPr>
                <w:rFonts w:ascii="Times New Roman" w:hAnsi="Times New Roman" w:cs="Times New Roman"/>
                <w:lang w:val="ro-MD"/>
              </w:rPr>
              <w:t>17476,10</w:t>
            </w:r>
          </w:p>
        </w:tc>
        <w:tc>
          <w:tcPr>
            <w:tcW w:w="1203" w:type="dxa"/>
          </w:tcPr>
          <w:p w:rsidR="00714F5D" w:rsidRPr="001D0846" w:rsidRDefault="00714F5D" w:rsidP="008C5C6A">
            <w:pPr>
              <w:spacing w:line="276" w:lineRule="auto"/>
              <w:ind w:right="-220"/>
              <w:jc w:val="center"/>
              <w:rPr>
                <w:rFonts w:ascii="Times New Roman" w:hAnsi="Times New Roman" w:cs="Times New Roman"/>
                <w:lang w:val="ro-MD"/>
              </w:rPr>
            </w:pPr>
            <w:r w:rsidRPr="001D0846">
              <w:rPr>
                <w:rFonts w:ascii="Times New Roman" w:hAnsi="Times New Roman" w:cs="Times New Roman"/>
                <w:lang w:val="ro-MD"/>
              </w:rPr>
              <w:t>94,57</w:t>
            </w:r>
          </w:p>
        </w:tc>
        <w:tc>
          <w:tcPr>
            <w:tcW w:w="1260" w:type="dxa"/>
          </w:tcPr>
          <w:p w:rsidR="00714F5D" w:rsidRPr="001D0846" w:rsidRDefault="00714F5D" w:rsidP="008C5C6A">
            <w:pPr>
              <w:spacing w:line="276" w:lineRule="auto"/>
              <w:ind w:right="-227"/>
              <w:jc w:val="center"/>
              <w:rPr>
                <w:rFonts w:ascii="Times New Roman" w:hAnsi="Times New Roman" w:cs="Times New Roman"/>
                <w:lang w:val="ro-MD"/>
              </w:rPr>
            </w:pPr>
            <w:r w:rsidRPr="001D0846">
              <w:rPr>
                <w:rFonts w:ascii="Times New Roman" w:hAnsi="Times New Roman" w:cs="Times New Roman"/>
                <w:lang w:val="ro-MD"/>
              </w:rPr>
              <w:t>101,97</w:t>
            </w:r>
          </w:p>
        </w:tc>
        <w:tc>
          <w:tcPr>
            <w:tcW w:w="1350" w:type="dxa"/>
            <w:gridSpan w:val="2"/>
          </w:tcPr>
          <w:p w:rsidR="00714F5D" w:rsidRPr="001D0846" w:rsidRDefault="00714F5D" w:rsidP="008C5C6A">
            <w:pPr>
              <w:spacing w:line="276" w:lineRule="auto"/>
              <w:ind w:right="-300"/>
              <w:jc w:val="center"/>
              <w:rPr>
                <w:rFonts w:ascii="Times New Roman" w:hAnsi="Times New Roman" w:cs="Times New Roman"/>
                <w:lang w:val="ro-MD"/>
              </w:rPr>
            </w:pPr>
            <w:r w:rsidRPr="001D0846">
              <w:rPr>
                <w:rFonts w:ascii="Times New Roman" w:hAnsi="Times New Roman" w:cs="Times New Roman"/>
                <w:lang w:val="ro-MD"/>
              </w:rPr>
              <w:t>-1003,96</w:t>
            </w:r>
          </w:p>
        </w:tc>
        <w:tc>
          <w:tcPr>
            <w:tcW w:w="1359" w:type="dxa"/>
          </w:tcPr>
          <w:p w:rsidR="00714F5D" w:rsidRPr="001D0846" w:rsidRDefault="00714F5D" w:rsidP="008C5C6A">
            <w:pPr>
              <w:spacing w:line="276" w:lineRule="auto"/>
              <w:jc w:val="center"/>
              <w:rPr>
                <w:rFonts w:ascii="Times New Roman" w:hAnsi="Times New Roman" w:cs="Times New Roman"/>
                <w:lang w:val="ro-MD"/>
              </w:rPr>
            </w:pPr>
            <w:r w:rsidRPr="001D0846">
              <w:rPr>
                <w:rFonts w:ascii="Times New Roman" w:hAnsi="Times New Roman" w:cs="Times New Roman"/>
                <w:lang w:val="ro-MD"/>
              </w:rPr>
              <w:t>337,59</w:t>
            </w:r>
          </w:p>
        </w:tc>
      </w:tr>
      <w:tr w:rsidR="00714F5D" w:rsidRPr="001D0846" w:rsidTr="008C5C6A">
        <w:tc>
          <w:tcPr>
            <w:tcW w:w="1135" w:type="dxa"/>
          </w:tcPr>
          <w:p w:rsidR="00714F5D" w:rsidRPr="001D0846" w:rsidRDefault="00714F5D" w:rsidP="008C5C6A">
            <w:pPr>
              <w:spacing w:line="276" w:lineRule="auto"/>
              <w:ind w:right="30"/>
              <w:jc w:val="center"/>
              <w:rPr>
                <w:rFonts w:ascii="Times New Roman" w:hAnsi="Times New Roman" w:cs="Times New Roman"/>
                <w:b/>
                <w:lang w:val="ro-MD"/>
              </w:rPr>
            </w:pPr>
            <w:r w:rsidRPr="001D0846">
              <w:rPr>
                <w:rFonts w:ascii="Times New Roman" w:hAnsi="Times New Roman" w:cs="Times New Roman"/>
                <w:b/>
                <w:lang w:val="ro-MD"/>
              </w:rPr>
              <w:t>2017</w:t>
            </w:r>
          </w:p>
        </w:tc>
        <w:tc>
          <w:tcPr>
            <w:tcW w:w="1417" w:type="dxa"/>
            <w:vAlign w:val="bottom"/>
          </w:tcPr>
          <w:p w:rsidR="00714F5D" w:rsidRPr="001D0846" w:rsidRDefault="00714F5D" w:rsidP="008C5C6A">
            <w:pPr>
              <w:spacing w:line="276" w:lineRule="auto"/>
              <w:jc w:val="center"/>
              <w:rPr>
                <w:rFonts w:ascii="Times New Roman" w:hAnsi="Times New Roman" w:cs="Times New Roman"/>
                <w:color w:val="000000"/>
              </w:rPr>
            </w:pPr>
            <w:r w:rsidRPr="001D0846">
              <w:rPr>
                <w:rFonts w:ascii="Times New Roman" w:hAnsi="Times New Roman" w:cs="Times New Roman"/>
                <w:color w:val="000000"/>
              </w:rPr>
              <w:t>18</w:t>
            </w:r>
            <w:r>
              <w:rPr>
                <w:rFonts w:ascii="Times New Roman" w:hAnsi="Times New Roman" w:cs="Times New Roman"/>
                <w:color w:val="000000"/>
              </w:rPr>
              <w:t>277,7</w:t>
            </w:r>
          </w:p>
        </w:tc>
        <w:tc>
          <w:tcPr>
            <w:tcW w:w="1170" w:type="dxa"/>
          </w:tcPr>
          <w:p w:rsidR="00714F5D" w:rsidRPr="001D0846" w:rsidRDefault="00714F5D" w:rsidP="008C5C6A">
            <w:pPr>
              <w:spacing w:line="276" w:lineRule="auto"/>
              <w:jc w:val="center"/>
              <w:rPr>
                <w:rFonts w:ascii="Times New Roman" w:hAnsi="Times New Roman" w:cs="Times New Roman"/>
                <w:lang w:val="ro-MD"/>
              </w:rPr>
            </w:pPr>
            <w:r w:rsidRPr="001D0846">
              <w:rPr>
                <w:rFonts w:ascii="Times New Roman" w:hAnsi="Times New Roman" w:cs="Times New Roman"/>
                <w:lang w:val="ro-MD"/>
              </w:rPr>
              <w:t>18564,62</w:t>
            </w:r>
          </w:p>
        </w:tc>
        <w:tc>
          <w:tcPr>
            <w:tcW w:w="1440" w:type="dxa"/>
          </w:tcPr>
          <w:p w:rsidR="00714F5D" w:rsidRPr="001D0846" w:rsidRDefault="00714F5D" w:rsidP="008C5C6A">
            <w:pPr>
              <w:spacing w:line="276" w:lineRule="auto"/>
              <w:jc w:val="center"/>
              <w:rPr>
                <w:rFonts w:ascii="Times New Roman" w:hAnsi="Times New Roman" w:cs="Times New Roman"/>
                <w:lang w:val="ro-MD"/>
              </w:rPr>
            </w:pPr>
            <w:r w:rsidRPr="001D0846">
              <w:rPr>
                <w:rFonts w:ascii="Times New Roman" w:hAnsi="Times New Roman" w:cs="Times New Roman"/>
                <w:lang w:val="ro-MD"/>
              </w:rPr>
              <w:t>20045,47</w:t>
            </w:r>
          </w:p>
        </w:tc>
        <w:tc>
          <w:tcPr>
            <w:tcW w:w="1500" w:type="dxa"/>
          </w:tcPr>
          <w:p w:rsidR="00714F5D" w:rsidRPr="001D0846" w:rsidRDefault="00714F5D" w:rsidP="008C5C6A">
            <w:pPr>
              <w:spacing w:line="276" w:lineRule="auto"/>
              <w:ind w:right="41"/>
              <w:jc w:val="center"/>
              <w:rPr>
                <w:rFonts w:ascii="Times New Roman" w:hAnsi="Times New Roman" w:cs="Times New Roman"/>
                <w:lang w:val="ro-MD"/>
              </w:rPr>
            </w:pPr>
            <w:r w:rsidRPr="001D0846">
              <w:rPr>
                <w:rFonts w:ascii="Times New Roman" w:hAnsi="Times New Roman" w:cs="Times New Roman"/>
                <w:lang w:val="ro-MD"/>
              </w:rPr>
              <w:t>7,98</w:t>
            </w:r>
          </w:p>
        </w:tc>
        <w:tc>
          <w:tcPr>
            <w:tcW w:w="1207" w:type="dxa"/>
          </w:tcPr>
          <w:p w:rsidR="00714F5D" w:rsidRPr="001D0846" w:rsidRDefault="00714F5D" w:rsidP="008C5C6A">
            <w:pPr>
              <w:spacing w:line="276" w:lineRule="auto"/>
              <w:jc w:val="center"/>
              <w:rPr>
                <w:rFonts w:ascii="Times New Roman" w:hAnsi="Times New Roman" w:cs="Times New Roman"/>
                <w:lang w:val="ro-MD"/>
              </w:rPr>
            </w:pPr>
            <w:r w:rsidRPr="001D0846">
              <w:rPr>
                <w:rFonts w:ascii="Times New Roman" w:hAnsi="Times New Roman" w:cs="Times New Roman"/>
                <w:lang w:val="ro-MD"/>
              </w:rPr>
              <w:t>20372,57</w:t>
            </w:r>
          </w:p>
        </w:tc>
        <w:tc>
          <w:tcPr>
            <w:tcW w:w="1203" w:type="dxa"/>
          </w:tcPr>
          <w:p w:rsidR="00714F5D" w:rsidRPr="001D0846" w:rsidRDefault="00714F5D" w:rsidP="008C5C6A">
            <w:pPr>
              <w:spacing w:line="276" w:lineRule="auto"/>
              <w:ind w:right="-220"/>
              <w:jc w:val="center"/>
              <w:rPr>
                <w:rFonts w:ascii="Times New Roman" w:hAnsi="Times New Roman" w:cs="Times New Roman"/>
                <w:lang w:val="ro-MD"/>
              </w:rPr>
            </w:pPr>
            <w:r w:rsidRPr="001D0846">
              <w:rPr>
                <w:rFonts w:ascii="Times New Roman" w:hAnsi="Times New Roman" w:cs="Times New Roman"/>
                <w:lang w:val="ro-MD"/>
              </w:rPr>
              <w:t>109,74</w:t>
            </w:r>
          </w:p>
        </w:tc>
        <w:tc>
          <w:tcPr>
            <w:tcW w:w="1260" w:type="dxa"/>
          </w:tcPr>
          <w:p w:rsidR="00714F5D" w:rsidRPr="001D0846" w:rsidRDefault="00714F5D" w:rsidP="008C5C6A">
            <w:pPr>
              <w:spacing w:line="276" w:lineRule="auto"/>
              <w:ind w:right="-227"/>
              <w:jc w:val="center"/>
              <w:rPr>
                <w:rFonts w:ascii="Times New Roman" w:hAnsi="Times New Roman" w:cs="Times New Roman"/>
                <w:lang w:val="ro-MD"/>
              </w:rPr>
            </w:pPr>
            <w:r w:rsidRPr="001D0846">
              <w:rPr>
                <w:rFonts w:ascii="Times New Roman" w:hAnsi="Times New Roman" w:cs="Times New Roman"/>
                <w:lang w:val="ro-MD"/>
              </w:rPr>
              <w:t>101,63</w:t>
            </w:r>
          </w:p>
        </w:tc>
        <w:tc>
          <w:tcPr>
            <w:tcW w:w="1350" w:type="dxa"/>
            <w:gridSpan w:val="2"/>
          </w:tcPr>
          <w:p w:rsidR="00714F5D" w:rsidRPr="001D0846" w:rsidRDefault="00714F5D" w:rsidP="008C5C6A">
            <w:pPr>
              <w:spacing w:line="276" w:lineRule="auto"/>
              <w:ind w:right="-334"/>
              <w:jc w:val="center"/>
              <w:rPr>
                <w:rFonts w:ascii="Times New Roman" w:hAnsi="Times New Roman" w:cs="Times New Roman"/>
                <w:lang w:val="ro-MD"/>
              </w:rPr>
            </w:pPr>
            <w:r w:rsidRPr="001D0846">
              <w:rPr>
                <w:rFonts w:ascii="Times New Roman" w:hAnsi="Times New Roman" w:cs="Times New Roman"/>
                <w:lang w:val="ro-MD"/>
              </w:rPr>
              <w:t>1807,95</w:t>
            </w:r>
          </w:p>
        </w:tc>
        <w:tc>
          <w:tcPr>
            <w:tcW w:w="1359" w:type="dxa"/>
          </w:tcPr>
          <w:p w:rsidR="00714F5D" w:rsidRPr="001D0846" w:rsidRDefault="00714F5D" w:rsidP="008C5C6A">
            <w:pPr>
              <w:spacing w:line="276" w:lineRule="auto"/>
              <w:jc w:val="center"/>
              <w:rPr>
                <w:rFonts w:ascii="Times New Roman" w:hAnsi="Times New Roman" w:cs="Times New Roman"/>
                <w:lang w:val="ro-MD"/>
              </w:rPr>
            </w:pPr>
            <w:r w:rsidRPr="001D0846">
              <w:rPr>
                <w:rFonts w:ascii="Times New Roman" w:hAnsi="Times New Roman" w:cs="Times New Roman"/>
                <w:lang w:val="ro-MD"/>
              </w:rPr>
              <w:t>327,10</w:t>
            </w:r>
          </w:p>
        </w:tc>
      </w:tr>
    </w:tbl>
    <w:p w:rsidR="00714F5D" w:rsidRPr="001D0846" w:rsidRDefault="00714F5D" w:rsidP="00714F5D">
      <w:pPr>
        <w:spacing w:after="0" w:line="276" w:lineRule="auto"/>
        <w:ind w:right="-331"/>
        <w:rPr>
          <w:rFonts w:ascii="Times New Roman" w:hAnsi="Times New Roman" w:cs="Times New Roman"/>
          <w:b/>
          <w:i/>
          <w:sz w:val="28"/>
          <w:szCs w:val="28"/>
          <w:lang w:val="ro-MD"/>
        </w:rPr>
      </w:pPr>
      <w:r w:rsidRPr="001D0846">
        <w:rPr>
          <w:rFonts w:ascii="Times New Roman" w:hAnsi="Times New Roman" w:cs="Times New Roman"/>
          <w:b/>
          <w:i/>
          <w:sz w:val="20"/>
          <w:szCs w:val="20"/>
        </w:rPr>
        <w:t xml:space="preserve">  Sursă:</w:t>
      </w:r>
      <w:r w:rsidRPr="001D0846">
        <w:rPr>
          <w:rFonts w:ascii="Times New Roman" w:hAnsi="Times New Roman" w:cs="Times New Roman"/>
          <w:i/>
          <w:sz w:val="20"/>
          <w:szCs w:val="20"/>
        </w:rPr>
        <w:t xml:space="preserve"> Datele generalizate de către echipa de audit din informațiile și dările de seamă a</w:t>
      </w:r>
      <w:r>
        <w:rPr>
          <w:rFonts w:ascii="Times New Roman" w:hAnsi="Times New Roman" w:cs="Times New Roman"/>
          <w:i/>
          <w:sz w:val="20"/>
          <w:szCs w:val="20"/>
        </w:rPr>
        <w:t>le</w:t>
      </w:r>
      <w:r w:rsidRPr="001D0846">
        <w:rPr>
          <w:rFonts w:ascii="Times New Roman" w:hAnsi="Times New Roman" w:cs="Times New Roman"/>
          <w:i/>
          <w:sz w:val="20"/>
          <w:szCs w:val="20"/>
        </w:rPr>
        <w:t xml:space="preserve"> SV.</w:t>
      </w:r>
    </w:p>
    <w:p w:rsidR="00714F5D" w:rsidRDefault="00714F5D" w:rsidP="00714F5D">
      <w:pPr>
        <w:spacing w:after="0" w:line="240" w:lineRule="auto"/>
        <w:ind w:right="105" w:firstLine="720"/>
        <w:jc w:val="right"/>
        <w:rPr>
          <w:rFonts w:ascii="Times New Roman" w:hAnsi="Times New Roman" w:cs="Times New Roman"/>
          <w:b/>
          <w:i/>
          <w:sz w:val="28"/>
          <w:szCs w:val="28"/>
          <w:lang w:val="ro-MD"/>
        </w:rPr>
      </w:pPr>
    </w:p>
    <w:p w:rsidR="00714F5D" w:rsidRDefault="00714F5D" w:rsidP="00714F5D">
      <w:pPr>
        <w:spacing w:after="0" w:line="240" w:lineRule="auto"/>
        <w:ind w:right="105" w:firstLine="720"/>
        <w:jc w:val="right"/>
        <w:rPr>
          <w:rFonts w:ascii="Times New Roman" w:hAnsi="Times New Roman" w:cs="Times New Roman"/>
          <w:b/>
          <w:i/>
          <w:sz w:val="28"/>
          <w:szCs w:val="28"/>
          <w:lang w:val="ro-MD"/>
        </w:rPr>
      </w:pPr>
    </w:p>
    <w:p w:rsidR="00714F5D" w:rsidRDefault="00714F5D" w:rsidP="00714F5D">
      <w:pPr>
        <w:spacing w:after="0" w:line="240" w:lineRule="auto"/>
        <w:ind w:right="105" w:firstLine="720"/>
        <w:jc w:val="right"/>
        <w:rPr>
          <w:rFonts w:ascii="Times New Roman" w:hAnsi="Times New Roman" w:cs="Times New Roman"/>
          <w:b/>
          <w:i/>
          <w:sz w:val="28"/>
          <w:szCs w:val="28"/>
          <w:lang w:val="ro-MD"/>
        </w:rPr>
      </w:pPr>
      <w:r w:rsidRPr="001D0846">
        <w:rPr>
          <w:rFonts w:ascii="Times New Roman" w:hAnsi="Times New Roman" w:cs="Times New Roman"/>
          <w:b/>
          <w:i/>
          <w:sz w:val="28"/>
          <w:szCs w:val="28"/>
          <w:lang w:val="ro-MD"/>
        </w:rPr>
        <w:lastRenderedPageBreak/>
        <w:t>Tabelul nr.6</w:t>
      </w:r>
    </w:p>
    <w:p w:rsidR="00714F5D" w:rsidRPr="001D0846" w:rsidRDefault="00714F5D" w:rsidP="00714F5D">
      <w:pPr>
        <w:spacing w:after="0" w:line="240" w:lineRule="auto"/>
        <w:ind w:right="105" w:firstLine="720"/>
        <w:jc w:val="right"/>
        <w:rPr>
          <w:rFonts w:ascii="Times New Roman" w:hAnsi="Times New Roman" w:cs="Times New Roman"/>
          <w:b/>
          <w:i/>
          <w:sz w:val="28"/>
          <w:szCs w:val="28"/>
          <w:lang w:val="ro-MD"/>
        </w:rPr>
      </w:pPr>
    </w:p>
    <w:p w:rsidR="00714F5D" w:rsidRDefault="00714F5D" w:rsidP="00714F5D">
      <w:pPr>
        <w:spacing w:after="0" w:line="240" w:lineRule="auto"/>
        <w:ind w:right="105"/>
        <w:jc w:val="center"/>
        <w:rPr>
          <w:rFonts w:ascii="Times New Roman" w:hAnsi="Times New Roman" w:cs="Times New Roman"/>
          <w:i/>
          <w:sz w:val="28"/>
          <w:szCs w:val="28"/>
          <w:lang w:val="ro-MD"/>
        </w:rPr>
      </w:pPr>
      <w:r w:rsidRPr="001D0846">
        <w:rPr>
          <w:rFonts w:ascii="Times New Roman" w:hAnsi="Times New Roman" w:cs="Times New Roman"/>
          <w:i/>
          <w:sz w:val="28"/>
          <w:szCs w:val="28"/>
          <w:lang w:val="ro-MD" w:eastAsia="ru-RU"/>
        </w:rPr>
        <w:t xml:space="preserve">Analiza nivelului de realizare a sarcinii de colectare în aspectul tipurilor de impozite și taxe </w:t>
      </w:r>
      <w:r w:rsidRPr="001D0846">
        <w:rPr>
          <w:rFonts w:ascii="Times New Roman" w:hAnsi="Times New Roman" w:cs="Times New Roman"/>
          <w:i/>
          <w:sz w:val="28"/>
          <w:szCs w:val="28"/>
          <w:lang w:val="ro-MD"/>
        </w:rPr>
        <w:t xml:space="preserve">de către SFS </w:t>
      </w:r>
    </w:p>
    <w:p w:rsidR="00714F5D" w:rsidRPr="001D0846" w:rsidRDefault="00714F5D" w:rsidP="00714F5D">
      <w:pPr>
        <w:spacing w:after="0" w:line="240" w:lineRule="auto"/>
        <w:ind w:right="105"/>
        <w:jc w:val="center"/>
        <w:rPr>
          <w:rFonts w:ascii="Times New Roman" w:hAnsi="Times New Roman" w:cs="Times New Roman"/>
          <w:i/>
          <w:sz w:val="28"/>
          <w:szCs w:val="28"/>
          <w:lang w:val="ro-MD"/>
        </w:rPr>
      </w:pPr>
      <w:r w:rsidRPr="001D0846">
        <w:rPr>
          <w:rFonts w:ascii="Times New Roman" w:hAnsi="Times New Roman" w:cs="Times New Roman"/>
          <w:i/>
          <w:sz w:val="28"/>
          <w:szCs w:val="28"/>
          <w:lang w:val="ro-MD"/>
        </w:rPr>
        <w:t>pentru anii 2015-2017</w:t>
      </w:r>
    </w:p>
    <w:p w:rsidR="00714F5D" w:rsidRPr="00F7638B" w:rsidRDefault="00714F5D" w:rsidP="00714F5D">
      <w:pPr>
        <w:spacing w:after="0" w:line="240" w:lineRule="auto"/>
        <w:ind w:right="105"/>
        <w:jc w:val="right"/>
        <w:rPr>
          <w:rFonts w:ascii="Times New Roman" w:hAnsi="Times New Roman" w:cs="Times New Roman"/>
          <w:i/>
          <w:sz w:val="28"/>
          <w:szCs w:val="28"/>
          <w:lang w:val="ro-MD"/>
        </w:rPr>
      </w:pPr>
      <w:r w:rsidRPr="00F7638B">
        <w:rPr>
          <w:rFonts w:ascii="Times New Roman" w:hAnsi="Times New Roman" w:cs="Times New Roman"/>
          <w:i/>
          <w:sz w:val="28"/>
          <w:szCs w:val="28"/>
          <w:lang w:val="ro-MD"/>
        </w:rPr>
        <w:t>(mil.lei)</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4"/>
        <w:gridCol w:w="1134"/>
        <w:gridCol w:w="1134"/>
        <w:gridCol w:w="1102"/>
        <w:gridCol w:w="1134"/>
        <w:gridCol w:w="1166"/>
        <w:gridCol w:w="1109"/>
        <w:gridCol w:w="1134"/>
        <w:gridCol w:w="1017"/>
      </w:tblGrid>
      <w:tr w:rsidR="00714F5D" w:rsidRPr="001D0846" w:rsidTr="008C5C6A">
        <w:trPr>
          <w:trHeight w:val="324"/>
        </w:trPr>
        <w:tc>
          <w:tcPr>
            <w:tcW w:w="3256" w:type="dxa"/>
            <w:vMerge w:val="restart"/>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bCs/>
                <w:color w:val="000000"/>
                <w:lang w:val="ro-MD"/>
              </w:rPr>
            </w:pPr>
            <w:r w:rsidRPr="001D0846">
              <w:rPr>
                <w:rFonts w:ascii="Times New Roman" w:eastAsia="Times New Roman" w:hAnsi="Times New Roman" w:cs="Times New Roman"/>
                <w:b/>
                <w:bCs/>
                <w:color w:val="000000"/>
                <w:lang w:val="ro-MD"/>
              </w:rPr>
              <w:t>Denumirea veniturilor</w:t>
            </w:r>
          </w:p>
        </w:tc>
        <w:tc>
          <w:tcPr>
            <w:tcW w:w="3402" w:type="dxa"/>
            <w:gridSpan w:val="3"/>
            <w:tcBorders>
              <w:bottom w:val="single" w:sz="18" w:space="0" w:color="auto"/>
              <w:right w:val="single" w:sz="18" w:space="0" w:color="auto"/>
            </w:tcBorders>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bCs/>
                <w:color w:val="000000"/>
                <w:lang w:val="ro-MD"/>
              </w:rPr>
            </w:pPr>
            <w:r w:rsidRPr="001D0846">
              <w:rPr>
                <w:rFonts w:ascii="Times New Roman" w:eastAsia="Times New Roman" w:hAnsi="Times New Roman" w:cs="Times New Roman"/>
                <w:b/>
                <w:bCs/>
                <w:color w:val="000000"/>
                <w:lang w:val="ro-MD"/>
              </w:rPr>
              <w:t>Anul 2015</w:t>
            </w:r>
          </w:p>
        </w:tc>
        <w:tc>
          <w:tcPr>
            <w:tcW w:w="3402" w:type="dxa"/>
            <w:gridSpan w:val="3"/>
            <w:tcBorders>
              <w:left w:val="single" w:sz="18" w:space="0" w:color="auto"/>
              <w:right w:val="single" w:sz="18" w:space="0" w:color="auto"/>
            </w:tcBorders>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bCs/>
                <w:color w:val="000000"/>
                <w:lang w:val="ro-MD"/>
              </w:rPr>
            </w:pPr>
            <w:r w:rsidRPr="001D0846">
              <w:rPr>
                <w:rFonts w:ascii="Times New Roman" w:eastAsia="Times New Roman" w:hAnsi="Times New Roman" w:cs="Times New Roman"/>
                <w:b/>
                <w:bCs/>
                <w:color w:val="000000"/>
                <w:lang w:val="ro-MD"/>
              </w:rPr>
              <w:t>Anul 2016</w:t>
            </w:r>
          </w:p>
        </w:tc>
        <w:tc>
          <w:tcPr>
            <w:tcW w:w="3260" w:type="dxa"/>
            <w:gridSpan w:val="3"/>
            <w:tcBorders>
              <w:left w:val="single" w:sz="18" w:space="0" w:color="auto"/>
            </w:tcBorders>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bCs/>
                <w:color w:val="000000"/>
                <w:lang w:val="ro-MD"/>
              </w:rPr>
            </w:pPr>
            <w:r w:rsidRPr="001D0846">
              <w:rPr>
                <w:rFonts w:ascii="Times New Roman" w:eastAsia="Times New Roman" w:hAnsi="Times New Roman" w:cs="Times New Roman"/>
                <w:b/>
                <w:bCs/>
                <w:color w:val="000000"/>
                <w:lang w:val="ro-MD"/>
              </w:rPr>
              <w:t>Anul 2017</w:t>
            </w:r>
          </w:p>
        </w:tc>
      </w:tr>
      <w:tr w:rsidR="00714F5D" w:rsidRPr="001D0846" w:rsidTr="008C5C6A">
        <w:trPr>
          <w:trHeight w:val="324"/>
        </w:trPr>
        <w:tc>
          <w:tcPr>
            <w:tcW w:w="3256" w:type="dxa"/>
            <w:vMerge/>
            <w:vAlign w:val="center"/>
            <w:hideMark/>
          </w:tcPr>
          <w:p w:rsidR="00714F5D" w:rsidRPr="001D0846" w:rsidRDefault="00714F5D" w:rsidP="008C5C6A">
            <w:pPr>
              <w:spacing w:after="0" w:line="240" w:lineRule="auto"/>
              <w:rPr>
                <w:rFonts w:ascii="Times New Roman" w:eastAsia="Times New Roman" w:hAnsi="Times New Roman" w:cs="Times New Roman"/>
                <w:b/>
                <w:bCs/>
                <w:color w:val="000000"/>
                <w:lang w:val="ro-MD"/>
              </w:rPr>
            </w:pPr>
          </w:p>
        </w:tc>
        <w:tc>
          <w:tcPr>
            <w:tcW w:w="1134" w:type="dxa"/>
            <w:tcBorders>
              <w:top w:val="single" w:sz="18" w:space="0" w:color="auto"/>
            </w:tcBorders>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 xml:space="preserve">aprobat </w:t>
            </w:r>
          </w:p>
        </w:tc>
        <w:tc>
          <w:tcPr>
            <w:tcW w:w="1134" w:type="dxa"/>
            <w:tcBorders>
              <w:top w:val="single" w:sz="18" w:space="0" w:color="auto"/>
            </w:tcBorders>
            <w:shd w:val="clear" w:color="auto" w:fill="auto"/>
            <w:noWrap/>
            <w:vAlign w:val="center"/>
            <w:hideMark/>
          </w:tcPr>
          <w:p w:rsidR="00714F5D" w:rsidRPr="001D0846" w:rsidRDefault="00714F5D" w:rsidP="008C5C6A">
            <w:pPr>
              <w:spacing w:after="0" w:line="240" w:lineRule="auto"/>
              <w:jc w:val="center"/>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executat</w:t>
            </w:r>
          </w:p>
        </w:tc>
        <w:tc>
          <w:tcPr>
            <w:tcW w:w="1134" w:type="dxa"/>
            <w:tcBorders>
              <w:top w:val="single" w:sz="18" w:space="0" w:color="auto"/>
              <w:right w:val="single" w:sz="18" w:space="0" w:color="auto"/>
            </w:tcBorders>
            <w:shd w:val="clear" w:color="auto" w:fill="auto"/>
            <w:vAlign w:val="center"/>
            <w:hideMark/>
          </w:tcPr>
          <w:p w:rsidR="00714F5D" w:rsidRPr="001D0846" w:rsidRDefault="00714F5D" w:rsidP="008C5C6A">
            <w:pPr>
              <w:spacing w:after="0" w:line="240" w:lineRule="auto"/>
              <w:jc w:val="center"/>
              <w:rPr>
                <w:rFonts w:ascii="Times New Roman" w:eastAsia="Times New Roman" w:hAnsi="Times New Roman" w:cs="Times New Roman"/>
                <w:i/>
                <w:color w:val="000000"/>
                <w:lang w:val="ro-MD"/>
              </w:rPr>
            </w:pPr>
            <w:r w:rsidRPr="001D0846">
              <w:rPr>
                <w:rFonts w:ascii="Times New Roman" w:eastAsia="Times New Roman" w:hAnsi="Times New Roman" w:cs="Times New Roman"/>
                <w:i/>
                <w:color w:val="000000"/>
                <w:lang w:val="ro-MD"/>
              </w:rPr>
              <w:t>Devieri (+/-) </w:t>
            </w:r>
          </w:p>
        </w:tc>
        <w:tc>
          <w:tcPr>
            <w:tcW w:w="1102" w:type="dxa"/>
            <w:tcBorders>
              <w:top w:val="single" w:sz="18" w:space="0" w:color="auto"/>
              <w:left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aprobat</w:t>
            </w:r>
          </w:p>
        </w:tc>
        <w:tc>
          <w:tcPr>
            <w:tcW w:w="1134" w:type="dxa"/>
            <w:tcBorders>
              <w:top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executat</w:t>
            </w:r>
          </w:p>
        </w:tc>
        <w:tc>
          <w:tcPr>
            <w:tcW w:w="1166" w:type="dxa"/>
            <w:tcBorders>
              <w:top w:val="single" w:sz="18" w:space="0" w:color="auto"/>
              <w:right w:val="single" w:sz="18" w:space="0" w:color="auto"/>
            </w:tcBorders>
            <w:shd w:val="clear" w:color="auto" w:fill="auto"/>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lang w:val="ro-MD"/>
              </w:rPr>
            </w:pPr>
            <w:r w:rsidRPr="001D0846">
              <w:rPr>
                <w:rFonts w:ascii="Times New Roman" w:eastAsia="Times New Roman" w:hAnsi="Times New Roman" w:cs="Times New Roman"/>
                <w:i/>
                <w:color w:val="000000"/>
                <w:lang w:val="ro-MD"/>
              </w:rPr>
              <w:t>Devieri</w:t>
            </w:r>
          </w:p>
          <w:p w:rsidR="00714F5D" w:rsidRPr="001D0846" w:rsidRDefault="00714F5D" w:rsidP="008C5C6A">
            <w:pPr>
              <w:spacing w:after="0" w:line="240" w:lineRule="auto"/>
              <w:jc w:val="center"/>
              <w:rPr>
                <w:rFonts w:ascii="Times New Roman" w:eastAsia="Times New Roman" w:hAnsi="Times New Roman" w:cs="Times New Roman"/>
                <w:i/>
                <w:color w:val="000000"/>
                <w:lang w:val="ro-MD"/>
              </w:rPr>
            </w:pPr>
            <w:r w:rsidRPr="001D0846">
              <w:rPr>
                <w:rFonts w:ascii="Times New Roman" w:eastAsia="Times New Roman" w:hAnsi="Times New Roman" w:cs="Times New Roman"/>
                <w:i/>
                <w:color w:val="000000"/>
                <w:lang w:val="ro-MD"/>
              </w:rPr>
              <w:t>(+/-)</w:t>
            </w:r>
          </w:p>
        </w:tc>
        <w:tc>
          <w:tcPr>
            <w:tcW w:w="1109" w:type="dxa"/>
            <w:tcBorders>
              <w:top w:val="single" w:sz="18" w:space="0" w:color="auto"/>
              <w:left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aprobat</w:t>
            </w:r>
          </w:p>
        </w:tc>
        <w:tc>
          <w:tcPr>
            <w:tcW w:w="1134" w:type="dxa"/>
            <w:tcBorders>
              <w:top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executat</w:t>
            </w:r>
          </w:p>
        </w:tc>
        <w:tc>
          <w:tcPr>
            <w:tcW w:w="1017" w:type="dxa"/>
            <w:tcBorders>
              <w:top w:val="single" w:sz="18" w:space="0" w:color="auto"/>
            </w:tcBorders>
            <w:shd w:val="clear" w:color="auto" w:fill="auto"/>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lang w:val="ro-MD"/>
              </w:rPr>
            </w:pPr>
            <w:r w:rsidRPr="001D0846">
              <w:rPr>
                <w:rFonts w:ascii="Times New Roman" w:eastAsia="Times New Roman" w:hAnsi="Times New Roman" w:cs="Times New Roman"/>
                <w:i/>
                <w:color w:val="000000"/>
                <w:lang w:val="ro-MD"/>
              </w:rPr>
              <w:t>Devieri (+/-)</w:t>
            </w:r>
          </w:p>
        </w:tc>
      </w:tr>
      <w:tr w:rsidR="00714F5D" w:rsidRPr="001D0846" w:rsidTr="008C5C6A">
        <w:trPr>
          <w:trHeight w:val="251"/>
        </w:trPr>
        <w:tc>
          <w:tcPr>
            <w:tcW w:w="3256" w:type="dxa"/>
            <w:vAlign w:val="center"/>
          </w:tcPr>
          <w:p w:rsidR="00714F5D" w:rsidRPr="001D0846" w:rsidRDefault="00714F5D" w:rsidP="008C5C6A">
            <w:pPr>
              <w:spacing w:after="0" w:line="240" w:lineRule="auto"/>
              <w:jc w:val="center"/>
              <w:rPr>
                <w:rFonts w:ascii="Times New Roman" w:eastAsia="Times New Roman" w:hAnsi="Times New Roman" w:cs="Times New Roman"/>
                <w:bCs/>
                <w:i/>
                <w:color w:val="000000"/>
                <w:sz w:val="18"/>
                <w:szCs w:val="18"/>
                <w:lang w:val="ro-MD"/>
              </w:rPr>
            </w:pPr>
            <w:r w:rsidRPr="001D0846">
              <w:rPr>
                <w:rFonts w:ascii="Times New Roman" w:eastAsia="Times New Roman" w:hAnsi="Times New Roman" w:cs="Times New Roman"/>
                <w:bCs/>
                <w:i/>
                <w:color w:val="000000"/>
                <w:sz w:val="18"/>
                <w:szCs w:val="18"/>
                <w:lang w:val="ro-MD"/>
              </w:rPr>
              <w:t>1</w:t>
            </w:r>
          </w:p>
        </w:tc>
        <w:tc>
          <w:tcPr>
            <w:tcW w:w="1134" w:type="dxa"/>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2</w:t>
            </w:r>
          </w:p>
        </w:tc>
        <w:tc>
          <w:tcPr>
            <w:tcW w:w="1134" w:type="dxa"/>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3</w:t>
            </w:r>
          </w:p>
        </w:tc>
        <w:tc>
          <w:tcPr>
            <w:tcW w:w="1134" w:type="dxa"/>
            <w:tcBorders>
              <w:right w:val="single" w:sz="18" w:space="0" w:color="auto"/>
            </w:tcBorders>
            <w:shd w:val="clear" w:color="auto" w:fill="auto"/>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4=3-2</w:t>
            </w:r>
          </w:p>
        </w:tc>
        <w:tc>
          <w:tcPr>
            <w:tcW w:w="1102" w:type="dxa"/>
            <w:tcBorders>
              <w:left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5</w:t>
            </w:r>
          </w:p>
        </w:tc>
        <w:tc>
          <w:tcPr>
            <w:tcW w:w="1134" w:type="dxa"/>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6</w:t>
            </w:r>
          </w:p>
        </w:tc>
        <w:tc>
          <w:tcPr>
            <w:tcW w:w="1166" w:type="dxa"/>
            <w:tcBorders>
              <w:right w:val="single" w:sz="18" w:space="0" w:color="auto"/>
            </w:tcBorders>
            <w:shd w:val="clear" w:color="auto" w:fill="auto"/>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7=6-5</w:t>
            </w:r>
          </w:p>
        </w:tc>
        <w:tc>
          <w:tcPr>
            <w:tcW w:w="1109" w:type="dxa"/>
            <w:tcBorders>
              <w:left w:val="single" w:sz="18" w:space="0" w:color="auto"/>
            </w:tcBorders>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8</w:t>
            </w:r>
          </w:p>
        </w:tc>
        <w:tc>
          <w:tcPr>
            <w:tcW w:w="1134" w:type="dxa"/>
            <w:shd w:val="clear" w:color="auto" w:fill="auto"/>
            <w:noWrap/>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9</w:t>
            </w:r>
          </w:p>
        </w:tc>
        <w:tc>
          <w:tcPr>
            <w:tcW w:w="1017" w:type="dxa"/>
            <w:shd w:val="clear" w:color="auto" w:fill="auto"/>
            <w:vAlign w:val="center"/>
          </w:tcPr>
          <w:p w:rsidR="00714F5D" w:rsidRPr="001D0846" w:rsidRDefault="00714F5D" w:rsidP="008C5C6A">
            <w:pPr>
              <w:spacing w:after="0" w:line="240" w:lineRule="auto"/>
              <w:jc w:val="center"/>
              <w:rPr>
                <w:rFonts w:ascii="Times New Roman" w:eastAsia="Times New Roman" w:hAnsi="Times New Roman" w:cs="Times New Roman"/>
                <w:i/>
                <w:color w:val="000000"/>
                <w:sz w:val="18"/>
                <w:szCs w:val="18"/>
                <w:lang w:val="ro-MD"/>
              </w:rPr>
            </w:pPr>
            <w:r w:rsidRPr="001D0846">
              <w:rPr>
                <w:rFonts w:ascii="Times New Roman" w:eastAsia="Times New Roman" w:hAnsi="Times New Roman" w:cs="Times New Roman"/>
                <w:i/>
                <w:color w:val="000000"/>
                <w:sz w:val="18"/>
                <w:szCs w:val="18"/>
                <w:lang w:val="ro-MD"/>
              </w:rPr>
              <w:t>10=9-8</w:t>
            </w:r>
          </w:p>
        </w:tc>
      </w:tr>
      <w:tr w:rsidR="00714F5D" w:rsidRPr="001D0846" w:rsidTr="008C5C6A">
        <w:trPr>
          <w:trHeight w:val="312"/>
        </w:trPr>
        <w:tc>
          <w:tcPr>
            <w:tcW w:w="3256" w:type="dxa"/>
            <w:shd w:val="clear" w:color="auto" w:fill="auto"/>
            <w:noWrap/>
            <w:vAlign w:val="bottom"/>
            <w:hideMark/>
          </w:tcPr>
          <w:p w:rsidR="00714F5D" w:rsidRPr="001D0846" w:rsidRDefault="00714F5D" w:rsidP="008C5C6A">
            <w:pPr>
              <w:spacing w:after="0" w:line="240" w:lineRule="auto"/>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Impozi</w:t>
            </w:r>
            <w:r w:rsidRPr="002E7F00">
              <w:rPr>
                <w:rFonts w:ascii="Times New Roman" w:eastAsia="Times New Roman" w:hAnsi="Times New Roman" w:cs="Times New Roman"/>
                <w:color w:val="000000"/>
                <w:lang w:val="ro-MD"/>
              </w:rPr>
              <w:t>t</w:t>
            </w:r>
            <w:r w:rsidRPr="001D0846">
              <w:rPr>
                <w:rFonts w:ascii="Times New Roman" w:eastAsia="Times New Roman" w:hAnsi="Times New Roman" w:cs="Times New Roman"/>
                <w:color w:val="000000"/>
                <w:lang w:val="ro-MD"/>
              </w:rPr>
              <w:t xml:space="preserve"> pe venit (total)</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3919,6</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3983,0</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63,4</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4742,5</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4708,7</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-33,8</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5667,2</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5588,4</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-78,8</w:t>
            </w:r>
          </w:p>
        </w:tc>
      </w:tr>
      <w:tr w:rsidR="00714F5D" w:rsidRPr="001D0846" w:rsidTr="008C5C6A">
        <w:trPr>
          <w:trHeight w:val="312"/>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TVA</w:t>
            </w:r>
          </w:p>
        </w:tc>
        <w:tc>
          <w:tcPr>
            <w:tcW w:w="1134" w:type="dxa"/>
            <w:shd w:val="clear" w:color="auto" w:fill="auto"/>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4867,0</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4788,4</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-78,6</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5201,7</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5315,4</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113,8</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6100,0</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6205,2</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105,2</w:t>
            </w:r>
          </w:p>
        </w:tc>
      </w:tr>
      <w:tr w:rsidR="00714F5D" w:rsidRPr="001D0846" w:rsidTr="008C5C6A">
        <w:trPr>
          <w:trHeight w:val="312"/>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Accize</w:t>
            </w:r>
          </w:p>
        </w:tc>
        <w:tc>
          <w:tcPr>
            <w:tcW w:w="1134" w:type="dxa"/>
            <w:shd w:val="clear" w:color="auto" w:fill="auto"/>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562,9</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580,9</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18,0</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507,2</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531,2</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24,0</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533,0</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573,8</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40,8</w:t>
            </w:r>
          </w:p>
        </w:tc>
      </w:tr>
      <w:tr w:rsidR="00714F5D" w:rsidRPr="001D0846" w:rsidTr="008C5C6A">
        <w:trPr>
          <w:trHeight w:val="292"/>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Taxe pentru folosirea drumurilor</w:t>
            </w:r>
          </w:p>
        </w:tc>
        <w:tc>
          <w:tcPr>
            <w:tcW w:w="1134" w:type="dxa"/>
            <w:shd w:val="clear" w:color="auto" w:fill="auto"/>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293,1</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304,6</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11,5</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366,7</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337,9</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-28,8</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851,0</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835,1</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-15,9</w:t>
            </w:r>
          </w:p>
        </w:tc>
      </w:tr>
      <w:tr w:rsidR="00714F5D" w:rsidRPr="001D0846" w:rsidTr="008C5C6A">
        <w:trPr>
          <w:trHeight w:val="312"/>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Amenzi și sancțiuni</w:t>
            </w:r>
          </w:p>
        </w:tc>
        <w:tc>
          <w:tcPr>
            <w:tcW w:w="1134" w:type="dxa"/>
            <w:shd w:val="clear" w:color="auto" w:fill="auto"/>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165,4</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180,6</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15,2</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162,2</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154,9</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-7,4</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291,4</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325,3</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33,9</w:t>
            </w:r>
          </w:p>
        </w:tc>
      </w:tr>
      <w:tr w:rsidR="00714F5D" w:rsidRPr="001D0846" w:rsidTr="008C5C6A">
        <w:trPr>
          <w:trHeight w:val="324"/>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Alte impozite și taxe</w:t>
            </w:r>
          </w:p>
        </w:tc>
        <w:tc>
          <w:tcPr>
            <w:tcW w:w="1134" w:type="dxa"/>
            <w:shd w:val="clear" w:color="auto" w:fill="auto"/>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700,1</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704,6</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4,5</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532,8</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500,6</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-32,2</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774,6</w:t>
            </w:r>
          </w:p>
        </w:tc>
        <w:tc>
          <w:tcPr>
            <w:tcW w:w="1134"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color w:val="000000"/>
                <w:lang w:val="ro-MD"/>
              </w:rPr>
            </w:pPr>
            <w:r w:rsidRPr="001D0846">
              <w:rPr>
                <w:rFonts w:ascii="Times New Roman" w:eastAsia="Times New Roman" w:hAnsi="Times New Roman" w:cs="Times New Roman"/>
                <w:color w:val="000000"/>
                <w:lang w:val="ro-MD"/>
              </w:rPr>
              <w:t>787,5</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Cs/>
                <w:i/>
                <w:color w:val="000000"/>
                <w:lang w:val="ro-MD"/>
              </w:rPr>
            </w:pPr>
            <w:r w:rsidRPr="001D0846">
              <w:rPr>
                <w:rFonts w:ascii="Times New Roman" w:eastAsia="Times New Roman" w:hAnsi="Times New Roman" w:cs="Times New Roman"/>
                <w:bCs/>
                <w:i/>
                <w:color w:val="000000"/>
                <w:lang w:val="ro-MD"/>
              </w:rPr>
              <w:t>12,9</w:t>
            </w:r>
          </w:p>
        </w:tc>
      </w:tr>
      <w:tr w:rsidR="00714F5D" w:rsidRPr="001D0846" w:rsidTr="008C5C6A">
        <w:trPr>
          <w:trHeight w:val="324"/>
        </w:trPr>
        <w:tc>
          <w:tcPr>
            <w:tcW w:w="3256" w:type="dxa"/>
            <w:shd w:val="clear" w:color="auto" w:fill="auto"/>
            <w:vAlign w:val="bottom"/>
            <w:hideMark/>
          </w:tcPr>
          <w:p w:rsidR="00714F5D" w:rsidRPr="001D0846" w:rsidRDefault="00714F5D" w:rsidP="008C5C6A">
            <w:pPr>
              <w:spacing w:after="0" w:line="240" w:lineRule="auto"/>
              <w:rPr>
                <w:rFonts w:ascii="Times New Roman" w:eastAsia="Times New Roman" w:hAnsi="Times New Roman" w:cs="Times New Roman"/>
                <w:b/>
                <w:bCs/>
                <w:color w:val="000000"/>
                <w:lang w:val="ro-MD"/>
              </w:rPr>
            </w:pPr>
            <w:r w:rsidRPr="001D0846">
              <w:rPr>
                <w:rFonts w:ascii="Times New Roman" w:eastAsia="Times New Roman" w:hAnsi="Times New Roman" w:cs="Times New Roman"/>
                <w:b/>
                <w:bCs/>
                <w:color w:val="000000"/>
                <w:lang w:val="ro-MD"/>
              </w:rPr>
              <w:t>Total</w:t>
            </w:r>
          </w:p>
        </w:tc>
        <w:tc>
          <w:tcPr>
            <w:tcW w:w="1134" w:type="dxa"/>
            <w:shd w:val="clear" w:color="auto" w:fill="auto"/>
            <w:vAlign w:val="bottom"/>
            <w:hideMark/>
          </w:tcPr>
          <w:p w:rsidR="00714F5D" w:rsidRPr="001D0846" w:rsidRDefault="00714F5D" w:rsidP="008C5C6A">
            <w:pPr>
              <w:spacing w:after="0" w:line="240" w:lineRule="auto"/>
              <w:jc w:val="right"/>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10508,1</w:t>
            </w:r>
          </w:p>
        </w:tc>
        <w:tc>
          <w:tcPr>
            <w:tcW w:w="1134" w:type="dxa"/>
            <w:shd w:val="clear" w:color="auto" w:fill="auto"/>
            <w:noWrap/>
            <w:vAlign w:val="bottom"/>
            <w:hideMark/>
          </w:tcPr>
          <w:p w:rsidR="00714F5D" w:rsidRPr="001D0846" w:rsidRDefault="00714F5D" w:rsidP="008C5C6A">
            <w:pPr>
              <w:spacing w:after="0" w:line="240" w:lineRule="auto"/>
              <w:jc w:val="right"/>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10542,1</w:t>
            </w:r>
          </w:p>
        </w:tc>
        <w:tc>
          <w:tcPr>
            <w:tcW w:w="1134"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
                <w:bCs/>
                <w:i/>
                <w:color w:val="000000"/>
                <w:lang w:val="ro-MD"/>
              </w:rPr>
            </w:pPr>
            <w:r w:rsidRPr="001D0846">
              <w:rPr>
                <w:rFonts w:ascii="Times New Roman" w:eastAsia="Times New Roman" w:hAnsi="Times New Roman" w:cs="Times New Roman"/>
                <w:b/>
                <w:bCs/>
                <w:i/>
                <w:color w:val="000000"/>
                <w:lang w:val="ro-MD"/>
              </w:rPr>
              <w:t>34,0</w:t>
            </w:r>
          </w:p>
        </w:tc>
        <w:tc>
          <w:tcPr>
            <w:tcW w:w="1102" w:type="dxa"/>
            <w:tcBorders>
              <w:left w:val="single" w:sz="18" w:space="0" w:color="auto"/>
            </w:tcBorders>
            <w:shd w:val="clear" w:color="auto" w:fill="auto"/>
            <w:noWrap/>
            <w:vAlign w:val="bottom"/>
            <w:hideMark/>
          </w:tcPr>
          <w:p w:rsidR="00714F5D" w:rsidRPr="001D0846" w:rsidRDefault="00714F5D" w:rsidP="008C5C6A">
            <w:pPr>
              <w:spacing w:after="0" w:line="240" w:lineRule="auto"/>
              <w:jc w:val="right"/>
              <w:rPr>
                <w:rFonts w:ascii="Times New Roman" w:eastAsia="Times New Roman" w:hAnsi="Times New Roman" w:cs="Times New Roman"/>
                <w:b/>
                <w:bCs/>
                <w:color w:val="000000"/>
                <w:lang w:val="ro-MD"/>
              </w:rPr>
            </w:pPr>
            <w:r w:rsidRPr="001D0846">
              <w:rPr>
                <w:rFonts w:ascii="Times New Roman" w:eastAsia="Times New Roman" w:hAnsi="Times New Roman" w:cs="Times New Roman"/>
                <w:b/>
                <w:bCs/>
                <w:color w:val="000000"/>
                <w:lang w:val="ro-MD"/>
              </w:rPr>
              <w:t>11513,0</w:t>
            </w:r>
          </w:p>
        </w:tc>
        <w:tc>
          <w:tcPr>
            <w:tcW w:w="1134" w:type="dxa"/>
            <w:shd w:val="clear" w:color="auto" w:fill="auto"/>
            <w:noWrap/>
            <w:vAlign w:val="bottom"/>
            <w:hideMark/>
          </w:tcPr>
          <w:p w:rsidR="00714F5D" w:rsidRPr="001D0846" w:rsidRDefault="00714F5D" w:rsidP="008C5C6A">
            <w:pPr>
              <w:spacing w:after="0" w:line="240" w:lineRule="auto"/>
              <w:jc w:val="right"/>
              <w:rPr>
                <w:rFonts w:ascii="Times New Roman" w:eastAsia="Times New Roman" w:hAnsi="Times New Roman" w:cs="Times New Roman"/>
                <w:b/>
                <w:bCs/>
                <w:color w:val="000000"/>
                <w:lang w:val="ro-MD"/>
              </w:rPr>
            </w:pPr>
            <w:r w:rsidRPr="001D0846">
              <w:rPr>
                <w:rFonts w:ascii="Times New Roman" w:eastAsia="Times New Roman" w:hAnsi="Times New Roman" w:cs="Times New Roman"/>
                <w:b/>
                <w:bCs/>
                <w:color w:val="000000"/>
                <w:lang w:val="ro-MD"/>
              </w:rPr>
              <w:t>11548,6</w:t>
            </w:r>
          </w:p>
        </w:tc>
        <w:tc>
          <w:tcPr>
            <w:tcW w:w="1166" w:type="dxa"/>
            <w:tcBorders>
              <w:right w:val="single" w:sz="18" w:space="0" w:color="auto"/>
            </w:tcBorders>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
                <w:bCs/>
                <w:i/>
                <w:color w:val="000000"/>
                <w:lang w:val="ro-MD"/>
              </w:rPr>
            </w:pPr>
            <w:r w:rsidRPr="001D0846">
              <w:rPr>
                <w:rFonts w:ascii="Times New Roman" w:eastAsia="Times New Roman" w:hAnsi="Times New Roman" w:cs="Times New Roman"/>
                <w:b/>
                <w:bCs/>
                <w:i/>
                <w:color w:val="000000"/>
                <w:lang w:val="ro-MD"/>
              </w:rPr>
              <w:t>35,5</w:t>
            </w:r>
          </w:p>
        </w:tc>
        <w:tc>
          <w:tcPr>
            <w:tcW w:w="1109" w:type="dxa"/>
            <w:tcBorders>
              <w:left w:val="single" w:sz="18" w:space="0" w:color="auto"/>
            </w:tcBorders>
            <w:shd w:val="clear" w:color="auto" w:fill="auto"/>
            <w:noWrap/>
            <w:vAlign w:val="bottom"/>
            <w:hideMark/>
          </w:tcPr>
          <w:p w:rsidR="00714F5D" w:rsidRPr="001D0846" w:rsidRDefault="00714F5D" w:rsidP="008C5C6A">
            <w:pPr>
              <w:spacing w:after="0" w:line="240" w:lineRule="auto"/>
              <w:jc w:val="right"/>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14217,1</w:t>
            </w:r>
          </w:p>
        </w:tc>
        <w:tc>
          <w:tcPr>
            <w:tcW w:w="1134" w:type="dxa"/>
            <w:shd w:val="clear" w:color="auto" w:fill="auto"/>
            <w:noWrap/>
            <w:vAlign w:val="bottom"/>
            <w:hideMark/>
          </w:tcPr>
          <w:p w:rsidR="00714F5D" w:rsidRPr="001D0846" w:rsidRDefault="00714F5D" w:rsidP="008C5C6A">
            <w:pPr>
              <w:spacing w:after="0" w:line="240" w:lineRule="auto"/>
              <w:jc w:val="right"/>
              <w:rPr>
                <w:rFonts w:ascii="Times New Roman" w:eastAsia="Times New Roman" w:hAnsi="Times New Roman" w:cs="Times New Roman"/>
                <w:b/>
                <w:color w:val="000000"/>
                <w:lang w:val="ro-MD"/>
              </w:rPr>
            </w:pPr>
            <w:r w:rsidRPr="001D0846">
              <w:rPr>
                <w:rFonts w:ascii="Times New Roman" w:eastAsia="Times New Roman" w:hAnsi="Times New Roman" w:cs="Times New Roman"/>
                <w:b/>
                <w:color w:val="000000"/>
                <w:lang w:val="ro-MD"/>
              </w:rPr>
              <w:t>14315,4</w:t>
            </w:r>
          </w:p>
        </w:tc>
        <w:tc>
          <w:tcPr>
            <w:tcW w:w="1017" w:type="dxa"/>
            <w:shd w:val="clear" w:color="auto" w:fill="auto"/>
            <w:noWrap/>
            <w:vAlign w:val="bottom"/>
            <w:hideMark/>
          </w:tcPr>
          <w:p w:rsidR="00714F5D" w:rsidRPr="001D0846" w:rsidRDefault="00714F5D" w:rsidP="008C5C6A">
            <w:pPr>
              <w:spacing w:after="0" w:line="240" w:lineRule="auto"/>
              <w:jc w:val="center"/>
              <w:rPr>
                <w:rFonts w:ascii="Times New Roman" w:eastAsia="Times New Roman" w:hAnsi="Times New Roman" w:cs="Times New Roman"/>
                <w:b/>
                <w:bCs/>
                <w:i/>
                <w:color w:val="000000"/>
                <w:lang w:val="ro-MD"/>
              </w:rPr>
            </w:pPr>
            <w:r w:rsidRPr="001D0846">
              <w:rPr>
                <w:rFonts w:ascii="Times New Roman" w:eastAsia="Times New Roman" w:hAnsi="Times New Roman" w:cs="Times New Roman"/>
                <w:b/>
                <w:bCs/>
                <w:i/>
                <w:color w:val="000000"/>
                <w:lang w:val="ro-MD"/>
              </w:rPr>
              <w:t>98,3</w:t>
            </w:r>
          </w:p>
        </w:tc>
      </w:tr>
    </w:tbl>
    <w:p w:rsidR="00714F5D" w:rsidRPr="001D0846" w:rsidRDefault="00714F5D" w:rsidP="00714F5D">
      <w:pPr>
        <w:tabs>
          <w:tab w:val="left" w:pos="7896"/>
          <w:tab w:val="left" w:pos="8680"/>
        </w:tabs>
        <w:spacing w:after="0" w:line="276" w:lineRule="auto"/>
        <w:ind w:right="-334"/>
        <w:jc w:val="both"/>
        <w:rPr>
          <w:rFonts w:ascii="Times New Roman" w:hAnsi="Times New Roman" w:cs="Times New Roman"/>
          <w:i/>
          <w:sz w:val="20"/>
          <w:szCs w:val="20"/>
          <w:lang w:val="ro-MD"/>
        </w:rPr>
      </w:pPr>
      <w:r w:rsidRPr="001D0846">
        <w:rPr>
          <w:rFonts w:ascii="Times New Roman" w:hAnsi="Times New Roman" w:cs="Times New Roman"/>
          <w:b/>
          <w:i/>
          <w:sz w:val="20"/>
          <w:szCs w:val="20"/>
          <w:lang w:val="ro-MD"/>
        </w:rPr>
        <w:t>Sursă:</w:t>
      </w:r>
      <w:r w:rsidRPr="001D0846">
        <w:rPr>
          <w:rFonts w:ascii="Times New Roman" w:hAnsi="Times New Roman" w:cs="Times New Roman"/>
          <w:i/>
          <w:sz w:val="20"/>
          <w:szCs w:val="20"/>
          <w:lang w:val="ro-MD"/>
        </w:rPr>
        <w:t xml:space="preserve"> Dările de seamă privind încasările la B</w:t>
      </w:r>
      <w:r>
        <w:rPr>
          <w:rFonts w:ascii="Times New Roman" w:hAnsi="Times New Roman" w:cs="Times New Roman"/>
          <w:i/>
          <w:sz w:val="20"/>
          <w:szCs w:val="20"/>
          <w:lang w:val="ro-MD"/>
        </w:rPr>
        <w:t>PN</w:t>
      </w:r>
      <w:r w:rsidRPr="001D0846">
        <w:rPr>
          <w:rFonts w:ascii="Times New Roman" w:hAnsi="Times New Roman" w:cs="Times New Roman"/>
          <w:i/>
          <w:sz w:val="20"/>
          <w:szCs w:val="20"/>
          <w:lang w:val="ro-MD"/>
        </w:rPr>
        <w:t xml:space="preserve"> administrate de SFS corespunzător clasificației veniturilor bugetare pentru anii 2015-2017.</w:t>
      </w:r>
    </w:p>
    <w:p w:rsidR="00714F5D" w:rsidRPr="001D0846" w:rsidRDefault="00714F5D" w:rsidP="00714F5D">
      <w:pPr>
        <w:spacing w:after="0" w:line="276" w:lineRule="auto"/>
        <w:ind w:firstLine="720"/>
        <w:jc w:val="both"/>
        <w:rPr>
          <w:rFonts w:ascii="Times New Roman" w:hAnsi="Times New Roman" w:cs="Times New Roman"/>
          <w:i/>
          <w:sz w:val="20"/>
          <w:szCs w:val="20"/>
          <w:lang w:val="ro-MD"/>
        </w:rPr>
      </w:pPr>
    </w:p>
    <w:p w:rsidR="00714F5D" w:rsidRDefault="00714F5D" w:rsidP="00714F5D">
      <w:pPr>
        <w:tabs>
          <w:tab w:val="left" w:pos="284"/>
          <w:tab w:val="left" w:pos="851"/>
          <w:tab w:val="left" w:pos="1134"/>
        </w:tabs>
        <w:spacing w:after="0" w:line="240" w:lineRule="auto"/>
        <w:ind w:right="-29"/>
        <w:jc w:val="right"/>
        <w:rPr>
          <w:rFonts w:ascii="Times New Roman" w:hAnsi="Times New Roman" w:cs="Times New Roman"/>
          <w:b/>
          <w:i/>
          <w:sz w:val="28"/>
          <w:szCs w:val="28"/>
          <w:lang w:val="ro-MD"/>
        </w:rPr>
      </w:pPr>
      <w:r>
        <w:rPr>
          <w:rFonts w:ascii="Times New Roman" w:hAnsi="Times New Roman" w:cs="Times New Roman"/>
          <w:b/>
          <w:i/>
          <w:sz w:val="28"/>
          <w:szCs w:val="28"/>
          <w:lang w:val="ro-MD"/>
        </w:rPr>
        <w:t>Tabelul nr.7</w:t>
      </w:r>
    </w:p>
    <w:p w:rsidR="00714F5D" w:rsidRDefault="00714F5D" w:rsidP="00714F5D">
      <w:pPr>
        <w:tabs>
          <w:tab w:val="left" w:pos="284"/>
          <w:tab w:val="left" w:pos="851"/>
          <w:tab w:val="left" w:pos="1134"/>
        </w:tabs>
        <w:spacing w:after="0" w:line="240" w:lineRule="auto"/>
        <w:ind w:right="-29"/>
        <w:jc w:val="right"/>
        <w:rPr>
          <w:rFonts w:ascii="Times New Roman" w:hAnsi="Times New Roman" w:cs="Times New Roman"/>
          <w:b/>
          <w:i/>
          <w:sz w:val="28"/>
          <w:szCs w:val="28"/>
          <w:lang w:val="ro-MD"/>
        </w:rPr>
      </w:pPr>
    </w:p>
    <w:p w:rsidR="00714F5D" w:rsidRDefault="00714F5D" w:rsidP="00714F5D">
      <w:pPr>
        <w:tabs>
          <w:tab w:val="left" w:pos="284"/>
          <w:tab w:val="left" w:pos="851"/>
          <w:tab w:val="left" w:pos="1134"/>
        </w:tabs>
        <w:spacing w:after="0" w:line="240" w:lineRule="auto"/>
        <w:ind w:right="-29"/>
        <w:jc w:val="center"/>
        <w:rPr>
          <w:rFonts w:ascii="Times New Roman" w:hAnsi="Times New Roman" w:cs="Times New Roman"/>
          <w:i/>
          <w:sz w:val="28"/>
          <w:szCs w:val="28"/>
          <w:lang w:val="ro-MD"/>
        </w:rPr>
      </w:pPr>
      <w:r w:rsidRPr="00DC5522">
        <w:rPr>
          <w:rFonts w:ascii="Times New Roman" w:hAnsi="Times New Roman" w:cs="Times New Roman"/>
          <w:i/>
          <w:sz w:val="28"/>
          <w:szCs w:val="28"/>
          <w:lang w:val="ro-MD"/>
        </w:rPr>
        <w:t>Informația privind sumele calculate și încasate de către SFS</w:t>
      </w:r>
      <w:r>
        <w:rPr>
          <w:rFonts w:ascii="Times New Roman" w:hAnsi="Times New Roman" w:cs="Times New Roman"/>
          <w:i/>
          <w:sz w:val="28"/>
          <w:szCs w:val="28"/>
          <w:lang w:val="ro-MD"/>
        </w:rPr>
        <w:t xml:space="preserve"> în BS la principalele</w:t>
      </w:r>
      <w:r w:rsidRPr="00DC5522">
        <w:rPr>
          <w:rFonts w:ascii="Times New Roman" w:hAnsi="Times New Roman" w:cs="Times New Roman"/>
          <w:i/>
          <w:sz w:val="28"/>
          <w:szCs w:val="28"/>
          <w:lang w:val="ro-MD"/>
        </w:rPr>
        <w:t xml:space="preserve"> tipuri de impozite și taxe</w:t>
      </w:r>
    </w:p>
    <w:p w:rsidR="00714F5D" w:rsidRPr="00074794" w:rsidRDefault="00714F5D" w:rsidP="00714F5D">
      <w:pPr>
        <w:tabs>
          <w:tab w:val="left" w:pos="284"/>
          <w:tab w:val="left" w:pos="851"/>
          <w:tab w:val="left" w:pos="1134"/>
        </w:tabs>
        <w:spacing w:after="0" w:line="240" w:lineRule="auto"/>
        <w:ind w:right="-29"/>
        <w:jc w:val="center"/>
        <w:rPr>
          <w:rFonts w:ascii="Times New Roman" w:hAnsi="Times New Roman" w:cs="Times New Roman"/>
          <w:b/>
          <w:i/>
          <w:sz w:val="28"/>
          <w:szCs w:val="28"/>
          <w:lang w:val="ro-MD"/>
        </w:rPr>
      </w:pPr>
      <w:r w:rsidRPr="001D0846">
        <w:rPr>
          <w:rFonts w:ascii="Times New Roman" w:hAnsi="Times New Roman" w:cs="Times New Roman"/>
          <w:i/>
          <w:sz w:val="28"/>
          <w:szCs w:val="28"/>
          <w:lang w:val="ro-MD"/>
        </w:rPr>
        <w:t>pentru anii 2015-2017</w:t>
      </w:r>
    </w:p>
    <w:p w:rsidR="00714F5D" w:rsidRPr="00074794" w:rsidRDefault="00714F5D" w:rsidP="00714F5D">
      <w:pPr>
        <w:spacing w:after="0" w:line="240" w:lineRule="auto"/>
        <w:ind w:right="-29"/>
        <w:jc w:val="right"/>
        <w:rPr>
          <w:rFonts w:ascii="Times New Roman" w:hAnsi="Times New Roman" w:cs="Times New Roman"/>
          <w:i/>
          <w:sz w:val="28"/>
          <w:szCs w:val="28"/>
          <w:lang w:val="ro-MD"/>
        </w:rPr>
      </w:pPr>
      <w:r w:rsidRPr="00074794">
        <w:rPr>
          <w:rFonts w:ascii="Times New Roman" w:hAnsi="Times New Roman" w:cs="Times New Roman"/>
          <w:i/>
          <w:sz w:val="28"/>
          <w:szCs w:val="28"/>
          <w:lang w:val="ro-MD"/>
        </w:rPr>
        <w:t>(mil.lei)</w:t>
      </w:r>
    </w:p>
    <w:tbl>
      <w:tblPr>
        <w:tblStyle w:val="TableGrid2"/>
        <w:tblW w:w="13281" w:type="dxa"/>
        <w:tblInd w:w="-5" w:type="dxa"/>
        <w:tblLayout w:type="fixed"/>
        <w:tblLook w:val="04A0" w:firstRow="1" w:lastRow="0" w:firstColumn="1" w:lastColumn="0" w:noHBand="0" w:noVBand="1"/>
      </w:tblPr>
      <w:tblGrid>
        <w:gridCol w:w="3510"/>
        <w:gridCol w:w="990"/>
        <w:gridCol w:w="1260"/>
        <w:gridCol w:w="1170"/>
        <w:gridCol w:w="990"/>
        <w:gridCol w:w="990"/>
        <w:gridCol w:w="1080"/>
        <w:gridCol w:w="900"/>
        <w:gridCol w:w="1260"/>
        <w:gridCol w:w="1131"/>
      </w:tblGrid>
      <w:tr w:rsidR="00714F5D" w:rsidRPr="00074794" w:rsidTr="008C5C6A">
        <w:tc>
          <w:tcPr>
            <w:tcW w:w="3510" w:type="dxa"/>
            <w:vMerge w:val="restart"/>
          </w:tcPr>
          <w:p w:rsidR="00714F5D" w:rsidRPr="00074794" w:rsidRDefault="00714F5D" w:rsidP="008C5C6A">
            <w:pPr>
              <w:spacing w:line="276" w:lineRule="auto"/>
              <w:ind w:right="-334"/>
              <w:rPr>
                <w:rFonts w:ascii="Times New Roman" w:hAnsi="Times New Roman" w:cs="Times New Roman"/>
                <w:b/>
                <w:sz w:val="20"/>
                <w:szCs w:val="20"/>
                <w:lang w:val="ro-MD"/>
              </w:rPr>
            </w:pPr>
            <w:r w:rsidRPr="00074794">
              <w:rPr>
                <w:rFonts w:ascii="Times New Roman" w:eastAsia="Times New Roman" w:hAnsi="Times New Roman" w:cs="Times New Roman"/>
                <w:b/>
                <w:bCs/>
                <w:color w:val="000000"/>
                <w:sz w:val="20"/>
                <w:szCs w:val="20"/>
                <w:lang w:val="ro-MD" w:eastAsia="ru-RU"/>
              </w:rPr>
              <w:t>Denumirea impozitului/taxei</w:t>
            </w:r>
          </w:p>
        </w:tc>
        <w:tc>
          <w:tcPr>
            <w:tcW w:w="3420" w:type="dxa"/>
            <w:gridSpan w:val="3"/>
          </w:tcPr>
          <w:p w:rsidR="00714F5D" w:rsidRPr="00074794" w:rsidRDefault="00714F5D" w:rsidP="008C5C6A">
            <w:pPr>
              <w:spacing w:line="276" w:lineRule="auto"/>
              <w:ind w:right="-334"/>
              <w:jc w:val="center"/>
              <w:rPr>
                <w:rFonts w:ascii="Times New Roman" w:hAnsi="Times New Roman" w:cs="Times New Roman"/>
                <w:b/>
                <w:sz w:val="20"/>
                <w:szCs w:val="20"/>
                <w:lang w:val="ro-MD"/>
              </w:rPr>
            </w:pPr>
            <w:r w:rsidRPr="00074794">
              <w:rPr>
                <w:rFonts w:ascii="Times New Roman" w:eastAsia="Times New Roman" w:hAnsi="Times New Roman" w:cs="Times New Roman"/>
                <w:b/>
                <w:bCs/>
                <w:color w:val="000000"/>
                <w:sz w:val="20"/>
                <w:szCs w:val="20"/>
                <w:lang w:val="ro-MD" w:eastAsia="ru-RU"/>
              </w:rPr>
              <w:t>Anul 2015</w:t>
            </w:r>
          </w:p>
        </w:tc>
        <w:tc>
          <w:tcPr>
            <w:tcW w:w="3060" w:type="dxa"/>
            <w:gridSpan w:val="3"/>
          </w:tcPr>
          <w:p w:rsidR="00714F5D" w:rsidRPr="00074794" w:rsidRDefault="00714F5D" w:rsidP="008C5C6A">
            <w:pPr>
              <w:spacing w:line="276" w:lineRule="auto"/>
              <w:ind w:right="-334"/>
              <w:jc w:val="center"/>
              <w:rPr>
                <w:rFonts w:ascii="Times New Roman" w:hAnsi="Times New Roman" w:cs="Times New Roman"/>
                <w:b/>
                <w:sz w:val="20"/>
                <w:szCs w:val="20"/>
                <w:lang w:val="ro-MD"/>
              </w:rPr>
            </w:pPr>
            <w:r w:rsidRPr="00074794">
              <w:rPr>
                <w:rFonts w:ascii="Times New Roman" w:eastAsia="Times New Roman" w:hAnsi="Times New Roman" w:cs="Times New Roman"/>
                <w:b/>
                <w:bCs/>
                <w:color w:val="000000"/>
                <w:sz w:val="20"/>
                <w:szCs w:val="20"/>
                <w:lang w:val="ro-MD" w:eastAsia="ru-RU"/>
              </w:rPr>
              <w:t>Anul 2016</w:t>
            </w:r>
          </w:p>
        </w:tc>
        <w:tc>
          <w:tcPr>
            <w:tcW w:w="3291" w:type="dxa"/>
            <w:gridSpan w:val="3"/>
          </w:tcPr>
          <w:p w:rsidR="00714F5D" w:rsidRPr="00074794" w:rsidRDefault="00714F5D" w:rsidP="008C5C6A">
            <w:pPr>
              <w:spacing w:line="276" w:lineRule="auto"/>
              <w:ind w:right="-334"/>
              <w:jc w:val="center"/>
              <w:rPr>
                <w:rFonts w:ascii="Times New Roman" w:hAnsi="Times New Roman" w:cs="Times New Roman"/>
                <w:b/>
                <w:sz w:val="20"/>
                <w:szCs w:val="20"/>
                <w:lang w:val="ro-MD"/>
              </w:rPr>
            </w:pPr>
            <w:r w:rsidRPr="00074794">
              <w:rPr>
                <w:rFonts w:ascii="Times New Roman" w:eastAsia="Times New Roman" w:hAnsi="Times New Roman" w:cs="Times New Roman"/>
                <w:b/>
                <w:bCs/>
                <w:color w:val="000000"/>
                <w:sz w:val="20"/>
                <w:szCs w:val="20"/>
                <w:lang w:val="ro-MD" w:eastAsia="ru-RU"/>
              </w:rPr>
              <w:t>Anul 2017</w:t>
            </w:r>
          </w:p>
        </w:tc>
      </w:tr>
      <w:tr w:rsidR="00714F5D" w:rsidRPr="00074794" w:rsidTr="008C5C6A">
        <w:tc>
          <w:tcPr>
            <w:tcW w:w="3510" w:type="dxa"/>
            <w:vMerge/>
          </w:tcPr>
          <w:p w:rsidR="00714F5D" w:rsidRPr="00074794" w:rsidRDefault="00714F5D" w:rsidP="008C5C6A">
            <w:pPr>
              <w:spacing w:line="276" w:lineRule="auto"/>
              <w:ind w:right="-334"/>
              <w:rPr>
                <w:rFonts w:ascii="Times New Roman" w:hAnsi="Times New Roman" w:cs="Times New Roman"/>
                <w:b/>
                <w:sz w:val="20"/>
                <w:szCs w:val="20"/>
                <w:lang w:val="ro-MD"/>
              </w:rPr>
            </w:pPr>
          </w:p>
        </w:tc>
        <w:tc>
          <w:tcPr>
            <w:tcW w:w="990" w:type="dxa"/>
          </w:tcPr>
          <w:p w:rsidR="00714F5D" w:rsidRPr="00074794" w:rsidRDefault="00714F5D" w:rsidP="008C5C6A">
            <w:pPr>
              <w:spacing w:line="276" w:lineRule="auto"/>
              <w:ind w:right="-334"/>
              <w:rPr>
                <w:rFonts w:ascii="Times New Roman" w:hAnsi="Times New Roman" w:cs="Times New Roman"/>
                <w:b/>
                <w:sz w:val="20"/>
                <w:szCs w:val="20"/>
                <w:lang w:val="ro-MD"/>
              </w:rPr>
            </w:pPr>
            <w:r w:rsidRPr="00074794">
              <w:rPr>
                <w:rFonts w:ascii="Times New Roman" w:eastAsia="Times New Roman" w:hAnsi="Times New Roman" w:cs="Times New Roman"/>
                <w:b/>
                <w:bCs/>
                <w:color w:val="000000"/>
                <w:sz w:val="20"/>
                <w:szCs w:val="20"/>
                <w:lang w:val="ro-MD" w:eastAsia="ru-RU"/>
              </w:rPr>
              <w:t>Calculat</w:t>
            </w:r>
          </w:p>
        </w:tc>
        <w:tc>
          <w:tcPr>
            <w:tcW w:w="1260" w:type="dxa"/>
          </w:tcPr>
          <w:p w:rsidR="00714F5D" w:rsidRPr="00074794" w:rsidRDefault="00714F5D" w:rsidP="008C5C6A">
            <w:pPr>
              <w:spacing w:line="276" w:lineRule="auto"/>
              <w:ind w:right="-334"/>
              <w:rPr>
                <w:rFonts w:ascii="Times New Roman" w:hAnsi="Times New Roman" w:cs="Times New Roman"/>
                <w:b/>
                <w:sz w:val="20"/>
                <w:szCs w:val="20"/>
                <w:lang w:val="ro-MD"/>
              </w:rPr>
            </w:pPr>
            <w:r>
              <w:rPr>
                <w:rFonts w:ascii="Times New Roman" w:eastAsia="Times New Roman" w:hAnsi="Times New Roman" w:cs="Times New Roman"/>
                <w:b/>
                <w:bCs/>
                <w:color w:val="000000"/>
                <w:sz w:val="20"/>
                <w:szCs w:val="20"/>
                <w:lang w:val="ro-MD" w:eastAsia="ru-RU"/>
              </w:rPr>
              <w:t>Încasat</w:t>
            </w:r>
          </w:p>
        </w:tc>
        <w:tc>
          <w:tcPr>
            <w:tcW w:w="1170" w:type="dxa"/>
            <w:vAlign w:val="center"/>
          </w:tcPr>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val="ro-MD" w:eastAsia="ru-RU"/>
              </w:rPr>
            </w:pPr>
            <w:r w:rsidRPr="00074794">
              <w:rPr>
                <w:rFonts w:ascii="Times New Roman" w:eastAsia="Times New Roman" w:hAnsi="Times New Roman" w:cs="Times New Roman"/>
                <w:b/>
                <w:bCs/>
                <w:color w:val="000000"/>
                <w:sz w:val="20"/>
                <w:szCs w:val="20"/>
                <w:lang w:val="ro-MD" w:eastAsia="ru-RU"/>
              </w:rPr>
              <w:t>Devieri</w:t>
            </w:r>
          </w:p>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val="ro-MD" w:eastAsia="ru-RU"/>
              </w:rPr>
            </w:pPr>
            <w:r w:rsidRPr="00074794">
              <w:rPr>
                <w:rFonts w:ascii="Times New Roman" w:eastAsia="Times New Roman" w:hAnsi="Times New Roman" w:cs="Times New Roman"/>
                <w:b/>
                <w:bCs/>
                <w:color w:val="000000"/>
                <w:sz w:val="20"/>
                <w:szCs w:val="20"/>
                <w:lang w:val="ro-MD" w:eastAsia="ru-RU"/>
              </w:rPr>
              <w:t>(+, -)</w:t>
            </w:r>
          </w:p>
        </w:tc>
        <w:tc>
          <w:tcPr>
            <w:tcW w:w="990" w:type="dxa"/>
          </w:tcPr>
          <w:p w:rsidR="00714F5D" w:rsidRPr="00074794" w:rsidRDefault="00714F5D" w:rsidP="008C5C6A">
            <w:pPr>
              <w:spacing w:line="276" w:lineRule="auto"/>
              <w:ind w:right="-334"/>
              <w:rPr>
                <w:rFonts w:ascii="Times New Roman" w:hAnsi="Times New Roman" w:cs="Times New Roman"/>
                <w:b/>
                <w:sz w:val="20"/>
                <w:szCs w:val="20"/>
                <w:lang w:val="ro-MD"/>
              </w:rPr>
            </w:pPr>
            <w:r w:rsidRPr="00074794">
              <w:rPr>
                <w:rFonts w:ascii="Times New Roman" w:eastAsia="Times New Roman" w:hAnsi="Times New Roman" w:cs="Times New Roman"/>
                <w:b/>
                <w:bCs/>
                <w:color w:val="000000"/>
                <w:sz w:val="20"/>
                <w:szCs w:val="20"/>
                <w:lang w:val="ro-MD" w:eastAsia="ru-RU"/>
              </w:rPr>
              <w:t>Calculat</w:t>
            </w:r>
          </w:p>
        </w:tc>
        <w:tc>
          <w:tcPr>
            <w:tcW w:w="990" w:type="dxa"/>
          </w:tcPr>
          <w:p w:rsidR="00714F5D" w:rsidRPr="00074794" w:rsidRDefault="00714F5D" w:rsidP="008C5C6A">
            <w:pPr>
              <w:spacing w:line="276" w:lineRule="auto"/>
              <w:ind w:right="-334"/>
              <w:rPr>
                <w:rFonts w:ascii="Times New Roman" w:hAnsi="Times New Roman" w:cs="Times New Roman"/>
                <w:b/>
                <w:sz w:val="20"/>
                <w:szCs w:val="20"/>
                <w:lang w:val="ro-MD"/>
              </w:rPr>
            </w:pPr>
            <w:r>
              <w:rPr>
                <w:rFonts w:ascii="Times New Roman" w:eastAsia="Times New Roman" w:hAnsi="Times New Roman" w:cs="Times New Roman"/>
                <w:b/>
                <w:bCs/>
                <w:color w:val="000000"/>
                <w:sz w:val="20"/>
                <w:szCs w:val="20"/>
                <w:lang w:val="ro-MD" w:eastAsia="ru-RU"/>
              </w:rPr>
              <w:t>Încasat</w:t>
            </w:r>
          </w:p>
        </w:tc>
        <w:tc>
          <w:tcPr>
            <w:tcW w:w="1080" w:type="dxa"/>
            <w:vAlign w:val="center"/>
          </w:tcPr>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val="ro-MD" w:eastAsia="ru-RU"/>
              </w:rPr>
            </w:pPr>
            <w:r w:rsidRPr="00074794">
              <w:rPr>
                <w:rFonts w:ascii="Times New Roman" w:eastAsia="Times New Roman" w:hAnsi="Times New Roman" w:cs="Times New Roman"/>
                <w:b/>
                <w:bCs/>
                <w:color w:val="000000"/>
                <w:sz w:val="20"/>
                <w:szCs w:val="20"/>
                <w:lang w:val="ro-MD" w:eastAsia="ru-RU"/>
              </w:rPr>
              <w:t>Devieri</w:t>
            </w:r>
          </w:p>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val="ro-MD" w:eastAsia="ru-RU"/>
              </w:rPr>
            </w:pPr>
            <w:r w:rsidRPr="00074794">
              <w:rPr>
                <w:rFonts w:ascii="Times New Roman" w:eastAsia="Times New Roman" w:hAnsi="Times New Roman" w:cs="Times New Roman"/>
                <w:b/>
                <w:bCs/>
                <w:color w:val="000000"/>
                <w:sz w:val="20"/>
                <w:szCs w:val="20"/>
                <w:lang w:val="ro-MD" w:eastAsia="ru-RU"/>
              </w:rPr>
              <w:t>(+, -)</w:t>
            </w:r>
          </w:p>
        </w:tc>
        <w:tc>
          <w:tcPr>
            <w:tcW w:w="900" w:type="dxa"/>
          </w:tcPr>
          <w:p w:rsidR="00714F5D" w:rsidRPr="00074794" w:rsidRDefault="00714F5D" w:rsidP="008C5C6A">
            <w:pPr>
              <w:spacing w:line="276" w:lineRule="auto"/>
              <w:ind w:right="-334"/>
              <w:rPr>
                <w:rFonts w:ascii="Times New Roman" w:hAnsi="Times New Roman" w:cs="Times New Roman"/>
                <w:b/>
                <w:sz w:val="20"/>
                <w:szCs w:val="20"/>
                <w:lang w:val="ro-MD"/>
              </w:rPr>
            </w:pPr>
            <w:r w:rsidRPr="00074794">
              <w:rPr>
                <w:rFonts w:ascii="Times New Roman" w:eastAsia="Times New Roman" w:hAnsi="Times New Roman" w:cs="Times New Roman"/>
                <w:b/>
                <w:bCs/>
                <w:color w:val="000000"/>
                <w:sz w:val="20"/>
                <w:szCs w:val="20"/>
                <w:lang w:val="ro-MD" w:eastAsia="ru-RU"/>
              </w:rPr>
              <w:t>Calculat</w:t>
            </w:r>
          </w:p>
        </w:tc>
        <w:tc>
          <w:tcPr>
            <w:tcW w:w="1260" w:type="dxa"/>
          </w:tcPr>
          <w:p w:rsidR="00714F5D" w:rsidRPr="00074794" w:rsidRDefault="00714F5D" w:rsidP="008C5C6A">
            <w:pPr>
              <w:spacing w:line="276" w:lineRule="auto"/>
              <w:ind w:right="-334"/>
              <w:rPr>
                <w:rFonts w:ascii="Times New Roman" w:hAnsi="Times New Roman" w:cs="Times New Roman"/>
                <w:b/>
                <w:sz w:val="20"/>
                <w:szCs w:val="20"/>
                <w:lang w:val="ro-MD"/>
              </w:rPr>
            </w:pPr>
            <w:r>
              <w:rPr>
                <w:rFonts w:ascii="Times New Roman" w:eastAsia="Times New Roman" w:hAnsi="Times New Roman" w:cs="Times New Roman"/>
                <w:b/>
                <w:bCs/>
                <w:color w:val="000000"/>
                <w:sz w:val="20"/>
                <w:szCs w:val="20"/>
                <w:lang w:val="ro-MD" w:eastAsia="ru-RU"/>
              </w:rPr>
              <w:t>Încas</w:t>
            </w:r>
            <w:r w:rsidRPr="00074794">
              <w:rPr>
                <w:rFonts w:ascii="Times New Roman" w:eastAsia="Times New Roman" w:hAnsi="Times New Roman" w:cs="Times New Roman"/>
                <w:b/>
                <w:bCs/>
                <w:color w:val="000000"/>
                <w:sz w:val="20"/>
                <w:szCs w:val="20"/>
                <w:lang w:val="ro-MD" w:eastAsia="ru-RU"/>
              </w:rPr>
              <w:t>at</w:t>
            </w:r>
          </w:p>
        </w:tc>
        <w:tc>
          <w:tcPr>
            <w:tcW w:w="1131" w:type="dxa"/>
            <w:vAlign w:val="center"/>
          </w:tcPr>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val="ro-MD" w:eastAsia="ru-RU"/>
              </w:rPr>
            </w:pPr>
            <w:r w:rsidRPr="00074794">
              <w:rPr>
                <w:rFonts w:ascii="Times New Roman" w:eastAsia="Times New Roman" w:hAnsi="Times New Roman" w:cs="Times New Roman"/>
                <w:b/>
                <w:bCs/>
                <w:color w:val="000000"/>
                <w:sz w:val="20"/>
                <w:szCs w:val="20"/>
                <w:lang w:val="ro-MD" w:eastAsia="ru-RU"/>
              </w:rPr>
              <w:t>Devieri</w:t>
            </w:r>
          </w:p>
          <w:p w:rsidR="00714F5D" w:rsidRPr="00074794" w:rsidRDefault="00714F5D" w:rsidP="008C5C6A">
            <w:pPr>
              <w:spacing w:line="276" w:lineRule="auto"/>
              <w:ind w:right="-334"/>
              <w:rPr>
                <w:rFonts w:ascii="Times New Roman" w:eastAsia="Times New Roman" w:hAnsi="Times New Roman" w:cs="Times New Roman"/>
                <w:b/>
                <w:bCs/>
                <w:color w:val="000000"/>
                <w:sz w:val="20"/>
                <w:szCs w:val="20"/>
                <w:lang w:val="ro-MD" w:eastAsia="ru-RU"/>
              </w:rPr>
            </w:pPr>
            <w:r w:rsidRPr="00074794">
              <w:rPr>
                <w:rFonts w:ascii="Times New Roman" w:eastAsia="Times New Roman" w:hAnsi="Times New Roman" w:cs="Times New Roman"/>
                <w:b/>
                <w:bCs/>
                <w:color w:val="000000"/>
                <w:sz w:val="20"/>
                <w:szCs w:val="20"/>
                <w:lang w:val="ro-MD" w:eastAsia="ru-RU"/>
              </w:rPr>
              <w:t>(+, -)</w:t>
            </w:r>
          </w:p>
        </w:tc>
      </w:tr>
      <w:tr w:rsidR="00714F5D" w:rsidRPr="00074794" w:rsidTr="008C5C6A">
        <w:tc>
          <w:tcPr>
            <w:tcW w:w="3510" w:type="dxa"/>
          </w:tcPr>
          <w:p w:rsidR="00714F5D" w:rsidRPr="00074794" w:rsidRDefault="00714F5D" w:rsidP="008C5C6A">
            <w:pPr>
              <w:spacing w:line="276"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1</w:t>
            </w:r>
          </w:p>
        </w:tc>
        <w:tc>
          <w:tcPr>
            <w:tcW w:w="990" w:type="dxa"/>
          </w:tcPr>
          <w:p w:rsidR="00714F5D" w:rsidRPr="00074794" w:rsidRDefault="00714F5D" w:rsidP="008C5C6A">
            <w:pPr>
              <w:spacing w:line="276"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2</w:t>
            </w:r>
          </w:p>
        </w:tc>
        <w:tc>
          <w:tcPr>
            <w:tcW w:w="1260" w:type="dxa"/>
          </w:tcPr>
          <w:p w:rsidR="00714F5D" w:rsidRPr="00074794" w:rsidRDefault="00714F5D" w:rsidP="008C5C6A">
            <w:pPr>
              <w:spacing w:line="276"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3</w:t>
            </w:r>
          </w:p>
        </w:tc>
        <w:tc>
          <w:tcPr>
            <w:tcW w:w="1170" w:type="dxa"/>
          </w:tcPr>
          <w:p w:rsidR="00714F5D" w:rsidRPr="00074794" w:rsidRDefault="00714F5D" w:rsidP="008C5C6A">
            <w:pPr>
              <w:spacing w:line="276" w:lineRule="auto"/>
              <w:ind w:right="-334"/>
              <w:rPr>
                <w:rFonts w:ascii="Times New Roman" w:hAnsi="Times New Roman" w:cs="Times New Roman"/>
                <w:b/>
                <w:i/>
                <w:sz w:val="20"/>
                <w:szCs w:val="20"/>
                <w:lang w:val="ro-MD"/>
              </w:rPr>
            </w:pPr>
            <w:r w:rsidRPr="00074794">
              <w:rPr>
                <w:rFonts w:ascii="Times New Roman" w:eastAsia="Times New Roman" w:hAnsi="Times New Roman" w:cs="Times New Roman"/>
                <w:b/>
                <w:i/>
                <w:iCs/>
                <w:color w:val="000000"/>
                <w:sz w:val="20"/>
                <w:szCs w:val="20"/>
                <w:lang w:val="ro-MD" w:eastAsia="ru-RU"/>
              </w:rPr>
              <w:t>4=3-2</w:t>
            </w:r>
          </w:p>
        </w:tc>
        <w:tc>
          <w:tcPr>
            <w:tcW w:w="990" w:type="dxa"/>
          </w:tcPr>
          <w:p w:rsidR="00714F5D" w:rsidRPr="00074794" w:rsidRDefault="00714F5D" w:rsidP="008C5C6A">
            <w:pPr>
              <w:spacing w:line="276"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5</w:t>
            </w:r>
          </w:p>
        </w:tc>
        <w:tc>
          <w:tcPr>
            <w:tcW w:w="990" w:type="dxa"/>
          </w:tcPr>
          <w:p w:rsidR="00714F5D" w:rsidRPr="00074794" w:rsidRDefault="00714F5D" w:rsidP="008C5C6A">
            <w:pPr>
              <w:spacing w:line="276"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6</w:t>
            </w:r>
          </w:p>
        </w:tc>
        <w:tc>
          <w:tcPr>
            <w:tcW w:w="1080" w:type="dxa"/>
            <w:vAlign w:val="center"/>
          </w:tcPr>
          <w:p w:rsidR="00714F5D" w:rsidRPr="00074794" w:rsidRDefault="00714F5D" w:rsidP="008C5C6A">
            <w:pPr>
              <w:spacing w:line="276" w:lineRule="auto"/>
              <w:ind w:right="-334"/>
              <w:rPr>
                <w:rFonts w:ascii="Times New Roman" w:eastAsia="Times New Roman" w:hAnsi="Times New Roman" w:cs="Times New Roman"/>
                <w:b/>
                <w:i/>
                <w:iCs/>
                <w:color w:val="000000"/>
                <w:sz w:val="20"/>
                <w:szCs w:val="20"/>
                <w:lang w:val="ro-MD" w:eastAsia="ru-RU"/>
              </w:rPr>
            </w:pPr>
            <w:r w:rsidRPr="00074794">
              <w:rPr>
                <w:rFonts w:ascii="Times New Roman" w:eastAsia="Times New Roman" w:hAnsi="Times New Roman" w:cs="Times New Roman"/>
                <w:b/>
                <w:i/>
                <w:iCs/>
                <w:color w:val="000000"/>
                <w:sz w:val="20"/>
                <w:szCs w:val="20"/>
                <w:lang w:val="ro-MD" w:eastAsia="ru-RU"/>
              </w:rPr>
              <w:t>7=6-5</w:t>
            </w:r>
          </w:p>
        </w:tc>
        <w:tc>
          <w:tcPr>
            <w:tcW w:w="900" w:type="dxa"/>
          </w:tcPr>
          <w:p w:rsidR="00714F5D" w:rsidRPr="00074794" w:rsidRDefault="00714F5D" w:rsidP="008C5C6A">
            <w:pPr>
              <w:spacing w:line="276"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8</w:t>
            </w:r>
          </w:p>
        </w:tc>
        <w:tc>
          <w:tcPr>
            <w:tcW w:w="1260" w:type="dxa"/>
          </w:tcPr>
          <w:p w:rsidR="00714F5D" w:rsidRPr="00074794" w:rsidRDefault="00714F5D" w:rsidP="008C5C6A">
            <w:pPr>
              <w:spacing w:line="276"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9</w:t>
            </w:r>
          </w:p>
        </w:tc>
        <w:tc>
          <w:tcPr>
            <w:tcW w:w="1131" w:type="dxa"/>
          </w:tcPr>
          <w:p w:rsidR="00714F5D" w:rsidRPr="00074794" w:rsidRDefault="00714F5D" w:rsidP="008C5C6A">
            <w:pPr>
              <w:spacing w:line="276" w:lineRule="auto"/>
              <w:ind w:right="-334"/>
              <w:rPr>
                <w:rFonts w:ascii="Times New Roman" w:hAnsi="Times New Roman" w:cs="Times New Roman"/>
                <w:b/>
                <w:i/>
                <w:sz w:val="20"/>
                <w:szCs w:val="20"/>
                <w:lang w:val="ro-MD"/>
              </w:rPr>
            </w:pPr>
            <w:r w:rsidRPr="00074794">
              <w:rPr>
                <w:rFonts w:ascii="Times New Roman" w:hAnsi="Times New Roman" w:cs="Times New Roman"/>
                <w:b/>
                <w:i/>
                <w:sz w:val="20"/>
                <w:szCs w:val="20"/>
                <w:lang w:val="ro-MD"/>
              </w:rPr>
              <w:t>10=9-8</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 xml:space="preserve">Impozit pe venit </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5482,1</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5553,6</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71,5</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6342,8</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6589,4</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246,6</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7531,7</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7769,8</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238,1</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 xml:space="preserve">Impozit pe proprietate </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353,8</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359,2</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5,4</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400,2</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403,5</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3,3</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517,1</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546,2</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29,1</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TVA</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5174,3</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4830,4</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-343,9</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5680,0</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5374,2</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-305,8</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6706,8</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6286,6</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-420,2</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lastRenderedPageBreak/>
              <w:t>Accize</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635,3</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580,8</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-54,5</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643,1</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531,8</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-111,3</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619,2</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576,8</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-42,4</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Taxe pentru folosirea drumurilor</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133,7</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597,5</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463,8</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58,0</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669,7</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611,7</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54,5</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color w:val="000000"/>
                <w:sz w:val="20"/>
                <w:szCs w:val="20"/>
                <w:lang w:val="ro-MD" w:eastAsia="ru-RU"/>
              </w:rPr>
            </w:pPr>
            <w:r w:rsidRPr="00074794">
              <w:rPr>
                <w:rFonts w:ascii="Times New Roman" w:eastAsia="Times New Roman" w:hAnsi="Times New Roman" w:cs="Times New Roman"/>
                <w:color w:val="000000"/>
                <w:sz w:val="20"/>
                <w:szCs w:val="20"/>
                <w:lang w:val="ro-MD" w:eastAsia="ru-RU"/>
              </w:rPr>
              <w:t>835,1</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Cs/>
                <w:color w:val="000000"/>
                <w:sz w:val="20"/>
                <w:szCs w:val="20"/>
                <w:lang w:val="ro-MD" w:eastAsia="ru-RU"/>
              </w:rPr>
            </w:pPr>
            <w:r w:rsidRPr="00074794">
              <w:rPr>
                <w:rFonts w:ascii="Times New Roman" w:eastAsia="Times New Roman" w:hAnsi="Times New Roman" w:cs="Times New Roman"/>
                <w:bCs/>
                <w:color w:val="000000"/>
                <w:sz w:val="20"/>
                <w:szCs w:val="20"/>
                <w:lang w:val="ro-MD" w:eastAsia="ru-RU"/>
              </w:rPr>
              <w:t>780,6</w:t>
            </w:r>
          </w:p>
        </w:tc>
      </w:tr>
      <w:tr w:rsidR="00714F5D" w:rsidRPr="00074794" w:rsidTr="008C5C6A">
        <w:tc>
          <w:tcPr>
            <w:tcW w:w="351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bCs/>
                <w:color w:val="000000"/>
                <w:sz w:val="20"/>
                <w:szCs w:val="20"/>
                <w:lang w:val="ro-MD" w:eastAsia="ru-RU"/>
              </w:rPr>
              <w:t>Total</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11779,2</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11921,5</w:t>
            </w:r>
          </w:p>
        </w:tc>
        <w:tc>
          <w:tcPr>
            <w:tcW w:w="117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142,3</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13124,1</w:t>
            </w:r>
          </w:p>
        </w:tc>
        <w:tc>
          <w:tcPr>
            <w:tcW w:w="99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13568,6</w:t>
            </w:r>
          </w:p>
        </w:tc>
        <w:tc>
          <w:tcPr>
            <w:tcW w:w="108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444,5</w:t>
            </w:r>
          </w:p>
        </w:tc>
        <w:tc>
          <w:tcPr>
            <w:tcW w:w="90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15429,3</w:t>
            </w:r>
          </w:p>
        </w:tc>
        <w:tc>
          <w:tcPr>
            <w:tcW w:w="1260"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16014,5</w:t>
            </w:r>
          </w:p>
        </w:tc>
        <w:tc>
          <w:tcPr>
            <w:tcW w:w="1131" w:type="dxa"/>
            <w:vAlign w:val="bottom"/>
          </w:tcPr>
          <w:p w:rsidR="00714F5D" w:rsidRPr="00074794" w:rsidRDefault="00714F5D" w:rsidP="008C5C6A">
            <w:pPr>
              <w:spacing w:line="276" w:lineRule="auto"/>
              <w:ind w:right="-334"/>
              <w:rPr>
                <w:rFonts w:ascii="Times New Roman" w:eastAsia="Times New Roman" w:hAnsi="Times New Roman" w:cs="Times New Roman"/>
                <w:b/>
                <w:color w:val="000000"/>
                <w:sz w:val="20"/>
                <w:szCs w:val="20"/>
                <w:lang w:val="ro-MD" w:eastAsia="ru-RU"/>
              </w:rPr>
            </w:pPr>
            <w:r w:rsidRPr="00074794">
              <w:rPr>
                <w:rFonts w:ascii="Times New Roman" w:eastAsia="Times New Roman" w:hAnsi="Times New Roman" w:cs="Times New Roman"/>
                <w:b/>
                <w:color w:val="000000"/>
                <w:sz w:val="20"/>
                <w:szCs w:val="20"/>
                <w:lang w:val="ro-MD" w:eastAsia="ru-RU"/>
              </w:rPr>
              <w:t>585,2</w:t>
            </w:r>
          </w:p>
        </w:tc>
      </w:tr>
    </w:tbl>
    <w:p w:rsidR="00714F5D" w:rsidRPr="00074794" w:rsidRDefault="00714F5D" w:rsidP="00714F5D">
      <w:pPr>
        <w:tabs>
          <w:tab w:val="left" w:pos="7896"/>
          <w:tab w:val="left" w:pos="8680"/>
        </w:tabs>
        <w:spacing w:after="0" w:line="276" w:lineRule="auto"/>
        <w:ind w:right="-334"/>
        <w:rPr>
          <w:rFonts w:ascii="Times New Roman" w:hAnsi="Times New Roman" w:cs="Times New Roman"/>
          <w:i/>
          <w:sz w:val="20"/>
          <w:szCs w:val="20"/>
          <w:lang w:val="ro-MD"/>
        </w:rPr>
      </w:pPr>
      <w:r w:rsidRPr="00074794">
        <w:rPr>
          <w:rFonts w:ascii="Times New Roman" w:hAnsi="Times New Roman" w:cs="Times New Roman"/>
          <w:b/>
          <w:i/>
          <w:sz w:val="20"/>
          <w:szCs w:val="20"/>
          <w:lang w:val="ro-MD"/>
        </w:rPr>
        <w:t>Sursă:</w:t>
      </w:r>
      <w:r w:rsidRPr="00074794">
        <w:rPr>
          <w:rFonts w:ascii="Times New Roman" w:hAnsi="Times New Roman" w:cs="Times New Roman"/>
          <w:i/>
          <w:sz w:val="20"/>
          <w:szCs w:val="20"/>
          <w:lang w:val="ro-MD"/>
        </w:rPr>
        <w:t xml:space="preserve"> Dările de seamă privind încasările la B</w:t>
      </w:r>
      <w:r>
        <w:rPr>
          <w:rFonts w:ascii="Times New Roman" w:hAnsi="Times New Roman" w:cs="Times New Roman"/>
          <w:i/>
          <w:sz w:val="20"/>
          <w:szCs w:val="20"/>
          <w:lang w:val="ro-MD"/>
        </w:rPr>
        <w:t>PN</w:t>
      </w:r>
      <w:r w:rsidRPr="00074794">
        <w:rPr>
          <w:rFonts w:ascii="Times New Roman" w:hAnsi="Times New Roman" w:cs="Times New Roman"/>
          <w:i/>
          <w:sz w:val="20"/>
          <w:szCs w:val="20"/>
          <w:lang w:val="ro-MD"/>
        </w:rPr>
        <w:t xml:space="preserve"> administrate de SFS corespunzător clasificației veniturilor bugetare pentru anii 2015-2017.</w:t>
      </w:r>
    </w:p>
    <w:p w:rsidR="00714F5D" w:rsidRDefault="00714F5D" w:rsidP="00714F5D">
      <w:pPr>
        <w:tabs>
          <w:tab w:val="left" w:pos="284"/>
          <w:tab w:val="left" w:pos="851"/>
          <w:tab w:val="left" w:pos="1134"/>
        </w:tabs>
        <w:spacing w:after="0" w:line="240" w:lineRule="auto"/>
        <w:ind w:right="-37"/>
        <w:jc w:val="right"/>
        <w:rPr>
          <w:rFonts w:ascii="Times New Roman" w:hAnsi="Times New Roman" w:cs="Times New Roman"/>
          <w:b/>
          <w:i/>
          <w:sz w:val="28"/>
          <w:szCs w:val="28"/>
          <w:lang w:val="ro-MD"/>
        </w:rPr>
      </w:pPr>
    </w:p>
    <w:p w:rsidR="00714F5D" w:rsidRDefault="00714F5D" w:rsidP="00714F5D">
      <w:pPr>
        <w:spacing w:after="0" w:line="240" w:lineRule="auto"/>
        <w:ind w:right="105"/>
        <w:jc w:val="right"/>
        <w:rPr>
          <w:rFonts w:ascii="Times New Roman" w:hAnsi="Times New Roman" w:cs="Times New Roman"/>
          <w:b/>
          <w:i/>
          <w:sz w:val="28"/>
          <w:szCs w:val="28"/>
          <w:lang w:val="ro-MD" w:eastAsia="ru-RU"/>
        </w:rPr>
      </w:pPr>
      <w:r w:rsidRPr="001D0846">
        <w:rPr>
          <w:rFonts w:ascii="Times New Roman" w:hAnsi="Times New Roman" w:cs="Times New Roman"/>
          <w:b/>
          <w:i/>
          <w:sz w:val="28"/>
          <w:szCs w:val="28"/>
          <w:lang w:val="ro-MD" w:eastAsia="ru-RU"/>
        </w:rPr>
        <w:t>Tabelul nr.8</w:t>
      </w:r>
    </w:p>
    <w:p w:rsidR="00714F5D" w:rsidRPr="001D0846" w:rsidRDefault="00714F5D" w:rsidP="00714F5D">
      <w:pPr>
        <w:spacing w:after="0" w:line="240" w:lineRule="auto"/>
        <w:ind w:right="105"/>
        <w:jc w:val="right"/>
        <w:rPr>
          <w:rFonts w:ascii="Times New Roman" w:hAnsi="Times New Roman" w:cs="Times New Roman"/>
          <w:b/>
          <w:i/>
          <w:sz w:val="28"/>
          <w:szCs w:val="28"/>
          <w:lang w:val="ro-MD" w:eastAsia="ru-RU"/>
        </w:rPr>
      </w:pPr>
    </w:p>
    <w:p w:rsidR="00714F5D" w:rsidRDefault="00714F5D" w:rsidP="00714F5D">
      <w:pPr>
        <w:spacing w:after="0" w:line="240" w:lineRule="auto"/>
        <w:ind w:right="-334"/>
        <w:jc w:val="center"/>
        <w:rPr>
          <w:rFonts w:ascii="Times New Roman" w:hAnsi="Times New Roman" w:cs="Times New Roman"/>
          <w:i/>
          <w:sz w:val="28"/>
          <w:szCs w:val="28"/>
          <w:lang w:val="ro-MD" w:eastAsia="ru-RU"/>
        </w:rPr>
      </w:pPr>
      <w:r w:rsidRPr="001D0846">
        <w:rPr>
          <w:rFonts w:ascii="Times New Roman" w:hAnsi="Times New Roman" w:cs="Times New Roman"/>
          <w:i/>
          <w:sz w:val="28"/>
          <w:szCs w:val="28"/>
          <w:lang w:val="ro-MD" w:eastAsia="ru-RU"/>
        </w:rPr>
        <w:t>Analiza nivelului de realizare a sarcinii de colectare în aspectul tipurilor de impozite și taxe de către SV</w:t>
      </w:r>
    </w:p>
    <w:p w:rsidR="00714F5D" w:rsidRPr="001D0846" w:rsidRDefault="00714F5D" w:rsidP="00714F5D">
      <w:pPr>
        <w:spacing w:after="0" w:line="240" w:lineRule="auto"/>
        <w:ind w:right="-334"/>
        <w:jc w:val="center"/>
        <w:rPr>
          <w:rFonts w:ascii="Times New Roman" w:hAnsi="Times New Roman" w:cs="Times New Roman"/>
          <w:i/>
          <w:sz w:val="28"/>
          <w:szCs w:val="28"/>
          <w:lang w:val="ro-MD" w:eastAsia="ru-RU"/>
        </w:rPr>
      </w:pPr>
      <w:r w:rsidRPr="001D0846">
        <w:rPr>
          <w:rFonts w:ascii="Times New Roman" w:hAnsi="Times New Roman" w:cs="Times New Roman"/>
          <w:i/>
          <w:sz w:val="28"/>
          <w:szCs w:val="28"/>
          <w:lang w:val="ro-MD" w:eastAsia="ru-RU"/>
        </w:rPr>
        <w:t xml:space="preserve"> pentru anii 2015-2017</w:t>
      </w:r>
    </w:p>
    <w:p w:rsidR="00714F5D" w:rsidRPr="00EE570A" w:rsidRDefault="00714F5D" w:rsidP="00714F5D">
      <w:pPr>
        <w:spacing w:after="0" w:line="240" w:lineRule="auto"/>
        <w:ind w:right="-37"/>
        <w:jc w:val="right"/>
        <w:rPr>
          <w:rFonts w:ascii="Times New Roman" w:hAnsi="Times New Roman" w:cs="Times New Roman"/>
          <w:i/>
          <w:sz w:val="28"/>
          <w:szCs w:val="28"/>
        </w:rPr>
      </w:pPr>
      <w:r w:rsidRPr="00EE570A">
        <w:rPr>
          <w:rFonts w:ascii="Times New Roman" w:hAnsi="Times New Roman" w:cs="Times New Roman"/>
          <w:i/>
          <w:sz w:val="28"/>
          <w:szCs w:val="28"/>
        </w:rPr>
        <w:t>(mil.lei)</w:t>
      </w:r>
    </w:p>
    <w:tbl>
      <w:tblPr>
        <w:tblStyle w:val="a3"/>
        <w:tblW w:w="13320" w:type="dxa"/>
        <w:tblLook w:val="04A0" w:firstRow="1" w:lastRow="0" w:firstColumn="1" w:lastColumn="0" w:noHBand="0" w:noVBand="1"/>
      </w:tblPr>
      <w:tblGrid>
        <w:gridCol w:w="3108"/>
        <w:gridCol w:w="1274"/>
        <w:gridCol w:w="1052"/>
        <w:gridCol w:w="1216"/>
        <w:gridCol w:w="1163"/>
        <w:gridCol w:w="1052"/>
        <w:gridCol w:w="1187"/>
        <w:gridCol w:w="1163"/>
        <w:gridCol w:w="1052"/>
        <w:gridCol w:w="1053"/>
      </w:tblGrid>
      <w:tr w:rsidR="0075307B" w:rsidRPr="001D0846" w:rsidTr="008C5C6A">
        <w:tc>
          <w:tcPr>
            <w:tcW w:w="3114" w:type="dxa"/>
            <w:vMerge w:val="restart"/>
          </w:tcPr>
          <w:p w:rsidR="00714F5D" w:rsidRPr="001D0846" w:rsidRDefault="00714F5D" w:rsidP="008C5C6A">
            <w:pPr>
              <w:ind w:right="30"/>
              <w:jc w:val="center"/>
              <w:rPr>
                <w:rFonts w:ascii="Times New Roman" w:hAnsi="Times New Roman" w:cs="Times New Roman"/>
                <w:b/>
              </w:rPr>
            </w:pPr>
            <w:r w:rsidRPr="001D0846">
              <w:rPr>
                <w:rFonts w:ascii="Times New Roman" w:hAnsi="Times New Roman" w:cs="Times New Roman"/>
                <w:b/>
              </w:rPr>
              <w:t>Denumirea</w:t>
            </w:r>
          </w:p>
        </w:tc>
        <w:tc>
          <w:tcPr>
            <w:tcW w:w="3544" w:type="dxa"/>
            <w:gridSpan w:val="3"/>
          </w:tcPr>
          <w:p w:rsidR="00714F5D" w:rsidRPr="001D0846" w:rsidRDefault="00714F5D" w:rsidP="008C5C6A">
            <w:pPr>
              <w:ind w:right="48"/>
              <w:jc w:val="center"/>
              <w:rPr>
                <w:rFonts w:ascii="Times New Roman" w:hAnsi="Times New Roman" w:cs="Times New Roman"/>
                <w:b/>
              </w:rPr>
            </w:pPr>
            <w:r w:rsidRPr="001D0846">
              <w:rPr>
                <w:rFonts w:ascii="Times New Roman" w:hAnsi="Times New Roman" w:cs="Times New Roman"/>
                <w:b/>
              </w:rPr>
              <w:t>Anul 2015</w:t>
            </w:r>
          </w:p>
        </w:tc>
        <w:tc>
          <w:tcPr>
            <w:tcW w:w="3402" w:type="dxa"/>
            <w:gridSpan w:val="3"/>
          </w:tcPr>
          <w:p w:rsidR="00714F5D" w:rsidRPr="001D0846" w:rsidRDefault="00714F5D" w:rsidP="008C5C6A">
            <w:pPr>
              <w:ind w:right="55"/>
              <w:jc w:val="center"/>
              <w:rPr>
                <w:rFonts w:ascii="Times New Roman" w:hAnsi="Times New Roman" w:cs="Times New Roman"/>
                <w:b/>
              </w:rPr>
            </w:pPr>
            <w:r w:rsidRPr="001D0846">
              <w:rPr>
                <w:rFonts w:ascii="Times New Roman" w:hAnsi="Times New Roman" w:cs="Times New Roman"/>
                <w:b/>
              </w:rPr>
              <w:t>Anul 2016</w:t>
            </w:r>
          </w:p>
        </w:tc>
        <w:tc>
          <w:tcPr>
            <w:tcW w:w="3260" w:type="dxa"/>
            <w:gridSpan w:val="3"/>
          </w:tcPr>
          <w:p w:rsidR="00714F5D" w:rsidRPr="001D0846" w:rsidRDefault="00714F5D" w:rsidP="008C5C6A">
            <w:pPr>
              <w:ind w:right="50"/>
              <w:jc w:val="center"/>
              <w:rPr>
                <w:rFonts w:ascii="Times New Roman" w:hAnsi="Times New Roman" w:cs="Times New Roman"/>
                <w:b/>
              </w:rPr>
            </w:pPr>
            <w:r w:rsidRPr="001D0846">
              <w:rPr>
                <w:rFonts w:ascii="Times New Roman" w:hAnsi="Times New Roman" w:cs="Times New Roman"/>
                <w:b/>
              </w:rPr>
              <w:t>Anul 2017</w:t>
            </w:r>
          </w:p>
        </w:tc>
      </w:tr>
      <w:tr w:rsidR="0075307B" w:rsidRPr="001D0846" w:rsidTr="008C5C6A">
        <w:tc>
          <w:tcPr>
            <w:tcW w:w="3114" w:type="dxa"/>
            <w:vMerge/>
          </w:tcPr>
          <w:p w:rsidR="00714F5D" w:rsidRPr="001D0846" w:rsidRDefault="00714F5D" w:rsidP="008C5C6A">
            <w:pPr>
              <w:ind w:right="54"/>
              <w:jc w:val="center"/>
              <w:rPr>
                <w:rFonts w:ascii="Times New Roman" w:hAnsi="Times New Roman" w:cs="Times New Roman"/>
              </w:rPr>
            </w:pPr>
          </w:p>
        </w:tc>
        <w:tc>
          <w:tcPr>
            <w:tcW w:w="1276" w:type="dxa"/>
          </w:tcPr>
          <w:p w:rsidR="00714F5D" w:rsidRPr="001D0846" w:rsidRDefault="0075307B" w:rsidP="0075307B">
            <w:pPr>
              <w:ind w:right="54"/>
              <w:jc w:val="center"/>
              <w:rPr>
                <w:rFonts w:ascii="Times New Roman" w:hAnsi="Times New Roman" w:cs="Times New Roman"/>
                <w:b/>
              </w:rPr>
            </w:pPr>
            <w:r>
              <w:rPr>
                <w:rFonts w:ascii="Times New Roman" w:hAnsi="Times New Roman" w:cs="Times New Roman"/>
                <w:b/>
              </w:rPr>
              <w:t>aprobat</w:t>
            </w:r>
          </w:p>
        </w:tc>
        <w:tc>
          <w:tcPr>
            <w:tcW w:w="1052"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executat</w:t>
            </w:r>
          </w:p>
        </w:tc>
        <w:tc>
          <w:tcPr>
            <w:tcW w:w="1216"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Nivelul de încasare (%)</w:t>
            </w:r>
          </w:p>
        </w:tc>
        <w:tc>
          <w:tcPr>
            <w:tcW w:w="1163" w:type="dxa"/>
          </w:tcPr>
          <w:p w:rsidR="00714F5D" w:rsidRPr="001D0846" w:rsidRDefault="0075307B" w:rsidP="0075307B">
            <w:pPr>
              <w:ind w:right="54"/>
              <w:jc w:val="center"/>
              <w:rPr>
                <w:rFonts w:ascii="Times New Roman" w:hAnsi="Times New Roman" w:cs="Times New Roman"/>
                <w:b/>
              </w:rPr>
            </w:pPr>
            <w:r>
              <w:rPr>
                <w:rFonts w:ascii="Times New Roman" w:hAnsi="Times New Roman" w:cs="Times New Roman"/>
                <w:b/>
              </w:rPr>
              <w:t>aprobat</w:t>
            </w:r>
          </w:p>
        </w:tc>
        <w:tc>
          <w:tcPr>
            <w:tcW w:w="1052"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executat</w:t>
            </w:r>
          </w:p>
        </w:tc>
        <w:tc>
          <w:tcPr>
            <w:tcW w:w="1187"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Nivelul de încasare (%)</w:t>
            </w:r>
          </w:p>
        </w:tc>
        <w:tc>
          <w:tcPr>
            <w:tcW w:w="1163" w:type="dxa"/>
          </w:tcPr>
          <w:p w:rsidR="00714F5D" w:rsidRPr="001D0846" w:rsidRDefault="0075307B" w:rsidP="0075307B">
            <w:pPr>
              <w:ind w:right="54"/>
              <w:jc w:val="center"/>
              <w:rPr>
                <w:rFonts w:ascii="Times New Roman" w:hAnsi="Times New Roman" w:cs="Times New Roman"/>
                <w:b/>
              </w:rPr>
            </w:pPr>
            <w:r>
              <w:rPr>
                <w:rFonts w:ascii="Times New Roman" w:hAnsi="Times New Roman" w:cs="Times New Roman"/>
                <w:b/>
              </w:rPr>
              <w:t>aprobat</w:t>
            </w:r>
          </w:p>
        </w:tc>
        <w:tc>
          <w:tcPr>
            <w:tcW w:w="1052"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executat</w:t>
            </w:r>
          </w:p>
        </w:tc>
        <w:tc>
          <w:tcPr>
            <w:tcW w:w="1045" w:type="dxa"/>
          </w:tcPr>
          <w:p w:rsidR="00714F5D" w:rsidRPr="001D0846" w:rsidRDefault="00714F5D" w:rsidP="008C5C6A">
            <w:pPr>
              <w:ind w:right="54"/>
              <w:jc w:val="center"/>
              <w:rPr>
                <w:rFonts w:ascii="Times New Roman" w:hAnsi="Times New Roman" w:cs="Times New Roman"/>
                <w:b/>
              </w:rPr>
            </w:pPr>
            <w:r w:rsidRPr="001D0846">
              <w:rPr>
                <w:rFonts w:ascii="Times New Roman" w:hAnsi="Times New Roman" w:cs="Times New Roman"/>
                <w:b/>
              </w:rPr>
              <w:t>Nivelul de încasare (%)</w:t>
            </w:r>
          </w:p>
        </w:tc>
      </w:tr>
      <w:tr w:rsidR="0075307B" w:rsidRPr="001D0846" w:rsidTr="008C5C6A">
        <w:tc>
          <w:tcPr>
            <w:tcW w:w="3114"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1</w:t>
            </w:r>
          </w:p>
        </w:tc>
        <w:tc>
          <w:tcPr>
            <w:tcW w:w="1276"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2</w:t>
            </w:r>
          </w:p>
        </w:tc>
        <w:tc>
          <w:tcPr>
            <w:tcW w:w="1052"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3</w:t>
            </w:r>
          </w:p>
        </w:tc>
        <w:tc>
          <w:tcPr>
            <w:tcW w:w="1216"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4</w:t>
            </w:r>
          </w:p>
        </w:tc>
        <w:tc>
          <w:tcPr>
            <w:tcW w:w="1163"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5</w:t>
            </w:r>
          </w:p>
        </w:tc>
        <w:tc>
          <w:tcPr>
            <w:tcW w:w="1052"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6</w:t>
            </w:r>
          </w:p>
        </w:tc>
        <w:tc>
          <w:tcPr>
            <w:tcW w:w="1187"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7</w:t>
            </w:r>
          </w:p>
        </w:tc>
        <w:tc>
          <w:tcPr>
            <w:tcW w:w="1163"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8</w:t>
            </w:r>
          </w:p>
        </w:tc>
        <w:tc>
          <w:tcPr>
            <w:tcW w:w="1052"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9</w:t>
            </w:r>
          </w:p>
        </w:tc>
        <w:tc>
          <w:tcPr>
            <w:tcW w:w="1045" w:type="dxa"/>
          </w:tcPr>
          <w:p w:rsidR="00714F5D" w:rsidRPr="001D0846" w:rsidRDefault="00714F5D" w:rsidP="008C5C6A">
            <w:pPr>
              <w:ind w:right="54"/>
              <w:jc w:val="center"/>
              <w:rPr>
                <w:rFonts w:ascii="Times New Roman" w:hAnsi="Times New Roman" w:cs="Times New Roman"/>
                <w:i/>
                <w:sz w:val="18"/>
                <w:szCs w:val="18"/>
              </w:rPr>
            </w:pPr>
            <w:r w:rsidRPr="001D0846">
              <w:rPr>
                <w:rFonts w:ascii="Times New Roman" w:hAnsi="Times New Roman" w:cs="Times New Roman"/>
                <w:i/>
                <w:sz w:val="18"/>
                <w:szCs w:val="18"/>
              </w:rPr>
              <w:t>10</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TVA</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11339,5</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10952,4</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96,6</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11697,1</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11761,0</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100,5</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13270,9</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13226,2</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99,7</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Accize</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3385,1</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3483,8</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102,9</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3924,0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4181,6</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106,6</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5324,7</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5585,7</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104,9</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Taxe și impozite</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1213,0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1285,3</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106,0</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1383,0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1400,2</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101,2</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1427,8</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1536,0</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107,6</w:t>
            </w:r>
          </w:p>
        </w:tc>
      </w:tr>
      <w:tr w:rsidR="0075307B" w:rsidRPr="001D0846" w:rsidTr="008C5C6A">
        <w:tc>
          <w:tcPr>
            <w:tcW w:w="3114" w:type="dxa"/>
            <w:shd w:val="clear" w:color="auto" w:fill="D9D9D9" w:themeFill="background1" w:themeFillShade="D9"/>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Total</w:t>
            </w:r>
            <w:r>
              <w:rPr>
                <w:rFonts w:ascii="Times New Roman" w:hAnsi="Times New Roman" w:cs="Times New Roman"/>
              </w:rPr>
              <w:t>,</w:t>
            </w:r>
            <w:r w:rsidRPr="001D0846">
              <w:rPr>
                <w:rFonts w:ascii="Times New Roman" w:hAnsi="Times New Roman" w:cs="Times New Roman"/>
              </w:rPr>
              <w:t xml:space="preserve"> drepturi de import-export</w:t>
            </w:r>
          </w:p>
        </w:tc>
        <w:tc>
          <w:tcPr>
            <w:tcW w:w="1276"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15937,6</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15721,5</w:t>
            </w:r>
          </w:p>
        </w:tc>
        <w:tc>
          <w:tcPr>
            <w:tcW w:w="1216"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98,6</w:t>
            </w:r>
          </w:p>
        </w:tc>
        <w:tc>
          <w:tcPr>
            <w:tcW w:w="1163"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17004,1</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17342,8</w:t>
            </w:r>
          </w:p>
        </w:tc>
        <w:tc>
          <w:tcPr>
            <w:tcW w:w="1187"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102,0</w:t>
            </w:r>
          </w:p>
        </w:tc>
        <w:tc>
          <w:tcPr>
            <w:tcW w:w="1163"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20023,4</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20347,9</w:t>
            </w:r>
          </w:p>
        </w:tc>
        <w:tc>
          <w:tcPr>
            <w:tcW w:w="1045"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101,6</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Taxe pentru folosirea drumurilor</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5,3</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7,1</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134,0</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7,2</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9,9</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137,5</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8,1</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10,1</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124,7</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Vinieta și amenzi pentru achitare</w:t>
            </w:r>
            <w:r>
              <w:rPr>
                <w:rFonts w:ascii="Times New Roman" w:hAnsi="Times New Roman" w:cs="Times New Roman"/>
              </w:rPr>
              <w:t>a</w:t>
            </w:r>
            <w:r w:rsidRPr="001D0846">
              <w:rPr>
                <w:rFonts w:ascii="Times New Roman" w:hAnsi="Times New Roman" w:cs="Times New Roman"/>
              </w:rPr>
              <w:t xml:space="preserve"> vinietei</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83,2</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100,1</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120,3</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126,0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122,3</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97,1</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12,9</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13,5</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104,7</w:t>
            </w:r>
          </w:p>
        </w:tc>
      </w:tr>
      <w:tr w:rsidR="0075307B" w:rsidRPr="001D0846" w:rsidTr="008C5C6A">
        <w:tc>
          <w:tcPr>
            <w:tcW w:w="3114" w:type="dxa"/>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Alte venituri</w:t>
            </w:r>
          </w:p>
        </w:tc>
        <w:tc>
          <w:tcPr>
            <w:tcW w:w="1276"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w:t>
            </w:r>
          </w:p>
        </w:tc>
        <w:tc>
          <w:tcPr>
            <w:tcW w:w="1216"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120,0</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1,2</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1,1</w:t>
            </w:r>
          </w:p>
        </w:tc>
        <w:tc>
          <w:tcPr>
            <w:tcW w:w="1187"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91,7</w:t>
            </w:r>
          </w:p>
        </w:tc>
        <w:tc>
          <w:tcPr>
            <w:tcW w:w="1163"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w:t>
            </w:r>
          </w:p>
        </w:tc>
        <w:tc>
          <w:tcPr>
            <w:tcW w:w="1052" w:type="dxa"/>
          </w:tcPr>
          <w:p w:rsidR="00714F5D" w:rsidRPr="001D0846" w:rsidRDefault="00714F5D" w:rsidP="008C5C6A">
            <w:pPr>
              <w:ind w:right="35"/>
              <w:jc w:val="center"/>
              <w:rPr>
                <w:rFonts w:ascii="Times New Roman" w:hAnsi="Times New Roman" w:cs="Times New Roman"/>
              </w:rPr>
            </w:pPr>
            <w:r w:rsidRPr="001D0846">
              <w:rPr>
                <w:rFonts w:ascii="Times New Roman" w:hAnsi="Times New Roman" w:cs="Times New Roman"/>
              </w:rPr>
              <w:t>1,0</w:t>
            </w:r>
          </w:p>
        </w:tc>
        <w:tc>
          <w:tcPr>
            <w:tcW w:w="1045" w:type="dxa"/>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100,0</w:t>
            </w:r>
          </w:p>
        </w:tc>
      </w:tr>
      <w:tr w:rsidR="0075307B" w:rsidRPr="001D0846" w:rsidTr="008C5C6A">
        <w:tc>
          <w:tcPr>
            <w:tcW w:w="3114" w:type="dxa"/>
            <w:shd w:val="clear" w:color="auto" w:fill="D9D9D9" w:themeFill="background1" w:themeFillShade="D9"/>
          </w:tcPr>
          <w:p w:rsidR="00714F5D" w:rsidRPr="001D0846" w:rsidRDefault="00714F5D" w:rsidP="008C5C6A">
            <w:pPr>
              <w:ind w:right="35"/>
              <w:jc w:val="both"/>
              <w:rPr>
                <w:rFonts w:ascii="Times New Roman" w:hAnsi="Times New Roman" w:cs="Times New Roman"/>
              </w:rPr>
            </w:pPr>
            <w:r w:rsidRPr="001D0846">
              <w:rPr>
                <w:rFonts w:ascii="Times New Roman" w:hAnsi="Times New Roman" w:cs="Times New Roman"/>
              </w:rPr>
              <w:t>Total plăți administrate de organele vamale</w:t>
            </w:r>
          </w:p>
        </w:tc>
        <w:tc>
          <w:tcPr>
            <w:tcW w:w="1276"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16027,1</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15829,9</w:t>
            </w:r>
          </w:p>
        </w:tc>
        <w:tc>
          <w:tcPr>
            <w:tcW w:w="1216"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98,8</w:t>
            </w:r>
          </w:p>
        </w:tc>
        <w:tc>
          <w:tcPr>
            <w:tcW w:w="1163"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17138,5</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17476,1</w:t>
            </w:r>
          </w:p>
        </w:tc>
        <w:tc>
          <w:tcPr>
            <w:tcW w:w="1187"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102,0</w:t>
            </w:r>
          </w:p>
        </w:tc>
        <w:tc>
          <w:tcPr>
            <w:tcW w:w="1163"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20045,4</w:t>
            </w:r>
          </w:p>
        </w:tc>
        <w:tc>
          <w:tcPr>
            <w:tcW w:w="1052" w:type="dxa"/>
            <w:shd w:val="clear" w:color="auto" w:fill="D9D9D9" w:themeFill="background1" w:themeFillShade="D9"/>
          </w:tcPr>
          <w:p w:rsidR="00714F5D" w:rsidRPr="001D0846" w:rsidRDefault="00714F5D" w:rsidP="008C5C6A">
            <w:pPr>
              <w:ind w:right="35"/>
              <w:jc w:val="center"/>
              <w:rPr>
                <w:rFonts w:ascii="Times New Roman" w:hAnsi="Times New Roman" w:cs="Times New Roman"/>
                <w:b/>
              </w:rPr>
            </w:pPr>
            <w:r w:rsidRPr="001D0846">
              <w:rPr>
                <w:rFonts w:ascii="Times New Roman" w:hAnsi="Times New Roman" w:cs="Times New Roman"/>
                <w:b/>
              </w:rPr>
              <w:t>20372,5</w:t>
            </w:r>
          </w:p>
        </w:tc>
        <w:tc>
          <w:tcPr>
            <w:tcW w:w="1045" w:type="dxa"/>
            <w:shd w:val="clear" w:color="auto" w:fill="D9D9D9" w:themeFill="background1" w:themeFillShade="D9"/>
          </w:tcPr>
          <w:p w:rsidR="00714F5D" w:rsidRPr="001D0846" w:rsidRDefault="00714F5D" w:rsidP="008C5C6A">
            <w:pPr>
              <w:ind w:right="35"/>
              <w:jc w:val="center"/>
              <w:rPr>
                <w:rFonts w:ascii="Times New Roman" w:hAnsi="Times New Roman" w:cs="Times New Roman"/>
                <w:i/>
              </w:rPr>
            </w:pPr>
            <w:r w:rsidRPr="001D0846">
              <w:rPr>
                <w:rFonts w:ascii="Times New Roman" w:hAnsi="Times New Roman" w:cs="Times New Roman"/>
                <w:i/>
              </w:rPr>
              <w:t>101,6</w:t>
            </w:r>
          </w:p>
        </w:tc>
      </w:tr>
    </w:tbl>
    <w:p w:rsidR="00714F5D" w:rsidRPr="001D0846" w:rsidRDefault="00714F5D" w:rsidP="00714F5D">
      <w:pPr>
        <w:spacing w:after="0" w:line="240" w:lineRule="auto"/>
        <w:ind w:right="-334"/>
        <w:jc w:val="both"/>
        <w:rPr>
          <w:rFonts w:ascii="Times New Roman" w:hAnsi="Times New Roman" w:cs="Times New Roman"/>
          <w:b/>
          <w:i/>
          <w:sz w:val="20"/>
          <w:szCs w:val="20"/>
        </w:rPr>
      </w:pPr>
      <w:r w:rsidRPr="001D0846">
        <w:rPr>
          <w:rFonts w:ascii="Times New Roman" w:hAnsi="Times New Roman" w:cs="Times New Roman"/>
          <w:b/>
          <w:i/>
          <w:sz w:val="20"/>
          <w:szCs w:val="20"/>
        </w:rPr>
        <w:t xml:space="preserve">Sursă: </w:t>
      </w:r>
      <w:r w:rsidRPr="001D0846">
        <w:rPr>
          <w:rFonts w:ascii="Times New Roman" w:hAnsi="Times New Roman" w:cs="Times New Roman"/>
          <w:i/>
          <w:sz w:val="20"/>
          <w:szCs w:val="20"/>
        </w:rPr>
        <w:t>Datele generalizate de către echipa de audit din informațiile și dările de seamă a</w:t>
      </w:r>
      <w:r>
        <w:rPr>
          <w:rFonts w:ascii="Times New Roman" w:hAnsi="Times New Roman" w:cs="Times New Roman"/>
          <w:i/>
          <w:sz w:val="20"/>
          <w:szCs w:val="20"/>
        </w:rPr>
        <w:t>le</w:t>
      </w:r>
      <w:r w:rsidRPr="001D0846">
        <w:rPr>
          <w:rFonts w:ascii="Times New Roman" w:hAnsi="Times New Roman" w:cs="Times New Roman"/>
          <w:i/>
          <w:sz w:val="20"/>
          <w:szCs w:val="20"/>
        </w:rPr>
        <w:t xml:space="preserve"> SV.</w:t>
      </w:r>
    </w:p>
    <w:p w:rsidR="00714F5D" w:rsidRPr="001D0846" w:rsidRDefault="00714F5D" w:rsidP="00714F5D">
      <w:pPr>
        <w:spacing w:after="0" w:line="276" w:lineRule="auto"/>
        <w:jc w:val="right"/>
        <w:rPr>
          <w:rFonts w:ascii="Times New Roman" w:hAnsi="Times New Roman" w:cs="Times New Roman"/>
          <w:b/>
          <w:i/>
          <w:sz w:val="28"/>
          <w:szCs w:val="28"/>
        </w:rPr>
      </w:pPr>
    </w:p>
    <w:p w:rsidR="00714F5D" w:rsidRPr="001D0846" w:rsidRDefault="00714F5D" w:rsidP="00714F5D">
      <w:pPr>
        <w:spacing w:after="0" w:line="276" w:lineRule="auto"/>
        <w:jc w:val="right"/>
        <w:rPr>
          <w:rFonts w:ascii="Times New Roman" w:hAnsi="Times New Roman" w:cs="Times New Roman"/>
          <w:b/>
          <w:i/>
          <w:sz w:val="28"/>
          <w:szCs w:val="28"/>
        </w:rPr>
      </w:pPr>
    </w:p>
    <w:p w:rsidR="00714F5D" w:rsidRDefault="00714F5D" w:rsidP="00714F5D">
      <w:pPr>
        <w:tabs>
          <w:tab w:val="left" w:pos="284"/>
          <w:tab w:val="left" w:pos="851"/>
          <w:tab w:val="left" w:pos="1134"/>
        </w:tabs>
        <w:spacing w:after="0" w:line="276" w:lineRule="auto"/>
        <w:ind w:right="-37"/>
        <w:jc w:val="right"/>
        <w:rPr>
          <w:rFonts w:ascii="Times New Roman" w:hAnsi="Times New Roman" w:cs="Times New Roman"/>
          <w:b/>
          <w:i/>
          <w:sz w:val="28"/>
          <w:szCs w:val="28"/>
        </w:rPr>
        <w:sectPr w:rsidR="00714F5D" w:rsidSect="00703842">
          <w:pgSz w:w="15840" w:h="12240" w:orient="landscape"/>
          <w:pgMar w:top="1699" w:right="1440" w:bottom="1166" w:left="1138" w:header="706" w:footer="706" w:gutter="0"/>
          <w:cols w:space="708"/>
          <w:docGrid w:linePitch="360"/>
        </w:sectPr>
      </w:pPr>
    </w:p>
    <w:p w:rsidR="00714F5D" w:rsidRPr="001D0846" w:rsidRDefault="00714F5D" w:rsidP="00714F5D">
      <w:pPr>
        <w:spacing w:after="0" w:line="276" w:lineRule="auto"/>
        <w:ind w:right="-331"/>
        <w:jc w:val="right"/>
        <w:rPr>
          <w:rFonts w:ascii="Times New Roman" w:hAnsi="Times New Roman" w:cs="Times New Roman"/>
          <w:b/>
          <w:i/>
          <w:sz w:val="28"/>
          <w:szCs w:val="28"/>
        </w:rPr>
      </w:pPr>
      <w:r w:rsidRPr="001D0846">
        <w:rPr>
          <w:rFonts w:ascii="Times New Roman" w:hAnsi="Times New Roman" w:cs="Times New Roman"/>
          <w:b/>
          <w:i/>
          <w:sz w:val="28"/>
          <w:szCs w:val="28"/>
        </w:rPr>
        <w:lastRenderedPageBreak/>
        <w:t>Tabelul nr.9</w:t>
      </w:r>
    </w:p>
    <w:p w:rsidR="00714F5D" w:rsidRPr="001D0846" w:rsidRDefault="00714F5D" w:rsidP="00714F5D">
      <w:pPr>
        <w:spacing w:after="0" w:line="276" w:lineRule="auto"/>
        <w:ind w:right="-331"/>
        <w:jc w:val="center"/>
        <w:rPr>
          <w:rFonts w:ascii="Times New Roman" w:hAnsi="Times New Roman" w:cs="Times New Roman"/>
          <w:i/>
          <w:sz w:val="28"/>
          <w:szCs w:val="28"/>
        </w:rPr>
      </w:pPr>
      <w:r w:rsidRPr="001D0846">
        <w:rPr>
          <w:rFonts w:ascii="Times New Roman" w:hAnsi="Times New Roman" w:cs="Times New Roman"/>
          <w:i/>
          <w:sz w:val="28"/>
          <w:szCs w:val="28"/>
        </w:rPr>
        <w:t xml:space="preserve">Informația privind încasările realizate și costurile suportate în perioada </w:t>
      </w:r>
      <w:r>
        <w:rPr>
          <w:rFonts w:ascii="Times New Roman" w:hAnsi="Times New Roman" w:cs="Times New Roman"/>
          <w:i/>
          <w:sz w:val="28"/>
          <w:szCs w:val="28"/>
        </w:rPr>
        <w:t xml:space="preserve">anilor </w:t>
      </w:r>
      <w:r w:rsidRPr="001D0846">
        <w:rPr>
          <w:rFonts w:ascii="Times New Roman" w:hAnsi="Times New Roman" w:cs="Times New Roman"/>
          <w:i/>
          <w:sz w:val="28"/>
          <w:szCs w:val="28"/>
        </w:rPr>
        <w:t xml:space="preserve">2015-2017 de către SFS în activitatea de administrare, raportată la numărul de personal și </w:t>
      </w:r>
      <w:r>
        <w:rPr>
          <w:rFonts w:ascii="Times New Roman" w:hAnsi="Times New Roman" w:cs="Times New Roman"/>
          <w:i/>
          <w:sz w:val="28"/>
          <w:szCs w:val="28"/>
        </w:rPr>
        <w:t xml:space="preserve">la </w:t>
      </w:r>
      <w:r w:rsidRPr="001D0846">
        <w:rPr>
          <w:rFonts w:ascii="Times New Roman" w:hAnsi="Times New Roman" w:cs="Times New Roman"/>
          <w:i/>
          <w:sz w:val="28"/>
          <w:szCs w:val="28"/>
        </w:rPr>
        <w:t>numărul de contribuabili administrați</w:t>
      </w:r>
    </w:p>
    <w:tbl>
      <w:tblPr>
        <w:tblStyle w:val="a3"/>
        <w:tblW w:w="10349" w:type="dxa"/>
        <w:tblInd w:w="-762" w:type="dxa"/>
        <w:tblLayout w:type="fixed"/>
        <w:tblLook w:val="04A0" w:firstRow="1" w:lastRow="0" w:firstColumn="1" w:lastColumn="0" w:noHBand="0" w:noVBand="1"/>
      </w:tblPr>
      <w:tblGrid>
        <w:gridCol w:w="710"/>
        <w:gridCol w:w="3827"/>
        <w:gridCol w:w="1134"/>
        <w:gridCol w:w="1134"/>
        <w:gridCol w:w="1134"/>
        <w:gridCol w:w="1134"/>
        <w:gridCol w:w="1276"/>
      </w:tblGrid>
      <w:tr w:rsidR="00714F5D" w:rsidRPr="001D0846" w:rsidTr="008C5C6A">
        <w:trPr>
          <w:trHeight w:val="58"/>
        </w:trPr>
        <w:tc>
          <w:tcPr>
            <w:tcW w:w="710" w:type="dxa"/>
            <w:vMerge w:val="restart"/>
          </w:tcPr>
          <w:p w:rsidR="00714F5D" w:rsidRPr="001D0846" w:rsidRDefault="00714F5D" w:rsidP="008C5C6A">
            <w:pPr>
              <w:spacing w:line="276" w:lineRule="auto"/>
              <w:ind w:right="-334"/>
              <w:rPr>
                <w:rFonts w:ascii="Times New Roman" w:hAnsi="Times New Roman" w:cs="Times New Roman"/>
                <w:b/>
              </w:rPr>
            </w:pPr>
            <w:r w:rsidRPr="001D0846">
              <w:rPr>
                <w:rFonts w:ascii="Times New Roman" w:hAnsi="Times New Roman" w:cs="Times New Roman"/>
                <w:b/>
              </w:rPr>
              <w:t xml:space="preserve">Nr. </w:t>
            </w:r>
          </w:p>
          <w:p w:rsidR="00714F5D" w:rsidRPr="001D0846" w:rsidRDefault="00714F5D" w:rsidP="008C5C6A">
            <w:pPr>
              <w:spacing w:line="276" w:lineRule="auto"/>
              <w:ind w:right="-334"/>
              <w:rPr>
                <w:rFonts w:ascii="Times New Roman" w:hAnsi="Times New Roman" w:cs="Times New Roman"/>
                <w:b/>
              </w:rPr>
            </w:pPr>
            <w:r w:rsidRPr="001D0846">
              <w:rPr>
                <w:rFonts w:ascii="Times New Roman" w:hAnsi="Times New Roman" w:cs="Times New Roman"/>
                <w:b/>
              </w:rPr>
              <w:t>d/o</w:t>
            </w:r>
          </w:p>
        </w:tc>
        <w:tc>
          <w:tcPr>
            <w:tcW w:w="3827" w:type="dxa"/>
            <w:vMerge w:val="restart"/>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Indicatori</w:t>
            </w:r>
          </w:p>
        </w:tc>
        <w:tc>
          <w:tcPr>
            <w:tcW w:w="3402" w:type="dxa"/>
            <w:gridSpan w:val="3"/>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Anul</w:t>
            </w:r>
          </w:p>
        </w:tc>
        <w:tc>
          <w:tcPr>
            <w:tcW w:w="2410" w:type="dxa"/>
            <w:gridSpan w:val="2"/>
          </w:tcPr>
          <w:p w:rsidR="00714F5D" w:rsidRPr="001D0846" w:rsidRDefault="00714F5D" w:rsidP="008C5C6A">
            <w:pPr>
              <w:spacing w:line="276" w:lineRule="auto"/>
              <w:ind w:right="-102"/>
              <w:jc w:val="center"/>
              <w:rPr>
                <w:rFonts w:ascii="Times New Roman" w:hAnsi="Times New Roman" w:cs="Times New Roman"/>
                <w:b/>
              </w:rPr>
            </w:pPr>
            <w:r w:rsidRPr="001D0846">
              <w:rPr>
                <w:rFonts w:ascii="Times New Roman" w:hAnsi="Times New Roman" w:cs="Times New Roman"/>
                <w:b/>
              </w:rPr>
              <w:t>Ritmul de creștere</w:t>
            </w:r>
          </w:p>
        </w:tc>
      </w:tr>
      <w:tr w:rsidR="00714F5D" w:rsidRPr="001D0846" w:rsidTr="008C5C6A">
        <w:trPr>
          <w:trHeight w:val="58"/>
        </w:trPr>
        <w:tc>
          <w:tcPr>
            <w:tcW w:w="710" w:type="dxa"/>
            <w:vMerge/>
          </w:tcPr>
          <w:p w:rsidR="00714F5D" w:rsidRPr="001D0846" w:rsidRDefault="00714F5D" w:rsidP="008C5C6A">
            <w:pPr>
              <w:spacing w:line="276" w:lineRule="auto"/>
              <w:ind w:right="-334"/>
              <w:jc w:val="center"/>
              <w:rPr>
                <w:rFonts w:ascii="Times New Roman" w:hAnsi="Times New Roman" w:cs="Times New Roman"/>
              </w:rPr>
            </w:pPr>
          </w:p>
        </w:tc>
        <w:tc>
          <w:tcPr>
            <w:tcW w:w="3827" w:type="dxa"/>
            <w:vMerge/>
          </w:tcPr>
          <w:p w:rsidR="00714F5D" w:rsidRPr="001D0846" w:rsidRDefault="00714F5D" w:rsidP="008C5C6A">
            <w:pPr>
              <w:spacing w:line="276" w:lineRule="auto"/>
              <w:ind w:right="-334"/>
              <w:jc w:val="center"/>
              <w:rPr>
                <w:rFonts w:ascii="Times New Roman" w:hAnsi="Times New Roman" w:cs="Times New Roman"/>
              </w:rPr>
            </w:pPr>
          </w:p>
        </w:tc>
        <w:tc>
          <w:tcPr>
            <w:tcW w:w="1134"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2015</w:t>
            </w:r>
          </w:p>
        </w:tc>
        <w:tc>
          <w:tcPr>
            <w:tcW w:w="1134"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2016</w:t>
            </w:r>
          </w:p>
        </w:tc>
        <w:tc>
          <w:tcPr>
            <w:tcW w:w="1134"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2017</w:t>
            </w:r>
          </w:p>
        </w:tc>
        <w:tc>
          <w:tcPr>
            <w:tcW w:w="1134" w:type="dxa"/>
          </w:tcPr>
          <w:p w:rsidR="00714F5D" w:rsidRPr="001D0846" w:rsidRDefault="00714F5D" w:rsidP="008C5C6A">
            <w:pPr>
              <w:spacing w:line="276" w:lineRule="auto"/>
              <w:ind w:right="-40"/>
              <w:jc w:val="center"/>
              <w:rPr>
                <w:rFonts w:ascii="Times New Roman" w:hAnsi="Times New Roman" w:cs="Times New Roman"/>
                <w:b/>
              </w:rPr>
            </w:pPr>
            <w:r w:rsidRPr="001D0846">
              <w:rPr>
                <w:rFonts w:ascii="Times New Roman" w:hAnsi="Times New Roman" w:cs="Times New Roman"/>
                <w:b/>
              </w:rPr>
              <w:t>2015/2016</w:t>
            </w:r>
          </w:p>
        </w:tc>
        <w:tc>
          <w:tcPr>
            <w:tcW w:w="1276" w:type="dxa"/>
          </w:tcPr>
          <w:p w:rsidR="00714F5D" w:rsidRPr="001D0846" w:rsidRDefault="00714F5D" w:rsidP="008C5C6A">
            <w:pPr>
              <w:spacing w:line="276" w:lineRule="auto"/>
              <w:ind w:right="-40"/>
              <w:jc w:val="center"/>
              <w:rPr>
                <w:rFonts w:ascii="Times New Roman" w:hAnsi="Times New Roman" w:cs="Times New Roman"/>
                <w:b/>
              </w:rPr>
            </w:pPr>
            <w:r w:rsidRPr="001D0846">
              <w:rPr>
                <w:rFonts w:ascii="Times New Roman" w:hAnsi="Times New Roman" w:cs="Times New Roman"/>
                <w:b/>
              </w:rPr>
              <w:t>2016/2017</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1</w:t>
            </w:r>
            <w:r>
              <w:rPr>
                <w:rFonts w:ascii="Times New Roman" w:hAnsi="Times New Roman" w:cs="Times New Roman"/>
                <w:b/>
              </w:rPr>
              <w:t>.</w:t>
            </w:r>
          </w:p>
        </w:tc>
        <w:tc>
          <w:tcPr>
            <w:tcW w:w="3827" w:type="dxa"/>
          </w:tcPr>
          <w:p w:rsidR="00714F5D" w:rsidRPr="001D0846" w:rsidRDefault="00714F5D" w:rsidP="008C5C6A">
            <w:pPr>
              <w:spacing w:line="276" w:lineRule="auto"/>
              <w:ind w:right="-334"/>
              <w:jc w:val="both"/>
              <w:rPr>
                <w:rFonts w:ascii="Times New Roman" w:hAnsi="Times New Roman" w:cs="Times New Roman"/>
              </w:rPr>
            </w:pPr>
            <w:r w:rsidRPr="001D0846">
              <w:rPr>
                <w:rFonts w:ascii="Times New Roman" w:hAnsi="Times New Roman" w:cs="Times New Roman"/>
              </w:rPr>
              <w:t>Venituri încasate  (mil.lei)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25129,8</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27622,1</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32714,2</w:t>
            </w:r>
          </w:p>
        </w:tc>
        <w:tc>
          <w:tcPr>
            <w:tcW w:w="1134" w:type="dxa"/>
            <w:vAlign w:val="center"/>
          </w:tcPr>
          <w:p w:rsidR="00714F5D" w:rsidRPr="001D0846" w:rsidRDefault="00714F5D" w:rsidP="008C5C6A">
            <w:pPr>
              <w:spacing w:line="276" w:lineRule="auto"/>
              <w:ind w:right="-103"/>
              <w:jc w:val="center"/>
              <w:rPr>
                <w:rFonts w:ascii="Times New Roman" w:hAnsi="Times New Roman" w:cs="Times New Roman"/>
              </w:rPr>
            </w:pPr>
            <w:r w:rsidRPr="001D0846">
              <w:rPr>
                <w:rFonts w:ascii="Times New Roman" w:hAnsi="Times New Roman" w:cs="Times New Roman"/>
              </w:rPr>
              <w:t>+9,02</w:t>
            </w:r>
          </w:p>
        </w:tc>
        <w:tc>
          <w:tcPr>
            <w:tcW w:w="1276" w:type="dxa"/>
            <w:vAlign w:val="center"/>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+15,56</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2</w:t>
            </w:r>
            <w:r>
              <w:rPr>
                <w:rFonts w:ascii="Times New Roman" w:hAnsi="Times New Roman" w:cs="Times New Roman"/>
                <w:b/>
              </w:rPr>
              <w:t>.</w:t>
            </w:r>
          </w:p>
        </w:tc>
        <w:tc>
          <w:tcPr>
            <w:tcW w:w="3827" w:type="dxa"/>
          </w:tcPr>
          <w:p w:rsidR="00714F5D" w:rsidRPr="001D0846" w:rsidRDefault="00714F5D" w:rsidP="008C5C6A">
            <w:pPr>
              <w:spacing w:line="276" w:lineRule="auto"/>
              <w:ind w:right="39"/>
              <w:jc w:val="both"/>
              <w:rPr>
                <w:rFonts w:ascii="Times New Roman" w:hAnsi="Times New Roman" w:cs="Times New Roman"/>
              </w:rPr>
            </w:pPr>
            <w:r w:rsidRPr="001D0846">
              <w:rPr>
                <w:rFonts w:ascii="Times New Roman" w:hAnsi="Times New Roman" w:cs="Times New Roman"/>
              </w:rPr>
              <w:t xml:space="preserve">Cheltuieli de întreținere executate de </w:t>
            </w:r>
            <w:r>
              <w:rPr>
                <w:rFonts w:ascii="Times New Roman" w:hAnsi="Times New Roman" w:cs="Times New Roman"/>
              </w:rPr>
              <w:t xml:space="preserve">către </w:t>
            </w:r>
            <w:r w:rsidRPr="001D0846">
              <w:rPr>
                <w:rFonts w:ascii="Times New Roman" w:hAnsi="Times New Roman" w:cs="Times New Roman"/>
              </w:rPr>
              <w:t>SFS (mii. lei)</w:t>
            </w:r>
            <w:r>
              <w:rPr>
                <w:rFonts w:ascii="Times New Roman" w:hAnsi="Times New Roman" w:cs="Times New Roman"/>
              </w:rPr>
              <w:t>,</w:t>
            </w:r>
            <w:r w:rsidRPr="001D0846">
              <w:rPr>
                <w:rFonts w:ascii="Times New Roman" w:hAnsi="Times New Roman" w:cs="Times New Roman"/>
              </w:rPr>
              <w:t xml:space="preserve"> dintre care:</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217882,0</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270125,8</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442278,3</w:t>
            </w:r>
          </w:p>
        </w:tc>
        <w:tc>
          <w:tcPr>
            <w:tcW w:w="1134" w:type="dxa"/>
            <w:vAlign w:val="center"/>
          </w:tcPr>
          <w:p w:rsidR="00714F5D" w:rsidRPr="001D0846" w:rsidRDefault="00714F5D" w:rsidP="008C5C6A">
            <w:pPr>
              <w:spacing w:line="276" w:lineRule="auto"/>
              <w:ind w:right="-103"/>
              <w:jc w:val="center"/>
              <w:rPr>
                <w:rFonts w:ascii="Times New Roman" w:hAnsi="Times New Roman" w:cs="Times New Roman"/>
              </w:rPr>
            </w:pPr>
            <w:r w:rsidRPr="001D0846">
              <w:rPr>
                <w:rFonts w:ascii="Times New Roman" w:hAnsi="Times New Roman" w:cs="Times New Roman"/>
              </w:rPr>
              <w:t>+19,34</w:t>
            </w:r>
          </w:p>
        </w:tc>
        <w:tc>
          <w:tcPr>
            <w:tcW w:w="1276" w:type="dxa"/>
            <w:vAlign w:val="center"/>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+38,92</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p>
        </w:tc>
        <w:tc>
          <w:tcPr>
            <w:tcW w:w="3827" w:type="dxa"/>
          </w:tcPr>
          <w:p w:rsidR="00714F5D" w:rsidRPr="001D0846" w:rsidRDefault="00714F5D" w:rsidP="008C5C6A">
            <w:pPr>
              <w:pStyle w:val="a7"/>
              <w:numPr>
                <w:ilvl w:val="0"/>
                <w:numId w:val="11"/>
              </w:numPr>
              <w:spacing w:line="276" w:lineRule="auto"/>
              <w:ind w:right="-334"/>
              <w:jc w:val="both"/>
              <w:rPr>
                <w:rFonts w:ascii="Times New Roman" w:hAnsi="Times New Roman" w:cs="Times New Roman"/>
              </w:rPr>
            </w:pPr>
            <w:r w:rsidRPr="001D0846">
              <w:rPr>
                <w:rFonts w:ascii="Times New Roman" w:hAnsi="Times New Roman" w:cs="Times New Roman"/>
              </w:rPr>
              <w:t>cheltuieli de personal (mii. lei)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158229,3</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177663,1</w:t>
            </w:r>
          </w:p>
        </w:tc>
        <w:tc>
          <w:tcPr>
            <w:tcW w:w="1134" w:type="dxa"/>
            <w:tcBorders>
              <w:right w:val="single" w:sz="4" w:space="0" w:color="auto"/>
            </w:tcBorders>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328442,9</w:t>
            </w:r>
          </w:p>
        </w:tc>
        <w:tc>
          <w:tcPr>
            <w:tcW w:w="1134" w:type="dxa"/>
            <w:tcBorders>
              <w:right w:val="single" w:sz="4" w:space="0" w:color="auto"/>
            </w:tcBorders>
            <w:vAlign w:val="center"/>
          </w:tcPr>
          <w:p w:rsidR="00714F5D" w:rsidRPr="001D0846" w:rsidRDefault="00714F5D" w:rsidP="008C5C6A">
            <w:pPr>
              <w:spacing w:line="276" w:lineRule="auto"/>
              <w:ind w:right="-103"/>
              <w:jc w:val="center"/>
              <w:rPr>
                <w:rFonts w:ascii="Times New Roman" w:hAnsi="Times New Roman" w:cs="Times New Roman"/>
              </w:rPr>
            </w:pPr>
            <w:r w:rsidRPr="001D0846">
              <w:rPr>
                <w:rFonts w:ascii="Times New Roman" w:hAnsi="Times New Roman" w:cs="Times New Roman"/>
              </w:rPr>
              <w:t>+10,94</w:t>
            </w:r>
          </w:p>
        </w:tc>
        <w:tc>
          <w:tcPr>
            <w:tcW w:w="1276" w:type="dxa"/>
            <w:tcBorders>
              <w:right w:val="single" w:sz="4" w:space="0" w:color="auto"/>
            </w:tcBorders>
            <w:vAlign w:val="center"/>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+45,91</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3</w:t>
            </w:r>
            <w:r>
              <w:rPr>
                <w:rFonts w:ascii="Times New Roman" w:hAnsi="Times New Roman" w:cs="Times New Roman"/>
                <w:b/>
              </w:rPr>
              <w:t>.</w:t>
            </w:r>
          </w:p>
        </w:tc>
        <w:tc>
          <w:tcPr>
            <w:tcW w:w="3827" w:type="dxa"/>
          </w:tcPr>
          <w:p w:rsidR="00714F5D" w:rsidRPr="001D0846" w:rsidRDefault="00714F5D" w:rsidP="008C5C6A">
            <w:pPr>
              <w:spacing w:line="276" w:lineRule="auto"/>
              <w:ind w:right="-334"/>
              <w:jc w:val="both"/>
              <w:rPr>
                <w:rFonts w:ascii="Times New Roman" w:hAnsi="Times New Roman" w:cs="Times New Roman"/>
              </w:rPr>
            </w:pPr>
            <w:r w:rsidRPr="001D0846">
              <w:rPr>
                <w:rFonts w:ascii="Times New Roman" w:hAnsi="Times New Roman" w:cs="Times New Roman"/>
              </w:rPr>
              <w:t>Numărul mediu de personal</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1774</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1706</w:t>
            </w:r>
          </w:p>
        </w:tc>
        <w:tc>
          <w:tcPr>
            <w:tcW w:w="1134" w:type="dxa"/>
            <w:tcBorders>
              <w:right w:val="single" w:sz="4" w:space="0" w:color="auto"/>
            </w:tcBorders>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1666</w:t>
            </w:r>
          </w:p>
        </w:tc>
        <w:tc>
          <w:tcPr>
            <w:tcW w:w="1134" w:type="dxa"/>
            <w:tcBorders>
              <w:right w:val="single" w:sz="4" w:space="0" w:color="auto"/>
            </w:tcBorders>
            <w:vAlign w:val="center"/>
          </w:tcPr>
          <w:p w:rsidR="00714F5D" w:rsidRPr="001D0846" w:rsidRDefault="00714F5D" w:rsidP="008C5C6A">
            <w:pPr>
              <w:spacing w:line="276" w:lineRule="auto"/>
              <w:ind w:right="-103"/>
              <w:jc w:val="center"/>
              <w:rPr>
                <w:rFonts w:ascii="Times New Roman" w:hAnsi="Times New Roman" w:cs="Times New Roman"/>
              </w:rPr>
            </w:pPr>
            <w:r w:rsidRPr="001D0846">
              <w:rPr>
                <w:rFonts w:ascii="Times New Roman" w:hAnsi="Times New Roman" w:cs="Times New Roman"/>
              </w:rPr>
              <w:t>-3,99</w:t>
            </w:r>
          </w:p>
        </w:tc>
        <w:tc>
          <w:tcPr>
            <w:tcW w:w="1276" w:type="dxa"/>
            <w:tcBorders>
              <w:right w:val="single" w:sz="4" w:space="0" w:color="auto"/>
            </w:tcBorders>
            <w:vAlign w:val="center"/>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-2,4</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4</w:t>
            </w:r>
            <w:r>
              <w:rPr>
                <w:rFonts w:ascii="Times New Roman" w:hAnsi="Times New Roman" w:cs="Times New Roman"/>
                <w:b/>
              </w:rPr>
              <w:t>.</w:t>
            </w:r>
          </w:p>
        </w:tc>
        <w:tc>
          <w:tcPr>
            <w:tcW w:w="3827" w:type="dxa"/>
          </w:tcPr>
          <w:p w:rsidR="00714F5D" w:rsidRPr="001D0846" w:rsidRDefault="00714F5D" w:rsidP="008C5C6A">
            <w:pPr>
              <w:spacing w:line="276" w:lineRule="auto"/>
              <w:ind w:right="-334"/>
              <w:jc w:val="both"/>
              <w:rPr>
                <w:rFonts w:ascii="Times New Roman" w:hAnsi="Times New Roman" w:cs="Times New Roman"/>
              </w:rPr>
            </w:pPr>
            <w:r w:rsidRPr="001D0846">
              <w:rPr>
                <w:rFonts w:ascii="Times New Roman" w:hAnsi="Times New Roman" w:cs="Times New Roman"/>
              </w:rPr>
              <w:t>Numărul de contribuabili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457097</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378148</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rPr>
            </w:pPr>
            <w:r w:rsidRPr="001D0846">
              <w:rPr>
                <w:rFonts w:ascii="Times New Roman" w:hAnsi="Times New Roman" w:cs="Times New Roman"/>
              </w:rPr>
              <w:t>351110</w:t>
            </w:r>
          </w:p>
        </w:tc>
        <w:tc>
          <w:tcPr>
            <w:tcW w:w="1134" w:type="dxa"/>
            <w:vAlign w:val="center"/>
          </w:tcPr>
          <w:p w:rsidR="00714F5D" w:rsidRPr="001D0846" w:rsidRDefault="00714F5D" w:rsidP="008C5C6A">
            <w:pPr>
              <w:spacing w:line="276" w:lineRule="auto"/>
              <w:ind w:right="-103"/>
              <w:jc w:val="center"/>
              <w:rPr>
                <w:rFonts w:ascii="Times New Roman" w:hAnsi="Times New Roman" w:cs="Times New Roman"/>
              </w:rPr>
            </w:pPr>
            <w:r w:rsidRPr="001D0846">
              <w:rPr>
                <w:rFonts w:ascii="Times New Roman" w:hAnsi="Times New Roman" w:cs="Times New Roman"/>
              </w:rPr>
              <w:t>-20,88</w:t>
            </w:r>
          </w:p>
        </w:tc>
        <w:tc>
          <w:tcPr>
            <w:tcW w:w="1276" w:type="dxa"/>
            <w:vAlign w:val="center"/>
          </w:tcPr>
          <w:p w:rsidR="00714F5D" w:rsidRPr="001D0846" w:rsidRDefault="00714F5D" w:rsidP="008C5C6A">
            <w:pPr>
              <w:spacing w:line="276" w:lineRule="auto"/>
              <w:jc w:val="center"/>
              <w:rPr>
                <w:rFonts w:ascii="Times New Roman" w:hAnsi="Times New Roman" w:cs="Times New Roman"/>
              </w:rPr>
            </w:pPr>
            <w:r w:rsidRPr="001D0846">
              <w:rPr>
                <w:rFonts w:ascii="Times New Roman" w:hAnsi="Times New Roman" w:cs="Times New Roman"/>
              </w:rPr>
              <w:t>-7,7</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27" w:type="dxa"/>
          </w:tcPr>
          <w:p w:rsidR="00714F5D" w:rsidRPr="001D0846" w:rsidRDefault="00714F5D" w:rsidP="008C5C6A">
            <w:pPr>
              <w:spacing w:line="276" w:lineRule="auto"/>
              <w:ind w:right="39"/>
              <w:jc w:val="both"/>
              <w:rPr>
                <w:rFonts w:ascii="Times New Roman" w:hAnsi="Times New Roman" w:cs="Times New Roman"/>
                <w:b/>
              </w:rPr>
            </w:pPr>
            <w:r w:rsidRPr="001D0846">
              <w:rPr>
                <w:rFonts w:ascii="Times New Roman" w:hAnsi="Times New Roman" w:cs="Times New Roman"/>
                <w:b/>
                <w:lang w:val="ro-MD"/>
              </w:rPr>
              <w:t>Mii lei cheltuiți la 1 milion lei de venituri colectate (mii lei)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8,67</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9,78</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13,52</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+11,35</w:t>
            </w:r>
          </w:p>
        </w:tc>
        <w:tc>
          <w:tcPr>
            <w:tcW w:w="1276" w:type="dxa"/>
            <w:vAlign w:val="center"/>
          </w:tcPr>
          <w:p w:rsidR="00714F5D" w:rsidRPr="001D0846" w:rsidRDefault="00714F5D" w:rsidP="008C5C6A">
            <w:pPr>
              <w:spacing w:line="276" w:lineRule="auto"/>
              <w:ind w:right="35"/>
              <w:jc w:val="center"/>
              <w:rPr>
                <w:rFonts w:ascii="Times New Roman" w:hAnsi="Times New Roman" w:cs="Times New Roman"/>
                <w:b/>
              </w:rPr>
            </w:pPr>
            <w:r w:rsidRPr="001D0846">
              <w:rPr>
                <w:rFonts w:ascii="Times New Roman" w:hAnsi="Times New Roman" w:cs="Times New Roman"/>
                <w:b/>
              </w:rPr>
              <w:t>+27,66</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27" w:type="dxa"/>
          </w:tcPr>
          <w:p w:rsidR="00714F5D" w:rsidRPr="001D0846" w:rsidRDefault="00714F5D" w:rsidP="008C5C6A">
            <w:pPr>
              <w:spacing w:line="276" w:lineRule="auto"/>
              <w:ind w:right="39"/>
              <w:jc w:val="both"/>
              <w:rPr>
                <w:rFonts w:ascii="Times New Roman" w:hAnsi="Times New Roman" w:cs="Times New Roman"/>
                <w:b/>
                <w:lang w:val="ro-MD"/>
              </w:rPr>
            </w:pPr>
            <w:r w:rsidRPr="001D0846">
              <w:rPr>
                <w:rFonts w:ascii="Times New Roman" w:hAnsi="Times New Roman" w:cs="Times New Roman"/>
                <w:b/>
                <w:lang w:val="ro-MD"/>
              </w:rPr>
              <w:t>Mii lei cheltuieli de personal la 1 milion lei de venituri colectate (mii lei)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6,29</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6,43</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10,04</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+2,18</w:t>
            </w:r>
          </w:p>
        </w:tc>
        <w:tc>
          <w:tcPr>
            <w:tcW w:w="1276" w:type="dxa"/>
            <w:vAlign w:val="center"/>
          </w:tcPr>
          <w:p w:rsidR="00714F5D" w:rsidRPr="001D0846" w:rsidRDefault="00714F5D" w:rsidP="008C5C6A">
            <w:pPr>
              <w:spacing w:line="276" w:lineRule="auto"/>
              <w:ind w:right="35"/>
              <w:jc w:val="center"/>
              <w:rPr>
                <w:rFonts w:ascii="Times New Roman" w:hAnsi="Times New Roman" w:cs="Times New Roman"/>
                <w:b/>
              </w:rPr>
            </w:pPr>
            <w:r w:rsidRPr="001D0846">
              <w:rPr>
                <w:rFonts w:ascii="Times New Roman" w:hAnsi="Times New Roman" w:cs="Times New Roman"/>
                <w:b/>
              </w:rPr>
              <w:t>+35,96</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27" w:type="dxa"/>
          </w:tcPr>
          <w:p w:rsidR="00714F5D" w:rsidRPr="001D0846" w:rsidRDefault="00714F5D" w:rsidP="008C5C6A">
            <w:pPr>
              <w:spacing w:line="276" w:lineRule="auto"/>
              <w:jc w:val="both"/>
              <w:rPr>
                <w:rFonts w:ascii="Times New Roman" w:hAnsi="Times New Roman" w:cs="Times New Roman"/>
                <w:b/>
                <w:lang w:val="ro-MD"/>
              </w:rPr>
            </w:pPr>
            <w:r w:rsidRPr="001D0846">
              <w:rPr>
                <w:rFonts w:ascii="Times New Roman" w:hAnsi="Times New Roman" w:cs="Times New Roman"/>
                <w:b/>
                <w:lang w:val="ro-MD"/>
              </w:rPr>
              <w:t>Venituri bugetare colectate la numărul mediu de personal (mil.lei)</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14,16</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16,19</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19,63</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+12,54</w:t>
            </w:r>
          </w:p>
        </w:tc>
        <w:tc>
          <w:tcPr>
            <w:tcW w:w="1276" w:type="dxa"/>
            <w:vAlign w:val="center"/>
          </w:tcPr>
          <w:p w:rsidR="00714F5D" w:rsidRPr="001D0846" w:rsidRDefault="00714F5D" w:rsidP="008C5C6A">
            <w:pPr>
              <w:spacing w:line="276" w:lineRule="auto"/>
              <w:ind w:right="35"/>
              <w:jc w:val="center"/>
              <w:rPr>
                <w:rFonts w:ascii="Times New Roman" w:hAnsi="Times New Roman" w:cs="Times New Roman"/>
                <w:b/>
              </w:rPr>
            </w:pPr>
            <w:r w:rsidRPr="001D0846">
              <w:rPr>
                <w:rFonts w:ascii="Times New Roman" w:hAnsi="Times New Roman" w:cs="Times New Roman"/>
                <w:b/>
              </w:rPr>
              <w:t>+17,52</w:t>
            </w:r>
          </w:p>
        </w:tc>
      </w:tr>
      <w:tr w:rsidR="00714F5D" w:rsidRPr="001D0846" w:rsidTr="008C5C6A">
        <w:tc>
          <w:tcPr>
            <w:tcW w:w="710" w:type="dxa"/>
          </w:tcPr>
          <w:p w:rsidR="00714F5D" w:rsidRPr="001D0846" w:rsidRDefault="00714F5D" w:rsidP="008C5C6A">
            <w:pPr>
              <w:spacing w:line="276" w:lineRule="auto"/>
              <w:ind w:right="-334"/>
              <w:jc w:val="center"/>
              <w:rPr>
                <w:rFonts w:ascii="Times New Roman" w:hAnsi="Times New Roman" w:cs="Times New Roman"/>
                <w:b/>
              </w:rPr>
            </w:pPr>
            <w:r w:rsidRPr="001D0846">
              <w:rPr>
                <w:rFonts w:ascii="Times New Roman" w:hAnsi="Times New Roman" w:cs="Times New Roman"/>
                <w:b/>
              </w:rPr>
              <w:t>-</w:t>
            </w:r>
          </w:p>
        </w:tc>
        <w:tc>
          <w:tcPr>
            <w:tcW w:w="3827" w:type="dxa"/>
          </w:tcPr>
          <w:p w:rsidR="00714F5D" w:rsidRPr="001D0846" w:rsidRDefault="00714F5D" w:rsidP="008C5C6A">
            <w:pPr>
              <w:spacing w:line="276" w:lineRule="auto"/>
              <w:ind w:right="39"/>
              <w:jc w:val="both"/>
              <w:rPr>
                <w:rFonts w:ascii="Times New Roman" w:hAnsi="Times New Roman" w:cs="Times New Roman"/>
                <w:b/>
                <w:lang w:val="ro-MD"/>
              </w:rPr>
            </w:pPr>
            <w:r w:rsidRPr="001D0846">
              <w:rPr>
                <w:rFonts w:ascii="Times New Roman" w:hAnsi="Times New Roman" w:cs="Times New Roman"/>
                <w:b/>
                <w:lang w:val="ro-MD"/>
              </w:rPr>
              <w:t xml:space="preserve">Venituri bugetare colectate la numărul mediu de contribuabili.   </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0,05</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0,07</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0,09</w:t>
            </w:r>
          </w:p>
        </w:tc>
        <w:tc>
          <w:tcPr>
            <w:tcW w:w="1134" w:type="dxa"/>
            <w:vAlign w:val="center"/>
          </w:tcPr>
          <w:p w:rsidR="00714F5D" w:rsidRPr="001D0846" w:rsidRDefault="00714F5D" w:rsidP="008C5C6A">
            <w:pPr>
              <w:spacing w:line="276" w:lineRule="auto"/>
              <w:ind w:right="33"/>
              <w:jc w:val="center"/>
              <w:rPr>
                <w:rFonts w:ascii="Times New Roman" w:hAnsi="Times New Roman" w:cs="Times New Roman"/>
                <w:b/>
              </w:rPr>
            </w:pPr>
            <w:r w:rsidRPr="001D0846">
              <w:rPr>
                <w:rFonts w:ascii="Times New Roman" w:hAnsi="Times New Roman" w:cs="Times New Roman"/>
                <w:b/>
              </w:rPr>
              <w:t>+28,57</w:t>
            </w:r>
          </w:p>
        </w:tc>
        <w:tc>
          <w:tcPr>
            <w:tcW w:w="1276" w:type="dxa"/>
            <w:vAlign w:val="center"/>
          </w:tcPr>
          <w:p w:rsidR="00714F5D" w:rsidRPr="001D0846" w:rsidRDefault="00714F5D" w:rsidP="008C5C6A">
            <w:pPr>
              <w:spacing w:line="276" w:lineRule="auto"/>
              <w:ind w:right="35"/>
              <w:jc w:val="center"/>
              <w:rPr>
                <w:rFonts w:ascii="Times New Roman" w:hAnsi="Times New Roman" w:cs="Times New Roman"/>
                <w:b/>
              </w:rPr>
            </w:pPr>
            <w:r w:rsidRPr="001D0846">
              <w:rPr>
                <w:rFonts w:ascii="Times New Roman" w:hAnsi="Times New Roman" w:cs="Times New Roman"/>
                <w:b/>
              </w:rPr>
              <w:t>+22,22</w:t>
            </w:r>
          </w:p>
        </w:tc>
      </w:tr>
    </w:tbl>
    <w:p w:rsidR="00714F5D" w:rsidRPr="001D0846" w:rsidRDefault="00714F5D" w:rsidP="00714F5D">
      <w:pPr>
        <w:spacing w:after="0" w:line="276" w:lineRule="auto"/>
        <w:ind w:right="-334"/>
        <w:rPr>
          <w:rFonts w:ascii="Times New Roman" w:hAnsi="Times New Roman" w:cs="Times New Roman"/>
          <w:i/>
          <w:sz w:val="20"/>
          <w:szCs w:val="20"/>
        </w:rPr>
      </w:pP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Informații</w:t>
      </w:r>
      <w:r>
        <w:rPr>
          <w:rFonts w:ascii="Times New Roman" w:hAnsi="Times New Roman" w:cs="Times New Roman"/>
          <w:i/>
          <w:sz w:val="20"/>
          <w:szCs w:val="20"/>
        </w:rPr>
        <w:t>le</w:t>
      </w:r>
      <w:r w:rsidRPr="001D0846">
        <w:rPr>
          <w:rFonts w:ascii="Times New Roman" w:hAnsi="Times New Roman" w:cs="Times New Roman"/>
          <w:i/>
          <w:sz w:val="20"/>
          <w:szCs w:val="20"/>
        </w:rPr>
        <w:t xml:space="preserve"> prezentate de către SFS.</w:t>
      </w:r>
    </w:p>
    <w:p w:rsidR="00714F5D" w:rsidRPr="001D0846" w:rsidRDefault="00714F5D" w:rsidP="00714F5D">
      <w:pPr>
        <w:spacing w:after="0" w:line="276" w:lineRule="auto"/>
        <w:ind w:right="-334"/>
        <w:jc w:val="right"/>
        <w:rPr>
          <w:rFonts w:ascii="Times New Roman" w:hAnsi="Times New Roman" w:cs="Times New Roman"/>
          <w:b/>
          <w:i/>
          <w:sz w:val="28"/>
          <w:szCs w:val="28"/>
        </w:rPr>
      </w:pPr>
      <w:r w:rsidRPr="001D0846">
        <w:rPr>
          <w:rFonts w:ascii="Times New Roman" w:hAnsi="Times New Roman" w:cs="Times New Roman"/>
          <w:b/>
          <w:i/>
          <w:sz w:val="28"/>
          <w:szCs w:val="28"/>
        </w:rPr>
        <w:t>Tabelul nr.10</w:t>
      </w:r>
    </w:p>
    <w:p w:rsidR="00714F5D" w:rsidRPr="001D0846" w:rsidRDefault="00714F5D" w:rsidP="00714F5D">
      <w:pPr>
        <w:spacing w:after="0" w:line="276" w:lineRule="auto"/>
        <w:ind w:right="-334"/>
        <w:jc w:val="center"/>
        <w:rPr>
          <w:rFonts w:ascii="Times New Roman" w:hAnsi="Times New Roman" w:cs="Times New Roman"/>
          <w:i/>
          <w:sz w:val="28"/>
          <w:szCs w:val="28"/>
        </w:rPr>
      </w:pPr>
      <w:r w:rsidRPr="001D0846">
        <w:rPr>
          <w:rFonts w:ascii="Times New Roman" w:hAnsi="Times New Roman" w:cs="Times New Roman"/>
          <w:i/>
          <w:sz w:val="28"/>
          <w:szCs w:val="28"/>
        </w:rPr>
        <w:t>Informația privind încasările realizate și costurile suportate în perioad</w:t>
      </w:r>
      <w:r>
        <w:rPr>
          <w:rFonts w:ascii="Times New Roman" w:hAnsi="Times New Roman" w:cs="Times New Roman"/>
          <w:i/>
          <w:sz w:val="28"/>
          <w:szCs w:val="28"/>
        </w:rPr>
        <w:t>a anilor</w:t>
      </w:r>
      <w:r w:rsidRPr="001D0846">
        <w:rPr>
          <w:rFonts w:ascii="Times New Roman" w:hAnsi="Times New Roman" w:cs="Times New Roman"/>
          <w:i/>
          <w:sz w:val="28"/>
          <w:szCs w:val="28"/>
        </w:rPr>
        <w:t xml:space="preserve"> 2015-2017 de către SV în activitatea de administrare, raportată la numărul de personal și </w:t>
      </w:r>
      <w:r>
        <w:rPr>
          <w:rFonts w:ascii="Times New Roman" w:hAnsi="Times New Roman" w:cs="Times New Roman"/>
          <w:i/>
          <w:sz w:val="28"/>
          <w:szCs w:val="28"/>
        </w:rPr>
        <w:t xml:space="preserve">la </w:t>
      </w:r>
      <w:r w:rsidRPr="001D0846">
        <w:rPr>
          <w:rFonts w:ascii="Times New Roman" w:hAnsi="Times New Roman" w:cs="Times New Roman"/>
          <w:i/>
          <w:sz w:val="28"/>
          <w:szCs w:val="28"/>
        </w:rPr>
        <w:t>numărul de contribuabili administrați</w:t>
      </w:r>
    </w:p>
    <w:tbl>
      <w:tblPr>
        <w:tblStyle w:val="a3"/>
        <w:tblW w:w="10275" w:type="dxa"/>
        <w:tblInd w:w="-726" w:type="dxa"/>
        <w:tblLook w:val="04A0" w:firstRow="1" w:lastRow="0" w:firstColumn="1" w:lastColumn="0" w:noHBand="0" w:noVBand="1"/>
      </w:tblPr>
      <w:tblGrid>
        <w:gridCol w:w="702"/>
        <w:gridCol w:w="3972"/>
        <w:gridCol w:w="1041"/>
        <w:gridCol w:w="1112"/>
        <w:gridCol w:w="1132"/>
        <w:gridCol w:w="1158"/>
        <w:gridCol w:w="1158"/>
      </w:tblGrid>
      <w:tr w:rsidR="00714F5D" w:rsidRPr="001D0846" w:rsidTr="008C5C6A">
        <w:trPr>
          <w:trHeight w:val="58"/>
        </w:trPr>
        <w:tc>
          <w:tcPr>
            <w:tcW w:w="702" w:type="dxa"/>
            <w:vMerge w:val="restart"/>
          </w:tcPr>
          <w:p w:rsidR="00714F5D" w:rsidRPr="001D0846" w:rsidRDefault="00714F5D" w:rsidP="008C5C6A">
            <w:pPr>
              <w:pStyle w:val="a9"/>
              <w:tabs>
                <w:tab w:val="left" w:pos="3843"/>
              </w:tabs>
              <w:spacing w:line="276" w:lineRule="auto"/>
              <w:ind w:right="-334"/>
              <w:rPr>
                <w:b/>
                <w:sz w:val="22"/>
                <w:szCs w:val="22"/>
              </w:rPr>
            </w:pPr>
            <w:r w:rsidRPr="001D0846">
              <w:rPr>
                <w:b/>
                <w:sz w:val="22"/>
                <w:szCs w:val="22"/>
              </w:rPr>
              <w:t xml:space="preserve">Nr. </w:t>
            </w:r>
          </w:p>
          <w:p w:rsidR="00714F5D" w:rsidRPr="001D0846" w:rsidRDefault="00714F5D" w:rsidP="008C5C6A">
            <w:pPr>
              <w:pStyle w:val="a9"/>
              <w:tabs>
                <w:tab w:val="left" w:pos="3843"/>
              </w:tabs>
              <w:spacing w:line="276" w:lineRule="auto"/>
              <w:ind w:right="-334"/>
              <w:rPr>
                <w:b/>
                <w:sz w:val="22"/>
                <w:szCs w:val="22"/>
              </w:rPr>
            </w:pPr>
            <w:r w:rsidRPr="001D0846">
              <w:rPr>
                <w:b/>
                <w:sz w:val="22"/>
                <w:szCs w:val="22"/>
              </w:rPr>
              <w:t>d/o</w:t>
            </w:r>
          </w:p>
        </w:tc>
        <w:tc>
          <w:tcPr>
            <w:tcW w:w="3972" w:type="dxa"/>
            <w:vMerge w:val="restart"/>
          </w:tcPr>
          <w:p w:rsidR="00714F5D" w:rsidRPr="001D0846" w:rsidRDefault="00714F5D" w:rsidP="008C5C6A">
            <w:pPr>
              <w:pStyle w:val="a9"/>
              <w:tabs>
                <w:tab w:val="left" w:pos="3843"/>
              </w:tabs>
              <w:spacing w:line="276" w:lineRule="auto"/>
              <w:ind w:right="-334"/>
              <w:jc w:val="center"/>
              <w:rPr>
                <w:b/>
                <w:sz w:val="22"/>
                <w:szCs w:val="22"/>
              </w:rPr>
            </w:pPr>
            <w:r w:rsidRPr="001D0846">
              <w:rPr>
                <w:b/>
                <w:sz w:val="22"/>
                <w:szCs w:val="22"/>
              </w:rPr>
              <w:t>Indicatori</w:t>
            </w:r>
          </w:p>
        </w:tc>
        <w:tc>
          <w:tcPr>
            <w:tcW w:w="3285" w:type="dxa"/>
            <w:gridSpan w:val="3"/>
          </w:tcPr>
          <w:p w:rsidR="00714F5D" w:rsidRPr="001D0846" w:rsidRDefault="00714F5D" w:rsidP="008C5C6A">
            <w:pPr>
              <w:pStyle w:val="a9"/>
              <w:tabs>
                <w:tab w:val="left" w:pos="3843"/>
              </w:tabs>
              <w:spacing w:line="276" w:lineRule="auto"/>
              <w:ind w:right="-334"/>
              <w:jc w:val="center"/>
              <w:rPr>
                <w:b/>
                <w:sz w:val="22"/>
                <w:szCs w:val="22"/>
              </w:rPr>
            </w:pPr>
            <w:r w:rsidRPr="001D0846">
              <w:rPr>
                <w:b/>
                <w:sz w:val="22"/>
                <w:szCs w:val="22"/>
              </w:rPr>
              <w:t>Anul</w:t>
            </w:r>
          </w:p>
        </w:tc>
        <w:tc>
          <w:tcPr>
            <w:tcW w:w="2316" w:type="dxa"/>
            <w:gridSpan w:val="2"/>
          </w:tcPr>
          <w:p w:rsidR="00714F5D" w:rsidRPr="001D0846" w:rsidRDefault="00714F5D" w:rsidP="008C5C6A">
            <w:pPr>
              <w:pStyle w:val="a9"/>
              <w:tabs>
                <w:tab w:val="left" w:pos="3843"/>
              </w:tabs>
              <w:spacing w:line="276" w:lineRule="auto"/>
              <w:jc w:val="center"/>
              <w:rPr>
                <w:b/>
                <w:sz w:val="22"/>
                <w:szCs w:val="22"/>
              </w:rPr>
            </w:pPr>
            <w:r w:rsidRPr="001D0846">
              <w:rPr>
                <w:b/>
                <w:sz w:val="22"/>
                <w:szCs w:val="22"/>
              </w:rPr>
              <w:t>Ritmul de creștere</w:t>
            </w:r>
          </w:p>
        </w:tc>
      </w:tr>
      <w:tr w:rsidR="00714F5D" w:rsidRPr="001D0846" w:rsidTr="008C5C6A">
        <w:trPr>
          <w:trHeight w:val="58"/>
        </w:trPr>
        <w:tc>
          <w:tcPr>
            <w:tcW w:w="702" w:type="dxa"/>
            <w:vMerge/>
          </w:tcPr>
          <w:p w:rsidR="00714F5D" w:rsidRPr="001D0846" w:rsidRDefault="00714F5D" w:rsidP="008C5C6A">
            <w:pPr>
              <w:pStyle w:val="a9"/>
              <w:tabs>
                <w:tab w:val="left" w:pos="3843"/>
              </w:tabs>
              <w:spacing w:line="276" w:lineRule="auto"/>
              <w:ind w:right="-334"/>
              <w:jc w:val="center"/>
              <w:rPr>
                <w:b/>
                <w:sz w:val="22"/>
                <w:szCs w:val="22"/>
              </w:rPr>
            </w:pPr>
          </w:p>
        </w:tc>
        <w:tc>
          <w:tcPr>
            <w:tcW w:w="3972" w:type="dxa"/>
            <w:vMerge/>
          </w:tcPr>
          <w:p w:rsidR="00714F5D" w:rsidRPr="001D0846" w:rsidRDefault="00714F5D" w:rsidP="008C5C6A">
            <w:pPr>
              <w:pStyle w:val="a9"/>
              <w:tabs>
                <w:tab w:val="left" w:pos="3843"/>
              </w:tabs>
              <w:spacing w:line="276" w:lineRule="auto"/>
              <w:ind w:right="-334"/>
              <w:jc w:val="center"/>
              <w:rPr>
                <w:b/>
                <w:sz w:val="22"/>
                <w:szCs w:val="22"/>
              </w:rPr>
            </w:pPr>
          </w:p>
        </w:tc>
        <w:tc>
          <w:tcPr>
            <w:tcW w:w="1041" w:type="dxa"/>
          </w:tcPr>
          <w:p w:rsidR="00714F5D" w:rsidRPr="001D0846" w:rsidRDefault="00714F5D" w:rsidP="008C5C6A">
            <w:pPr>
              <w:pStyle w:val="a9"/>
              <w:tabs>
                <w:tab w:val="left" w:pos="3843"/>
              </w:tabs>
              <w:spacing w:line="276" w:lineRule="auto"/>
              <w:ind w:right="-216"/>
              <w:jc w:val="center"/>
              <w:rPr>
                <w:b/>
                <w:sz w:val="22"/>
                <w:szCs w:val="22"/>
              </w:rPr>
            </w:pPr>
            <w:r w:rsidRPr="001D0846">
              <w:rPr>
                <w:b/>
                <w:sz w:val="22"/>
                <w:szCs w:val="22"/>
              </w:rPr>
              <w:t>2015</w:t>
            </w:r>
          </w:p>
        </w:tc>
        <w:tc>
          <w:tcPr>
            <w:tcW w:w="1112" w:type="dxa"/>
          </w:tcPr>
          <w:p w:rsidR="00714F5D" w:rsidRPr="001D0846" w:rsidRDefault="00714F5D" w:rsidP="008C5C6A">
            <w:pPr>
              <w:pStyle w:val="a9"/>
              <w:tabs>
                <w:tab w:val="left" w:pos="3843"/>
              </w:tabs>
              <w:spacing w:line="276" w:lineRule="auto"/>
              <w:ind w:right="-216"/>
              <w:jc w:val="center"/>
              <w:rPr>
                <w:b/>
                <w:sz w:val="22"/>
                <w:szCs w:val="22"/>
              </w:rPr>
            </w:pPr>
            <w:r w:rsidRPr="001D0846">
              <w:rPr>
                <w:b/>
                <w:sz w:val="22"/>
                <w:szCs w:val="22"/>
              </w:rPr>
              <w:t>2016</w:t>
            </w:r>
          </w:p>
        </w:tc>
        <w:tc>
          <w:tcPr>
            <w:tcW w:w="1132" w:type="dxa"/>
          </w:tcPr>
          <w:p w:rsidR="00714F5D" w:rsidRPr="001D0846" w:rsidRDefault="00714F5D" w:rsidP="008C5C6A">
            <w:pPr>
              <w:pStyle w:val="a9"/>
              <w:tabs>
                <w:tab w:val="left" w:pos="3843"/>
              </w:tabs>
              <w:spacing w:line="276" w:lineRule="auto"/>
              <w:ind w:right="-216"/>
              <w:jc w:val="center"/>
              <w:rPr>
                <w:b/>
                <w:sz w:val="22"/>
                <w:szCs w:val="22"/>
              </w:rPr>
            </w:pPr>
            <w:r w:rsidRPr="001D0846">
              <w:rPr>
                <w:b/>
                <w:sz w:val="22"/>
                <w:szCs w:val="22"/>
              </w:rPr>
              <w:t>2017</w:t>
            </w:r>
          </w:p>
        </w:tc>
        <w:tc>
          <w:tcPr>
            <w:tcW w:w="1158" w:type="dxa"/>
          </w:tcPr>
          <w:p w:rsidR="00714F5D" w:rsidRPr="001D0846" w:rsidRDefault="00714F5D" w:rsidP="008C5C6A">
            <w:pPr>
              <w:pStyle w:val="a9"/>
              <w:tabs>
                <w:tab w:val="left" w:pos="3843"/>
              </w:tabs>
              <w:spacing w:line="276" w:lineRule="auto"/>
              <w:jc w:val="center"/>
              <w:rPr>
                <w:b/>
                <w:sz w:val="22"/>
                <w:szCs w:val="22"/>
              </w:rPr>
            </w:pPr>
            <w:r w:rsidRPr="001D0846">
              <w:rPr>
                <w:b/>
                <w:sz w:val="22"/>
                <w:szCs w:val="22"/>
              </w:rPr>
              <w:t>2015/2016</w:t>
            </w:r>
          </w:p>
        </w:tc>
        <w:tc>
          <w:tcPr>
            <w:tcW w:w="1158" w:type="dxa"/>
          </w:tcPr>
          <w:p w:rsidR="00714F5D" w:rsidRPr="001D0846" w:rsidRDefault="00714F5D" w:rsidP="008C5C6A">
            <w:pPr>
              <w:pStyle w:val="a9"/>
              <w:tabs>
                <w:tab w:val="left" w:pos="3843"/>
              </w:tabs>
              <w:spacing w:line="276" w:lineRule="auto"/>
              <w:jc w:val="center"/>
              <w:rPr>
                <w:b/>
                <w:sz w:val="22"/>
                <w:szCs w:val="22"/>
              </w:rPr>
            </w:pPr>
            <w:r w:rsidRPr="001D0846">
              <w:rPr>
                <w:b/>
                <w:sz w:val="22"/>
                <w:szCs w:val="22"/>
              </w:rPr>
              <w:t>2016/2017</w:t>
            </w:r>
          </w:p>
        </w:tc>
      </w:tr>
      <w:tr w:rsidR="00714F5D" w:rsidRPr="001D0846" w:rsidTr="008C5C6A">
        <w:tc>
          <w:tcPr>
            <w:tcW w:w="702" w:type="dxa"/>
          </w:tcPr>
          <w:p w:rsidR="00714F5D" w:rsidRPr="001D0846" w:rsidRDefault="00714F5D" w:rsidP="008C5C6A">
            <w:pPr>
              <w:pStyle w:val="a9"/>
              <w:tabs>
                <w:tab w:val="left" w:pos="3843"/>
              </w:tabs>
              <w:spacing w:line="276" w:lineRule="auto"/>
              <w:jc w:val="center"/>
              <w:rPr>
                <w:b/>
                <w:sz w:val="22"/>
                <w:szCs w:val="22"/>
              </w:rPr>
            </w:pPr>
            <w:r w:rsidRPr="001D0846">
              <w:rPr>
                <w:b/>
                <w:sz w:val="22"/>
                <w:szCs w:val="22"/>
              </w:rPr>
              <w:t>1</w:t>
            </w:r>
            <w:r>
              <w:rPr>
                <w:b/>
                <w:sz w:val="22"/>
                <w:szCs w:val="22"/>
              </w:rPr>
              <w:t>.</w:t>
            </w:r>
          </w:p>
        </w:tc>
        <w:tc>
          <w:tcPr>
            <w:tcW w:w="3972" w:type="dxa"/>
          </w:tcPr>
          <w:p w:rsidR="00714F5D" w:rsidRPr="001D0846" w:rsidRDefault="00714F5D" w:rsidP="008C5C6A">
            <w:pPr>
              <w:pStyle w:val="a9"/>
              <w:tabs>
                <w:tab w:val="left" w:pos="3843"/>
              </w:tabs>
              <w:spacing w:line="276" w:lineRule="auto"/>
              <w:rPr>
                <w:sz w:val="22"/>
                <w:szCs w:val="22"/>
              </w:rPr>
            </w:pPr>
            <w:r w:rsidRPr="001D0846">
              <w:rPr>
                <w:sz w:val="22"/>
                <w:szCs w:val="22"/>
              </w:rPr>
              <w:t>Venituri încasate (mil.lei)</w:t>
            </w:r>
          </w:p>
        </w:tc>
        <w:tc>
          <w:tcPr>
            <w:tcW w:w="1041" w:type="dxa"/>
          </w:tcPr>
          <w:p w:rsidR="00714F5D" w:rsidRPr="001D0846" w:rsidRDefault="00714F5D" w:rsidP="008C5C6A">
            <w:pPr>
              <w:pStyle w:val="a9"/>
              <w:tabs>
                <w:tab w:val="left" w:pos="3843"/>
              </w:tabs>
              <w:spacing w:line="276" w:lineRule="auto"/>
              <w:jc w:val="center"/>
              <w:rPr>
                <w:sz w:val="22"/>
                <w:szCs w:val="22"/>
              </w:rPr>
            </w:pPr>
            <w:r w:rsidRPr="001D0846">
              <w:rPr>
                <w:sz w:val="22"/>
                <w:szCs w:val="22"/>
              </w:rPr>
              <w:t>15830,0</w:t>
            </w:r>
          </w:p>
        </w:tc>
        <w:tc>
          <w:tcPr>
            <w:tcW w:w="1112" w:type="dxa"/>
          </w:tcPr>
          <w:p w:rsidR="00714F5D" w:rsidRPr="001D0846" w:rsidRDefault="00714F5D" w:rsidP="008C5C6A">
            <w:pPr>
              <w:pStyle w:val="a9"/>
              <w:tabs>
                <w:tab w:val="left" w:pos="3843"/>
              </w:tabs>
              <w:spacing w:line="276" w:lineRule="auto"/>
              <w:jc w:val="center"/>
              <w:rPr>
                <w:sz w:val="22"/>
                <w:szCs w:val="22"/>
              </w:rPr>
            </w:pPr>
            <w:r w:rsidRPr="001D0846">
              <w:rPr>
                <w:sz w:val="22"/>
                <w:szCs w:val="22"/>
              </w:rPr>
              <w:t>17476,1</w:t>
            </w:r>
          </w:p>
        </w:tc>
        <w:tc>
          <w:tcPr>
            <w:tcW w:w="1132" w:type="dxa"/>
          </w:tcPr>
          <w:p w:rsidR="00714F5D" w:rsidRPr="001D0846" w:rsidRDefault="00714F5D" w:rsidP="008C5C6A">
            <w:pPr>
              <w:pStyle w:val="a9"/>
              <w:tabs>
                <w:tab w:val="left" w:pos="3843"/>
              </w:tabs>
              <w:spacing w:line="276" w:lineRule="auto"/>
              <w:jc w:val="center"/>
              <w:rPr>
                <w:sz w:val="22"/>
                <w:szCs w:val="22"/>
              </w:rPr>
            </w:pPr>
            <w:r w:rsidRPr="001D0846">
              <w:rPr>
                <w:sz w:val="22"/>
                <w:szCs w:val="22"/>
              </w:rPr>
              <w:t>20372,6</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+9,42</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+14,22</w:t>
            </w:r>
          </w:p>
        </w:tc>
      </w:tr>
      <w:tr w:rsidR="00714F5D" w:rsidRPr="001D0846" w:rsidTr="008C5C6A">
        <w:tc>
          <w:tcPr>
            <w:tcW w:w="702" w:type="dxa"/>
          </w:tcPr>
          <w:p w:rsidR="00714F5D" w:rsidRPr="001D0846" w:rsidRDefault="00714F5D" w:rsidP="008C5C6A">
            <w:pPr>
              <w:pStyle w:val="a9"/>
              <w:tabs>
                <w:tab w:val="left" w:pos="3843"/>
              </w:tabs>
              <w:spacing w:line="276" w:lineRule="auto"/>
              <w:jc w:val="center"/>
              <w:rPr>
                <w:b/>
                <w:sz w:val="22"/>
                <w:szCs w:val="22"/>
              </w:rPr>
            </w:pPr>
            <w:r w:rsidRPr="001D0846">
              <w:rPr>
                <w:b/>
                <w:sz w:val="22"/>
                <w:szCs w:val="22"/>
              </w:rPr>
              <w:t>2</w:t>
            </w:r>
            <w:r>
              <w:rPr>
                <w:b/>
                <w:sz w:val="22"/>
                <w:szCs w:val="22"/>
              </w:rPr>
              <w:t>.</w:t>
            </w:r>
          </w:p>
        </w:tc>
        <w:tc>
          <w:tcPr>
            <w:tcW w:w="3972" w:type="dxa"/>
          </w:tcPr>
          <w:p w:rsidR="00714F5D" w:rsidRPr="001D0846" w:rsidRDefault="00714F5D" w:rsidP="008C5C6A">
            <w:pPr>
              <w:pStyle w:val="a9"/>
              <w:tabs>
                <w:tab w:val="left" w:pos="3843"/>
              </w:tabs>
              <w:spacing w:line="276" w:lineRule="auto"/>
              <w:rPr>
                <w:sz w:val="22"/>
                <w:szCs w:val="22"/>
              </w:rPr>
            </w:pPr>
            <w:r w:rsidRPr="001D0846">
              <w:rPr>
                <w:sz w:val="22"/>
                <w:szCs w:val="22"/>
              </w:rPr>
              <w:t xml:space="preserve">Cheltuieli de întreținere executate de </w:t>
            </w:r>
            <w:r>
              <w:rPr>
                <w:sz w:val="22"/>
                <w:szCs w:val="22"/>
              </w:rPr>
              <w:t xml:space="preserve">către </w:t>
            </w:r>
            <w:r w:rsidRPr="001D0846">
              <w:rPr>
                <w:sz w:val="22"/>
                <w:szCs w:val="22"/>
              </w:rPr>
              <w:t>SV (</w:t>
            </w:r>
            <w:proofErr w:type="spellStart"/>
            <w:r w:rsidRPr="001D0846">
              <w:rPr>
                <w:sz w:val="22"/>
                <w:szCs w:val="22"/>
              </w:rPr>
              <w:t>mii.lei</w:t>
            </w:r>
            <w:proofErr w:type="spellEnd"/>
            <w:r w:rsidRPr="001D0846">
              <w:rPr>
                <w:sz w:val="22"/>
                <w:szCs w:val="22"/>
              </w:rPr>
              <w:t>)</w:t>
            </w:r>
            <w:r>
              <w:rPr>
                <w:sz w:val="22"/>
                <w:szCs w:val="22"/>
              </w:rPr>
              <w:t>,</w:t>
            </w:r>
            <w:r w:rsidRPr="001D0846">
              <w:rPr>
                <w:sz w:val="22"/>
                <w:szCs w:val="22"/>
              </w:rPr>
              <w:t xml:space="preserve"> dintre care:</w:t>
            </w:r>
          </w:p>
        </w:tc>
        <w:tc>
          <w:tcPr>
            <w:tcW w:w="1041" w:type="dxa"/>
          </w:tcPr>
          <w:p w:rsidR="00714F5D" w:rsidRPr="001D0846" w:rsidRDefault="00714F5D" w:rsidP="008C5C6A">
            <w:pPr>
              <w:pStyle w:val="a9"/>
              <w:tabs>
                <w:tab w:val="left" w:pos="3843"/>
              </w:tabs>
              <w:spacing w:line="276" w:lineRule="auto"/>
              <w:jc w:val="center"/>
              <w:rPr>
                <w:sz w:val="22"/>
                <w:szCs w:val="22"/>
              </w:rPr>
            </w:pPr>
            <w:r w:rsidRPr="001D0846">
              <w:rPr>
                <w:sz w:val="22"/>
                <w:szCs w:val="22"/>
              </w:rPr>
              <w:t>33250,0</w:t>
            </w:r>
          </w:p>
        </w:tc>
        <w:tc>
          <w:tcPr>
            <w:tcW w:w="1112" w:type="dxa"/>
          </w:tcPr>
          <w:p w:rsidR="00714F5D" w:rsidRPr="001D0846" w:rsidRDefault="00714F5D" w:rsidP="008C5C6A">
            <w:pPr>
              <w:pStyle w:val="a9"/>
              <w:tabs>
                <w:tab w:val="left" w:pos="3843"/>
              </w:tabs>
              <w:spacing w:line="276" w:lineRule="auto"/>
              <w:jc w:val="center"/>
              <w:rPr>
                <w:sz w:val="22"/>
                <w:szCs w:val="22"/>
              </w:rPr>
            </w:pPr>
            <w:r w:rsidRPr="001D0846">
              <w:rPr>
                <w:sz w:val="22"/>
                <w:szCs w:val="22"/>
              </w:rPr>
              <w:t>298108,1</w:t>
            </w:r>
          </w:p>
        </w:tc>
        <w:tc>
          <w:tcPr>
            <w:tcW w:w="1132" w:type="dxa"/>
          </w:tcPr>
          <w:p w:rsidR="00714F5D" w:rsidRPr="001D0846" w:rsidRDefault="00714F5D" w:rsidP="008C5C6A">
            <w:pPr>
              <w:pStyle w:val="a9"/>
              <w:tabs>
                <w:tab w:val="left" w:pos="3843"/>
              </w:tabs>
              <w:spacing w:line="276" w:lineRule="auto"/>
              <w:jc w:val="center"/>
              <w:rPr>
                <w:sz w:val="22"/>
                <w:szCs w:val="22"/>
              </w:rPr>
            </w:pPr>
            <w:r w:rsidRPr="001D0846">
              <w:rPr>
                <w:sz w:val="22"/>
                <w:szCs w:val="22"/>
              </w:rPr>
              <w:t>445369,7</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-11,54</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+33,07</w:t>
            </w:r>
          </w:p>
        </w:tc>
      </w:tr>
      <w:tr w:rsidR="00714F5D" w:rsidRPr="001D0846" w:rsidTr="008C5C6A">
        <w:tc>
          <w:tcPr>
            <w:tcW w:w="702" w:type="dxa"/>
          </w:tcPr>
          <w:p w:rsidR="00714F5D" w:rsidRPr="001D0846" w:rsidRDefault="00714F5D" w:rsidP="008C5C6A">
            <w:pPr>
              <w:pStyle w:val="a9"/>
              <w:tabs>
                <w:tab w:val="left" w:pos="3843"/>
              </w:tabs>
              <w:spacing w:line="276" w:lineRule="auto"/>
              <w:jc w:val="center"/>
              <w:rPr>
                <w:b/>
                <w:sz w:val="22"/>
                <w:szCs w:val="22"/>
              </w:rPr>
            </w:pPr>
          </w:p>
        </w:tc>
        <w:tc>
          <w:tcPr>
            <w:tcW w:w="3972" w:type="dxa"/>
          </w:tcPr>
          <w:p w:rsidR="00714F5D" w:rsidRPr="001D0846" w:rsidRDefault="00714F5D" w:rsidP="008C5C6A">
            <w:pPr>
              <w:pStyle w:val="a9"/>
              <w:numPr>
                <w:ilvl w:val="0"/>
                <w:numId w:val="11"/>
              </w:numPr>
              <w:tabs>
                <w:tab w:val="left" w:pos="3843"/>
              </w:tabs>
              <w:spacing w:line="276" w:lineRule="auto"/>
              <w:rPr>
                <w:sz w:val="22"/>
                <w:szCs w:val="22"/>
              </w:rPr>
            </w:pPr>
            <w:r w:rsidRPr="001D0846">
              <w:rPr>
                <w:sz w:val="22"/>
                <w:szCs w:val="22"/>
              </w:rPr>
              <w:t>Cheltuieli de personal (mii lei)</w:t>
            </w:r>
          </w:p>
        </w:tc>
        <w:tc>
          <w:tcPr>
            <w:tcW w:w="1041" w:type="dxa"/>
          </w:tcPr>
          <w:p w:rsidR="00714F5D" w:rsidRPr="001D0846" w:rsidRDefault="00714F5D" w:rsidP="008C5C6A">
            <w:pPr>
              <w:pStyle w:val="a9"/>
              <w:tabs>
                <w:tab w:val="left" w:pos="3843"/>
              </w:tabs>
              <w:spacing w:line="276" w:lineRule="auto"/>
              <w:jc w:val="center"/>
              <w:rPr>
                <w:sz w:val="22"/>
                <w:szCs w:val="22"/>
              </w:rPr>
            </w:pPr>
            <w:r w:rsidRPr="001D0846">
              <w:rPr>
                <w:sz w:val="22"/>
                <w:szCs w:val="22"/>
              </w:rPr>
              <w:t>160617,9</w:t>
            </w:r>
          </w:p>
        </w:tc>
        <w:tc>
          <w:tcPr>
            <w:tcW w:w="1112" w:type="dxa"/>
          </w:tcPr>
          <w:p w:rsidR="00714F5D" w:rsidRPr="001D0846" w:rsidRDefault="00714F5D" w:rsidP="008C5C6A">
            <w:pPr>
              <w:pStyle w:val="a9"/>
              <w:tabs>
                <w:tab w:val="left" w:pos="3843"/>
              </w:tabs>
              <w:spacing w:line="276" w:lineRule="auto"/>
              <w:jc w:val="center"/>
              <w:rPr>
                <w:sz w:val="22"/>
                <w:szCs w:val="22"/>
              </w:rPr>
            </w:pPr>
            <w:r w:rsidRPr="001D0846">
              <w:rPr>
                <w:sz w:val="22"/>
                <w:szCs w:val="22"/>
              </w:rPr>
              <w:t>178234,9</w:t>
            </w:r>
          </w:p>
        </w:tc>
        <w:tc>
          <w:tcPr>
            <w:tcW w:w="1132" w:type="dxa"/>
          </w:tcPr>
          <w:p w:rsidR="00714F5D" w:rsidRPr="001D0846" w:rsidRDefault="00714F5D" w:rsidP="008C5C6A">
            <w:pPr>
              <w:pStyle w:val="a9"/>
              <w:tabs>
                <w:tab w:val="left" w:pos="3843"/>
              </w:tabs>
              <w:spacing w:line="276" w:lineRule="auto"/>
              <w:ind w:right="4"/>
              <w:jc w:val="center"/>
              <w:rPr>
                <w:sz w:val="22"/>
                <w:szCs w:val="22"/>
              </w:rPr>
            </w:pPr>
            <w:r w:rsidRPr="001D0846">
              <w:rPr>
                <w:sz w:val="22"/>
                <w:szCs w:val="22"/>
              </w:rPr>
              <w:t>301759,9</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+9,88</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+40,93</w:t>
            </w:r>
          </w:p>
        </w:tc>
      </w:tr>
      <w:tr w:rsidR="00714F5D" w:rsidRPr="001D0846" w:rsidTr="008C5C6A">
        <w:tc>
          <w:tcPr>
            <w:tcW w:w="702" w:type="dxa"/>
          </w:tcPr>
          <w:p w:rsidR="00714F5D" w:rsidRPr="001D0846" w:rsidRDefault="00714F5D" w:rsidP="008C5C6A">
            <w:pPr>
              <w:pStyle w:val="a9"/>
              <w:tabs>
                <w:tab w:val="left" w:pos="3843"/>
              </w:tabs>
              <w:spacing w:line="276" w:lineRule="auto"/>
              <w:jc w:val="center"/>
              <w:rPr>
                <w:b/>
                <w:sz w:val="22"/>
                <w:szCs w:val="22"/>
              </w:rPr>
            </w:pPr>
            <w:r w:rsidRPr="001D0846">
              <w:rPr>
                <w:b/>
                <w:sz w:val="22"/>
                <w:szCs w:val="22"/>
              </w:rPr>
              <w:t>3</w:t>
            </w:r>
            <w:r>
              <w:rPr>
                <w:b/>
                <w:sz w:val="22"/>
                <w:szCs w:val="22"/>
              </w:rPr>
              <w:t>.</w:t>
            </w:r>
          </w:p>
        </w:tc>
        <w:tc>
          <w:tcPr>
            <w:tcW w:w="3972" w:type="dxa"/>
          </w:tcPr>
          <w:p w:rsidR="00714F5D" w:rsidRPr="001D0846" w:rsidRDefault="00714F5D" w:rsidP="008C5C6A">
            <w:pPr>
              <w:pStyle w:val="a9"/>
              <w:tabs>
                <w:tab w:val="left" w:pos="3843"/>
              </w:tabs>
              <w:spacing w:line="276" w:lineRule="auto"/>
              <w:rPr>
                <w:sz w:val="22"/>
                <w:szCs w:val="22"/>
              </w:rPr>
            </w:pPr>
            <w:r w:rsidRPr="001D0846">
              <w:rPr>
                <w:sz w:val="22"/>
                <w:szCs w:val="22"/>
              </w:rPr>
              <w:t>Numărul mediu de personal</w:t>
            </w:r>
          </w:p>
        </w:tc>
        <w:tc>
          <w:tcPr>
            <w:tcW w:w="1041"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1728</w:t>
            </w:r>
          </w:p>
        </w:tc>
        <w:tc>
          <w:tcPr>
            <w:tcW w:w="1112"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1728</w:t>
            </w:r>
          </w:p>
        </w:tc>
        <w:tc>
          <w:tcPr>
            <w:tcW w:w="1132"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1590</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0,00</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-8,68</w:t>
            </w:r>
          </w:p>
        </w:tc>
      </w:tr>
      <w:tr w:rsidR="00714F5D" w:rsidRPr="001D0846" w:rsidTr="008C5C6A">
        <w:tc>
          <w:tcPr>
            <w:tcW w:w="702" w:type="dxa"/>
          </w:tcPr>
          <w:p w:rsidR="00714F5D" w:rsidRPr="001D0846" w:rsidRDefault="00714F5D" w:rsidP="008C5C6A">
            <w:pPr>
              <w:pStyle w:val="a9"/>
              <w:tabs>
                <w:tab w:val="left" w:pos="3843"/>
              </w:tabs>
              <w:spacing w:line="276" w:lineRule="auto"/>
              <w:jc w:val="center"/>
              <w:rPr>
                <w:b/>
                <w:sz w:val="22"/>
                <w:szCs w:val="22"/>
              </w:rPr>
            </w:pPr>
            <w:r w:rsidRPr="001D0846">
              <w:rPr>
                <w:b/>
                <w:sz w:val="22"/>
                <w:szCs w:val="22"/>
              </w:rPr>
              <w:t>4</w:t>
            </w:r>
            <w:r>
              <w:rPr>
                <w:b/>
                <w:sz w:val="22"/>
                <w:szCs w:val="22"/>
              </w:rPr>
              <w:t>.</w:t>
            </w:r>
          </w:p>
        </w:tc>
        <w:tc>
          <w:tcPr>
            <w:tcW w:w="3972" w:type="dxa"/>
          </w:tcPr>
          <w:p w:rsidR="00714F5D" w:rsidRPr="001D0846" w:rsidRDefault="00714F5D" w:rsidP="008C5C6A">
            <w:pPr>
              <w:pStyle w:val="a9"/>
              <w:tabs>
                <w:tab w:val="left" w:pos="3843"/>
              </w:tabs>
              <w:spacing w:line="276" w:lineRule="auto"/>
              <w:rPr>
                <w:sz w:val="22"/>
                <w:szCs w:val="22"/>
              </w:rPr>
            </w:pPr>
            <w:r w:rsidRPr="001D0846">
              <w:rPr>
                <w:sz w:val="22"/>
                <w:szCs w:val="22"/>
              </w:rPr>
              <w:t xml:space="preserve">Numărul de plătitori </w:t>
            </w:r>
          </w:p>
        </w:tc>
        <w:tc>
          <w:tcPr>
            <w:tcW w:w="1041"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403758</w:t>
            </w:r>
          </w:p>
        </w:tc>
        <w:tc>
          <w:tcPr>
            <w:tcW w:w="1112"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458818</w:t>
            </w:r>
          </w:p>
        </w:tc>
        <w:tc>
          <w:tcPr>
            <w:tcW w:w="1132"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515536</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+12,00</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+11,00</w:t>
            </w:r>
          </w:p>
        </w:tc>
      </w:tr>
      <w:tr w:rsidR="00714F5D" w:rsidRPr="001D0846" w:rsidTr="008C5C6A">
        <w:tc>
          <w:tcPr>
            <w:tcW w:w="702" w:type="dxa"/>
          </w:tcPr>
          <w:p w:rsidR="00714F5D" w:rsidRPr="001D0846" w:rsidRDefault="00714F5D" w:rsidP="008C5C6A">
            <w:pPr>
              <w:spacing w:line="276" w:lineRule="auto"/>
              <w:ind w:right="39"/>
              <w:jc w:val="both"/>
              <w:rPr>
                <w:rFonts w:ascii="Times New Roman" w:hAnsi="Times New Roman" w:cs="Times New Roman"/>
                <w:b/>
                <w:lang w:val="ro-MD"/>
              </w:rPr>
            </w:pPr>
            <w:r>
              <w:rPr>
                <w:rFonts w:ascii="Times New Roman" w:hAnsi="Times New Roman" w:cs="Times New Roman"/>
                <w:b/>
                <w:lang w:val="ro-MD"/>
              </w:rPr>
              <w:t xml:space="preserve">    </w:t>
            </w:r>
            <w:r w:rsidRPr="001D0846">
              <w:rPr>
                <w:rFonts w:ascii="Times New Roman" w:hAnsi="Times New Roman" w:cs="Times New Roman"/>
                <w:b/>
                <w:lang w:val="ro-MD"/>
              </w:rPr>
              <w:t>-</w:t>
            </w:r>
          </w:p>
        </w:tc>
        <w:tc>
          <w:tcPr>
            <w:tcW w:w="3972" w:type="dxa"/>
          </w:tcPr>
          <w:p w:rsidR="00714F5D" w:rsidRPr="001D0846" w:rsidRDefault="00714F5D" w:rsidP="008C5C6A">
            <w:pPr>
              <w:spacing w:line="276" w:lineRule="auto"/>
              <w:ind w:right="39"/>
              <w:jc w:val="both"/>
              <w:rPr>
                <w:rFonts w:ascii="Times New Roman" w:hAnsi="Times New Roman" w:cs="Times New Roman"/>
                <w:b/>
              </w:rPr>
            </w:pPr>
            <w:r w:rsidRPr="001D0846">
              <w:rPr>
                <w:rFonts w:ascii="Times New Roman" w:hAnsi="Times New Roman" w:cs="Times New Roman"/>
                <w:b/>
                <w:lang w:val="ro-MD"/>
              </w:rPr>
              <w:t>Mii lei cheltuiți la 1 milion lei de venituri colectate (mii lei)</w:t>
            </w:r>
          </w:p>
        </w:tc>
        <w:tc>
          <w:tcPr>
            <w:tcW w:w="1041"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2,1</w:t>
            </w:r>
          </w:p>
        </w:tc>
        <w:tc>
          <w:tcPr>
            <w:tcW w:w="1112"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17,05</w:t>
            </w:r>
          </w:p>
        </w:tc>
        <w:tc>
          <w:tcPr>
            <w:tcW w:w="1132"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21,86</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+87,7</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+22,0</w:t>
            </w:r>
          </w:p>
        </w:tc>
      </w:tr>
      <w:tr w:rsidR="00714F5D" w:rsidRPr="001D0846" w:rsidTr="008C5C6A">
        <w:tc>
          <w:tcPr>
            <w:tcW w:w="702" w:type="dxa"/>
          </w:tcPr>
          <w:p w:rsidR="00714F5D" w:rsidRPr="001D0846" w:rsidRDefault="00714F5D" w:rsidP="008C5C6A">
            <w:pPr>
              <w:spacing w:line="276" w:lineRule="auto"/>
              <w:ind w:right="39"/>
              <w:jc w:val="both"/>
              <w:rPr>
                <w:rFonts w:ascii="Times New Roman" w:hAnsi="Times New Roman" w:cs="Times New Roman"/>
                <w:b/>
                <w:lang w:val="ro-MD"/>
              </w:rPr>
            </w:pPr>
            <w:r>
              <w:rPr>
                <w:rFonts w:ascii="Times New Roman" w:hAnsi="Times New Roman" w:cs="Times New Roman"/>
                <w:b/>
                <w:lang w:val="ro-MD"/>
              </w:rPr>
              <w:t xml:space="preserve">    </w:t>
            </w:r>
            <w:r w:rsidRPr="001D0846">
              <w:rPr>
                <w:rFonts w:ascii="Times New Roman" w:hAnsi="Times New Roman" w:cs="Times New Roman"/>
                <w:b/>
                <w:lang w:val="ro-MD"/>
              </w:rPr>
              <w:t>-</w:t>
            </w:r>
          </w:p>
        </w:tc>
        <w:tc>
          <w:tcPr>
            <w:tcW w:w="3972" w:type="dxa"/>
          </w:tcPr>
          <w:p w:rsidR="00714F5D" w:rsidRPr="001D0846" w:rsidRDefault="00714F5D" w:rsidP="008C5C6A">
            <w:pPr>
              <w:spacing w:line="276" w:lineRule="auto"/>
              <w:ind w:right="39"/>
              <w:jc w:val="both"/>
              <w:rPr>
                <w:rFonts w:ascii="Times New Roman" w:hAnsi="Times New Roman" w:cs="Times New Roman"/>
                <w:b/>
                <w:lang w:val="ro-MD"/>
              </w:rPr>
            </w:pPr>
            <w:r w:rsidRPr="001D0846">
              <w:rPr>
                <w:rFonts w:ascii="Times New Roman" w:hAnsi="Times New Roman" w:cs="Times New Roman"/>
                <w:b/>
                <w:lang w:val="ro-MD"/>
              </w:rPr>
              <w:t>Mii lei cheltuieli de personal la 1 milion lei de venituri colectate (mii lei)</w:t>
            </w:r>
          </w:p>
        </w:tc>
        <w:tc>
          <w:tcPr>
            <w:tcW w:w="1041"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10,15</w:t>
            </w:r>
          </w:p>
        </w:tc>
        <w:tc>
          <w:tcPr>
            <w:tcW w:w="1112"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10,20</w:t>
            </w:r>
          </w:p>
        </w:tc>
        <w:tc>
          <w:tcPr>
            <w:tcW w:w="1132"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14,81</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+0,51</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+31,15</w:t>
            </w:r>
          </w:p>
        </w:tc>
      </w:tr>
      <w:tr w:rsidR="00714F5D" w:rsidRPr="001D0846" w:rsidTr="008C5C6A">
        <w:tc>
          <w:tcPr>
            <w:tcW w:w="702" w:type="dxa"/>
          </w:tcPr>
          <w:p w:rsidR="00714F5D" w:rsidRPr="001D0846" w:rsidRDefault="00714F5D" w:rsidP="008C5C6A">
            <w:pPr>
              <w:spacing w:line="276" w:lineRule="auto"/>
              <w:jc w:val="both"/>
              <w:rPr>
                <w:rFonts w:ascii="Times New Roman" w:hAnsi="Times New Roman" w:cs="Times New Roman"/>
                <w:b/>
                <w:lang w:val="ro-MD"/>
              </w:rPr>
            </w:pPr>
            <w:r>
              <w:rPr>
                <w:rFonts w:ascii="Times New Roman" w:hAnsi="Times New Roman" w:cs="Times New Roman"/>
                <w:b/>
                <w:lang w:val="ro-MD"/>
              </w:rPr>
              <w:t xml:space="preserve">    </w:t>
            </w:r>
            <w:r w:rsidRPr="001D0846">
              <w:rPr>
                <w:rFonts w:ascii="Times New Roman" w:hAnsi="Times New Roman" w:cs="Times New Roman"/>
                <w:b/>
                <w:lang w:val="ro-MD"/>
              </w:rPr>
              <w:t>-</w:t>
            </w:r>
          </w:p>
        </w:tc>
        <w:tc>
          <w:tcPr>
            <w:tcW w:w="3972" w:type="dxa"/>
          </w:tcPr>
          <w:p w:rsidR="00714F5D" w:rsidRPr="001D0846" w:rsidRDefault="00714F5D" w:rsidP="008C5C6A">
            <w:pPr>
              <w:spacing w:line="276" w:lineRule="auto"/>
              <w:jc w:val="both"/>
              <w:rPr>
                <w:rFonts w:ascii="Times New Roman" w:hAnsi="Times New Roman" w:cs="Times New Roman"/>
                <w:b/>
                <w:lang w:val="ro-MD"/>
              </w:rPr>
            </w:pPr>
            <w:r w:rsidRPr="001D0846">
              <w:rPr>
                <w:rFonts w:ascii="Times New Roman" w:hAnsi="Times New Roman" w:cs="Times New Roman"/>
                <w:b/>
                <w:lang w:val="ro-MD"/>
              </w:rPr>
              <w:t>Venituri bugetare colectate la numărul mediu de personal (mil.lei)</w:t>
            </w:r>
          </w:p>
        </w:tc>
        <w:tc>
          <w:tcPr>
            <w:tcW w:w="1041" w:type="dxa"/>
          </w:tcPr>
          <w:p w:rsidR="00714F5D" w:rsidRPr="001D0846" w:rsidRDefault="00714F5D" w:rsidP="008C5C6A">
            <w:pPr>
              <w:pStyle w:val="a9"/>
              <w:tabs>
                <w:tab w:val="left" w:pos="3843"/>
              </w:tabs>
              <w:spacing w:line="276" w:lineRule="auto"/>
              <w:ind w:right="67"/>
              <w:jc w:val="center"/>
              <w:rPr>
                <w:sz w:val="22"/>
                <w:szCs w:val="22"/>
              </w:rPr>
            </w:pPr>
            <w:r w:rsidRPr="001D0846">
              <w:rPr>
                <w:sz w:val="22"/>
                <w:szCs w:val="22"/>
              </w:rPr>
              <w:t>9,16</w:t>
            </w:r>
          </w:p>
        </w:tc>
        <w:tc>
          <w:tcPr>
            <w:tcW w:w="1112" w:type="dxa"/>
          </w:tcPr>
          <w:p w:rsidR="00714F5D" w:rsidRPr="001D0846" w:rsidRDefault="00714F5D" w:rsidP="008C5C6A">
            <w:pPr>
              <w:pStyle w:val="a9"/>
              <w:tabs>
                <w:tab w:val="left" w:pos="3843"/>
              </w:tabs>
              <w:spacing w:line="276" w:lineRule="auto"/>
              <w:jc w:val="center"/>
              <w:rPr>
                <w:sz w:val="22"/>
                <w:szCs w:val="22"/>
              </w:rPr>
            </w:pPr>
            <w:r w:rsidRPr="001D0846">
              <w:rPr>
                <w:sz w:val="22"/>
                <w:szCs w:val="22"/>
              </w:rPr>
              <w:t>10,11</w:t>
            </w:r>
          </w:p>
        </w:tc>
        <w:tc>
          <w:tcPr>
            <w:tcW w:w="1132" w:type="dxa"/>
          </w:tcPr>
          <w:p w:rsidR="00714F5D" w:rsidRPr="001D0846" w:rsidRDefault="00714F5D" w:rsidP="008C5C6A">
            <w:pPr>
              <w:pStyle w:val="a9"/>
              <w:tabs>
                <w:tab w:val="left" w:pos="3843"/>
              </w:tabs>
              <w:spacing w:line="276" w:lineRule="auto"/>
              <w:ind w:right="4"/>
              <w:jc w:val="center"/>
              <w:rPr>
                <w:sz w:val="22"/>
                <w:szCs w:val="22"/>
              </w:rPr>
            </w:pPr>
            <w:r w:rsidRPr="001D0846">
              <w:rPr>
                <w:sz w:val="22"/>
                <w:szCs w:val="22"/>
              </w:rPr>
              <w:t>12,81</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+9,42</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+21,07</w:t>
            </w:r>
          </w:p>
        </w:tc>
      </w:tr>
      <w:tr w:rsidR="00714F5D" w:rsidRPr="001D0846" w:rsidTr="008C5C6A">
        <w:tc>
          <w:tcPr>
            <w:tcW w:w="702" w:type="dxa"/>
          </w:tcPr>
          <w:p w:rsidR="00714F5D" w:rsidRPr="001D0846" w:rsidRDefault="00714F5D" w:rsidP="008C5C6A">
            <w:pPr>
              <w:spacing w:line="276" w:lineRule="auto"/>
              <w:ind w:right="39"/>
              <w:jc w:val="both"/>
              <w:rPr>
                <w:rFonts w:ascii="Times New Roman" w:hAnsi="Times New Roman" w:cs="Times New Roman"/>
                <w:b/>
                <w:lang w:val="ro-MD"/>
              </w:rPr>
            </w:pPr>
            <w:r>
              <w:rPr>
                <w:rFonts w:ascii="Times New Roman" w:hAnsi="Times New Roman" w:cs="Times New Roman"/>
                <w:b/>
                <w:lang w:val="ro-MD"/>
              </w:rPr>
              <w:t xml:space="preserve">    </w:t>
            </w:r>
            <w:r w:rsidRPr="001D0846">
              <w:rPr>
                <w:rFonts w:ascii="Times New Roman" w:hAnsi="Times New Roman" w:cs="Times New Roman"/>
                <w:b/>
                <w:lang w:val="ro-MD"/>
              </w:rPr>
              <w:t>-</w:t>
            </w:r>
          </w:p>
        </w:tc>
        <w:tc>
          <w:tcPr>
            <w:tcW w:w="3972" w:type="dxa"/>
          </w:tcPr>
          <w:p w:rsidR="00714F5D" w:rsidRPr="001D0846" w:rsidRDefault="00714F5D" w:rsidP="008C5C6A">
            <w:pPr>
              <w:spacing w:line="276" w:lineRule="auto"/>
              <w:ind w:right="39"/>
              <w:jc w:val="both"/>
              <w:rPr>
                <w:rFonts w:ascii="Times New Roman" w:hAnsi="Times New Roman" w:cs="Times New Roman"/>
                <w:b/>
                <w:lang w:val="ro-MD"/>
              </w:rPr>
            </w:pPr>
            <w:r w:rsidRPr="001D0846">
              <w:rPr>
                <w:rFonts w:ascii="Times New Roman" w:hAnsi="Times New Roman" w:cs="Times New Roman"/>
                <w:b/>
                <w:lang w:val="ro-MD"/>
              </w:rPr>
              <w:t xml:space="preserve">Venituri bugetare colectate la numărul mediu de contribuabili (mil.lei)  </w:t>
            </w:r>
          </w:p>
        </w:tc>
        <w:tc>
          <w:tcPr>
            <w:tcW w:w="1041"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0,04</w:t>
            </w:r>
          </w:p>
        </w:tc>
        <w:tc>
          <w:tcPr>
            <w:tcW w:w="1112"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0,04</w:t>
            </w:r>
          </w:p>
        </w:tc>
        <w:tc>
          <w:tcPr>
            <w:tcW w:w="1132"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0,04</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0</w:t>
            </w:r>
          </w:p>
        </w:tc>
        <w:tc>
          <w:tcPr>
            <w:tcW w:w="1158" w:type="dxa"/>
          </w:tcPr>
          <w:p w:rsidR="00714F5D" w:rsidRPr="001D0846" w:rsidRDefault="00714F5D" w:rsidP="008C5C6A">
            <w:pPr>
              <w:pStyle w:val="a9"/>
              <w:tabs>
                <w:tab w:val="left" w:pos="3843"/>
              </w:tabs>
              <w:spacing w:line="276" w:lineRule="auto"/>
              <w:ind w:right="-334"/>
              <w:jc w:val="center"/>
              <w:rPr>
                <w:sz w:val="22"/>
                <w:szCs w:val="22"/>
              </w:rPr>
            </w:pPr>
            <w:r w:rsidRPr="001D0846">
              <w:rPr>
                <w:sz w:val="22"/>
                <w:szCs w:val="22"/>
              </w:rPr>
              <w:t>0</w:t>
            </w:r>
          </w:p>
        </w:tc>
      </w:tr>
    </w:tbl>
    <w:p w:rsidR="00714F5D" w:rsidRPr="001D0846" w:rsidRDefault="00714F5D" w:rsidP="00714F5D">
      <w:pPr>
        <w:spacing w:after="0" w:line="276" w:lineRule="auto"/>
        <w:ind w:right="-334"/>
        <w:rPr>
          <w:rFonts w:ascii="Times New Roman" w:hAnsi="Times New Roman" w:cs="Times New Roman"/>
          <w:i/>
        </w:rPr>
      </w:pPr>
      <w:r w:rsidRPr="001D0846">
        <w:rPr>
          <w:rFonts w:ascii="Times New Roman" w:hAnsi="Times New Roman" w:cs="Times New Roman"/>
          <w:b/>
          <w:i/>
        </w:rPr>
        <w:t>Sursă:</w:t>
      </w:r>
      <w:r w:rsidRPr="001D0846">
        <w:rPr>
          <w:rFonts w:ascii="Times New Roman" w:hAnsi="Times New Roman" w:cs="Times New Roman"/>
          <w:i/>
        </w:rPr>
        <w:t xml:space="preserve"> Informații</w:t>
      </w:r>
      <w:r>
        <w:rPr>
          <w:rFonts w:ascii="Times New Roman" w:hAnsi="Times New Roman" w:cs="Times New Roman"/>
          <w:i/>
        </w:rPr>
        <w:t>le</w:t>
      </w:r>
      <w:r w:rsidRPr="001D0846">
        <w:rPr>
          <w:rFonts w:ascii="Times New Roman" w:hAnsi="Times New Roman" w:cs="Times New Roman"/>
          <w:i/>
        </w:rPr>
        <w:t xml:space="preserve"> prezentate de către SV.</w:t>
      </w:r>
    </w:p>
    <w:p w:rsidR="00714F5D" w:rsidRPr="001D0846" w:rsidRDefault="00714F5D" w:rsidP="00714F5D">
      <w:pPr>
        <w:spacing w:after="0" w:line="276" w:lineRule="auto"/>
        <w:ind w:firstLine="709"/>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Tabelul nr.12</w:t>
      </w:r>
    </w:p>
    <w:p w:rsidR="00714F5D" w:rsidRPr="001D0846" w:rsidRDefault="00714F5D" w:rsidP="00714F5D">
      <w:pPr>
        <w:spacing w:after="0" w:line="276" w:lineRule="auto"/>
        <w:ind w:firstLine="709"/>
        <w:jc w:val="center"/>
        <w:rPr>
          <w:rFonts w:ascii="Times New Roman" w:eastAsia="Calibri" w:hAnsi="Times New Roman" w:cs="Times New Roman"/>
          <w:i/>
          <w:sz w:val="28"/>
          <w:szCs w:val="28"/>
        </w:rPr>
      </w:pPr>
      <w:r w:rsidRPr="001D0846">
        <w:rPr>
          <w:rFonts w:ascii="Times New Roman" w:eastAsia="Calibri" w:hAnsi="Times New Roman" w:cs="Times New Roman"/>
          <w:i/>
          <w:sz w:val="28"/>
          <w:szCs w:val="28"/>
        </w:rPr>
        <w:t xml:space="preserve">Informația privind evoluția în </w:t>
      </w:r>
      <w:r w:rsidRPr="00E330C1">
        <w:rPr>
          <w:rFonts w:ascii="Times New Roman" w:eastAsia="Calibri" w:hAnsi="Times New Roman" w:cs="Times New Roman"/>
          <w:i/>
          <w:sz w:val="28"/>
          <w:szCs w:val="28"/>
        </w:rPr>
        <w:t>dinamică a obligațiilor fiscale</w:t>
      </w:r>
      <w:r w:rsidR="0075307B">
        <w:rPr>
          <w:rFonts w:ascii="Times New Roman" w:eastAsia="Calibri" w:hAnsi="Times New Roman" w:cs="Times New Roman"/>
          <w:i/>
          <w:sz w:val="28"/>
          <w:szCs w:val="28"/>
        </w:rPr>
        <w:t xml:space="preserve"> restante</w:t>
      </w:r>
      <w:r w:rsidRPr="00E330C1">
        <w:rPr>
          <w:rFonts w:ascii="Times New Roman" w:eastAsia="Calibri" w:hAnsi="Times New Roman" w:cs="Times New Roman"/>
          <w:i/>
          <w:sz w:val="28"/>
          <w:szCs w:val="28"/>
        </w:rPr>
        <w:t xml:space="preserve"> la BPN din evidența generală administrată de SFS pentru anii 2015-2017</w:t>
      </w:r>
    </w:p>
    <w:p w:rsidR="00714F5D" w:rsidRPr="00365962" w:rsidRDefault="00714F5D" w:rsidP="00714F5D">
      <w:pPr>
        <w:spacing w:after="0" w:line="276" w:lineRule="auto"/>
        <w:ind w:right="-435" w:firstLine="709"/>
        <w:jc w:val="right"/>
        <w:rPr>
          <w:rFonts w:ascii="Times New Roman" w:eastAsia="Calibri" w:hAnsi="Times New Roman" w:cs="Times New Roman"/>
          <w:i/>
          <w:sz w:val="28"/>
          <w:szCs w:val="28"/>
        </w:rPr>
      </w:pPr>
      <w:r w:rsidRPr="00365962">
        <w:rPr>
          <w:rFonts w:ascii="Times New Roman" w:eastAsia="Calibri" w:hAnsi="Times New Roman" w:cs="Times New Roman"/>
          <w:i/>
          <w:sz w:val="28"/>
          <w:szCs w:val="28"/>
        </w:rPr>
        <w:t>(mil.lei)</w:t>
      </w:r>
    </w:p>
    <w:tbl>
      <w:tblPr>
        <w:tblStyle w:val="a3"/>
        <w:tblW w:w="10283" w:type="dxa"/>
        <w:tblInd w:w="-431" w:type="dxa"/>
        <w:tblLook w:val="04A0" w:firstRow="1" w:lastRow="0" w:firstColumn="1" w:lastColumn="0" w:noHBand="0" w:noVBand="1"/>
      </w:tblPr>
      <w:tblGrid>
        <w:gridCol w:w="1702"/>
        <w:gridCol w:w="3446"/>
        <w:gridCol w:w="2196"/>
        <w:gridCol w:w="2939"/>
      </w:tblGrid>
      <w:tr w:rsidR="00714F5D" w:rsidRPr="001D0846" w:rsidTr="008C5C6A">
        <w:tc>
          <w:tcPr>
            <w:tcW w:w="1702" w:type="dxa"/>
          </w:tcPr>
          <w:p w:rsidR="00714F5D" w:rsidRPr="001D0846" w:rsidRDefault="00714F5D" w:rsidP="008C5C6A">
            <w:pPr>
              <w:spacing w:line="276" w:lineRule="auto"/>
              <w:jc w:val="center"/>
              <w:rPr>
                <w:rFonts w:ascii="Times New Roman" w:eastAsia="Calibri" w:hAnsi="Times New Roman" w:cs="Times New Roman"/>
                <w:b/>
                <w:sz w:val="24"/>
                <w:szCs w:val="24"/>
              </w:rPr>
            </w:pPr>
            <w:r w:rsidRPr="001D0846">
              <w:rPr>
                <w:rFonts w:ascii="Times New Roman" w:eastAsia="Calibri" w:hAnsi="Times New Roman" w:cs="Times New Roman"/>
                <w:b/>
                <w:sz w:val="24"/>
                <w:szCs w:val="24"/>
              </w:rPr>
              <w:t>La situația din:</w:t>
            </w:r>
          </w:p>
        </w:tc>
        <w:tc>
          <w:tcPr>
            <w:tcW w:w="3446" w:type="dxa"/>
          </w:tcPr>
          <w:p w:rsidR="00714F5D" w:rsidRPr="001D0846" w:rsidRDefault="00714F5D" w:rsidP="008C5C6A">
            <w:pPr>
              <w:spacing w:line="276" w:lineRule="auto"/>
              <w:jc w:val="center"/>
              <w:rPr>
                <w:rFonts w:ascii="Times New Roman" w:eastAsia="Calibri" w:hAnsi="Times New Roman" w:cs="Times New Roman"/>
                <w:b/>
                <w:sz w:val="24"/>
                <w:szCs w:val="24"/>
              </w:rPr>
            </w:pPr>
            <w:r w:rsidRPr="001D0846">
              <w:rPr>
                <w:rFonts w:ascii="Times New Roman" w:eastAsia="Calibri" w:hAnsi="Times New Roman" w:cs="Times New Roman"/>
                <w:b/>
                <w:sz w:val="24"/>
                <w:szCs w:val="24"/>
              </w:rPr>
              <w:t xml:space="preserve">Soldul obligațiilor fiscale </w:t>
            </w:r>
            <w:r w:rsidR="0075307B">
              <w:rPr>
                <w:rFonts w:ascii="Times New Roman" w:eastAsia="Calibri" w:hAnsi="Times New Roman" w:cs="Times New Roman"/>
                <w:b/>
                <w:sz w:val="24"/>
                <w:szCs w:val="24"/>
              </w:rPr>
              <w:t xml:space="preserve">restante </w:t>
            </w:r>
            <w:r w:rsidRPr="001D0846">
              <w:rPr>
                <w:rFonts w:ascii="Times New Roman" w:eastAsia="Calibri" w:hAnsi="Times New Roman" w:cs="Times New Roman"/>
                <w:b/>
                <w:sz w:val="24"/>
                <w:szCs w:val="24"/>
              </w:rPr>
              <w:t>la BPN din evidența generală a SFS</w:t>
            </w:r>
          </w:p>
        </w:tc>
        <w:tc>
          <w:tcPr>
            <w:tcW w:w="2196" w:type="dxa"/>
          </w:tcPr>
          <w:p w:rsidR="00714F5D" w:rsidRPr="001D0846" w:rsidRDefault="00714F5D" w:rsidP="008C5C6A">
            <w:pPr>
              <w:spacing w:line="276" w:lineRule="auto"/>
              <w:jc w:val="center"/>
              <w:rPr>
                <w:rFonts w:ascii="Times New Roman" w:eastAsia="Calibri" w:hAnsi="Times New Roman" w:cs="Times New Roman"/>
                <w:b/>
                <w:sz w:val="24"/>
                <w:szCs w:val="24"/>
              </w:rPr>
            </w:pPr>
            <w:r w:rsidRPr="001D0846">
              <w:rPr>
                <w:rFonts w:ascii="Times New Roman" w:eastAsia="Calibri" w:hAnsi="Times New Roman" w:cs="Times New Roman"/>
                <w:b/>
                <w:sz w:val="24"/>
                <w:szCs w:val="24"/>
              </w:rPr>
              <w:t xml:space="preserve">Soldul obligațiilor fiscale </w:t>
            </w:r>
            <w:r w:rsidR="0075307B">
              <w:rPr>
                <w:rFonts w:ascii="Times New Roman" w:eastAsia="Calibri" w:hAnsi="Times New Roman" w:cs="Times New Roman"/>
                <w:b/>
                <w:sz w:val="24"/>
                <w:szCs w:val="24"/>
              </w:rPr>
              <w:t xml:space="preserve">restante </w:t>
            </w:r>
            <w:r w:rsidRPr="001D0846">
              <w:rPr>
                <w:rFonts w:ascii="Times New Roman" w:eastAsia="Calibri" w:hAnsi="Times New Roman" w:cs="Times New Roman"/>
                <w:b/>
                <w:sz w:val="24"/>
                <w:szCs w:val="24"/>
              </w:rPr>
              <w:t>înregistrate în evidența specială</w:t>
            </w:r>
          </w:p>
        </w:tc>
        <w:tc>
          <w:tcPr>
            <w:tcW w:w="2939" w:type="dxa"/>
          </w:tcPr>
          <w:p w:rsidR="00714F5D" w:rsidRPr="001D0846" w:rsidRDefault="00714F5D" w:rsidP="008C5C6A">
            <w:pPr>
              <w:spacing w:line="276" w:lineRule="auto"/>
              <w:jc w:val="center"/>
              <w:rPr>
                <w:rFonts w:ascii="Times New Roman" w:eastAsia="Calibri" w:hAnsi="Times New Roman" w:cs="Times New Roman"/>
                <w:b/>
                <w:sz w:val="24"/>
                <w:szCs w:val="24"/>
              </w:rPr>
            </w:pPr>
            <w:r w:rsidRPr="001D0846">
              <w:rPr>
                <w:rFonts w:ascii="Times New Roman" w:eastAsia="Calibri" w:hAnsi="Times New Roman" w:cs="Times New Roman"/>
                <w:b/>
                <w:sz w:val="24"/>
                <w:szCs w:val="24"/>
              </w:rPr>
              <w:t>Soldul restanțelor</w:t>
            </w:r>
          </w:p>
          <w:p w:rsidR="00714F5D" w:rsidRPr="001D0846" w:rsidRDefault="00714F5D" w:rsidP="008C5C6A">
            <w:pPr>
              <w:spacing w:line="276" w:lineRule="auto"/>
              <w:ind w:firstLine="709"/>
              <w:jc w:val="center"/>
              <w:rPr>
                <w:rFonts w:ascii="Times New Roman" w:eastAsia="Calibri" w:hAnsi="Times New Roman" w:cs="Times New Roman"/>
                <w:sz w:val="28"/>
                <w:szCs w:val="28"/>
              </w:rPr>
            </w:pPr>
            <w:r w:rsidRPr="001D0846">
              <w:rPr>
                <w:rFonts w:ascii="Times New Roman" w:eastAsia="Calibri" w:hAnsi="Times New Roman" w:cs="Times New Roman"/>
                <w:b/>
                <w:sz w:val="24"/>
                <w:szCs w:val="24"/>
              </w:rPr>
              <w:t>la BPN</w:t>
            </w:r>
          </w:p>
          <w:p w:rsidR="00714F5D" w:rsidRPr="001D0846" w:rsidRDefault="00714F5D" w:rsidP="008C5C6A">
            <w:pPr>
              <w:spacing w:line="276" w:lineRule="auto"/>
              <w:jc w:val="center"/>
              <w:rPr>
                <w:rFonts w:ascii="Times New Roman" w:eastAsia="Calibri" w:hAnsi="Times New Roman" w:cs="Times New Roman"/>
                <w:b/>
                <w:sz w:val="28"/>
                <w:szCs w:val="28"/>
              </w:rPr>
            </w:pPr>
          </w:p>
        </w:tc>
      </w:tr>
      <w:tr w:rsidR="00714F5D" w:rsidRPr="001D0846" w:rsidTr="008C5C6A">
        <w:tc>
          <w:tcPr>
            <w:tcW w:w="1702"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31.12.2015</w:t>
            </w:r>
          </w:p>
        </w:tc>
        <w:tc>
          <w:tcPr>
            <w:tcW w:w="344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6411,7</w:t>
            </w:r>
          </w:p>
        </w:tc>
        <w:tc>
          <w:tcPr>
            <w:tcW w:w="219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4567,1</w:t>
            </w:r>
          </w:p>
        </w:tc>
        <w:tc>
          <w:tcPr>
            <w:tcW w:w="2939"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1844,6</w:t>
            </w:r>
          </w:p>
        </w:tc>
      </w:tr>
      <w:tr w:rsidR="00714F5D" w:rsidRPr="001D0846" w:rsidTr="008C5C6A">
        <w:tc>
          <w:tcPr>
            <w:tcW w:w="1702"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31.12.2016</w:t>
            </w:r>
          </w:p>
        </w:tc>
        <w:tc>
          <w:tcPr>
            <w:tcW w:w="344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6971,6</w:t>
            </w:r>
          </w:p>
        </w:tc>
        <w:tc>
          <w:tcPr>
            <w:tcW w:w="219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5145,6</w:t>
            </w:r>
          </w:p>
        </w:tc>
        <w:tc>
          <w:tcPr>
            <w:tcW w:w="2939"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1826,0</w:t>
            </w:r>
          </w:p>
        </w:tc>
      </w:tr>
      <w:tr w:rsidR="00714F5D" w:rsidRPr="001D0846" w:rsidTr="008C5C6A">
        <w:tc>
          <w:tcPr>
            <w:tcW w:w="1702"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Calibri" w:hAnsi="Times New Roman" w:cs="Times New Roman"/>
                <w:sz w:val="24"/>
                <w:szCs w:val="24"/>
              </w:rPr>
              <w:t>31.12.2017</w:t>
            </w:r>
          </w:p>
        </w:tc>
        <w:tc>
          <w:tcPr>
            <w:tcW w:w="344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11216,2</w:t>
            </w:r>
          </w:p>
        </w:tc>
        <w:tc>
          <w:tcPr>
            <w:tcW w:w="2196"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sz w:val="24"/>
                <w:szCs w:val="24"/>
                <w:lang w:eastAsia="ru-RU"/>
              </w:rPr>
              <w:t>9034,3</w:t>
            </w:r>
          </w:p>
        </w:tc>
        <w:tc>
          <w:tcPr>
            <w:tcW w:w="2939" w:type="dxa"/>
          </w:tcPr>
          <w:p w:rsidR="00714F5D" w:rsidRPr="001D0846" w:rsidRDefault="00714F5D" w:rsidP="008C5C6A">
            <w:pPr>
              <w:spacing w:line="276" w:lineRule="auto"/>
              <w:jc w:val="center"/>
              <w:rPr>
                <w:rFonts w:ascii="Times New Roman" w:eastAsia="Calibri" w:hAnsi="Times New Roman" w:cs="Times New Roman"/>
                <w:sz w:val="24"/>
                <w:szCs w:val="24"/>
              </w:rPr>
            </w:pPr>
            <w:r w:rsidRPr="001D0846">
              <w:rPr>
                <w:rFonts w:ascii="Times New Roman" w:eastAsia="Times New Roman" w:hAnsi="Times New Roman" w:cs="Times New Roman"/>
                <w:iCs/>
                <w:sz w:val="24"/>
                <w:szCs w:val="24"/>
              </w:rPr>
              <w:t>2181,9</w:t>
            </w:r>
          </w:p>
        </w:tc>
      </w:tr>
    </w:tbl>
    <w:p w:rsidR="00714F5D" w:rsidRPr="00663A07" w:rsidRDefault="00714F5D" w:rsidP="00714F5D">
      <w:pPr>
        <w:spacing w:after="0" w:line="240" w:lineRule="auto"/>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 xml:space="preserve">Sursă: </w:t>
      </w:r>
      <w:r w:rsidRPr="001D0846">
        <w:rPr>
          <w:rFonts w:ascii="Times New Roman" w:eastAsia="Times New Roman" w:hAnsi="Times New Roman" w:cs="Times New Roman"/>
          <w:i/>
          <w:iCs/>
          <w:sz w:val="20"/>
          <w:szCs w:val="20"/>
        </w:rPr>
        <w:t>Date</w:t>
      </w:r>
      <w:r>
        <w:rPr>
          <w:rFonts w:ascii="Times New Roman" w:eastAsia="Times New Roman" w:hAnsi="Times New Roman" w:cs="Times New Roman"/>
          <w:i/>
          <w:iCs/>
          <w:sz w:val="20"/>
          <w:szCs w:val="20"/>
        </w:rPr>
        <w:t>le</w:t>
      </w:r>
      <w:r w:rsidRPr="001D0846">
        <w:rPr>
          <w:rFonts w:ascii="Times New Roman" w:eastAsia="Times New Roman" w:hAnsi="Times New Roman" w:cs="Times New Roman"/>
          <w:i/>
          <w:iCs/>
          <w:sz w:val="20"/>
          <w:szCs w:val="20"/>
        </w:rPr>
        <w:t xml:space="preserve"> generalizate de către echipa de audit din </w:t>
      </w:r>
      <w:r w:rsidRPr="001D0846">
        <w:rPr>
          <w:rFonts w:ascii="Times New Roman" w:eastAsia="Calibri" w:hAnsi="Times New Roman" w:cs="Times New Roman"/>
          <w:i/>
          <w:sz w:val="20"/>
          <w:szCs w:val="20"/>
        </w:rPr>
        <w:t xml:space="preserve">Rapoartele privind sumele obligațiilor fiscale </w:t>
      </w:r>
      <w:r w:rsidRPr="00663A07">
        <w:rPr>
          <w:rFonts w:ascii="Times New Roman" w:eastAsia="Calibri" w:hAnsi="Times New Roman" w:cs="Times New Roman"/>
          <w:i/>
          <w:sz w:val="20"/>
          <w:szCs w:val="20"/>
        </w:rPr>
        <w:t>luate la evidență specială pe parcursul anilor 2015-2017 de către SFS.</w:t>
      </w:r>
    </w:p>
    <w:p w:rsidR="00714F5D" w:rsidRPr="00663A07" w:rsidRDefault="00714F5D" w:rsidP="00714F5D">
      <w:pPr>
        <w:spacing w:after="0" w:line="240" w:lineRule="auto"/>
        <w:ind w:right="-334"/>
        <w:rPr>
          <w:rFonts w:ascii="Times New Roman" w:hAnsi="Times New Roman" w:cs="Times New Roman"/>
        </w:rPr>
      </w:pPr>
    </w:p>
    <w:p w:rsidR="0075307B" w:rsidRDefault="0075307B" w:rsidP="00714F5D">
      <w:pPr>
        <w:spacing w:after="0" w:line="276" w:lineRule="auto"/>
        <w:ind w:firstLine="709"/>
        <w:jc w:val="right"/>
        <w:rPr>
          <w:rFonts w:ascii="Times New Roman" w:eastAsia="Times New Roman" w:hAnsi="Times New Roman" w:cs="Times New Roman"/>
          <w:b/>
          <w:i/>
          <w:sz w:val="28"/>
          <w:szCs w:val="28"/>
          <w:lang w:eastAsia="ru-RU"/>
        </w:rPr>
      </w:pPr>
    </w:p>
    <w:p w:rsidR="00714F5D" w:rsidRPr="00663A07" w:rsidRDefault="00714F5D" w:rsidP="00714F5D">
      <w:pPr>
        <w:spacing w:after="0" w:line="276" w:lineRule="auto"/>
        <w:ind w:firstLine="709"/>
        <w:jc w:val="right"/>
        <w:rPr>
          <w:rFonts w:ascii="Times New Roman" w:eastAsia="Times New Roman" w:hAnsi="Times New Roman" w:cs="Times New Roman"/>
          <w:b/>
          <w:i/>
          <w:sz w:val="28"/>
          <w:szCs w:val="28"/>
          <w:lang w:eastAsia="ru-RU"/>
        </w:rPr>
      </w:pPr>
      <w:r w:rsidRPr="00663A07">
        <w:rPr>
          <w:rFonts w:ascii="Times New Roman" w:eastAsia="Times New Roman" w:hAnsi="Times New Roman" w:cs="Times New Roman"/>
          <w:b/>
          <w:i/>
          <w:sz w:val="28"/>
          <w:szCs w:val="28"/>
          <w:lang w:eastAsia="ru-RU"/>
        </w:rPr>
        <w:t>Tabelul nr.13</w:t>
      </w:r>
    </w:p>
    <w:p w:rsidR="00714F5D" w:rsidRPr="00E330C1" w:rsidRDefault="00714F5D" w:rsidP="0075307B">
      <w:pPr>
        <w:jc w:val="center"/>
        <w:rPr>
          <w:rFonts w:ascii="Times New Roman" w:hAnsi="Times New Roman" w:cs="Times New Roman"/>
          <w:i/>
          <w:sz w:val="28"/>
          <w:szCs w:val="28"/>
          <w:lang w:eastAsia="ru-RU"/>
        </w:rPr>
      </w:pPr>
      <w:r w:rsidRPr="00E330C1">
        <w:rPr>
          <w:rFonts w:ascii="Times New Roman" w:hAnsi="Times New Roman" w:cs="Times New Roman"/>
          <w:i/>
          <w:sz w:val="28"/>
          <w:szCs w:val="28"/>
          <w:lang w:eastAsia="ru-RU"/>
        </w:rPr>
        <w:t>Informația privind structura plăților aferente obligațiilor fiscale</w:t>
      </w:r>
      <w:r w:rsidR="0075307B">
        <w:rPr>
          <w:rFonts w:ascii="Times New Roman" w:hAnsi="Times New Roman" w:cs="Times New Roman"/>
          <w:i/>
          <w:sz w:val="28"/>
          <w:szCs w:val="28"/>
          <w:lang w:eastAsia="ru-RU"/>
        </w:rPr>
        <w:t xml:space="preserve"> restante</w:t>
      </w:r>
      <w:r w:rsidRPr="00E330C1">
        <w:rPr>
          <w:rFonts w:ascii="Times New Roman" w:hAnsi="Times New Roman" w:cs="Times New Roman"/>
          <w:i/>
          <w:sz w:val="28"/>
          <w:szCs w:val="28"/>
          <w:lang w:eastAsia="ru-RU"/>
        </w:rPr>
        <w:t xml:space="preserve"> luate la evidență specială de către SFS pentru anii 2015-2017</w:t>
      </w:r>
    </w:p>
    <w:p w:rsidR="00714F5D" w:rsidRPr="00365962" w:rsidRDefault="00714F5D" w:rsidP="00714F5D">
      <w:pPr>
        <w:spacing w:after="0" w:line="276" w:lineRule="auto"/>
        <w:ind w:right="-435" w:firstLine="709"/>
        <w:jc w:val="right"/>
        <w:rPr>
          <w:rFonts w:ascii="Times New Roman" w:eastAsia="Times New Roman" w:hAnsi="Times New Roman" w:cs="Times New Roman"/>
          <w:i/>
          <w:sz w:val="28"/>
          <w:szCs w:val="28"/>
          <w:lang w:eastAsia="ru-RU"/>
        </w:rPr>
      </w:pPr>
      <w:r w:rsidRPr="00365962">
        <w:rPr>
          <w:rFonts w:ascii="Times New Roman" w:eastAsia="Times New Roman" w:hAnsi="Times New Roman" w:cs="Times New Roman"/>
          <w:i/>
          <w:sz w:val="28"/>
          <w:szCs w:val="28"/>
          <w:lang w:eastAsia="ru-RU"/>
        </w:rPr>
        <w:t>(mil.lei)</w:t>
      </w:r>
    </w:p>
    <w:tbl>
      <w:tblPr>
        <w:tblStyle w:val="a3"/>
        <w:tblW w:w="10287" w:type="dxa"/>
        <w:tblInd w:w="-431" w:type="dxa"/>
        <w:tblLook w:val="04A0" w:firstRow="1" w:lastRow="0" w:firstColumn="1" w:lastColumn="0" w:noHBand="0" w:noVBand="1"/>
      </w:tblPr>
      <w:tblGrid>
        <w:gridCol w:w="1306"/>
        <w:gridCol w:w="1843"/>
        <w:gridCol w:w="2947"/>
        <w:gridCol w:w="1417"/>
        <w:gridCol w:w="1334"/>
        <w:gridCol w:w="1440"/>
      </w:tblGrid>
      <w:tr w:rsidR="00714F5D" w:rsidRPr="001D0846" w:rsidTr="008C5C6A">
        <w:tc>
          <w:tcPr>
            <w:tcW w:w="1306" w:type="dxa"/>
            <w:vMerge w:val="restart"/>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Anul</w:t>
            </w:r>
          </w:p>
        </w:tc>
        <w:tc>
          <w:tcPr>
            <w:tcW w:w="1843" w:type="dxa"/>
            <w:vMerge w:val="restart"/>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Numărul contribuabililor</w:t>
            </w:r>
          </w:p>
        </w:tc>
        <w:tc>
          <w:tcPr>
            <w:tcW w:w="2947" w:type="dxa"/>
            <w:vMerge w:val="restart"/>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Total</w:t>
            </w:r>
            <w:r>
              <w:rPr>
                <w:rFonts w:ascii="Times New Roman" w:eastAsia="Times New Roman" w:hAnsi="Times New Roman" w:cs="Times New Roman"/>
                <w:b/>
                <w:lang w:eastAsia="ru-RU"/>
              </w:rPr>
              <w:t>,</w:t>
            </w:r>
            <w:r w:rsidRPr="001D0846">
              <w:rPr>
                <w:rFonts w:ascii="Times New Roman" w:eastAsia="Times New Roman" w:hAnsi="Times New Roman" w:cs="Times New Roman"/>
                <w:b/>
                <w:lang w:eastAsia="ru-RU"/>
              </w:rPr>
              <w:t xml:space="preserve"> obligații fiscale</w:t>
            </w:r>
            <w:r w:rsidR="0075307B">
              <w:rPr>
                <w:rFonts w:ascii="Times New Roman" w:eastAsia="Times New Roman" w:hAnsi="Times New Roman" w:cs="Times New Roman"/>
                <w:b/>
                <w:lang w:eastAsia="ru-RU"/>
              </w:rPr>
              <w:t xml:space="preserve"> restante</w:t>
            </w:r>
            <w:r w:rsidRPr="001D0846">
              <w:rPr>
                <w:rFonts w:ascii="Times New Roman" w:eastAsia="Times New Roman" w:hAnsi="Times New Roman" w:cs="Times New Roman"/>
                <w:b/>
                <w:lang w:eastAsia="ru-RU"/>
              </w:rPr>
              <w:t xml:space="preserve"> luate la evidență specială</w:t>
            </w:r>
          </w:p>
          <w:p w:rsidR="00714F5D" w:rsidRPr="001D0846" w:rsidRDefault="00714F5D" w:rsidP="008C5C6A">
            <w:pPr>
              <w:spacing w:line="276" w:lineRule="auto"/>
              <w:jc w:val="center"/>
              <w:rPr>
                <w:rFonts w:ascii="Times New Roman" w:eastAsia="Times New Roman" w:hAnsi="Times New Roman" w:cs="Times New Roman"/>
                <w:b/>
                <w:lang w:eastAsia="ru-RU"/>
              </w:rPr>
            </w:pPr>
          </w:p>
        </w:tc>
        <w:tc>
          <w:tcPr>
            <w:tcW w:w="4191" w:type="dxa"/>
            <w:gridSpan w:val="3"/>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inclusiv</w:t>
            </w:r>
          </w:p>
        </w:tc>
      </w:tr>
      <w:tr w:rsidR="00714F5D" w:rsidRPr="001D0846" w:rsidTr="008C5C6A">
        <w:trPr>
          <w:trHeight w:val="339"/>
        </w:trPr>
        <w:tc>
          <w:tcPr>
            <w:tcW w:w="1306" w:type="dxa"/>
            <w:vMerge/>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p>
        </w:tc>
        <w:tc>
          <w:tcPr>
            <w:tcW w:w="1843" w:type="dxa"/>
            <w:vMerge/>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p>
        </w:tc>
        <w:tc>
          <w:tcPr>
            <w:tcW w:w="2947" w:type="dxa"/>
            <w:vMerge/>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b/>
                <w:lang w:eastAsia="ru-RU"/>
              </w:rPr>
            </w:pPr>
          </w:p>
        </w:tc>
        <w:tc>
          <w:tcPr>
            <w:tcW w:w="1417" w:type="dxa"/>
            <w:shd w:val="clear" w:color="auto" w:fill="FFFFFF" w:themeFill="background1"/>
            <w:vAlign w:val="center"/>
          </w:tcPr>
          <w:p w:rsidR="00714F5D" w:rsidRPr="001D0846" w:rsidRDefault="00714F5D" w:rsidP="008C5C6A">
            <w:pPr>
              <w:spacing w:line="276" w:lineRule="auto"/>
              <w:rPr>
                <w:rFonts w:ascii="Times New Roman" w:eastAsia="Times New Roman" w:hAnsi="Times New Roman" w:cs="Times New Roman"/>
                <w:i/>
                <w:lang w:eastAsia="ru-RU"/>
              </w:rPr>
            </w:pPr>
            <w:r w:rsidRPr="001D0846">
              <w:rPr>
                <w:rFonts w:ascii="Times New Roman" w:eastAsia="Times New Roman" w:hAnsi="Times New Roman" w:cs="Times New Roman"/>
                <w:i/>
                <w:lang w:val="ro-MD" w:eastAsia="ru-RU"/>
              </w:rPr>
              <w:t>P</w:t>
            </w:r>
            <w:r w:rsidRPr="001D0846">
              <w:rPr>
                <w:rFonts w:ascii="Times New Roman" w:eastAsia="Times New Roman" w:hAnsi="Times New Roman" w:cs="Times New Roman"/>
                <w:i/>
                <w:lang w:eastAsia="ru-RU"/>
              </w:rPr>
              <w:t>lăți de bază</w:t>
            </w:r>
          </w:p>
        </w:tc>
        <w:tc>
          <w:tcPr>
            <w:tcW w:w="1334" w:type="dxa"/>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i/>
                <w:lang w:eastAsia="ru-RU"/>
              </w:rPr>
            </w:pPr>
            <w:r w:rsidRPr="001D0846">
              <w:rPr>
                <w:rFonts w:ascii="Times New Roman" w:eastAsia="Times New Roman" w:hAnsi="Times New Roman" w:cs="Times New Roman"/>
                <w:i/>
                <w:lang w:eastAsia="ru-RU"/>
              </w:rPr>
              <w:t>Majorări de întârziere</w:t>
            </w:r>
          </w:p>
        </w:tc>
        <w:tc>
          <w:tcPr>
            <w:tcW w:w="1440" w:type="dxa"/>
            <w:shd w:val="clear" w:color="auto" w:fill="FFFFFF" w:themeFill="background1"/>
            <w:vAlign w:val="center"/>
          </w:tcPr>
          <w:p w:rsidR="00714F5D" w:rsidRPr="001D0846" w:rsidRDefault="00714F5D" w:rsidP="008C5C6A">
            <w:pPr>
              <w:spacing w:line="276" w:lineRule="auto"/>
              <w:jc w:val="center"/>
              <w:rPr>
                <w:rFonts w:ascii="Times New Roman" w:eastAsia="Times New Roman" w:hAnsi="Times New Roman" w:cs="Times New Roman"/>
                <w:i/>
                <w:lang w:eastAsia="ru-RU"/>
              </w:rPr>
            </w:pPr>
            <w:r w:rsidRPr="001D0846">
              <w:rPr>
                <w:rFonts w:ascii="Times New Roman" w:eastAsia="Times New Roman" w:hAnsi="Times New Roman" w:cs="Times New Roman"/>
                <w:i/>
                <w:lang w:val="ro-MD" w:eastAsia="ru-RU"/>
              </w:rPr>
              <w:t>A</w:t>
            </w:r>
            <w:proofErr w:type="spellStart"/>
            <w:r w:rsidRPr="001D0846">
              <w:rPr>
                <w:rFonts w:ascii="Times New Roman" w:eastAsia="Times New Roman" w:hAnsi="Times New Roman" w:cs="Times New Roman"/>
                <w:i/>
                <w:lang w:eastAsia="ru-RU"/>
              </w:rPr>
              <w:t>menzi</w:t>
            </w:r>
            <w:proofErr w:type="spellEnd"/>
          </w:p>
        </w:tc>
      </w:tr>
      <w:tr w:rsidR="00714F5D" w:rsidRPr="001D0846" w:rsidTr="008C5C6A">
        <w:tc>
          <w:tcPr>
            <w:tcW w:w="1306" w:type="dxa"/>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2015</w:t>
            </w:r>
          </w:p>
        </w:tc>
        <w:tc>
          <w:tcPr>
            <w:tcW w:w="1843"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1978</w:t>
            </w:r>
          </w:p>
        </w:tc>
        <w:tc>
          <w:tcPr>
            <w:tcW w:w="294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4567,1</w:t>
            </w:r>
          </w:p>
        </w:tc>
        <w:tc>
          <w:tcPr>
            <w:tcW w:w="141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3108,7</w:t>
            </w:r>
          </w:p>
        </w:tc>
        <w:tc>
          <w:tcPr>
            <w:tcW w:w="1334"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560,4</w:t>
            </w:r>
          </w:p>
        </w:tc>
        <w:tc>
          <w:tcPr>
            <w:tcW w:w="1440"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898,02</w:t>
            </w:r>
          </w:p>
        </w:tc>
      </w:tr>
      <w:tr w:rsidR="00714F5D" w:rsidRPr="001D0846" w:rsidTr="008C5C6A">
        <w:tc>
          <w:tcPr>
            <w:tcW w:w="1306" w:type="dxa"/>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2016</w:t>
            </w:r>
          </w:p>
        </w:tc>
        <w:tc>
          <w:tcPr>
            <w:tcW w:w="1843"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2751</w:t>
            </w:r>
          </w:p>
        </w:tc>
        <w:tc>
          <w:tcPr>
            <w:tcW w:w="294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5145,6</w:t>
            </w:r>
          </w:p>
        </w:tc>
        <w:tc>
          <w:tcPr>
            <w:tcW w:w="141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2988,8</w:t>
            </w:r>
          </w:p>
        </w:tc>
        <w:tc>
          <w:tcPr>
            <w:tcW w:w="1334"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788,6</w:t>
            </w:r>
          </w:p>
        </w:tc>
        <w:tc>
          <w:tcPr>
            <w:tcW w:w="1440"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1368,1</w:t>
            </w:r>
          </w:p>
        </w:tc>
      </w:tr>
      <w:tr w:rsidR="00714F5D" w:rsidRPr="001D0846" w:rsidTr="008C5C6A">
        <w:tc>
          <w:tcPr>
            <w:tcW w:w="1306" w:type="dxa"/>
          </w:tcPr>
          <w:p w:rsidR="00714F5D" w:rsidRPr="001D0846" w:rsidRDefault="00714F5D" w:rsidP="008C5C6A">
            <w:pPr>
              <w:spacing w:line="276" w:lineRule="auto"/>
              <w:jc w:val="center"/>
              <w:rPr>
                <w:rFonts w:ascii="Times New Roman" w:eastAsia="Times New Roman" w:hAnsi="Times New Roman" w:cs="Times New Roman"/>
                <w:b/>
                <w:lang w:eastAsia="ru-RU"/>
              </w:rPr>
            </w:pPr>
            <w:r w:rsidRPr="001D0846">
              <w:rPr>
                <w:rFonts w:ascii="Times New Roman" w:eastAsia="Times New Roman" w:hAnsi="Times New Roman" w:cs="Times New Roman"/>
                <w:b/>
                <w:lang w:eastAsia="ru-RU"/>
              </w:rPr>
              <w:t>2017</w:t>
            </w:r>
          </w:p>
        </w:tc>
        <w:tc>
          <w:tcPr>
            <w:tcW w:w="1843"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2578</w:t>
            </w:r>
          </w:p>
        </w:tc>
        <w:tc>
          <w:tcPr>
            <w:tcW w:w="294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9034,3</w:t>
            </w:r>
          </w:p>
        </w:tc>
        <w:tc>
          <w:tcPr>
            <w:tcW w:w="1417"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4711,08</w:t>
            </w:r>
          </w:p>
        </w:tc>
        <w:tc>
          <w:tcPr>
            <w:tcW w:w="1334"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1548,4</w:t>
            </w:r>
          </w:p>
        </w:tc>
        <w:tc>
          <w:tcPr>
            <w:tcW w:w="1440" w:type="dxa"/>
          </w:tcPr>
          <w:p w:rsidR="00714F5D" w:rsidRPr="001D0846" w:rsidRDefault="00714F5D" w:rsidP="008C5C6A">
            <w:pPr>
              <w:spacing w:line="276" w:lineRule="auto"/>
              <w:jc w:val="center"/>
              <w:rPr>
                <w:rFonts w:ascii="Times New Roman" w:eastAsia="Times New Roman" w:hAnsi="Times New Roman" w:cs="Times New Roman"/>
                <w:lang w:eastAsia="ru-RU"/>
              </w:rPr>
            </w:pPr>
            <w:r w:rsidRPr="001D0846">
              <w:rPr>
                <w:rFonts w:ascii="Times New Roman" w:eastAsia="Times New Roman" w:hAnsi="Times New Roman" w:cs="Times New Roman"/>
                <w:lang w:eastAsia="ru-RU"/>
              </w:rPr>
              <w:t>2774,8</w:t>
            </w:r>
          </w:p>
        </w:tc>
      </w:tr>
    </w:tbl>
    <w:p w:rsidR="00714F5D" w:rsidRPr="001D0846" w:rsidRDefault="00714F5D" w:rsidP="00714F5D">
      <w:pPr>
        <w:spacing w:after="0" w:line="240" w:lineRule="auto"/>
        <w:jc w:val="both"/>
        <w:rPr>
          <w:rFonts w:ascii="Times New Roman" w:eastAsia="Calibri" w:hAnsi="Times New Roman" w:cs="Times New Roman"/>
          <w:i/>
          <w:sz w:val="20"/>
          <w:szCs w:val="20"/>
        </w:rPr>
      </w:pPr>
      <w:r w:rsidRPr="001D0846">
        <w:rPr>
          <w:rFonts w:ascii="Times New Roman" w:eastAsia="Times New Roman" w:hAnsi="Times New Roman" w:cs="Times New Roman"/>
          <w:b/>
          <w:i/>
          <w:iCs/>
          <w:sz w:val="20"/>
          <w:szCs w:val="20"/>
        </w:rPr>
        <w:t>Sursă:</w:t>
      </w:r>
      <w:r w:rsidRPr="001D0846">
        <w:rPr>
          <w:rFonts w:ascii="Times New Roman" w:eastAsia="Times New Roman" w:hAnsi="Times New Roman" w:cs="Times New Roman"/>
          <w:i/>
          <w:iCs/>
          <w:sz w:val="20"/>
          <w:szCs w:val="20"/>
        </w:rPr>
        <w:t xml:space="preserve"> Date</w:t>
      </w:r>
      <w:r>
        <w:rPr>
          <w:rFonts w:ascii="Times New Roman" w:eastAsia="Times New Roman" w:hAnsi="Times New Roman" w:cs="Times New Roman"/>
          <w:i/>
          <w:iCs/>
          <w:sz w:val="20"/>
          <w:szCs w:val="20"/>
        </w:rPr>
        <w:t>le</w:t>
      </w:r>
      <w:r w:rsidRPr="001D0846">
        <w:rPr>
          <w:rFonts w:ascii="Times New Roman" w:eastAsia="Times New Roman" w:hAnsi="Times New Roman" w:cs="Times New Roman"/>
          <w:i/>
          <w:iCs/>
          <w:sz w:val="20"/>
          <w:szCs w:val="20"/>
        </w:rPr>
        <w:t xml:space="preserve"> generalizate de către echipa de audit din </w:t>
      </w:r>
      <w:r w:rsidRPr="001D0846">
        <w:rPr>
          <w:rFonts w:ascii="Times New Roman" w:eastAsia="Calibri" w:hAnsi="Times New Roman" w:cs="Times New Roman"/>
          <w:i/>
          <w:sz w:val="20"/>
          <w:szCs w:val="20"/>
        </w:rPr>
        <w:t>Rapoartele privind sumele obligațiilor fiscale luate la evidență specială pe parcursul anilor 2015-2017 de către SFS.</w:t>
      </w:r>
    </w:p>
    <w:p w:rsidR="00714F5D" w:rsidRPr="001D0846" w:rsidRDefault="00714F5D" w:rsidP="00714F5D">
      <w:pPr>
        <w:spacing w:after="0" w:line="240" w:lineRule="auto"/>
        <w:ind w:right="-334"/>
        <w:rPr>
          <w:rFonts w:ascii="Times New Roman" w:hAnsi="Times New Roman" w:cs="Times New Roman"/>
        </w:rPr>
      </w:pPr>
    </w:p>
    <w:p w:rsidR="00714F5D" w:rsidRDefault="00714F5D" w:rsidP="00714F5D">
      <w:pPr>
        <w:spacing w:after="0" w:line="240" w:lineRule="auto"/>
        <w:jc w:val="right"/>
        <w:rPr>
          <w:rFonts w:ascii="Times New Roman" w:hAnsi="Times New Roman" w:cs="Times New Roman"/>
          <w:b/>
          <w:bCs/>
          <w:i/>
          <w:sz w:val="28"/>
          <w:szCs w:val="28"/>
          <w:lang w:val="ro-MD"/>
        </w:rPr>
      </w:pPr>
    </w:p>
    <w:p w:rsidR="00714F5D" w:rsidRDefault="00714F5D" w:rsidP="00714F5D">
      <w:pPr>
        <w:spacing w:after="0" w:line="240" w:lineRule="auto"/>
        <w:jc w:val="right"/>
        <w:rPr>
          <w:rFonts w:ascii="Times New Roman" w:hAnsi="Times New Roman" w:cs="Times New Roman"/>
          <w:b/>
          <w:bCs/>
          <w:i/>
          <w:sz w:val="28"/>
          <w:szCs w:val="28"/>
          <w:lang w:val="ro-MD"/>
        </w:rPr>
      </w:pPr>
    </w:p>
    <w:p w:rsidR="00714F5D" w:rsidRDefault="00714F5D" w:rsidP="00714F5D">
      <w:pPr>
        <w:spacing w:after="0" w:line="240" w:lineRule="auto"/>
        <w:jc w:val="right"/>
        <w:rPr>
          <w:rFonts w:ascii="Times New Roman" w:hAnsi="Times New Roman" w:cs="Times New Roman"/>
          <w:b/>
          <w:bCs/>
          <w:i/>
          <w:sz w:val="28"/>
          <w:szCs w:val="28"/>
          <w:lang w:val="ro-MD"/>
        </w:rPr>
      </w:pPr>
    </w:p>
    <w:p w:rsidR="00714F5D" w:rsidRDefault="00714F5D" w:rsidP="00714F5D">
      <w:pPr>
        <w:spacing w:after="0" w:line="240" w:lineRule="auto"/>
        <w:jc w:val="right"/>
        <w:rPr>
          <w:rFonts w:ascii="Times New Roman" w:hAnsi="Times New Roman" w:cs="Times New Roman"/>
          <w:b/>
          <w:bCs/>
          <w:i/>
          <w:sz w:val="28"/>
          <w:szCs w:val="28"/>
          <w:lang w:val="ro-MD"/>
        </w:rPr>
      </w:pPr>
    </w:p>
    <w:p w:rsidR="00714F5D" w:rsidRDefault="00714F5D" w:rsidP="00714F5D">
      <w:pPr>
        <w:spacing w:after="0" w:line="240" w:lineRule="auto"/>
        <w:jc w:val="right"/>
        <w:rPr>
          <w:rFonts w:ascii="Times New Roman" w:hAnsi="Times New Roman" w:cs="Times New Roman"/>
          <w:b/>
          <w:bCs/>
          <w:i/>
          <w:sz w:val="28"/>
          <w:szCs w:val="28"/>
          <w:lang w:val="ro-MD"/>
        </w:rPr>
      </w:pPr>
    </w:p>
    <w:p w:rsidR="00714F5D" w:rsidRDefault="00714F5D" w:rsidP="00714F5D">
      <w:pPr>
        <w:spacing w:after="0" w:line="240" w:lineRule="auto"/>
        <w:jc w:val="right"/>
        <w:rPr>
          <w:rFonts w:ascii="Times New Roman" w:hAnsi="Times New Roman" w:cs="Times New Roman"/>
          <w:b/>
          <w:bCs/>
          <w:i/>
          <w:sz w:val="28"/>
          <w:szCs w:val="28"/>
          <w:lang w:val="ro-MD"/>
        </w:rPr>
      </w:pPr>
    </w:p>
    <w:p w:rsidR="00714F5D" w:rsidRDefault="00714F5D" w:rsidP="00714F5D">
      <w:pPr>
        <w:spacing w:after="0" w:line="240" w:lineRule="auto"/>
        <w:jc w:val="right"/>
        <w:rPr>
          <w:rFonts w:ascii="Times New Roman" w:hAnsi="Times New Roman" w:cs="Times New Roman"/>
          <w:b/>
          <w:bCs/>
          <w:i/>
          <w:sz w:val="28"/>
          <w:szCs w:val="28"/>
          <w:lang w:val="ro-MD"/>
        </w:rPr>
      </w:pPr>
    </w:p>
    <w:p w:rsidR="00714F5D" w:rsidRDefault="00714F5D" w:rsidP="00714F5D">
      <w:pPr>
        <w:spacing w:after="0" w:line="240" w:lineRule="auto"/>
        <w:jc w:val="right"/>
        <w:rPr>
          <w:rFonts w:ascii="Times New Roman" w:hAnsi="Times New Roman" w:cs="Times New Roman"/>
          <w:b/>
          <w:bCs/>
          <w:i/>
          <w:sz w:val="28"/>
          <w:szCs w:val="28"/>
          <w:lang w:val="ro-MD"/>
        </w:rPr>
      </w:pPr>
    </w:p>
    <w:p w:rsidR="00714F5D" w:rsidRDefault="00714F5D" w:rsidP="00714F5D">
      <w:pPr>
        <w:spacing w:after="0" w:line="240" w:lineRule="auto"/>
        <w:jc w:val="right"/>
        <w:rPr>
          <w:rFonts w:ascii="Times New Roman" w:hAnsi="Times New Roman" w:cs="Times New Roman"/>
          <w:b/>
          <w:bCs/>
          <w:i/>
          <w:sz w:val="28"/>
          <w:szCs w:val="28"/>
          <w:lang w:val="ro-MD"/>
        </w:rPr>
      </w:pPr>
    </w:p>
    <w:p w:rsidR="00714F5D" w:rsidRDefault="00714F5D" w:rsidP="00714F5D">
      <w:pPr>
        <w:spacing w:after="0" w:line="240" w:lineRule="auto"/>
        <w:jc w:val="right"/>
        <w:rPr>
          <w:rFonts w:ascii="Times New Roman" w:hAnsi="Times New Roman" w:cs="Times New Roman"/>
          <w:b/>
          <w:bCs/>
          <w:i/>
          <w:sz w:val="28"/>
          <w:szCs w:val="28"/>
          <w:lang w:val="ro-MD"/>
        </w:rPr>
      </w:pPr>
    </w:p>
    <w:p w:rsidR="00714F5D" w:rsidRDefault="00714F5D" w:rsidP="00714F5D">
      <w:pPr>
        <w:spacing w:after="0" w:line="240" w:lineRule="auto"/>
        <w:jc w:val="right"/>
        <w:rPr>
          <w:rFonts w:ascii="Times New Roman" w:hAnsi="Times New Roman" w:cs="Times New Roman"/>
          <w:b/>
          <w:bCs/>
          <w:i/>
          <w:sz w:val="28"/>
          <w:szCs w:val="28"/>
          <w:lang w:val="ro-MD"/>
        </w:rPr>
      </w:pPr>
    </w:p>
    <w:p w:rsidR="00714F5D" w:rsidRDefault="00714F5D" w:rsidP="00714F5D">
      <w:pPr>
        <w:spacing w:after="0" w:line="240" w:lineRule="auto"/>
        <w:jc w:val="right"/>
        <w:rPr>
          <w:rFonts w:ascii="Times New Roman" w:hAnsi="Times New Roman" w:cs="Times New Roman"/>
          <w:b/>
          <w:bCs/>
          <w:i/>
          <w:sz w:val="28"/>
          <w:szCs w:val="28"/>
          <w:lang w:val="ro-MD"/>
        </w:rPr>
      </w:pPr>
    </w:p>
    <w:p w:rsidR="0075307B" w:rsidRDefault="0075307B" w:rsidP="00714F5D">
      <w:pPr>
        <w:spacing w:after="0" w:line="240" w:lineRule="auto"/>
        <w:jc w:val="right"/>
        <w:rPr>
          <w:rFonts w:ascii="Times New Roman" w:hAnsi="Times New Roman" w:cs="Times New Roman"/>
          <w:b/>
          <w:bCs/>
          <w:i/>
          <w:sz w:val="28"/>
          <w:szCs w:val="28"/>
          <w:lang w:val="ro-MD"/>
        </w:rPr>
        <w:sectPr w:rsidR="0075307B" w:rsidSect="008E6F50">
          <w:pgSz w:w="12240" w:h="15840"/>
          <w:pgMar w:top="1440" w:right="1166" w:bottom="1138" w:left="1699" w:header="706" w:footer="706" w:gutter="0"/>
          <w:cols w:space="708"/>
          <w:docGrid w:linePitch="360"/>
        </w:sectPr>
      </w:pPr>
    </w:p>
    <w:p w:rsidR="00714F5D" w:rsidRDefault="008C5C6A" w:rsidP="008C5C6A">
      <w:pPr>
        <w:spacing w:after="0" w:line="240" w:lineRule="auto"/>
        <w:jc w:val="center"/>
        <w:rPr>
          <w:rFonts w:ascii="Times New Roman" w:hAnsi="Times New Roman" w:cs="Times New Roman"/>
          <w:b/>
          <w:bCs/>
          <w:i/>
          <w:sz w:val="28"/>
          <w:szCs w:val="28"/>
          <w:lang w:val="ro-MD"/>
        </w:rPr>
      </w:pPr>
      <w:r>
        <w:rPr>
          <w:rFonts w:ascii="Times New Roman" w:hAnsi="Times New Roman" w:cs="Times New Roman"/>
          <w:b/>
          <w:bCs/>
          <w:i/>
          <w:sz w:val="28"/>
          <w:szCs w:val="28"/>
          <w:lang w:val="ro-MD"/>
        </w:rPr>
        <w:lastRenderedPageBreak/>
        <w:t xml:space="preserve">                                                                                                                                                  </w:t>
      </w:r>
      <w:r w:rsidR="00714F5D" w:rsidRPr="00365962">
        <w:rPr>
          <w:rFonts w:ascii="Times New Roman" w:hAnsi="Times New Roman" w:cs="Times New Roman"/>
          <w:b/>
          <w:bCs/>
          <w:i/>
          <w:sz w:val="28"/>
          <w:szCs w:val="28"/>
          <w:lang w:val="ro-MD"/>
        </w:rPr>
        <w:t>Tabelul nr.15</w:t>
      </w:r>
    </w:p>
    <w:p w:rsidR="008C5C6A" w:rsidRPr="00365962" w:rsidRDefault="008C5C6A" w:rsidP="008C5C6A">
      <w:pPr>
        <w:spacing w:after="0" w:line="240" w:lineRule="auto"/>
        <w:jc w:val="center"/>
        <w:rPr>
          <w:rFonts w:ascii="Times New Roman" w:hAnsi="Times New Roman" w:cs="Times New Roman"/>
          <w:b/>
          <w:bCs/>
          <w:i/>
          <w:sz w:val="28"/>
          <w:szCs w:val="28"/>
          <w:lang w:val="ro-MD"/>
        </w:rPr>
      </w:pPr>
    </w:p>
    <w:p w:rsidR="00714F5D" w:rsidRPr="001D0846" w:rsidRDefault="00714F5D" w:rsidP="00714F5D">
      <w:pPr>
        <w:spacing w:after="0" w:line="240" w:lineRule="auto"/>
        <w:jc w:val="center"/>
        <w:rPr>
          <w:rFonts w:ascii="Times New Roman" w:hAnsi="Times New Roman" w:cs="Times New Roman"/>
          <w:bCs/>
          <w:i/>
          <w:sz w:val="28"/>
          <w:szCs w:val="28"/>
          <w:lang w:val="ro-MD"/>
        </w:rPr>
      </w:pPr>
      <w:r w:rsidRPr="00365962">
        <w:rPr>
          <w:rFonts w:ascii="Times New Roman" w:hAnsi="Times New Roman" w:cs="Times New Roman"/>
          <w:bCs/>
          <w:i/>
          <w:sz w:val="28"/>
          <w:szCs w:val="28"/>
          <w:lang w:val="ro-MD"/>
        </w:rPr>
        <w:t>Analiza datoriilor istorice ale contribuabililor aflați în proces de insolvabilitate pentru anii 2015-2017</w:t>
      </w:r>
    </w:p>
    <w:p w:rsidR="00714F5D" w:rsidRPr="00365962" w:rsidRDefault="008C5C6A" w:rsidP="008C5C6A">
      <w:pPr>
        <w:tabs>
          <w:tab w:val="left" w:pos="8222"/>
        </w:tabs>
        <w:spacing w:after="0" w:line="240" w:lineRule="auto"/>
        <w:ind w:right="-795"/>
        <w:jc w:val="center"/>
        <w:rPr>
          <w:rFonts w:ascii="Times New Roman" w:hAnsi="Times New Roman" w:cs="Times New Roman"/>
          <w:i/>
          <w:sz w:val="28"/>
          <w:szCs w:val="28"/>
          <w:lang w:val="ro-MD"/>
        </w:rPr>
      </w:pPr>
      <w:r>
        <w:rPr>
          <w:rFonts w:ascii="Times New Roman" w:hAnsi="Times New Roman" w:cs="Times New Roman"/>
          <w:i/>
          <w:sz w:val="28"/>
          <w:szCs w:val="28"/>
          <w:lang w:val="ro-MD"/>
        </w:rPr>
        <w:t xml:space="preserve">                                                                                                                                                 </w:t>
      </w:r>
      <w:r w:rsidR="00714F5D" w:rsidRPr="00365962">
        <w:rPr>
          <w:rFonts w:ascii="Times New Roman" w:hAnsi="Times New Roman" w:cs="Times New Roman"/>
          <w:i/>
          <w:sz w:val="28"/>
          <w:szCs w:val="28"/>
          <w:lang w:val="ro-MD"/>
        </w:rPr>
        <w:t>(mii lei)</w:t>
      </w:r>
    </w:p>
    <w:tbl>
      <w:tblPr>
        <w:tblStyle w:val="a3"/>
        <w:tblW w:w="14130" w:type="dxa"/>
        <w:tblInd w:w="-275" w:type="dxa"/>
        <w:tblLook w:val="04A0" w:firstRow="1" w:lastRow="0" w:firstColumn="1" w:lastColumn="0" w:noHBand="0" w:noVBand="1"/>
      </w:tblPr>
      <w:tblGrid>
        <w:gridCol w:w="1260"/>
        <w:gridCol w:w="1440"/>
        <w:gridCol w:w="1890"/>
        <w:gridCol w:w="1980"/>
        <w:gridCol w:w="1998"/>
        <w:gridCol w:w="1962"/>
        <w:gridCol w:w="1530"/>
        <w:gridCol w:w="2070"/>
      </w:tblGrid>
      <w:tr w:rsidR="00714F5D" w:rsidRPr="001D0846" w:rsidTr="008C5C6A">
        <w:tc>
          <w:tcPr>
            <w:tcW w:w="1260" w:type="dxa"/>
          </w:tcPr>
          <w:p w:rsidR="00714F5D" w:rsidRPr="001D0846" w:rsidRDefault="00714F5D" w:rsidP="008C5C6A">
            <w:pPr>
              <w:spacing w:line="276" w:lineRule="auto"/>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Anul</w:t>
            </w:r>
          </w:p>
        </w:tc>
        <w:tc>
          <w:tcPr>
            <w:tcW w:w="144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b/>
                <w:sz w:val="20"/>
                <w:szCs w:val="20"/>
                <w:lang w:val="ro-MD"/>
              </w:rPr>
              <w:t>Numărul de întreprinderi aflate în proces de insolvabilitate</w:t>
            </w:r>
          </w:p>
        </w:tc>
        <w:tc>
          <w:tcPr>
            <w:tcW w:w="1890" w:type="dxa"/>
          </w:tcPr>
          <w:p w:rsidR="00714F5D" w:rsidRPr="001D0846" w:rsidRDefault="00714F5D" w:rsidP="008C5C6A">
            <w:pPr>
              <w:spacing w:line="276" w:lineRule="auto"/>
              <w:ind w:right="-87"/>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Suma datoriilor istorice a</w:t>
            </w:r>
            <w:r>
              <w:rPr>
                <w:rFonts w:ascii="Times New Roman" w:hAnsi="Times New Roman" w:cs="Times New Roman"/>
                <w:b/>
                <w:sz w:val="20"/>
                <w:szCs w:val="20"/>
                <w:lang w:val="ro-MD"/>
              </w:rPr>
              <w:t>le</w:t>
            </w:r>
            <w:r w:rsidRPr="001D0846">
              <w:rPr>
                <w:rFonts w:ascii="Times New Roman" w:hAnsi="Times New Roman" w:cs="Times New Roman"/>
                <w:b/>
                <w:sz w:val="20"/>
                <w:szCs w:val="20"/>
                <w:lang w:val="ro-MD"/>
              </w:rPr>
              <w:t xml:space="preserve"> întreprinderilor insolvabile </w:t>
            </w:r>
            <w:proofErr w:type="spellStart"/>
            <w:r w:rsidRPr="001D0846">
              <w:rPr>
                <w:rFonts w:ascii="Times New Roman" w:hAnsi="Times New Roman" w:cs="Times New Roman"/>
                <w:b/>
                <w:sz w:val="20"/>
                <w:szCs w:val="20"/>
                <w:lang w:val="ro-MD"/>
              </w:rPr>
              <w:t>faţă</w:t>
            </w:r>
            <w:proofErr w:type="spellEnd"/>
            <w:r w:rsidRPr="001D0846">
              <w:rPr>
                <w:rFonts w:ascii="Times New Roman" w:hAnsi="Times New Roman" w:cs="Times New Roman"/>
                <w:b/>
                <w:sz w:val="20"/>
                <w:szCs w:val="20"/>
                <w:lang w:val="ro-MD"/>
              </w:rPr>
              <w:t xml:space="preserve"> de BPN</w:t>
            </w:r>
            <w:r>
              <w:rPr>
                <w:rFonts w:ascii="Times New Roman" w:hAnsi="Times New Roman" w:cs="Times New Roman"/>
                <w:b/>
                <w:sz w:val="20"/>
                <w:szCs w:val="20"/>
                <w:lang w:val="ro-MD"/>
              </w:rPr>
              <w:t>,</w:t>
            </w:r>
            <w:r w:rsidRPr="001D0846">
              <w:rPr>
                <w:rFonts w:ascii="Times New Roman" w:hAnsi="Times New Roman" w:cs="Times New Roman"/>
                <w:b/>
                <w:sz w:val="20"/>
                <w:szCs w:val="20"/>
                <w:lang w:val="ro-MD"/>
              </w:rPr>
              <w:t xml:space="preserve"> validate de către </w:t>
            </w:r>
            <w:proofErr w:type="spellStart"/>
            <w:r w:rsidRPr="001D0846">
              <w:rPr>
                <w:rFonts w:ascii="Times New Roman" w:hAnsi="Times New Roman" w:cs="Times New Roman"/>
                <w:b/>
                <w:sz w:val="20"/>
                <w:szCs w:val="20"/>
                <w:lang w:val="ro-MD"/>
              </w:rPr>
              <w:t>instanţa</w:t>
            </w:r>
            <w:proofErr w:type="spellEnd"/>
            <w:r w:rsidRPr="001D0846">
              <w:rPr>
                <w:rFonts w:ascii="Times New Roman" w:hAnsi="Times New Roman" w:cs="Times New Roman"/>
                <w:b/>
                <w:sz w:val="20"/>
                <w:szCs w:val="20"/>
                <w:lang w:val="ro-MD"/>
              </w:rPr>
              <w:t xml:space="preserve"> de judecată</w:t>
            </w:r>
          </w:p>
        </w:tc>
        <w:tc>
          <w:tcPr>
            <w:tcW w:w="1980" w:type="dxa"/>
          </w:tcPr>
          <w:p w:rsidR="00714F5D" w:rsidRPr="00E330C1" w:rsidRDefault="00714F5D" w:rsidP="008C5C6A">
            <w:pPr>
              <w:spacing w:line="276" w:lineRule="auto"/>
              <w:jc w:val="center"/>
              <w:rPr>
                <w:rFonts w:ascii="Times New Roman" w:hAnsi="Times New Roman" w:cs="Times New Roman"/>
                <w:b/>
                <w:sz w:val="20"/>
                <w:szCs w:val="20"/>
                <w:lang w:val="ro-MD"/>
              </w:rPr>
            </w:pPr>
            <w:r w:rsidRPr="00E330C1">
              <w:rPr>
                <w:rFonts w:ascii="Times New Roman" w:hAnsi="Times New Roman" w:cs="Times New Roman"/>
                <w:b/>
                <w:sz w:val="20"/>
                <w:szCs w:val="20"/>
                <w:lang w:val="ro-MD"/>
              </w:rPr>
              <w:t>Suma datoriilor istorice încasate</w:t>
            </w:r>
          </w:p>
          <w:p w:rsidR="00714F5D" w:rsidRPr="00E330C1" w:rsidRDefault="00714F5D" w:rsidP="008C5C6A">
            <w:pPr>
              <w:spacing w:line="276" w:lineRule="auto"/>
              <w:jc w:val="center"/>
              <w:rPr>
                <w:rFonts w:ascii="Times New Roman" w:hAnsi="Times New Roman" w:cs="Times New Roman"/>
                <w:b/>
                <w:sz w:val="20"/>
                <w:szCs w:val="20"/>
                <w:lang w:val="ro-MD"/>
              </w:rPr>
            </w:pPr>
            <w:r w:rsidRPr="00E330C1">
              <w:rPr>
                <w:rFonts w:ascii="Times New Roman" w:hAnsi="Times New Roman" w:cs="Times New Roman"/>
                <w:b/>
                <w:sz w:val="20"/>
                <w:szCs w:val="20"/>
                <w:lang w:val="ro-MD"/>
              </w:rPr>
              <w:t>la BPN ale întreprinderilor</w:t>
            </w:r>
          </w:p>
          <w:p w:rsidR="00714F5D" w:rsidRPr="00E330C1" w:rsidRDefault="00714F5D" w:rsidP="008C5C6A">
            <w:pPr>
              <w:spacing w:line="276" w:lineRule="auto"/>
              <w:jc w:val="center"/>
              <w:rPr>
                <w:rFonts w:ascii="Times New Roman" w:hAnsi="Times New Roman" w:cs="Times New Roman"/>
                <w:sz w:val="20"/>
                <w:szCs w:val="20"/>
                <w:lang w:val="ro-MD"/>
              </w:rPr>
            </w:pPr>
            <w:r w:rsidRPr="00E330C1">
              <w:rPr>
                <w:rFonts w:ascii="Times New Roman" w:hAnsi="Times New Roman" w:cs="Times New Roman"/>
                <w:b/>
                <w:sz w:val="20"/>
                <w:szCs w:val="20"/>
                <w:lang w:val="ro-MD"/>
              </w:rPr>
              <w:t>în proces de insolvabilitate</w:t>
            </w:r>
          </w:p>
        </w:tc>
        <w:tc>
          <w:tcPr>
            <w:tcW w:w="1998" w:type="dxa"/>
          </w:tcPr>
          <w:p w:rsidR="00714F5D" w:rsidRPr="00E330C1" w:rsidRDefault="00714F5D" w:rsidP="008C5C6A">
            <w:pPr>
              <w:spacing w:line="276" w:lineRule="auto"/>
              <w:jc w:val="center"/>
              <w:rPr>
                <w:rFonts w:ascii="Times New Roman" w:hAnsi="Times New Roman" w:cs="Times New Roman"/>
                <w:b/>
                <w:sz w:val="20"/>
                <w:szCs w:val="20"/>
                <w:lang w:val="ro-MD"/>
              </w:rPr>
            </w:pPr>
            <w:r w:rsidRPr="00E330C1">
              <w:rPr>
                <w:rFonts w:ascii="Times New Roman" w:hAnsi="Times New Roman" w:cs="Times New Roman"/>
                <w:b/>
                <w:sz w:val="20"/>
                <w:szCs w:val="20"/>
                <w:lang w:val="ro-MD"/>
              </w:rPr>
              <w:t xml:space="preserve">Gradul de colectare la BPN a creanțelor validate de către instanța de judecată ale întreprinderilor </w:t>
            </w:r>
          </w:p>
          <w:p w:rsidR="00714F5D" w:rsidRPr="00E330C1" w:rsidRDefault="00714F5D" w:rsidP="008C5C6A">
            <w:pPr>
              <w:spacing w:line="276" w:lineRule="auto"/>
              <w:jc w:val="center"/>
              <w:rPr>
                <w:rFonts w:ascii="Times New Roman" w:hAnsi="Times New Roman" w:cs="Times New Roman"/>
                <w:b/>
                <w:sz w:val="20"/>
                <w:szCs w:val="20"/>
                <w:lang w:val="ro-MD"/>
              </w:rPr>
            </w:pPr>
            <w:r w:rsidRPr="00E330C1">
              <w:rPr>
                <w:rFonts w:ascii="Times New Roman" w:hAnsi="Times New Roman" w:cs="Times New Roman"/>
                <w:b/>
                <w:sz w:val="20"/>
                <w:szCs w:val="20"/>
                <w:lang w:val="ro-MD"/>
              </w:rPr>
              <w:t>în proces de insolvabilitate</w:t>
            </w:r>
          </w:p>
          <w:p w:rsidR="00714F5D" w:rsidRPr="00E330C1" w:rsidRDefault="00714F5D" w:rsidP="008C5C6A">
            <w:pPr>
              <w:spacing w:line="276" w:lineRule="auto"/>
              <w:jc w:val="center"/>
              <w:rPr>
                <w:rFonts w:ascii="Times New Roman" w:hAnsi="Times New Roman" w:cs="Times New Roman"/>
                <w:sz w:val="20"/>
                <w:szCs w:val="20"/>
                <w:lang w:val="ro-MD"/>
              </w:rPr>
            </w:pPr>
            <w:r w:rsidRPr="00E330C1">
              <w:rPr>
                <w:rFonts w:ascii="Times New Roman" w:hAnsi="Times New Roman" w:cs="Times New Roman"/>
                <w:b/>
                <w:sz w:val="20"/>
                <w:szCs w:val="20"/>
                <w:lang w:val="ro-MD"/>
              </w:rPr>
              <w:t>(%)</w:t>
            </w:r>
          </w:p>
        </w:tc>
        <w:tc>
          <w:tcPr>
            <w:tcW w:w="1962"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b/>
                <w:sz w:val="20"/>
                <w:szCs w:val="20"/>
                <w:lang w:val="ro-MD"/>
              </w:rPr>
              <w:t>Suma plăților curente calculate din momentul derulării procedurii de insolvabilitate</w:t>
            </w:r>
          </w:p>
        </w:tc>
        <w:tc>
          <w:tcPr>
            <w:tcW w:w="153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b/>
                <w:sz w:val="20"/>
                <w:szCs w:val="20"/>
                <w:lang w:val="ro-MD"/>
              </w:rPr>
              <w:t>Suma plăților curente achitate din momentul derulării procedurii de insolvabilitate</w:t>
            </w:r>
          </w:p>
        </w:tc>
        <w:tc>
          <w:tcPr>
            <w:tcW w:w="207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b/>
                <w:sz w:val="20"/>
                <w:szCs w:val="20"/>
                <w:lang w:val="ro-MD"/>
              </w:rPr>
              <w:t>Gradul de colectare la BPN a plăților curente calculate din momentul derulării procedurii de insolvabilitate (%)</w:t>
            </w:r>
          </w:p>
        </w:tc>
      </w:tr>
      <w:tr w:rsidR="00714F5D" w:rsidRPr="001D0846" w:rsidTr="008C5C6A">
        <w:tc>
          <w:tcPr>
            <w:tcW w:w="126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la 31.12.2017</w:t>
            </w:r>
          </w:p>
        </w:tc>
        <w:tc>
          <w:tcPr>
            <w:tcW w:w="144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2158</w:t>
            </w:r>
          </w:p>
        </w:tc>
        <w:tc>
          <w:tcPr>
            <w:tcW w:w="189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3786053,5</w:t>
            </w:r>
          </w:p>
        </w:tc>
        <w:tc>
          <w:tcPr>
            <w:tcW w:w="198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95300,2</w:t>
            </w:r>
          </w:p>
        </w:tc>
        <w:tc>
          <w:tcPr>
            <w:tcW w:w="1998"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 xml:space="preserve">2,52 </w:t>
            </w:r>
          </w:p>
        </w:tc>
        <w:tc>
          <w:tcPr>
            <w:tcW w:w="1962"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158439,6</w:t>
            </w:r>
          </w:p>
        </w:tc>
        <w:tc>
          <w:tcPr>
            <w:tcW w:w="153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103341,3</w:t>
            </w:r>
          </w:p>
        </w:tc>
        <w:tc>
          <w:tcPr>
            <w:tcW w:w="207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65,22</w:t>
            </w:r>
          </w:p>
        </w:tc>
      </w:tr>
      <w:tr w:rsidR="00714F5D" w:rsidRPr="001D0846" w:rsidTr="008C5C6A">
        <w:tc>
          <w:tcPr>
            <w:tcW w:w="126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la 31.12.2016</w:t>
            </w:r>
          </w:p>
        </w:tc>
        <w:tc>
          <w:tcPr>
            <w:tcW w:w="144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1820</w:t>
            </w:r>
          </w:p>
        </w:tc>
        <w:tc>
          <w:tcPr>
            <w:tcW w:w="189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2054001,7</w:t>
            </w:r>
          </w:p>
        </w:tc>
        <w:tc>
          <w:tcPr>
            <w:tcW w:w="198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18708,6</w:t>
            </w:r>
          </w:p>
        </w:tc>
        <w:tc>
          <w:tcPr>
            <w:tcW w:w="1998"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 xml:space="preserve">0,91 </w:t>
            </w:r>
          </w:p>
        </w:tc>
        <w:tc>
          <w:tcPr>
            <w:tcW w:w="1962"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115433,5</w:t>
            </w:r>
          </w:p>
        </w:tc>
        <w:tc>
          <w:tcPr>
            <w:tcW w:w="153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73483,7</w:t>
            </w:r>
          </w:p>
        </w:tc>
        <w:tc>
          <w:tcPr>
            <w:tcW w:w="207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63,66</w:t>
            </w:r>
          </w:p>
        </w:tc>
      </w:tr>
      <w:tr w:rsidR="00714F5D" w:rsidRPr="001D0846" w:rsidTr="008C5C6A">
        <w:tc>
          <w:tcPr>
            <w:tcW w:w="126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la 31.12.2015</w:t>
            </w:r>
          </w:p>
        </w:tc>
        <w:tc>
          <w:tcPr>
            <w:tcW w:w="144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1272</w:t>
            </w:r>
          </w:p>
        </w:tc>
        <w:tc>
          <w:tcPr>
            <w:tcW w:w="189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566982,3</w:t>
            </w:r>
          </w:p>
        </w:tc>
        <w:tc>
          <w:tcPr>
            <w:tcW w:w="198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13989,6</w:t>
            </w:r>
          </w:p>
        </w:tc>
        <w:tc>
          <w:tcPr>
            <w:tcW w:w="1998"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 xml:space="preserve">2,47 </w:t>
            </w:r>
          </w:p>
        </w:tc>
        <w:tc>
          <w:tcPr>
            <w:tcW w:w="1962"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110613,9</w:t>
            </w:r>
          </w:p>
        </w:tc>
        <w:tc>
          <w:tcPr>
            <w:tcW w:w="153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55054,8</w:t>
            </w:r>
          </w:p>
        </w:tc>
        <w:tc>
          <w:tcPr>
            <w:tcW w:w="2070" w:type="dxa"/>
          </w:tcPr>
          <w:p w:rsidR="00714F5D" w:rsidRPr="001D0846" w:rsidRDefault="00714F5D" w:rsidP="008C5C6A">
            <w:pPr>
              <w:spacing w:line="276" w:lineRule="auto"/>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49,77</w:t>
            </w:r>
          </w:p>
        </w:tc>
      </w:tr>
    </w:tbl>
    <w:p w:rsidR="00714F5D" w:rsidRPr="001D0846" w:rsidRDefault="00714F5D" w:rsidP="00714F5D">
      <w:pPr>
        <w:spacing w:after="0" w:line="276" w:lineRule="auto"/>
        <w:ind w:right="-334"/>
        <w:rPr>
          <w:rFonts w:ascii="Times New Roman" w:hAnsi="Times New Roman" w:cs="Times New Roman"/>
          <w:i/>
        </w:rPr>
      </w:pPr>
      <w:r w:rsidRPr="001D0846">
        <w:rPr>
          <w:rFonts w:ascii="Times New Roman" w:hAnsi="Times New Roman" w:cs="Times New Roman"/>
          <w:b/>
          <w:i/>
        </w:rPr>
        <w:t>Sursă:</w:t>
      </w:r>
      <w:r w:rsidRPr="001D0846">
        <w:rPr>
          <w:rFonts w:ascii="Times New Roman" w:hAnsi="Times New Roman" w:cs="Times New Roman"/>
        </w:rPr>
        <w:t xml:space="preserve"> </w:t>
      </w:r>
      <w:r w:rsidRPr="001D0846">
        <w:rPr>
          <w:rFonts w:ascii="Times New Roman" w:hAnsi="Times New Roman" w:cs="Times New Roman"/>
          <w:i/>
        </w:rPr>
        <w:t>Informații</w:t>
      </w:r>
      <w:r>
        <w:rPr>
          <w:rFonts w:ascii="Times New Roman" w:hAnsi="Times New Roman" w:cs="Times New Roman"/>
          <w:i/>
        </w:rPr>
        <w:t>le</w:t>
      </w:r>
      <w:r w:rsidRPr="001D0846">
        <w:rPr>
          <w:rFonts w:ascii="Times New Roman" w:hAnsi="Times New Roman" w:cs="Times New Roman"/>
          <w:i/>
        </w:rPr>
        <w:t xml:space="preserve"> prezentate de către SFS.</w:t>
      </w: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8C5C6A" w:rsidRDefault="008C5C6A" w:rsidP="00714F5D">
      <w:pPr>
        <w:spacing w:after="0" w:line="240" w:lineRule="auto"/>
        <w:ind w:firstLine="562"/>
        <w:jc w:val="right"/>
        <w:rPr>
          <w:rFonts w:ascii="Times New Roman" w:eastAsia="Times New Roman" w:hAnsi="Times New Roman" w:cs="Times New Roman"/>
          <w:b/>
          <w:i/>
          <w:sz w:val="28"/>
          <w:szCs w:val="28"/>
        </w:rPr>
      </w:pPr>
    </w:p>
    <w:p w:rsidR="00714F5D" w:rsidRPr="00477706" w:rsidRDefault="00714F5D" w:rsidP="00714F5D">
      <w:pPr>
        <w:spacing w:after="0" w:line="240" w:lineRule="auto"/>
        <w:ind w:firstLine="562"/>
        <w:jc w:val="right"/>
        <w:rPr>
          <w:rFonts w:ascii="Times New Roman" w:eastAsia="Times New Roman" w:hAnsi="Times New Roman" w:cs="Times New Roman"/>
          <w:b/>
          <w:i/>
          <w:sz w:val="28"/>
          <w:szCs w:val="28"/>
        </w:rPr>
      </w:pPr>
      <w:r w:rsidRPr="00477706">
        <w:rPr>
          <w:rFonts w:ascii="Times New Roman" w:eastAsia="Times New Roman" w:hAnsi="Times New Roman" w:cs="Times New Roman"/>
          <w:b/>
          <w:i/>
          <w:sz w:val="28"/>
          <w:szCs w:val="28"/>
        </w:rPr>
        <w:lastRenderedPageBreak/>
        <w:t>Tabelul nr.16</w:t>
      </w:r>
    </w:p>
    <w:p w:rsidR="00714F5D" w:rsidRPr="00477706" w:rsidRDefault="00714F5D" w:rsidP="00714F5D">
      <w:pPr>
        <w:spacing w:after="0" w:line="240" w:lineRule="auto"/>
        <w:ind w:left="-90"/>
        <w:jc w:val="center"/>
        <w:rPr>
          <w:rFonts w:ascii="Times New Roman" w:eastAsia="Times New Roman" w:hAnsi="Times New Roman" w:cs="Times New Roman"/>
          <w:b/>
          <w:i/>
          <w:sz w:val="28"/>
          <w:szCs w:val="28"/>
        </w:rPr>
      </w:pPr>
      <w:r w:rsidRPr="00477706">
        <w:rPr>
          <w:rFonts w:ascii="Times New Roman" w:eastAsia="Times New Roman" w:hAnsi="Times New Roman" w:cs="Times New Roman"/>
          <w:i/>
          <w:sz w:val="28"/>
          <w:szCs w:val="28"/>
        </w:rPr>
        <w:t xml:space="preserve">Informația detaliată privind restanțele încasate la BPN de către SFS prin aplicarea modalităților de executare silită a obligației fiscale în perioada </w:t>
      </w:r>
      <w:r>
        <w:rPr>
          <w:rFonts w:ascii="Times New Roman" w:eastAsia="Times New Roman" w:hAnsi="Times New Roman" w:cs="Times New Roman"/>
          <w:i/>
          <w:sz w:val="28"/>
          <w:szCs w:val="28"/>
        </w:rPr>
        <w:t xml:space="preserve">anilor </w:t>
      </w:r>
      <w:r w:rsidRPr="00477706">
        <w:rPr>
          <w:rFonts w:ascii="Times New Roman" w:eastAsia="Times New Roman" w:hAnsi="Times New Roman" w:cs="Times New Roman"/>
          <w:i/>
          <w:sz w:val="28"/>
          <w:szCs w:val="28"/>
        </w:rPr>
        <w:t>2014-2017</w:t>
      </w:r>
    </w:p>
    <w:p w:rsidR="00714F5D" w:rsidRPr="00365962" w:rsidRDefault="00714F5D" w:rsidP="00714F5D">
      <w:pPr>
        <w:spacing w:after="0" w:line="240" w:lineRule="auto"/>
        <w:ind w:right="-615" w:firstLine="562"/>
        <w:jc w:val="right"/>
        <w:rPr>
          <w:rFonts w:ascii="Times New Roman" w:eastAsia="Times New Roman" w:hAnsi="Times New Roman" w:cs="Times New Roman"/>
          <w:i/>
          <w:sz w:val="28"/>
          <w:szCs w:val="28"/>
        </w:rPr>
      </w:pPr>
      <w:r w:rsidRPr="00477706">
        <w:rPr>
          <w:rFonts w:ascii="Times New Roman" w:eastAsia="Times New Roman" w:hAnsi="Times New Roman" w:cs="Times New Roman"/>
          <w:i/>
          <w:sz w:val="28"/>
          <w:szCs w:val="28"/>
        </w:rPr>
        <w:t>(mil.lei)</w:t>
      </w:r>
    </w:p>
    <w:tbl>
      <w:tblPr>
        <w:tblStyle w:val="GridTable1Light-Accent11"/>
        <w:tblW w:w="14286" w:type="dxa"/>
        <w:tblInd w:w="-431" w:type="dxa"/>
        <w:tblLayout w:type="fixed"/>
        <w:tblLook w:val="04A0" w:firstRow="1" w:lastRow="0" w:firstColumn="1" w:lastColumn="0" w:noHBand="0" w:noVBand="1"/>
      </w:tblPr>
      <w:tblGrid>
        <w:gridCol w:w="786"/>
        <w:gridCol w:w="1530"/>
        <w:gridCol w:w="810"/>
        <w:gridCol w:w="1553"/>
        <w:gridCol w:w="1327"/>
        <w:gridCol w:w="2160"/>
        <w:gridCol w:w="1890"/>
        <w:gridCol w:w="1980"/>
        <w:gridCol w:w="2250"/>
      </w:tblGrid>
      <w:tr w:rsidR="00714F5D" w:rsidRPr="001D0846" w:rsidTr="008C5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dxa"/>
            <w:vMerge w:val="restart"/>
          </w:tcPr>
          <w:p w:rsidR="00714F5D" w:rsidRPr="001D0846" w:rsidRDefault="00714F5D" w:rsidP="008C5C6A">
            <w:pPr>
              <w:spacing w:line="276" w:lineRule="auto"/>
              <w:ind w:left="-109" w:right="-110"/>
              <w:jc w:val="center"/>
              <w:rPr>
                <w:rFonts w:ascii="Times New Roman" w:eastAsia="Calibri" w:hAnsi="Times New Roman" w:cs="Times New Roman"/>
              </w:rPr>
            </w:pPr>
            <w:r w:rsidRPr="001D0846">
              <w:rPr>
                <w:rFonts w:ascii="Times New Roman" w:eastAsia="Calibri" w:hAnsi="Times New Roman" w:cs="Times New Roman"/>
              </w:rPr>
              <w:t>Anul</w:t>
            </w:r>
          </w:p>
          <w:p w:rsidR="00714F5D" w:rsidRPr="001D0846" w:rsidRDefault="00714F5D" w:rsidP="008C5C6A">
            <w:pPr>
              <w:spacing w:line="276" w:lineRule="auto"/>
              <w:jc w:val="center"/>
              <w:rPr>
                <w:rFonts w:ascii="Times New Roman" w:eastAsia="Calibri" w:hAnsi="Times New Roman" w:cs="Times New Roman"/>
              </w:rPr>
            </w:pPr>
          </w:p>
        </w:tc>
        <w:tc>
          <w:tcPr>
            <w:tcW w:w="1530" w:type="dxa"/>
            <w:vMerge w:val="restart"/>
          </w:tcPr>
          <w:p w:rsidR="00714F5D" w:rsidRPr="001D0846" w:rsidRDefault="00714F5D" w:rsidP="008C5C6A">
            <w:pPr>
              <w:spacing w:line="276" w:lineRule="auto"/>
              <w:ind w:left="-149" w:right="-124"/>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Total restanța de la sfârșitul anului</w:t>
            </w:r>
          </w:p>
        </w:tc>
        <w:tc>
          <w:tcPr>
            <w:tcW w:w="810" w:type="dxa"/>
            <w:vMerge w:val="restart"/>
          </w:tcPr>
          <w:p w:rsidR="008C5C6A" w:rsidRDefault="00714F5D" w:rsidP="008C5C6A">
            <w:pPr>
              <w:spacing w:line="276" w:lineRule="auto"/>
              <w:ind w:left="-195" w:right="-17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 xml:space="preserve">Total </w:t>
            </w:r>
          </w:p>
          <w:p w:rsidR="00714F5D" w:rsidRPr="001D0846" w:rsidRDefault="00714F5D" w:rsidP="008C5C6A">
            <w:pPr>
              <w:spacing w:line="276" w:lineRule="auto"/>
              <w:ind w:left="-195" w:right="-17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executat silit</w:t>
            </w:r>
          </w:p>
        </w:tc>
        <w:tc>
          <w:tcPr>
            <w:tcW w:w="1553" w:type="dxa"/>
            <w:vMerge w:val="restart"/>
          </w:tcPr>
          <w:p w:rsidR="00714F5D" w:rsidRPr="001D0846" w:rsidRDefault="00714F5D" w:rsidP="008C5C6A">
            <w:pPr>
              <w:spacing w:line="276" w:lineRule="auto"/>
              <w:ind w:left="-59" w:right="-106"/>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Executat silit față de restanță</w:t>
            </w:r>
          </w:p>
        </w:tc>
        <w:tc>
          <w:tcPr>
            <w:tcW w:w="9607" w:type="dxa"/>
            <w:gridSpan w:val="5"/>
          </w:tcPr>
          <w:p w:rsidR="00714F5D" w:rsidRPr="001D0846" w:rsidRDefault="00714F5D" w:rsidP="008C5C6A">
            <w:pPr>
              <w:spacing w:line="276" w:lineRule="auto"/>
              <w:ind w:left="-136" w:right="-62"/>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Suma restanței încasate prin modalități de executare silită</w:t>
            </w:r>
          </w:p>
        </w:tc>
      </w:tr>
      <w:tr w:rsidR="00714F5D" w:rsidRPr="001D0846" w:rsidTr="008C5C6A">
        <w:trPr>
          <w:trHeight w:val="1385"/>
        </w:trPr>
        <w:tc>
          <w:tcPr>
            <w:cnfStyle w:val="001000000000" w:firstRow="0" w:lastRow="0" w:firstColumn="1" w:lastColumn="0" w:oddVBand="0" w:evenVBand="0" w:oddHBand="0" w:evenHBand="0" w:firstRowFirstColumn="0" w:firstRowLastColumn="0" w:lastRowFirstColumn="0" w:lastRowLastColumn="0"/>
            <w:tcW w:w="786" w:type="dxa"/>
            <w:vMerge/>
          </w:tcPr>
          <w:p w:rsidR="00714F5D" w:rsidRPr="001D0846" w:rsidRDefault="00714F5D" w:rsidP="008C5C6A">
            <w:pPr>
              <w:spacing w:line="276" w:lineRule="auto"/>
              <w:jc w:val="center"/>
              <w:rPr>
                <w:rFonts w:ascii="Times New Roman" w:eastAsia="Calibri" w:hAnsi="Times New Roman" w:cs="Times New Roman"/>
              </w:rPr>
            </w:pPr>
          </w:p>
        </w:tc>
        <w:tc>
          <w:tcPr>
            <w:tcW w:w="1530" w:type="dxa"/>
            <w:vMerge/>
          </w:tcPr>
          <w:p w:rsidR="00714F5D" w:rsidRPr="001D0846" w:rsidRDefault="00714F5D" w:rsidP="008C5C6A">
            <w:pPr>
              <w:spacing w:line="276" w:lineRule="auto"/>
              <w:ind w:left="-149" w:right="-124"/>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810" w:type="dxa"/>
            <w:vMerge/>
          </w:tcPr>
          <w:p w:rsidR="00714F5D" w:rsidRPr="001D0846" w:rsidRDefault="00714F5D" w:rsidP="008C5C6A">
            <w:pPr>
              <w:spacing w:line="276" w:lineRule="auto"/>
              <w:ind w:left="-195" w:right="-17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553" w:type="dxa"/>
            <w:vMerge/>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327" w:type="dxa"/>
          </w:tcPr>
          <w:p w:rsidR="00714F5D" w:rsidRPr="001D0846" w:rsidRDefault="00714F5D" w:rsidP="008C5C6A">
            <w:pPr>
              <w:spacing w:line="276" w:lineRule="auto"/>
              <w:ind w:left="-105" w:right="-10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din conturile</w:t>
            </w:r>
          </w:p>
          <w:p w:rsidR="00714F5D" w:rsidRPr="001D0846" w:rsidRDefault="00714F5D" w:rsidP="008C5C6A">
            <w:pPr>
              <w:spacing w:line="276" w:lineRule="auto"/>
              <w:ind w:left="-105" w:right="-10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1D0846">
              <w:rPr>
                <w:rFonts w:ascii="Times New Roman" w:eastAsia="Calibri" w:hAnsi="Times New Roman" w:cs="Times New Roman"/>
              </w:rPr>
              <w:t>plătitorilor</w:t>
            </w:r>
          </w:p>
        </w:tc>
        <w:tc>
          <w:tcPr>
            <w:tcW w:w="2160" w:type="dxa"/>
          </w:tcPr>
          <w:p w:rsidR="00714F5D" w:rsidRPr="001D0846" w:rsidRDefault="00714F5D" w:rsidP="008C5C6A">
            <w:pPr>
              <w:spacing w:line="276" w:lineRule="auto"/>
              <w:ind w:left="-112"/>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1D0846">
              <w:rPr>
                <w:rFonts w:ascii="Times New Roman" w:eastAsia="Calibri" w:hAnsi="Times New Roman" w:cs="Times New Roman"/>
              </w:rPr>
              <w:t>din conturile debitorilor plătitorului</w:t>
            </w:r>
          </w:p>
        </w:tc>
        <w:tc>
          <w:tcPr>
            <w:tcW w:w="1890" w:type="dxa"/>
          </w:tcPr>
          <w:p w:rsidR="00714F5D" w:rsidRPr="001D0846" w:rsidRDefault="00714F5D" w:rsidP="008C5C6A">
            <w:pPr>
              <w:spacing w:line="276" w:lineRule="auto"/>
              <w:ind w:left="-10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ridicate  din casieria plătitorului</w:t>
            </w:r>
          </w:p>
        </w:tc>
        <w:tc>
          <w:tcPr>
            <w:tcW w:w="1980" w:type="dxa"/>
          </w:tcPr>
          <w:p w:rsidR="00714F5D" w:rsidRPr="001D0846" w:rsidRDefault="00714F5D" w:rsidP="008C5C6A">
            <w:pPr>
              <w:spacing w:line="276" w:lineRule="auto"/>
              <w:ind w:left="-107"/>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din comercializarea bunurilor sechestrate</w:t>
            </w:r>
          </w:p>
        </w:tc>
        <w:tc>
          <w:tcPr>
            <w:tcW w:w="2250" w:type="dxa"/>
          </w:tcPr>
          <w:p w:rsidR="00714F5D" w:rsidRPr="001D0846" w:rsidRDefault="00714F5D" w:rsidP="008C5C6A">
            <w:pPr>
              <w:spacing w:line="276" w:lineRule="auto"/>
              <w:ind w:left="-136" w:right="-10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bunuri sechestrate și restituite după achitarea benevolă a restanței</w:t>
            </w:r>
          </w:p>
        </w:tc>
      </w:tr>
      <w:tr w:rsidR="00714F5D" w:rsidRPr="001D0846" w:rsidTr="008C5C6A">
        <w:tc>
          <w:tcPr>
            <w:cnfStyle w:val="001000000000" w:firstRow="0" w:lastRow="0" w:firstColumn="1" w:lastColumn="0" w:oddVBand="0" w:evenVBand="0" w:oddHBand="0" w:evenHBand="0" w:firstRowFirstColumn="0" w:firstRowLastColumn="0" w:lastRowFirstColumn="0" w:lastRowLastColumn="0"/>
            <w:tcW w:w="786" w:type="dxa"/>
            <w:vAlign w:val="center"/>
          </w:tcPr>
          <w:p w:rsidR="00714F5D" w:rsidRPr="001D0846" w:rsidRDefault="00714F5D" w:rsidP="008C5C6A">
            <w:pPr>
              <w:spacing w:line="276" w:lineRule="auto"/>
              <w:jc w:val="center"/>
              <w:rPr>
                <w:rFonts w:ascii="Times New Roman" w:eastAsia="Calibri" w:hAnsi="Times New Roman" w:cs="Times New Roman"/>
                <w:b w:val="0"/>
                <w:i/>
                <w:sz w:val="14"/>
                <w:szCs w:val="14"/>
              </w:rPr>
            </w:pPr>
            <w:r w:rsidRPr="001D0846">
              <w:rPr>
                <w:rFonts w:ascii="Times New Roman" w:eastAsia="Calibri" w:hAnsi="Times New Roman" w:cs="Times New Roman"/>
                <w:b w:val="0"/>
                <w:i/>
                <w:sz w:val="14"/>
                <w:szCs w:val="14"/>
              </w:rPr>
              <w:t>1</w:t>
            </w:r>
          </w:p>
        </w:tc>
        <w:tc>
          <w:tcPr>
            <w:tcW w:w="1530" w:type="dxa"/>
            <w:vAlign w:val="center"/>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4"/>
                <w:szCs w:val="14"/>
              </w:rPr>
            </w:pPr>
            <w:r w:rsidRPr="001D0846">
              <w:rPr>
                <w:rFonts w:ascii="Times New Roman" w:eastAsia="Calibri" w:hAnsi="Times New Roman" w:cs="Times New Roman"/>
                <w:i/>
                <w:sz w:val="14"/>
                <w:szCs w:val="14"/>
              </w:rPr>
              <w:t>2</w:t>
            </w:r>
          </w:p>
        </w:tc>
        <w:tc>
          <w:tcPr>
            <w:tcW w:w="810" w:type="dxa"/>
            <w:vAlign w:val="center"/>
          </w:tcPr>
          <w:p w:rsidR="00714F5D" w:rsidRPr="001D0846" w:rsidRDefault="00714F5D" w:rsidP="008C5C6A">
            <w:pPr>
              <w:spacing w:line="276" w:lineRule="auto"/>
              <w:ind w:left="-94"/>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4"/>
                <w:szCs w:val="14"/>
              </w:rPr>
            </w:pPr>
            <w:r w:rsidRPr="001D0846">
              <w:rPr>
                <w:rFonts w:ascii="Times New Roman" w:eastAsia="Calibri" w:hAnsi="Times New Roman" w:cs="Times New Roman"/>
                <w:i/>
                <w:sz w:val="14"/>
                <w:szCs w:val="14"/>
              </w:rPr>
              <w:t>3=5+6+</w:t>
            </w:r>
          </w:p>
          <w:p w:rsidR="00714F5D" w:rsidRPr="001D0846" w:rsidRDefault="00714F5D" w:rsidP="008C5C6A">
            <w:pPr>
              <w:spacing w:line="276" w:lineRule="auto"/>
              <w:ind w:left="-94"/>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4"/>
                <w:szCs w:val="14"/>
              </w:rPr>
            </w:pPr>
            <w:r w:rsidRPr="001D0846">
              <w:rPr>
                <w:rFonts w:ascii="Times New Roman" w:eastAsia="Calibri" w:hAnsi="Times New Roman" w:cs="Times New Roman"/>
                <w:i/>
                <w:sz w:val="14"/>
                <w:szCs w:val="14"/>
              </w:rPr>
              <w:t>7+8+9</w:t>
            </w:r>
          </w:p>
        </w:tc>
        <w:tc>
          <w:tcPr>
            <w:tcW w:w="1553" w:type="dxa"/>
            <w:vAlign w:val="center"/>
          </w:tcPr>
          <w:p w:rsidR="00714F5D" w:rsidRPr="001D0846" w:rsidRDefault="00714F5D" w:rsidP="008C5C6A">
            <w:pPr>
              <w:spacing w:line="276" w:lineRule="auto"/>
              <w:ind w:left="-59" w:right="-11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4"/>
                <w:szCs w:val="14"/>
              </w:rPr>
            </w:pPr>
            <w:r w:rsidRPr="001D0846">
              <w:rPr>
                <w:rFonts w:ascii="Times New Roman" w:eastAsia="Calibri" w:hAnsi="Times New Roman" w:cs="Times New Roman"/>
                <w:i/>
                <w:sz w:val="14"/>
                <w:szCs w:val="14"/>
              </w:rPr>
              <w:t>4=3/2*100%</w:t>
            </w:r>
          </w:p>
        </w:tc>
        <w:tc>
          <w:tcPr>
            <w:tcW w:w="1327" w:type="dxa"/>
            <w:vAlign w:val="center"/>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4"/>
                <w:szCs w:val="14"/>
              </w:rPr>
            </w:pPr>
            <w:r w:rsidRPr="001D0846">
              <w:rPr>
                <w:rFonts w:ascii="Times New Roman" w:eastAsia="Calibri" w:hAnsi="Times New Roman" w:cs="Times New Roman"/>
                <w:i/>
                <w:sz w:val="14"/>
                <w:szCs w:val="14"/>
              </w:rPr>
              <w:t>5</w:t>
            </w:r>
          </w:p>
        </w:tc>
        <w:tc>
          <w:tcPr>
            <w:tcW w:w="2160" w:type="dxa"/>
            <w:vAlign w:val="center"/>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4"/>
                <w:szCs w:val="14"/>
              </w:rPr>
            </w:pPr>
            <w:r w:rsidRPr="001D0846">
              <w:rPr>
                <w:rFonts w:ascii="Times New Roman" w:eastAsia="Calibri" w:hAnsi="Times New Roman" w:cs="Times New Roman"/>
                <w:i/>
                <w:sz w:val="14"/>
                <w:szCs w:val="14"/>
              </w:rPr>
              <w:t>6</w:t>
            </w:r>
          </w:p>
        </w:tc>
        <w:tc>
          <w:tcPr>
            <w:tcW w:w="1890" w:type="dxa"/>
            <w:vAlign w:val="center"/>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4"/>
                <w:szCs w:val="14"/>
              </w:rPr>
            </w:pPr>
            <w:r w:rsidRPr="001D0846">
              <w:rPr>
                <w:rFonts w:ascii="Times New Roman" w:eastAsia="Calibri" w:hAnsi="Times New Roman" w:cs="Times New Roman"/>
                <w:i/>
                <w:sz w:val="14"/>
                <w:szCs w:val="14"/>
              </w:rPr>
              <w:t>7</w:t>
            </w:r>
          </w:p>
        </w:tc>
        <w:tc>
          <w:tcPr>
            <w:tcW w:w="1980" w:type="dxa"/>
            <w:vAlign w:val="center"/>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4"/>
                <w:szCs w:val="14"/>
              </w:rPr>
            </w:pPr>
            <w:r w:rsidRPr="001D0846">
              <w:rPr>
                <w:rFonts w:ascii="Times New Roman" w:eastAsia="Calibri" w:hAnsi="Times New Roman" w:cs="Times New Roman"/>
                <w:i/>
                <w:sz w:val="14"/>
                <w:szCs w:val="14"/>
              </w:rPr>
              <w:t>8</w:t>
            </w:r>
          </w:p>
        </w:tc>
        <w:tc>
          <w:tcPr>
            <w:tcW w:w="2250" w:type="dxa"/>
            <w:vAlign w:val="center"/>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14"/>
                <w:szCs w:val="14"/>
              </w:rPr>
            </w:pPr>
            <w:r w:rsidRPr="001D0846">
              <w:rPr>
                <w:rFonts w:ascii="Times New Roman" w:eastAsia="Calibri" w:hAnsi="Times New Roman" w:cs="Times New Roman"/>
                <w:i/>
                <w:sz w:val="14"/>
                <w:szCs w:val="14"/>
              </w:rPr>
              <w:t>9</w:t>
            </w:r>
          </w:p>
        </w:tc>
      </w:tr>
      <w:tr w:rsidR="00714F5D" w:rsidRPr="001D0846" w:rsidTr="008C5C6A">
        <w:tc>
          <w:tcPr>
            <w:cnfStyle w:val="001000000000" w:firstRow="0" w:lastRow="0" w:firstColumn="1" w:lastColumn="0" w:oddVBand="0" w:evenVBand="0" w:oddHBand="0" w:evenHBand="0" w:firstRowFirstColumn="0" w:firstRowLastColumn="0" w:lastRowFirstColumn="0" w:lastRowLastColumn="0"/>
            <w:tcW w:w="786" w:type="dxa"/>
          </w:tcPr>
          <w:p w:rsidR="00714F5D" w:rsidRPr="001D0846" w:rsidRDefault="00714F5D" w:rsidP="008C5C6A">
            <w:pPr>
              <w:spacing w:line="276" w:lineRule="auto"/>
              <w:jc w:val="center"/>
              <w:rPr>
                <w:rFonts w:ascii="Times New Roman" w:eastAsia="Calibri" w:hAnsi="Times New Roman" w:cs="Times New Roman"/>
              </w:rPr>
            </w:pPr>
            <w:r w:rsidRPr="001D0846">
              <w:rPr>
                <w:rFonts w:ascii="Times New Roman" w:eastAsia="Calibri" w:hAnsi="Times New Roman" w:cs="Times New Roman"/>
              </w:rPr>
              <w:t>2014</w:t>
            </w:r>
          </w:p>
        </w:tc>
        <w:tc>
          <w:tcPr>
            <w:tcW w:w="1530" w:type="dxa"/>
          </w:tcPr>
          <w:p w:rsidR="00714F5D" w:rsidRPr="001D0846" w:rsidRDefault="00714F5D" w:rsidP="008C5C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2591,3</w:t>
            </w:r>
          </w:p>
        </w:tc>
        <w:tc>
          <w:tcPr>
            <w:tcW w:w="81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481,9</w:t>
            </w:r>
          </w:p>
        </w:tc>
        <w:tc>
          <w:tcPr>
            <w:tcW w:w="1553"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18,6%</w:t>
            </w:r>
          </w:p>
        </w:tc>
        <w:tc>
          <w:tcPr>
            <w:tcW w:w="1327"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350,2</w:t>
            </w:r>
          </w:p>
        </w:tc>
        <w:tc>
          <w:tcPr>
            <w:tcW w:w="216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23,3</w:t>
            </w:r>
          </w:p>
        </w:tc>
        <w:tc>
          <w:tcPr>
            <w:tcW w:w="189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74,6</w:t>
            </w:r>
          </w:p>
        </w:tc>
        <w:tc>
          <w:tcPr>
            <w:tcW w:w="198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4,7</w:t>
            </w:r>
          </w:p>
        </w:tc>
        <w:tc>
          <w:tcPr>
            <w:tcW w:w="225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29,1</w:t>
            </w:r>
          </w:p>
        </w:tc>
      </w:tr>
      <w:tr w:rsidR="00714F5D" w:rsidRPr="001D0846" w:rsidTr="008C5C6A">
        <w:tc>
          <w:tcPr>
            <w:cnfStyle w:val="001000000000" w:firstRow="0" w:lastRow="0" w:firstColumn="1" w:lastColumn="0" w:oddVBand="0" w:evenVBand="0" w:oddHBand="0" w:evenHBand="0" w:firstRowFirstColumn="0" w:firstRowLastColumn="0" w:lastRowFirstColumn="0" w:lastRowLastColumn="0"/>
            <w:tcW w:w="786" w:type="dxa"/>
          </w:tcPr>
          <w:p w:rsidR="00714F5D" w:rsidRPr="001D0846" w:rsidRDefault="00714F5D" w:rsidP="008C5C6A">
            <w:pPr>
              <w:spacing w:line="276" w:lineRule="auto"/>
              <w:jc w:val="center"/>
              <w:rPr>
                <w:rFonts w:ascii="Times New Roman" w:eastAsia="Calibri" w:hAnsi="Times New Roman" w:cs="Times New Roman"/>
              </w:rPr>
            </w:pPr>
            <w:r w:rsidRPr="001D0846">
              <w:rPr>
                <w:rFonts w:ascii="Times New Roman" w:eastAsia="Calibri" w:hAnsi="Times New Roman" w:cs="Times New Roman"/>
              </w:rPr>
              <w:t>2015</w:t>
            </w:r>
          </w:p>
        </w:tc>
        <w:tc>
          <w:tcPr>
            <w:tcW w:w="1530" w:type="dxa"/>
          </w:tcPr>
          <w:p w:rsidR="00714F5D" w:rsidRPr="001D0846" w:rsidRDefault="00714F5D" w:rsidP="008C5C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1844,6</w:t>
            </w:r>
          </w:p>
        </w:tc>
        <w:tc>
          <w:tcPr>
            <w:tcW w:w="81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879,2</w:t>
            </w:r>
          </w:p>
        </w:tc>
        <w:tc>
          <w:tcPr>
            <w:tcW w:w="1553"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47,7%</w:t>
            </w:r>
          </w:p>
        </w:tc>
        <w:tc>
          <w:tcPr>
            <w:tcW w:w="1327"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678,9</w:t>
            </w:r>
          </w:p>
        </w:tc>
        <w:tc>
          <w:tcPr>
            <w:tcW w:w="216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31,2</w:t>
            </w:r>
          </w:p>
        </w:tc>
        <w:tc>
          <w:tcPr>
            <w:tcW w:w="189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83,4</w:t>
            </w:r>
          </w:p>
        </w:tc>
        <w:tc>
          <w:tcPr>
            <w:tcW w:w="198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3,2</w:t>
            </w:r>
          </w:p>
        </w:tc>
        <w:tc>
          <w:tcPr>
            <w:tcW w:w="225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82,5</w:t>
            </w:r>
          </w:p>
        </w:tc>
      </w:tr>
      <w:tr w:rsidR="00714F5D" w:rsidRPr="001D0846" w:rsidTr="008C5C6A">
        <w:tc>
          <w:tcPr>
            <w:cnfStyle w:val="001000000000" w:firstRow="0" w:lastRow="0" w:firstColumn="1" w:lastColumn="0" w:oddVBand="0" w:evenVBand="0" w:oddHBand="0" w:evenHBand="0" w:firstRowFirstColumn="0" w:firstRowLastColumn="0" w:lastRowFirstColumn="0" w:lastRowLastColumn="0"/>
            <w:tcW w:w="786" w:type="dxa"/>
          </w:tcPr>
          <w:p w:rsidR="00714F5D" w:rsidRPr="001D0846" w:rsidRDefault="00714F5D" w:rsidP="008C5C6A">
            <w:pPr>
              <w:tabs>
                <w:tab w:val="left" w:pos="176"/>
              </w:tabs>
              <w:spacing w:line="276" w:lineRule="auto"/>
              <w:jc w:val="center"/>
              <w:rPr>
                <w:rFonts w:ascii="Times New Roman" w:eastAsia="Calibri" w:hAnsi="Times New Roman" w:cs="Times New Roman"/>
              </w:rPr>
            </w:pPr>
            <w:r w:rsidRPr="001D0846">
              <w:rPr>
                <w:rFonts w:ascii="Times New Roman" w:eastAsia="Calibri" w:hAnsi="Times New Roman" w:cs="Times New Roman"/>
              </w:rPr>
              <w:t>2016</w:t>
            </w:r>
          </w:p>
        </w:tc>
        <w:tc>
          <w:tcPr>
            <w:tcW w:w="1530" w:type="dxa"/>
          </w:tcPr>
          <w:p w:rsidR="00714F5D" w:rsidRPr="001D0846" w:rsidRDefault="00714F5D" w:rsidP="008C5C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1826,0</w:t>
            </w:r>
          </w:p>
        </w:tc>
        <w:tc>
          <w:tcPr>
            <w:tcW w:w="81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974,2</w:t>
            </w:r>
          </w:p>
        </w:tc>
        <w:tc>
          <w:tcPr>
            <w:tcW w:w="1553"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53,4%</w:t>
            </w:r>
          </w:p>
        </w:tc>
        <w:tc>
          <w:tcPr>
            <w:tcW w:w="1327"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815,1</w:t>
            </w:r>
          </w:p>
        </w:tc>
        <w:tc>
          <w:tcPr>
            <w:tcW w:w="216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29,3</w:t>
            </w:r>
          </w:p>
        </w:tc>
        <w:tc>
          <w:tcPr>
            <w:tcW w:w="189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70,2</w:t>
            </w:r>
          </w:p>
        </w:tc>
        <w:tc>
          <w:tcPr>
            <w:tcW w:w="198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2,5</w:t>
            </w:r>
          </w:p>
        </w:tc>
        <w:tc>
          <w:tcPr>
            <w:tcW w:w="225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57,1</w:t>
            </w:r>
          </w:p>
        </w:tc>
      </w:tr>
      <w:tr w:rsidR="00714F5D" w:rsidRPr="001D0846" w:rsidTr="008C5C6A">
        <w:tc>
          <w:tcPr>
            <w:cnfStyle w:val="001000000000" w:firstRow="0" w:lastRow="0" w:firstColumn="1" w:lastColumn="0" w:oddVBand="0" w:evenVBand="0" w:oddHBand="0" w:evenHBand="0" w:firstRowFirstColumn="0" w:firstRowLastColumn="0" w:lastRowFirstColumn="0" w:lastRowLastColumn="0"/>
            <w:tcW w:w="786" w:type="dxa"/>
          </w:tcPr>
          <w:p w:rsidR="00714F5D" w:rsidRPr="001D0846" w:rsidRDefault="00714F5D" w:rsidP="008C5C6A">
            <w:pPr>
              <w:tabs>
                <w:tab w:val="left" w:pos="176"/>
              </w:tabs>
              <w:spacing w:line="276" w:lineRule="auto"/>
              <w:jc w:val="center"/>
              <w:rPr>
                <w:rFonts w:ascii="Times New Roman" w:eastAsia="Calibri" w:hAnsi="Times New Roman" w:cs="Times New Roman"/>
              </w:rPr>
            </w:pPr>
            <w:r w:rsidRPr="001D0846">
              <w:rPr>
                <w:rFonts w:ascii="Times New Roman" w:eastAsia="Calibri" w:hAnsi="Times New Roman" w:cs="Times New Roman"/>
              </w:rPr>
              <w:t>2017</w:t>
            </w:r>
          </w:p>
        </w:tc>
        <w:tc>
          <w:tcPr>
            <w:tcW w:w="1530" w:type="dxa"/>
          </w:tcPr>
          <w:p w:rsidR="00714F5D" w:rsidRPr="001D0846" w:rsidRDefault="00714F5D" w:rsidP="008C5C6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2181,9</w:t>
            </w:r>
          </w:p>
        </w:tc>
        <w:tc>
          <w:tcPr>
            <w:tcW w:w="81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1102,4</w:t>
            </w:r>
          </w:p>
        </w:tc>
        <w:tc>
          <w:tcPr>
            <w:tcW w:w="1553"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50,5%</w:t>
            </w:r>
          </w:p>
        </w:tc>
        <w:tc>
          <w:tcPr>
            <w:tcW w:w="1327"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956,3</w:t>
            </w:r>
          </w:p>
        </w:tc>
        <w:tc>
          <w:tcPr>
            <w:tcW w:w="216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29,9</w:t>
            </w:r>
          </w:p>
        </w:tc>
        <w:tc>
          <w:tcPr>
            <w:tcW w:w="189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69,3</w:t>
            </w:r>
          </w:p>
        </w:tc>
        <w:tc>
          <w:tcPr>
            <w:tcW w:w="198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0,4</w:t>
            </w:r>
          </w:p>
        </w:tc>
        <w:tc>
          <w:tcPr>
            <w:tcW w:w="225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D0846">
              <w:rPr>
                <w:rFonts w:ascii="Times New Roman" w:eastAsia="Calibri" w:hAnsi="Times New Roman" w:cs="Times New Roman"/>
              </w:rPr>
              <w:t>46,5</w:t>
            </w:r>
          </w:p>
        </w:tc>
      </w:tr>
      <w:tr w:rsidR="00714F5D" w:rsidRPr="001D0846" w:rsidTr="008C5C6A">
        <w:tc>
          <w:tcPr>
            <w:cnfStyle w:val="001000000000" w:firstRow="0" w:lastRow="0" w:firstColumn="1" w:lastColumn="0" w:oddVBand="0" w:evenVBand="0" w:oddHBand="0" w:evenHBand="0" w:firstRowFirstColumn="0" w:firstRowLastColumn="0" w:lastRowFirstColumn="0" w:lastRowLastColumn="0"/>
            <w:tcW w:w="786" w:type="dxa"/>
          </w:tcPr>
          <w:p w:rsidR="00714F5D" w:rsidRPr="001D0846" w:rsidRDefault="00714F5D" w:rsidP="008C5C6A">
            <w:pPr>
              <w:spacing w:line="276" w:lineRule="auto"/>
              <w:jc w:val="center"/>
              <w:rPr>
                <w:rFonts w:ascii="Times New Roman" w:eastAsia="Calibri" w:hAnsi="Times New Roman" w:cs="Times New Roman"/>
              </w:rPr>
            </w:pPr>
            <w:r w:rsidRPr="001D0846">
              <w:rPr>
                <w:rFonts w:ascii="Times New Roman" w:eastAsia="Calibri" w:hAnsi="Times New Roman" w:cs="Times New Roman"/>
              </w:rPr>
              <w:t>Total</w:t>
            </w:r>
          </w:p>
        </w:tc>
        <w:tc>
          <w:tcPr>
            <w:tcW w:w="153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1D0846">
              <w:rPr>
                <w:rFonts w:ascii="Times New Roman" w:eastAsia="Calibri" w:hAnsi="Times New Roman" w:cs="Times New Roman"/>
                <w:b/>
              </w:rPr>
              <w:t>X</w:t>
            </w:r>
          </w:p>
        </w:tc>
        <w:tc>
          <w:tcPr>
            <w:tcW w:w="81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1D0846">
              <w:rPr>
                <w:rFonts w:ascii="Times New Roman" w:eastAsia="Calibri" w:hAnsi="Times New Roman" w:cs="Times New Roman"/>
                <w:b/>
              </w:rPr>
              <w:t>3437,7</w:t>
            </w:r>
          </w:p>
        </w:tc>
        <w:tc>
          <w:tcPr>
            <w:tcW w:w="1553"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1D0846">
              <w:rPr>
                <w:rFonts w:ascii="Times New Roman" w:eastAsia="Calibri" w:hAnsi="Times New Roman" w:cs="Times New Roman"/>
                <w:b/>
              </w:rPr>
              <w:t>X</w:t>
            </w:r>
          </w:p>
        </w:tc>
        <w:tc>
          <w:tcPr>
            <w:tcW w:w="1327"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1D0846">
              <w:rPr>
                <w:rFonts w:ascii="Times New Roman" w:eastAsia="Calibri" w:hAnsi="Times New Roman" w:cs="Times New Roman"/>
                <w:b/>
              </w:rPr>
              <w:t>2800,5</w:t>
            </w:r>
          </w:p>
        </w:tc>
        <w:tc>
          <w:tcPr>
            <w:tcW w:w="216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1D0846">
              <w:rPr>
                <w:rFonts w:ascii="Times New Roman" w:eastAsia="Calibri" w:hAnsi="Times New Roman" w:cs="Times New Roman"/>
                <w:b/>
              </w:rPr>
              <w:t>113,7</w:t>
            </w:r>
          </w:p>
        </w:tc>
        <w:tc>
          <w:tcPr>
            <w:tcW w:w="189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1D0846">
              <w:rPr>
                <w:rFonts w:ascii="Times New Roman" w:eastAsia="Calibri" w:hAnsi="Times New Roman" w:cs="Times New Roman"/>
                <w:b/>
              </w:rPr>
              <w:t>297,5</w:t>
            </w:r>
          </w:p>
        </w:tc>
        <w:tc>
          <w:tcPr>
            <w:tcW w:w="198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1D0846">
              <w:rPr>
                <w:rFonts w:ascii="Times New Roman" w:eastAsia="Calibri" w:hAnsi="Times New Roman" w:cs="Times New Roman"/>
                <w:b/>
              </w:rPr>
              <w:t>10,8</w:t>
            </w:r>
          </w:p>
        </w:tc>
        <w:tc>
          <w:tcPr>
            <w:tcW w:w="2250" w:type="dxa"/>
          </w:tcPr>
          <w:p w:rsidR="00714F5D" w:rsidRPr="001D0846" w:rsidRDefault="00714F5D" w:rsidP="008C5C6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1D0846">
              <w:rPr>
                <w:rFonts w:ascii="Times New Roman" w:eastAsia="Calibri" w:hAnsi="Times New Roman" w:cs="Times New Roman"/>
                <w:b/>
              </w:rPr>
              <w:t>215,2</w:t>
            </w:r>
          </w:p>
        </w:tc>
      </w:tr>
    </w:tbl>
    <w:p w:rsidR="00714F5D" w:rsidRPr="001D0846" w:rsidRDefault="00714F5D" w:rsidP="00714F5D">
      <w:pPr>
        <w:spacing w:after="0" w:line="276" w:lineRule="auto"/>
        <w:jc w:val="both"/>
        <w:rPr>
          <w:rFonts w:ascii="Times New Roman" w:eastAsia="Calibri" w:hAnsi="Times New Roman" w:cs="Times New Roman"/>
          <w:i/>
          <w:sz w:val="20"/>
          <w:szCs w:val="20"/>
        </w:rPr>
      </w:pPr>
      <w:r w:rsidRPr="001D0846">
        <w:rPr>
          <w:rFonts w:ascii="Times New Roman" w:eastAsia="Times New Roman"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cu privire la măsurile și rezultatele executării silite a obligației fiscale pentru anii 2014-2017</w:t>
      </w:r>
      <w:r>
        <w:rPr>
          <w:rFonts w:ascii="Times New Roman" w:eastAsia="Calibri" w:hAnsi="Times New Roman" w:cs="Times New Roman"/>
          <w:i/>
          <w:sz w:val="20"/>
          <w:szCs w:val="20"/>
        </w:rPr>
        <w:t>,</w:t>
      </w:r>
      <w:r w:rsidRPr="001D0846">
        <w:rPr>
          <w:rFonts w:ascii="Times New Roman" w:eastAsia="Calibri" w:hAnsi="Times New Roman" w:cs="Times New Roman"/>
          <w:i/>
          <w:sz w:val="20"/>
          <w:szCs w:val="20"/>
        </w:rPr>
        <w:t xml:space="preserve"> realizate de către SFS.</w:t>
      </w:r>
    </w:p>
    <w:p w:rsidR="00714F5D" w:rsidRPr="001D0846" w:rsidRDefault="00714F5D" w:rsidP="00714F5D">
      <w:pPr>
        <w:spacing w:after="0" w:line="276" w:lineRule="auto"/>
        <w:ind w:right="-334"/>
        <w:rPr>
          <w:rFonts w:ascii="Times New Roman" w:hAnsi="Times New Roman" w:cs="Times New Roman"/>
        </w:rPr>
      </w:pPr>
    </w:p>
    <w:p w:rsidR="00714F5D" w:rsidRDefault="00714F5D" w:rsidP="00714F5D">
      <w:pPr>
        <w:pStyle w:val="a7"/>
        <w:tabs>
          <w:tab w:val="left" w:pos="993"/>
        </w:tabs>
        <w:spacing w:after="0" w:line="276" w:lineRule="auto"/>
        <w:ind w:left="0" w:firstLine="709"/>
        <w:jc w:val="right"/>
        <w:rPr>
          <w:rFonts w:ascii="Times New Roman" w:hAnsi="Times New Roman" w:cs="Times New Roman"/>
          <w:b/>
          <w:i/>
          <w:sz w:val="28"/>
          <w:szCs w:val="28"/>
        </w:rPr>
      </w:pPr>
    </w:p>
    <w:p w:rsidR="008C5C6A" w:rsidRDefault="008C5C6A" w:rsidP="00714F5D">
      <w:pPr>
        <w:pStyle w:val="a7"/>
        <w:tabs>
          <w:tab w:val="left" w:pos="993"/>
        </w:tabs>
        <w:spacing w:after="0" w:line="276" w:lineRule="auto"/>
        <w:ind w:left="0" w:firstLine="709"/>
        <w:jc w:val="right"/>
        <w:rPr>
          <w:rFonts w:ascii="Times New Roman" w:hAnsi="Times New Roman" w:cs="Times New Roman"/>
          <w:b/>
          <w:i/>
          <w:sz w:val="28"/>
          <w:szCs w:val="28"/>
        </w:rPr>
        <w:sectPr w:rsidR="008C5C6A" w:rsidSect="008C5C6A">
          <w:pgSz w:w="15840" w:h="12240" w:orient="landscape"/>
          <w:pgMar w:top="1440" w:right="1440" w:bottom="1166" w:left="1138" w:header="706" w:footer="706" w:gutter="0"/>
          <w:cols w:space="708"/>
          <w:docGrid w:linePitch="360"/>
        </w:sectPr>
      </w:pPr>
    </w:p>
    <w:p w:rsidR="00714F5D" w:rsidRPr="001D0846" w:rsidRDefault="00714F5D" w:rsidP="00714F5D">
      <w:pPr>
        <w:pStyle w:val="a7"/>
        <w:tabs>
          <w:tab w:val="left" w:pos="993"/>
        </w:tabs>
        <w:spacing w:after="0" w:line="276" w:lineRule="auto"/>
        <w:ind w:left="0" w:firstLine="709"/>
        <w:jc w:val="right"/>
        <w:rPr>
          <w:rFonts w:ascii="Times New Roman" w:hAnsi="Times New Roman" w:cs="Times New Roman"/>
          <w:b/>
          <w:i/>
          <w:sz w:val="28"/>
          <w:szCs w:val="28"/>
        </w:rPr>
      </w:pPr>
      <w:r w:rsidRPr="001D0846">
        <w:rPr>
          <w:rFonts w:ascii="Times New Roman" w:hAnsi="Times New Roman" w:cs="Times New Roman"/>
          <w:b/>
          <w:i/>
          <w:sz w:val="28"/>
          <w:szCs w:val="28"/>
        </w:rPr>
        <w:lastRenderedPageBreak/>
        <w:t>Tabelul nr.1</w:t>
      </w:r>
      <w:r>
        <w:rPr>
          <w:rFonts w:ascii="Times New Roman" w:hAnsi="Times New Roman" w:cs="Times New Roman"/>
          <w:b/>
          <w:i/>
          <w:sz w:val="28"/>
          <w:szCs w:val="28"/>
        </w:rPr>
        <w:t>7</w:t>
      </w:r>
    </w:p>
    <w:p w:rsidR="00714F5D" w:rsidRPr="001D0846" w:rsidRDefault="00714F5D" w:rsidP="00714F5D">
      <w:pPr>
        <w:pStyle w:val="a7"/>
        <w:tabs>
          <w:tab w:val="left" w:pos="993"/>
        </w:tabs>
        <w:spacing w:after="0" w:line="276" w:lineRule="auto"/>
        <w:ind w:left="0" w:firstLine="709"/>
        <w:jc w:val="center"/>
        <w:rPr>
          <w:rFonts w:ascii="Times New Roman" w:hAnsi="Times New Roman" w:cs="Times New Roman"/>
          <w:b/>
          <w:i/>
          <w:sz w:val="28"/>
          <w:szCs w:val="28"/>
        </w:rPr>
      </w:pPr>
      <w:r w:rsidRPr="001D0846">
        <w:rPr>
          <w:rFonts w:ascii="Times New Roman" w:hAnsi="Times New Roman" w:cs="Times New Roman"/>
          <w:i/>
          <w:sz w:val="28"/>
          <w:szCs w:val="28"/>
        </w:rPr>
        <w:t>Informația privind rezultatele comercializării bunurilor sechestrate în perioada 2015-2017</w:t>
      </w:r>
    </w:p>
    <w:p w:rsidR="00714F5D" w:rsidRPr="00477706" w:rsidRDefault="00714F5D" w:rsidP="00714F5D">
      <w:pPr>
        <w:spacing w:after="0" w:line="276" w:lineRule="auto"/>
        <w:jc w:val="right"/>
        <w:rPr>
          <w:rFonts w:ascii="Times New Roman" w:hAnsi="Times New Roman" w:cs="Times New Roman"/>
          <w:i/>
          <w:sz w:val="28"/>
          <w:szCs w:val="28"/>
        </w:rPr>
      </w:pPr>
      <w:r w:rsidRPr="00477706">
        <w:rPr>
          <w:rFonts w:ascii="Times New Roman" w:hAnsi="Times New Roman" w:cs="Times New Roman"/>
          <w:i/>
          <w:sz w:val="28"/>
          <w:szCs w:val="28"/>
        </w:rPr>
        <w:t xml:space="preserve"> (mii lei)</w:t>
      </w:r>
    </w:p>
    <w:tbl>
      <w:tblPr>
        <w:tblStyle w:val="a3"/>
        <w:tblW w:w="9355" w:type="dxa"/>
        <w:tblInd w:w="-5" w:type="dxa"/>
        <w:tblLook w:val="04A0" w:firstRow="1" w:lastRow="0" w:firstColumn="1" w:lastColumn="0" w:noHBand="0" w:noVBand="1"/>
      </w:tblPr>
      <w:tblGrid>
        <w:gridCol w:w="853"/>
        <w:gridCol w:w="3669"/>
        <w:gridCol w:w="1255"/>
        <w:gridCol w:w="1255"/>
        <w:gridCol w:w="1357"/>
        <w:gridCol w:w="966"/>
      </w:tblGrid>
      <w:tr w:rsidR="00714F5D" w:rsidRPr="001D0846" w:rsidTr="008C5C6A">
        <w:tc>
          <w:tcPr>
            <w:tcW w:w="853"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Nr. d/o</w:t>
            </w:r>
          </w:p>
        </w:tc>
        <w:tc>
          <w:tcPr>
            <w:tcW w:w="3669"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Denumirea</w:t>
            </w:r>
          </w:p>
        </w:tc>
        <w:tc>
          <w:tcPr>
            <w:tcW w:w="1255"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31.12.2015</w:t>
            </w:r>
          </w:p>
        </w:tc>
        <w:tc>
          <w:tcPr>
            <w:tcW w:w="1255"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31.12.2016</w:t>
            </w:r>
          </w:p>
        </w:tc>
        <w:tc>
          <w:tcPr>
            <w:tcW w:w="1357"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31.12.2017</w:t>
            </w:r>
          </w:p>
        </w:tc>
        <w:tc>
          <w:tcPr>
            <w:tcW w:w="966" w:type="dxa"/>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Total general</w:t>
            </w:r>
          </w:p>
        </w:tc>
      </w:tr>
      <w:tr w:rsidR="00714F5D" w:rsidRPr="001D0846" w:rsidTr="008C5C6A">
        <w:tc>
          <w:tcPr>
            <w:tcW w:w="853" w:type="dxa"/>
            <w:shd w:val="clear" w:color="auto" w:fill="DEEAF6" w:themeFill="accent1" w:themeFillTint="33"/>
          </w:tcPr>
          <w:p w:rsidR="00714F5D" w:rsidRPr="001D0846" w:rsidRDefault="00714F5D" w:rsidP="008C5C6A">
            <w:pPr>
              <w:pStyle w:val="a7"/>
              <w:numPr>
                <w:ilvl w:val="0"/>
                <w:numId w:val="9"/>
              </w:numPr>
              <w:spacing w:line="276" w:lineRule="auto"/>
              <w:jc w:val="center"/>
              <w:rPr>
                <w:rFonts w:ascii="Times New Roman" w:hAnsi="Times New Roman" w:cs="Times New Roman"/>
                <w:b/>
                <w:sz w:val="20"/>
                <w:szCs w:val="20"/>
              </w:rPr>
            </w:pPr>
          </w:p>
        </w:tc>
        <w:tc>
          <w:tcPr>
            <w:tcW w:w="3669" w:type="dxa"/>
            <w:shd w:val="clear" w:color="auto" w:fill="DEEAF6" w:themeFill="accent1" w:themeFillTint="33"/>
          </w:tcPr>
          <w:p w:rsidR="00714F5D" w:rsidRPr="001D0846" w:rsidRDefault="00714F5D" w:rsidP="008C5C6A">
            <w:pPr>
              <w:spacing w:line="276" w:lineRule="auto"/>
              <w:jc w:val="both"/>
              <w:rPr>
                <w:rFonts w:ascii="Times New Roman" w:hAnsi="Times New Roman" w:cs="Times New Roman"/>
                <w:b/>
                <w:sz w:val="20"/>
                <w:szCs w:val="20"/>
              </w:rPr>
            </w:pPr>
            <w:r w:rsidRPr="001D0846">
              <w:rPr>
                <w:rFonts w:ascii="Times New Roman" w:hAnsi="Times New Roman" w:cs="Times New Roman"/>
                <w:b/>
                <w:sz w:val="20"/>
                <w:szCs w:val="20"/>
              </w:rPr>
              <w:t>Soldul bunurilor sechestrate cu drept de comercializare</w:t>
            </w:r>
          </w:p>
        </w:tc>
        <w:tc>
          <w:tcPr>
            <w:tcW w:w="1255" w:type="dxa"/>
            <w:shd w:val="clear" w:color="auto" w:fill="DEEAF6" w:themeFill="accent1" w:themeFillTint="33"/>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210979,7</w:t>
            </w:r>
          </w:p>
        </w:tc>
        <w:tc>
          <w:tcPr>
            <w:tcW w:w="1255" w:type="dxa"/>
            <w:shd w:val="clear" w:color="auto" w:fill="DEEAF6" w:themeFill="accent1" w:themeFillTint="33"/>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180386,0</w:t>
            </w:r>
          </w:p>
        </w:tc>
        <w:tc>
          <w:tcPr>
            <w:tcW w:w="1357" w:type="dxa"/>
            <w:shd w:val="clear" w:color="auto" w:fill="DEEAF6" w:themeFill="accent1" w:themeFillTint="33"/>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150968,00</w:t>
            </w:r>
          </w:p>
        </w:tc>
        <w:tc>
          <w:tcPr>
            <w:tcW w:w="966" w:type="dxa"/>
            <w:shd w:val="clear" w:color="auto" w:fill="DEEAF6" w:themeFill="accent1" w:themeFillTint="33"/>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542333,7</w:t>
            </w:r>
          </w:p>
        </w:tc>
      </w:tr>
      <w:tr w:rsidR="00714F5D" w:rsidRPr="001D0846" w:rsidTr="008C5C6A">
        <w:tc>
          <w:tcPr>
            <w:tcW w:w="853" w:type="dxa"/>
            <w:shd w:val="clear" w:color="auto" w:fill="BDD6EE" w:themeFill="accent1" w:themeFillTint="66"/>
          </w:tcPr>
          <w:p w:rsidR="00714F5D" w:rsidRPr="001D0846" w:rsidRDefault="00714F5D" w:rsidP="008C5C6A">
            <w:pPr>
              <w:pStyle w:val="a7"/>
              <w:numPr>
                <w:ilvl w:val="0"/>
                <w:numId w:val="9"/>
              </w:numPr>
              <w:spacing w:line="276" w:lineRule="auto"/>
              <w:jc w:val="center"/>
              <w:rPr>
                <w:rFonts w:ascii="Times New Roman" w:hAnsi="Times New Roman" w:cs="Times New Roman"/>
                <w:b/>
                <w:sz w:val="20"/>
                <w:szCs w:val="20"/>
              </w:rPr>
            </w:pPr>
          </w:p>
        </w:tc>
        <w:tc>
          <w:tcPr>
            <w:tcW w:w="3669" w:type="dxa"/>
            <w:shd w:val="clear" w:color="auto" w:fill="BDD6EE" w:themeFill="accent1" w:themeFillTint="66"/>
          </w:tcPr>
          <w:p w:rsidR="00714F5D" w:rsidRPr="001D0846" w:rsidRDefault="00714F5D" w:rsidP="008C5C6A">
            <w:pPr>
              <w:spacing w:line="276" w:lineRule="auto"/>
              <w:jc w:val="both"/>
              <w:rPr>
                <w:rFonts w:ascii="Times New Roman" w:hAnsi="Times New Roman" w:cs="Times New Roman"/>
                <w:b/>
                <w:sz w:val="20"/>
                <w:szCs w:val="20"/>
              </w:rPr>
            </w:pPr>
            <w:r w:rsidRPr="001D0846">
              <w:rPr>
                <w:rFonts w:ascii="Times New Roman" w:hAnsi="Times New Roman" w:cs="Times New Roman"/>
                <w:b/>
                <w:sz w:val="20"/>
                <w:szCs w:val="20"/>
              </w:rPr>
              <w:t>Total încasat de la comercializarea bunurilor:</w:t>
            </w:r>
          </w:p>
        </w:tc>
        <w:tc>
          <w:tcPr>
            <w:tcW w:w="1255" w:type="dxa"/>
            <w:shd w:val="clear" w:color="auto" w:fill="BDD6EE" w:themeFill="accent1" w:themeFillTint="66"/>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3151,1</w:t>
            </w:r>
          </w:p>
        </w:tc>
        <w:tc>
          <w:tcPr>
            <w:tcW w:w="1255" w:type="dxa"/>
            <w:shd w:val="clear" w:color="auto" w:fill="BDD6EE" w:themeFill="accent1" w:themeFillTint="66"/>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2554,3</w:t>
            </w:r>
          </w:p>
        </w:tc>
        <w:tc>
          <w:tcPr>
            <w:tcW w:w="1357" w:type="dxa"/>
            <w:shd w:val="clear" w:color="auto" w:fill="BDD6EE" w:themeFill="accent1" w:themeFillTint="66"/>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451,7</w:t>
            </w:r>
          </w:p>
        </w:tc>
        <w:tc>
          <w:tcPr>
            <w:tcW w:w="966" w:type="dxa"/>
            <w:shd w:val="clear" w:color="auto" w:fill="BDD6EE" w:themeFill="accent1" w:themeFillTint="66"/>
          </w:tcPr>
          <w:p w:rsidR="00714F5D" w:rsidRPr="001D0846" w:rsidRDefault="00714F5D" w:rsidP="008C5C6A">
            <w:pPr>
              <w:spacing w:line="276" w:lineRule="auto"/>
              <w:jc w:val="center"/>
              <w:rPr>
                <w:rFonts w:ascii="Times New Roman" w:hAnsi="Times New Roman" w:cs="Times New Roman"/>
                <w:b/>
                <w:sz w:val="20"/>
                <w:szCs w:val="20"/>
              </w:rPr>
            </w:pPr>
            <w:r w:rsidRPr="001D0846">
              <w:rPr>
                <w:rFonts w:ascii="Times New Roman" w:hAnsi="Times New Roman" w:cs="Times New Roman"/>
                <w:b/>
                <w:sz w:val="20"/>
                <w:szCs w:val="20"/>
              </w:rPr>
              <w:t>6157,1</w:t>
            </w:r>
          </w:p>
        </w:tc>
      </w:tr>
      <w:tr w:rsidR="00714F5D" w:rsidRPr="001D0846" w:rsidTr="008C5C6A">
        <w:tc>
          <w:tcPr>
            <w:tcW w:w="853" w:type="dxa"/>
          </w:tcPr>
          <w:p w:rsidR="00714F5D" w:rsidRPr="001D0846" w:rsidRDefault="00714F5D" w:rsidP="008C5C6A">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2.1</w:t>
            </w:r>
          </w:p>
        </w:tc>
        <w:tc>
          <w:tcPr>
            <w:tcW w:w="3669" w:type="dxa"/>
          </w:tcPr>
          <w:p w:rsidR="00714F5D" w:rsidRPr="001D0846" w:rsidRDefault="00714F5D" w:rsidP="008C5C6A">
            <w:pPr>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Bunuri comercializate prin intermediul Comisiei permanente</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3144,0</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1475,5</w:t>
            </w:r>
          </w:p>
        </w:tc>
        <w:tc>
          <w:tcPr>
            <w:tcW w:w="1357"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451,7</w:t>
            </w:r>
          </w:p>
        </w:tc>
        <w:tc>
          <w:tcPr>
            <w:tcW w:w="966"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5071,2</w:t>
            </w:r>
          </w:p>
        </w:tc>
      </w:tr>
      <w:tr w:rsidR="00714F5D" w:rsidRPr="001D0846" w:rsidTr="008C5C6A">
        <w:tc>
          <w:tcPr>
            <w:tcW w:w="853" w:type="dxa"/>
          </w:tcPr>
          <w:p w:rsidR="00714F5D" w:rsidRPr="001D0846" w:rsidRDefault="00714F5D" w:rsidP="008C5C6A">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2.2</w:t>
            </w:r>
          </w:p>
        </w:tc>
        <w:tc>
          <w:tcPr>
            <w:tcW w:w="3669" w:type="dxa"/>
          </w:tcPr>
          <w:p w:rsidR="00714F5D" w:rsidRPr="001D0846" w:rsidRDefault="00714F5D" w:rsidP="008C5C6A">
            <w:pPr>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Bunuri comercializate prin BUMM</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6,6</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1078,2</w:t>
            </w:r>
          </w:p>
        </w:tc>
        <w:tc>
          <w:tcPr>
            <w:tcW w:w="1357"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1084,8</w:t>
            </w:r>
          </w:p>
        </w:tc>
      </w:tr>
      <w:tr w:rsidR="00714F5D" w:rsidRPr="001D0846" w:rsidTr="008C5C6A">
        <w:tc>
          <w:tcPr>
            <w:tcW w:w="853" w:type="dxa"/>
          </w:tcPr>
          <w:p w:rsidR="00714F5D" w:rsidRPr="001D0846" w:rsidRDefault="00714F5D" w:rsidP="008C5C6A">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2.3</w:t>
            </w:r>
          </w:p>
        </w:tc>
        <w:tc>
          <w:tcPr>
            <w:tcW w:w="3669" w:type="dxa"/>
          </w:tcPr>
          <w:p w:rsidR="00714F5D" w:rsidRPr="001D0846" w:rsidRDefault="00714F5D" w:rsidP="008C5C6A">
            <w:pPr>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xml:space="preserve">Bunuri comercializate </w:t>
            </w:r>
            <w:r w:rsidRPr="00E330C1">
              <w:rPr>
                <w:rFonts w:ascii="Times New Roman" w:hAnsi="Times New Roman" w:cs="Times New Roman"/>
                <w:sz w:val="20"/>
                <w:szCs w:val="20"/>
              </w:rPr>
              <w:t>prin APP</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1357"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r>
      <w:tr w:rsidR="00714F5D" w:rsidRPr="001D0846" w:rsidTr="008C5C6A">
        <w:tc>
          <w:tcPr>
            <w:tcW w:w="853" w:type="dxa"/>
          </w:tcPr>
          <w:p w:rsidR="00714F5D" w:rsidRPr="001D0846" w:rsidRDefault="00714F5D" w:rsidP="008C5C6A">
            <w:pPr>
              <w:spacing w:line="276" w:lineRule="auto"/>
              <w:ind w:left="360"/>
              <w:jc w:val="center"/>
              <w:rPr>
                <w:rFonts w:ascii="Times New Roman" w:hAnsi="Times New Roman" w:cs="Times New Roman"/>
                <w:b/>
                <w:sz w:val="20"/>
                <w:szCs w:val="20"/>
              </w:rPr>
            </w:pPr>
            <w:r w:rsidRPr="001D0846">
              <w:rPr>
                <w:rFonts w:ascii="Times New Roman" w:hAnsi="Times New Roman" w:cs="Times New Roman"/>
                <w:b/>
                <w:sz w:val="20"/>
                <w:szCs w:val="20"/>
              </w:rPr>
              <w:t>2.4</w:t>
            </w:r>
          </w:p>
        </w:tc>
        <w:tc>
          <w:tcPr>
            <w:tcW w:w="3669" w:type="dxa"/>
          </w:tcPr>
          <w:p w:rsidR="00714F5D" w:rsidRPr="001D0846" w:rsidRDefault="00714F5D" w:rsidP="008C5C6A">
            <w:pPr>
              <w:spacing w:line="276" w:lineRule="auto"/>
              <w:jc w:val="both"/>
              <w:rPr>
                <w:rFonts w:ascii="Times New Roman" w:hAnsi="Times New Roman" w:cs="Times New Roman"/>
                <w:sz w:val="20"/>
                <w:szCs w:val="20"/>
              </w:rPr>
            </w:pPr>
            <w:r w:rsidRPr="001D0846">
              <w:rPr>
                <w:rFonts w:ascii="Times New Roman" w:hAnsi="Times New Roman" w:cs="Times New Roman"/>
                <w:sz w:val="20"/>
                <w:szCs w:val="20"/>
              </w:rPr>
              <w:t xml:space="preserve">Bunuri comercializate cu valoarea mai mică de 10 000 lei </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0,5</w:t>
            </w:r>
          </w:p>
        </w:tc>
        <w:tc>
          <w:tcPr>
            <w:tcW w:w="1255"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0,6</w:t>
            </w:r>
          </w:p>
        </w:tc>
        <w:tc>
          <w:tcPr>
            <w:tcW w:w="1357"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0,0</w:t>
            </w:r>
          </w:p>
        </w:tc>
        <w:tc>
          <w:tcPr>
            <w:tcW w:w="966" w:type="dxa"/>
          </w:tcPr>
          <w:p w:rsidR="00714F5D" w:rsidRPr="001D0846" w:rsidRDefault="00714F5D" w:rsidP="008C5C6A">
            <w:pPr>
              <w:spacing w:line="276" w:lineRule="auto"/>
              <w:jc w:val="center"/>
              <w:rPr>
                <w:rFonts w:ascii="Times New Roman" w:hAnsi="Times New Roman" w:cs="Times New Roman"/>
                <w:sz w:val="20"/>
                <w:szCs w:val="20"/>
              </w:rPr>
            </w:pPr>
            <w:r w:rsidRPr="001D0846">
              <w:rPr>
                <w:rFonts w:ascii="Times New Roman" w:hAnsi="Times New Roman" w:cs="Times New Roman"/>
                <w:sz w:val="20"/>
                <w:szCs w:val="20"/>
              </w:rPr>
              <w:t>1,1</w:t>
            </w:r>
          </w:p>
        </w:tc>
      </w:tr>
    </w:tbl>
    <w:p w:rsidR="00714F5D" w:rsidRPr="001D0846" w:rsidRDefault="00714F5D" w:rsidP="00714F5D">
      <w:pPr>
        <w:spacing w:after="0" w:line="276" w:lineRule="auto"/>
        <w:jc w:val="both"/>
        <w:rPr>
          <w:rFonts w:ascii="Times New Roman" w:hAnsi="Times New Roman" w:cs="Times New Roman"/>
          <w:i/>
          <w:sz w:val="20"/>
          <w:szCs w:val="20"/>
        </w:rPr>
      </w:pPr>
      <w:r w:rsidRPr="001D0846">
        <w:rPr>
          <w:rFonts w:ascii="Times New Roman" w:hAnsi="Times New Roman" w:cs="Times New Roman"/>
          <w:b/>
          <w:i/>
          <w:sz w:val="20"/>
          <w:szCs w:val="20"/>
        </w:rPr>
        <w:t>Sursă:</w:t>
      </w:r>
      <w:r w:rsidRPr="001D0846">
        <w:rPr>
          <w:rFonts w:ascii="Times New Roman" w:hAnsi="Times New Roman" w:cs="Times New Roman"/>
          <w:i/>
          <w:sz w:val="20"/>
          <w:szCs w:val="20"/>
        </w:rPr>
        <w:t xml:space="preserve"> Informația privind rezultatele comercializării bunurilor sechestrate a DGAF (Forma 8SF).</w:t>
      </w:r>
    </w:p>
    <w:p w:rsidR="00714F5D" w:rsidRPr="001D0846" w:rsidRDefault="00714F5D" w:rsidP="00714F5D">
      <w:pPr>
        <w:spacing w:after="0" w:line="276" w:lineRule="auto"/>
        <w:jc w:val="both"/>
        <w:rPr>
          <w:rFonts w:ascii="Times New Roman" w:hAnsi="Times New Roman" w:cs="Times New Roman"/>
          <w:i/>
          <w:sz w:val="20"/>
          <w:szCs w:val="20"/>
        </w:rPr>
      </w:pPr>
    </w:p>
    <w:p w:rsidR="00714F5D" w:rsidRPr="001D0846" w:rsidRDefault="00714F5D" w:rsidP="00714F5D">
      <w:pPr>
        <w:spacing w:after="0" w:line="276" w:lineRule="auto"/>
        <w:rPr>
          <w:rFonts w:ascii="Times New Roman" w:eastAsia="Times New Roman" w:hAnsi="Times New Roman" w:cs="Times New Roman"/>
          <w:b/>
          <w:i/>
          <w:sz w:val="28"/>
          <w:szCs w:val="28"/>
        </w:rPr>
      </w:pPr>
    </w:p>
    <w:p w:rsidR="00714F5D" w:rsidRPr="001D0846" w:rsidRDefault="00714F5D" w:rsidP="00714F5D">
      <w:pPr>
        <w:spacing w:after="0" w:line="240" w:lineRule="auto"/>
        <w:jc w:val="right"/>
        <w:rPr>
          <w:rFonts w:ascii="Times New Roman" w:eastAsia="Times New Roman" w:hAnsi="Times New Roman" w:cs="Times New Roman"/>
          <w:b/>
          <w:i/>
          <w:sz w:val="28"/>
          <w:szCs w:val="28"/>
        </w:rPr>
      </w:pPr>
      <w:r w:rsidRPr="001D0846">
        <w:rPr>
          <w:rFonts w:ascii="Times New Roman" w:eastAsia="Times New Roman" w:hAnsi="Times New Roman" w:cs="Times New Roman"/>
          <w:b/>
          <w:i/>
          <w:sz w:val="28"/>
          <w:szCs w:val="28"/>
        </w:rPr>
        <w:t>Tabelul nr.1</w:t>
      </w:r>
      <w:r>
        <w:rPr>
          <w:rFonts w:ascii="Times New Roman" w:eastAsia="Times New Roman" w:hAnsi="Times New Roman" w:cs="Times New Roman"/>
          <w:b/>
          <w:i/>
          <w:sz w:val="28"/>
          <w:szCs w:val="28"/>
        </w:rPr>
        <w:t>8</w:t>
      </w:r>
    </w:p>
    <w:p w:rsidR="00714F5D" w:rsidRDefault="00714F5D" w:rsidP="00714F5D">
      <w:pPr>
        <w:spacing w:after="0" w:line="240" w:lineRule="auto"/>
        <w:jc w:val="center"/>
        <w:rPr>
          <w:rFonts w:ascii="Times New Roman" w:eastAsia="Times New Roman" w:hAnsi="Times New Roman" w:cs="Times New Roman"/>
          <w:i/>
          <w:sz w:val="28"/>
          <w:szCs w:val="28"/>
        </w:rPr>
      </w:pPr>
      <w:r w:rsidRPr="001D0846">
        <w:rPr>
          <w:rFonts w:ascii="Times New Roman" w:eastAsia="Times New Roman" w:hAnsi="Times New Roman" w:cs="Times New Roman"/>
          <w:i/>
          <w:sz w:val="28"/>
          <w:szCs w:val="28"/>
        </w:rPr>
        <w:t>Informația privind evoluția restanțelor la BS administrate de SV pentru</w:t>
      </w:r>
      <w:r>
        <w:rPr>
          <w:rFonts w:ascii="Times New Roman" w:eastAsia="Times New Roman" w:hAnsi="Times New Roman" w:cs="Times New Roman"/>
          <w:i/>
          <w:sz w:val="28"/>
          <w:szCs w:val="28"/>
        </w:rPr>
        <w:t xml:space="preserve"> perioada</w:t>
      </w:r>
      <w:r w:rsidRPr="001D0846">
        <w:rPr>
          <w:rFonts w:ascii="Times New Roman" w:eastAsia="Times New Roman" w:hAnsi="Times New Roman" w:cs="Times New Roman"/>
          <w:i/>
          <w:sz w:val="28"/>
          <w:szCs w:val="28"/>
        </w:rPr>
        <w:t xml:space="preserve"> </w:t>
      </w:r>
    </w:p>
    <w:p w:rsidR="00714F5D" w:rsidRPr="001D0846" w:rsidRDefault="00714F5D" w:rsidP="00714F5D">
      <w:pPr>
        <w:spacing w:after="0" w:line="240" w:lineRule="auto"/>
        <w:jc w:val="center"/>
        <w:rPr>
          <w:rFonts w:ascii="Times New Roman" w:eastAsia="Times New Roman" w:hAnsi="Times New Roman" w:cs="Times New Roman"/>
          <w:b/>
          <w:i/>
          <w:sz w:val="28"/>
          <w:szCs w:val="28"/>
        </w:rPr>
      </w:pPr>
      <w:r w:rsidRPr="001D0846">
        <w:rPr>
          <w:rFonts w:ascii="Times New Roman" w:eastAsia="Times New Roman" w:hAnsi="Times New Roman" w:cs="Times New Roman"/>
          <w:i/>
          <w:sz w:val="28"/>
          <w:szCs w:val="28"/>
        </w:rPr>
        <w:t>2015-2017</w:t>
      </w:r>
    </w:p>
    <w:p w:rsidR="00714F5D" w:rsidRPr="00E76097" w:rsidRDefault="00714F5D" w:rsidP="00714F5D">
      <w:pPr>
        <w:pStyle w:val="a9"/>
        <w:spacing w:after="0" w:line="240" w:lineRule="auto"/>
        <w:jc w:val="right"/>
        <w:rPr>
          <w:i/>
          <w:sz w:val="28"/>
          <w:szCs w:val="28"/>
        </w:rPr>
      </w:pPr>
      <w:r w:rsidRPr="00E76097">
        <w:rPr>
          <w:i/>
          <w:sz w:val="28"/>
          <w:szCs w:val="28"/>
        </w:rPr>
        <w:t xml:space="preserve">                                                                                                       (mil.lei)</w:t>
      </w:r>
    </w:p>
    <w:tbl>
      <w:tblPr>
        <w:tblStyle w:val="a3"/>
        <w:tblW w:w="0" w:type="auto"/>
        <w:tblLook w:val="04A0" w:firstRow="1" w:lastRow="0" w:firstColumn="1" w:lastColumn="0" w:noHBand="0" w:noVBand="1"/>
      </w:tblPr>
      <w:tblGrid>
        <w:gridCol w:w="674"/>
        <w:gridCol w:w="652"/>
        <w:gridCol w:w="819"/>
        <w:gridCol w:w="652"/>
        <w:gridCol w:w="820"/>
        <w:gridCol w:w="643"/>
        <w:gridCol w:w="820"/>
        <w:gridCol w:w="643"/>
        <w:gridCol w:w="820"/>
        <w:gridCol w:w="643"/>
        <w:gridCol w:w="820"/>
        <w:gridCol w:w="643"/>
        <w:gridCol w:w="716"/>
      </w:tblGrid>
      <w:tr w:rsidR="00714F5D" w:rsidRPr="001D0846" w:rsidTr="008C5C6A">
        <w:trPr>
          <w:trHeight w:val="300"/>
        </w:trPr>
        <w:tc>
          <w:tcPr>
            <w:tcW w:w="723" w:type="dxa"/>
            <w:vMerge w:val="restart"/>
          </w:tcPr>
          <w:p w:rsidR="00714F5D" w:rsidRPr="001D0846" w:rsidRDefault="00714F5D" w:rsidP="008C5C6A">
            <w:pPr>
              <w:pStyle w:val="a9"/>
              <w:spacing w:line="276" w:lineRule="auto"/>
              <w:rPr>
                <w:b/>
                <w:sz w:val="18"/>
                <w:szCs w:val="18"/>
              </w:rPr>
            </w:pPr>
            <w:r w:rsidRPr="001D0846">
              <w:rPr>
                <w:b/>
                <w:sz w:val="18"/>
                <w:szCs w:val="18"/>
              </w:rPr>
              <w:t>Anul</w:t>
            </w:r>
          </w:p>
        </w:tc>
        <w:tc>
          <w:tcPr>
            <w:tcW w:w="1555" w:type="dxa"/>
            <w:gridSpan w:val="2"/>
          </w:tcPr>
          <w:p w:rsidR="00714F5D" w:rsidRPr="001D0846" w:rsidRDefault="00714F5D" w:rsidP="0075307B">
            <w:pPr>
              <w:pStyle w:val="a9"/>
              <w:spacing w:line="276" w:lineRule="auto"/>
              <w:jc w:val="center"/>
              <w:rPr>
                <w:b/>
                <w:sz w:val="18"/>
                <w:szCs w:val="18"/>
              </w:rPr>
            </w:pPr>
            <w:r w:rsidRPr="001D0846">
              <w:rPr>
                <w:b/>
                <w:sz w:val="18"/>
                <w:szCs w:val="18"/>
              </w:rPr>
              <w:t xml:space="preserve">Total </w:t>
            </w:r>
            <w:r w:rsidR="0075307B">
              <w:rPr>
                <w:b/>
                <w:sz w:val="18"/>
                <w:szCs w:val="18"/>
              </w:rPr>
              <w:t>restanțe</w:t>
            </w:r>
          </w:p>
        </w:tc>
        <w:tc>
          <w:tcPr>
            <w:tcW w:w="1555" w:type="dxa"/>
            <w:gridSpan w:val="2"/>
          </w:tcPr>
          <w:p w:rsidR="00714F5D" w:rsidRPr="001D0846" w:rsidRDefault="00714F5D" w:rsidP="008C5C6A">
            <w:pPr>
              <w:pStyle w:val="a9"/>
              <w:spacing w:line="276" w:lineRule="auto"/>
              <w:jc w:val="center"/>
              <w:rPr>
                <w:b/>
                <w:sz w:val="18"/>
                <w:szCs w:val="18"/>
              </w:rPr>
            </w:pPr>
            <w:r w:rsidRPr="001D0846">
              <w:rPr>
                <w:b/>
                <w:sz w:val="18"/>
                <w:szCs w:val="18"/>
              </w:rPr>
              <w:t>TVA</w:t>
            </w:r>
          </w:p>
        </w:tc>
        <w:tc>
          <w:tcPr>
            <w:tcW w:w="1554" w:type="dxa"/>
            <w:gridSpan w:val="2"/>
          </w:tcPr>
          <w:p w:rsidR="00714F5D" w:rsidRPr="001D0846" w:rsidRDefault="00714F5D" w:rsidP="008C5C6A">
            <w:pPr>
              <w:pStyle w:val="a9"/>
              <w:spacing w:line="276" w:lineRule="auto"/>
              <w:jc w:val="center"/>
              <w:rPr>
                <w:b/>
                <w:sz w:val="18"/>
                <w:szCs w:val="18"/>
              </w:rPr>
            </w:pPr>
            <w:r w:rsidRPr="001D0846">
              <w:rPr>
                <w:b/>
                <w:sz w:val="18"/>
                <w:szCs w:val="18"/>
              </w:rPr>
              <w:t>Accize</w:t>
            </w:r>
          </w:p>
        </w:tc>
        <w:tc>
          <w:tcPr>
            <w:tcW w:w="1554" w:type="dxa"/>
            <w:gridSpan w:val="2"/>
          </w:tcPr>
          <w:p w:rsidR="00714F5D" w:rsidRPr="001D0846" w:rsidRDefault="00714F5D" w:rsidP="008C5C6A">
            <w:pPr>
              <w:pStyle w:val="a9"/>
              <w:spacing w:line="276" w:lineRule="auto"/>
              <w:jc w:val="center"/>
              <w:rPr>
                <w:b/>
                <w:sz w:val="18"/>
                <w:szCs w:val="18"/>
              </w:rPr>
            </w:pPr>
            <w:r w:rsidRPr="001D0846">
              <w:rPr>
                <w:b/>
                <w:sz w:val="18"/>
                <w:szCs w:val="18"/>
              </w:rPr>
              <w:t>Taxe vamale</w:t>
            </w:r>
          </w:p>
        </w:tc>
        <w:tc>
          <w:tcPr>
            <w:tcW w:w="1554" w:type="dxa"/>
            <w:gridSpan w:val="2"/>
          </w:tcPr>
          <w:p w:rsidR="00714F5D" w:rsidRPr="001D0846" w:rsidRDefault="00714F5D" w:rsidP="008C5C6A">
            <w:pPr>
              <w:pStyle w:val="a9"/>
              <w:spacing w:line="276" w:lineRule="auto"/>
              <w:jc w:val="center"/>
              <w:rPr>
                <w:b/>
                <w:sz w:val="18"/>
                <w:szCs w:val="18"/>
              </w:rPr>
            </w:pPr>
            <w:r w:rsidRPr="001D0846">
              <w:rPr>
                <w:b/>
                <w:sz w:val="18"/>
                <w:szCs w:val="18"/>
              </w:rPr>
              <w:t>Taxa pentru proceduri vamale</w:t>
            </w:r>
          </w:p>
        </w:tc>
        <w:tc>
          <w:tcPr>
            <w:tcW w:w="1076" w:type="dxa"/>
            <w:gridSpan w:val="2"/>
          </w:tcPr>
          <w:p w:rsidR="00714F5D" w:rsidRPr="001D0846" w:rsidRDefault="00714F5D" w:rsidP="008C5C6A">
            <w:pPr>
              <w:pStyle w:val="a9"/>
              <w:spacing w:line="276" w:lineRule="auto"/>
              <w:jc w:val="center"/>
              <w:rPr>
                <w:b/>
                <w:sz w:val="18"/>
                <w:szCs w:val="18"/>
              </w:rPr>
            </w:pPr>
            <w:r w:rsidRPr="001D0846">
              <w:rPr>
                <w:b/>
                <w:sz w:val="18"/>
                <w:szCs w:val="18"/>
              </w:rPr>
              <w:t>Amenzi</w:t>
            </w:r>
          </w:p>
        </w:tc>
      </w:tr>
      <w:tr w:rsidR="00714F5D" w:rsidRPr="001D0846" w:rsidTr="008C5C6A">
        <w:trPr>
          <w:trHeight w:val="812"/>
        </w:trPr>
        <w:tc>
          <w:tcPr>
            <w:tcW w:w="723" w:type="dxa"/>
            <w:vMerge/>
          </w:tcPr>
          <w:p w:rsidR="00714F5D" w:rsidRPr="001D0846" w:rsidRDefault="00714F5D" w:rsidP="008C5C6A">
            <w:pPr>
              <w:pStyle w:val="a9"/>
              <w:spacing w:line="276" w:lineRule="auto"/>
              <w:rPr>
                <w:sz w:val="18"/>
                <w:szCs w:val="18"/>
              </w:rPr>
            </w:pPr>
          </w:p>
        </w:tc>
        <w:tc>
          <w:tcPr>
            <w:tcW w:w="672" w:type="dxa"/>
            <w:tcBorders>
              <w:right w:val="single" w:sz="4" w:space="0" w:color="auto"/>
            </w:tcBorders>
          </w:tcPr>
          <w:p w:rsidR="00714F5D" w:rsidRPr="001D0846" w:rsidRDefault="00714F5D" w:rsidP="008C5C6A">
            <w:pPr>
              <w:pStyle w:val="a9"/>
              <w:spacing w:line="276" w:lineRule="auto"/>
              <w:rPr>
                <w:sz w:val="18"/>
                <w:szCs w:val="18"/>
              </w:rPr>
            </w:pPr>
            <w:r w:rsidRPr="001D0846">
              <w:rPr>
                <w:sz w:val="18"/>
                <w:szCs w:val="18"/>
              </w:rPr>
              <w:t>Total</w:t>
            </w:r>
          </w:p>
        </w:tc>
        <w:tc>
          <w:tcPr>
            <w:tcW w:w="883" w:type="dxa"/>
            <w:tcBorders>
              <w:left w:val="single" w:sz="4" w:space="0" w:color="auto"/>
            </w:tcBorders>
          </w:tcPr>
          <w:p w:rsidR="00714F5D" w:rsidRPr="001D0846" w:rsidRDefault="00714F5D" w:rsidP="008C5C6A">
            <w:pPr>
              <w:pStyle w:val="a9"/>
              <w:spacing w:line="276" w:lineRule="auto"/>
              <w:rPr>
                <w:sz w:val="18"/>
                <w:szCs w:val="18"/>
              </w:rPr>
            </w:pPr>
            <w:r w:rsidRPr="001D0846">
              <w:rPr>
                <w:sz w:val="18"/>
                <w:szCs w:val="18"/>
              </w:rPr>
              <w:t>Cu termen mai mare de 6 ani</w:t>
            </w:r>
          </w:p>
        </w:tc>
        <w:tc>
          <w:tcPr>
            <w:tcW w:w="672" w:type="dxa"/>
          </w:tcPr>
          <w:p w:rsidR="00714F5D" w:rsidRPr="001D0846" w:rsidRDefault="00714F5D" w:rsidP="008C5C6A">
            <w:pPr>
              <w:pStyle w:val="a9"/>
              <w:spacing w:line="276" w:lineRule="auto"/>
              <w:rPr>
                <w:sz w:val="18"/>
                <w:szCs w:val="18"/>
              </w:rPr>
            </w:pPr>
            <w:r w:rsidRPr="001D0846">
              <w:rPr>
                <w:sz w:val="18"/>
                <w:szCs w:val="18"/>
              </w:rPr>
              <w:t>Total</w:t>
            </w:r>
          </w:p>
        </w:tc>
        <w:tc>
          <w:tcPr>
            <w:tcW w:w="883" w:type="dxa"/>
          </w:tcPr>
          <w:p w:rsidR="00714F5D" w:rsidRPr="001D0846" w:rsidRDefault="00714F5D" w:rsidP="008C5C6A">
            <w:pPr>
              <w:pStyle w:val="a9"/>
              <w:spacing w:line="276" w:lineRule="auto"/>
              <w:rPr>
                <w:sz w:val="18"/>
                <w:szCs w:val="18"/>
              </w:rPr>
            </w:pPr>
            <w:r w:rsidRPr="001D0846">
              <w:rPr>
                <w:sz w:val="18"/>
                <w:szCs w:val="18"/>
              </w:rPr>
              <w:t>Cu termen mai mare de 6 ani</w:t>
            </w:r>
          </w:p>
        </w:tc>
        <w:tc>
          <w:tcPr>
            <w:tcW w:w="671" w:type="dxa"/>
          </w:tcPr>
          <w:p w:rsidR="00714F5D" w:rsidRPr="001D0846" w:rsidRDefault="00714F5D" w:rsidP="008C5C6A">
            <w:pPr>
              <w:pStyle w:val="a9"/>
              <w:spacing w:line="276" w:lineRule="auto"/>
              <w:rPr>
                <w:sz w:val="18"/>
                <w:szCs w:val="18"/>
              </w:rPr>
            </w:pPr>
            <w:r w:rsidRPr="001D0846">
              <w:rPr>
                <w:sz w:val="18"/>
                <w:szCs w:val="18"/>
              </w:rPr>
              <w:t>Total</w:t>
            </w:r>
          </w:p>
        </w:tc>
        <w:tc>
          <w:tcPr>
            <w:tcW w:w="883" w:type="dxa"/>
          </w:tcPr>
          <w:p w:rsidR="00714F5D" w:rsidRPr="001D0846" w:rsidRDefault="00714F5D" w:rsidP="008C5C6A">
            <w:pPr>
              <w:pStyle w:val="a9"/>
              <w:spacing w:line="276" w:lineRule="auto"/>
              <w:rPr>
                <w:sz w:val="18"/>
                <w:szCs w:val="18"/>
              </w:rPr>
            </w:pPr>
            <w:r w:rsidRPr="001D0846">
              <w:rPr>
                <w:sz w:val="18"/>
                <w:szCs w:val="18"/>
              </w:rPr>
              <w:t>Cu termen mai mare de 6 ani</w:t>
            </w:r>
          </w:p>
        </w:tc>
        <w:tc>
          <w:tcPr>
            <w:tcW w:w="671" w:type="dxa"/>
          </w:tcPr>
          <w:p w:rsidR="00714F5D" w:rsidRPr="001D0846" w:rsidRDefault="00714F5D" w:rsidP="008C5C6A">
            <w:pPr>
              <w:pStyle w:val="a9"/>
              <w:spacing w:line="276" w:lineRule="auto"/>
              <w:rPr>
                <w:sz w:val="18"/>
                <w:szCs w:val="18"/>
              </w:rPr>
            </w:pPr>
            <w:r w:rsidRPr="001D0846">
              <w:rPr>
                <w:sz w:val="18"/>
                <w:szCs w:val="18"/>
              </w:rPr>
              <w:t>Total</w:t>
            </w:r>
          </w:p>
        </w:tc>
        <w:tc>
          <w:tcPr>
            <w:tcW w:w="883" w:type="dxa"/>
          </w:tcPr>
          <w:p w:rsidR="00714F5D" w:rsidRPr="001D0846" w:rsidRDefault="00714F5D" w:rsidP="008C5C6A">
            <w:pPr>
              <w:pStyle w:val="a9"/>
              <w:spacing w:line="276" w:lineRule="auto"/>
              <w:rPr>
                <w:sz w:val="18"/>
                <w:szCs w:val="18"/>
              </w:rPr>
            </w:pPr>
            <w:r w:rsidRPr="001D0846">
              <w:rPr>
                <w:sz w:val="18"/>
                <w:szCs w:val="18"/>
              </w:rPr>
              <w:t>Cu termen mai mare de 6 ani</w:t>
            </w:r>
          </w:p>
        </w:tc>
        <w:tc>
          <w:tcPr>
            <w:tcW w:w="671" w:type="dxa"/>
          </w:tcPr>
          <w:p w:rsidR="00714F5D" w:rsidRPr="001D0846" w:rsidRDefault="00714F5D" w:rsidP="008C5C6A">
            <w:pPr>
              <w:pStyle w:val="a9"/>
              <w:spacing w:line="276" w:lineRule="auto"/>
              <w:rPr>
                <w:sz w:val="18"/>
                <w:szCs w:val="18"/>
              </w:rPr>
            </w:pPr>
            <w:r w:rsidRPr="001D0846">
              <w:rPr>
                <w:sz w:val="18"/>
                <w:szCs w:val="18"/>
              </w:rPr>
              <w:t>Total</w:t>
            </w:r>
          </w:p>
        </w:tc>
        <w:tc>
          <w:tcPr>
            <w:tcW w:w="883" w:type="dxa"/>
          </w:tcPr>
          <w:p w:rsidR="00714F5D" w:rsidRPr="001D0846" w:rsidRDefault="00714F5D" w:rsidP="008C5C6A">
            <w:pPr>
              <w:pStyle w:val="a9"/>
              <w:spacing w:line="276" w:lineRule="auto"/>
              <w:rPr>
                <w:sz w:val="18"/>
                <w:szCs w:val="18"/>
              </w:rPr>
            </w:pPr>
            <w:r w:rsidRPr="001D0846">
              <w:rPr>
                <w:sz w:val="18"/>
                <w:szCs w:val="18"/>
              </w:rPr>
              <w:t>Cu termen mai mare de 6 ani</w:t>
            </w:r>
          </w:p>
        </w:tc>
        <w:tc>
          <w:tcPr>
            <w:tcW w:w="671" w:type="dxa"/>
          </w:tcPr>
          <w:p w:rsidR="00714F5D" w:rsidRPr="001D0846" w:rsidRDefault="00714F5D" w:rsidP="008C5C6A">
            <w:pPr>
              <w:pStyle w:val="a9"/>
              <w:spacing w:line="276" w:lineRule="auto"/>
              <w:rPr>
                <w:sz w:val="18"/>
                <w:szCs w:val="18"/>
              </w:rPr>
            </w:pPr>
            <w:r w:rsidRPr="001D0846">
              <w:rPr>
                <w:sz w:val="18"/>
                <w:szCs w:val="18"/>
              </w:rPr>
              <w:t>Total</w:t>
            </w:r>
          </w:p>
        </w:tc>
        <w:tc>
          <w:tcPr>
            <w:tcW w:w="405" w:type="dxa"/>
          </w:tcPr>
          <w:p w:rsidR="00714F5D" w:rsidRPr="001D0846" w:rsidRDefault="00714F5D" w:rsidP="008C5C6A">
            <w:pPr>
              <w:pStyle w:val="a9"/>
              <w:spacing w:line="276" w:lineRule="auto"/>
              <w:rPr>
                <w:sz w:val="18"/>
                <w:szCs w:val="18"/>
              </w:rPr>
            </w:pPr>
            <w:r w:rsidRPr="001D0846">
              <w:rPr>
                <w:sz w:val="18"/>
                <w:szCs w:val="18"/>
              </w:rPr>
              <w:t>Cu termen mai mare de 6 ani</w:t>
            </w:r>
          </w:p>
        </w:tc>
      </w:tr>
      <w:tr w:rsidR="00714F5D" w:rsidRPr="001D0846" w:rsidTr="008C5C6A">
        <w:tc>
          <w:tcPr>
            <w:tcW w:w="723" w:type="dxa"/>
          </w:tcPr>
          <w:p w:rsidR="00714F5D" w:rsidRPr="001D0846" w:rsidRDefault="00714F5D" w:rsidP="008C5C6A">
            <w:pPr>
              <w:pStyle w:val="a9"/>
              <w:spacing w:line="276" w:lineRule="auto"/>
              <w:rPr>
                <w:sz w:val="18"/>
                <w:szCs w:val="18"/>
              </w:rPr>
            </w:pPr>
            <w:r w:rsidRPr="001D0846">
              <w:rPr>
                <w:sz w:val="18"/>
                <w:szCs w:val="18"/>
              </w:rPr>
              <w:t>2015</w:t>
            </w:r>
          </w:p>
        </w:tc>
        <w:tc>
          <w:tcPr>
            <w:tcW w:w="672" w:type="dxa"/>
          </w:tcPr>
          <w:p w:rsidR="00714F5D" w:rsidRPr="001D0846" w:rsidRDefault="00714F5D" w:rsidP="008C5C6A">
            <w:pPr>
              <w:pStyle w:val="a9"/>
              <w:spacing w:line="276" w:lineRule="auto"/>
              <w:rPr>
                <w:sz w:val="18"/>
                <w:szCs w:val="18"/>
              </w:rPr>
            </w:pPr>
            <w:r w:rsidRPr="001D0846">
              <w:rPr>
                <w:sz w:val="18"/>
                <w:szCs w:val="18"/>
              </w:rPr>
              <w:t>307,2</w:t>
            </w:r>
          </w:p>
        </w:tc>
        <w:tc>
          <w:tcPr>
            <w:tcW w:w="883" w:type="dxa"/>
          </w:tcPr>
          <w:p w:rsidR="00714F5D" w:rsidRPr="001D0846" w:rsidRDefault="00714F5D" w:rsidP="008C5C6A">
            <w:pPr>
              <w:pStyle w:val="a9"/>
              <w:spacing w:line="276" w:lineRule="auto"/>
              <w:rPr>
                <w:sz w:val="18"/>
                <w:szCs w:val="18"/>
              </w:rPr>
            </w:pPr>
            <w:r w:rsidRPr="001D0846">
              <w:rPr>
                <w:sz w:val="18"/>
                <w:szCs w:val="18"/>
              </w:rPr>
              <w:t>50,0</w:t>
            </w:r>
          </w:p>
        </w:tc>
        <w:tc>
          <w:tcPr>
            <w:tcW w:w="672" w:type="dxa"/>
          </w:tcPr>
          <w:p w:rsidR="00714F5D" w:rsidRPr="001D0846" w:rsidRDefault="00714F5D" w:rsidP="008C5C6A">
            <w:pPr>
              <w:pStyle w:val="a9"/>
              <w:spacing w:line="276" w:lineRule="auto"/>
              <w:rPr>
                <w:sz w:val="18"/>
                <w:szCs w:val="18"/>
              </w:rPr>
            </w:pPr>
            <w:r w:rsidRPr="001D0846">
              <w:rPr>
                <w:sz w:val="18"/>
                <w:szCs w:val="18"/>
              </w:rPr>
              <w:t>220,1</w:t>
            </w:r>
          </w:p>
        </w:tc>
        <w:tc>
          <w:tcPr>
            <w:tcW w:w="883" w:type="dxa"/>
          </w:tcPr>
          <w:p w:rsidR="00714F5D" w:rsidRPr="001D0846" w:rsidRDefault="00714F5D" w:rsidP="008C5C6A">
            <w:pPr>
              <w:pStyle w:val="a9"/>
              <w:spacing w:line="276" w:lineRule="auto"/>
              <w:rPr>
                <w:sz w:val="18"/>
                <w:szCs w:val="18"/>
              </w:rPr>
            </w:pPr>
            <w:r w:rsidRPr="001D0846">
              <w:rPr>
                <w:sz w:val="18"/>
                <w:szCs w:val="18"/>
              </w:rPr>
              <w:t>30,6</w:t>
            </w:r>
          </w:p>
        </w:tc>
        <w:tc>
          <w:tcPr>
            <w:tcW w:w="671" w:type="dxa"/>
          </w:tcPr>
          <w:p w:rsidR="00714F5D" w:rsidRPr="001D0846" w:rsidRDefault="00714F5D" w:rsidP="008C5C6A">
            <w:pPr>
              <w:pStyle w:val="a9"/>
              <w:spacing w:line="276" w:lineRule="auto"/>
              <w:rPr>
                <w:sz w:val="18"/>
                <w:szCs w:val="18"/>
              </w:rPr>
            </w:pPr>
            <w:r w:rsidRPr="001D0846">
              <w:rPr>
                <w:sz w:val="18"/>
                <w:szCs w:val="18"/>
              </w:rPr>
              <w:t>11,7</w:t>
            </w:r>
          </w:p>
        </w:tc>
        <w:tc>
          <w:tcPr>
            <w:tcW w:w="883" w:type="dxa"/>
          </w:tcPr>
          <w:p w:rsidR="00714F5D" w:rsidRPr="001D0846" w:rsidRDefault="00714F5D" w:rsidP="008C5C6A">
            <w:pPr>
              <w:pStyle w:val="a9"/>
              <w:spacing w:line="276" w:lineRule="auto"/>
              <w:rPr>
                <w:sz w:val="18"/>
                <w:szCs w:val="18"/>
              </w:rPr>
            </w:pPr>
            <w:r w:rsidRPr="001D0846">
              <w:rPr>
                <w:sz w:val="18"/>
                <w:szCs w:val="18"/>
              </w:rPr>
              <w:t>2,5</w:t>
            </w:r>
          </w:p>
        </w:tc>
        <w:tc>
          <w:tcPr>
            <w:tcW w:w="671" w:type="dxa"/>
          </w:tcPr>
          <w:p w:rsidR="00714F5D" w:rsidRPr="001D0846" w:rsidRDefault="00714F5D" w:rsidP="008C5C6A">
            <w:pPr>
              <w:pStyle w:val="a9"/>
              <w:spacing w:line="276" w:lineRule="auto"/>
              <w:rPr>
                <w:sz w:val="18"/>
                <w:szCs w:val="18"/>
              </w:rPr>
            </w:pPr>
            <w:r w:rsidRPr="001D0846">
              <w:rPr>
                <w:sz w:val="18"/>
                <w:szCs w:val="18"/>
              </w:rPr>
              <w:t>40,5</w:t>
            </w:r>
          </w:p>
        </w:tc>
        <w:tc>
          <w:tcPr>
            <w:tcW w:w="883" w:type="dxa"/>
          </w:tcPr>
          <w:p w:rsidR="00714F5D" w:rsidRPr="001D0846" w:rsidRDefault="00714F5D" w:rsidP="008C5C6A">
            <w:pPr>
              <w:pStyle w:val="a9"/>
              <w:spacing w:line="276" w:lineRule="auto"/>
              <w:rPr>
                <w:sz w:val="18"/>
                <w:szCs w:val="18"/>
              </w:rPr>
            </w:pPr>
            <w:r w:rsidRPr="001D0846">
              <w:rPr>
                <w:sz w:val="18"/>
                <w:szCs w:val="18"/>
              </w:rPr>
              <w:t>6,3</w:t>
            </w:r>
          </w:p>
        </w:tc>
        <w:tc>
          <w:tcPr>
            <w:tcW w:w="671" w:type="dxa"/>
          </w:tcPr>
          <w:p w:rsidR="00714F5D" w:rsidRPr="001D0846" w:rsidRDefault="00714F5D" w:rsidP="008C5C6A">
            <w:pPr>
              <w:pStyle w:val="a9"/>
              <w:spacing w:line="276" w:lineRule="auto"/>
              <w:rPr>
                <w:sz w:val="18"/>
                <w:szCs w:val="18"/>
              </w:rPr>
            </w:pPr>
            <w:r w:rsidRPr="001D0846">
              <w:rPr>
                <w:sz w:val="18"/>
                <w:szCs w:val="18"/>
              </w:rPr>
              <w:t>1,9</w:t>
            </w:r>
          </w:p>
        </w:tc>
        <w:tc>
          <w:tcPr>
            <w:tcW w:w="883" w:type="dxa"/>
          </w:tcPr>
          <w:p w:rsidR="00714F5D" w:rsidRPr="001D0846" w:rsidRDefault="00714F5D" w:rsidP="008C5C6A">
            <w:pPr>
              <w:pStyle w:val="a9"/>
              <w:spacing w:line="276" w:lineRule="auto"/>
              <w:rPr>
                <w:sz w:val="18"/>
                <w:szCs w:val="18"/>
              </w:rPr>
            </w:pPr>
            <w:r w:rsidRPr="001D0846">
              <w:rPr>
                <w:sz w:val="18"/>
                <w:szCs w:val="18"/>
              </w:rPr>
              <w:t>-</w:t>
            </w:r>
          </w:p>
        </w:tc>
        <w:tc>
          <w:tcPr>
            <w:tcW w:w="671" w:type="dxa"/>
          </w:tcPr>
          <w:p w:rsidR="00714F5D" w:rsidRPr="001D0846" w:rsidRDefault="00714F5D" w:rsidP="008C5C6A">
            <w:pPr>
              <w:pStyle w:val="a9"/>
              <w:spacing w:line="276" w:lineRule="auto"/>
              <w:rPr>
                <w:sz w:val="18"/>
                <w:szCs w:val="18"/>
              </w:rPr>
            </w:pPr>
            <w:r w:rsidRPr="001D0846">
              <w:rPr>
                <w:sz w:val="18"/>
                <w:szCs w:val="18"/>
              </w:rPr>
              <w:t>33,0</w:t>
            </w:r>
          </w:p>
        </w:tc>
        <w:tc>
          <w:tcPr>
            <w:tcW w:w="405" w:type="dxa"/>
          </w:tcPr>
          <w:p w:rsidR="00714F5D" w:rsidRPr="001D0846" w:rsidRDefault="00714F5D" w:rsidP="008C5C6A">
            <w:pPr>
              <w:pStyle w:val="a9"/>
              <w:spacing w:line="276" w:lineRule="auto"/>
              <w:rPr>
                <w:sz w:val="18"/>
                <w:szCs w:val="18"/>
              </w:rPr>
            </w:pPr>
            <w:r w:rsidRPr="001D0846">
              <w:rPr>
                <w:sz w:val="18"/>
                <w:szCs w:val="18"/>
              </w:rPr>
              <w:t>11,6</w:t>
            </w:r>
          </w:p>
        </w:tc>
      </w:tr>
      <w:tr w:rsidR="00714F5D" w:rsidRPr="001D0846" w:rsidTr="008C5C6A">
        <w:tc>
          <w:tcPr>
            <w:tcW w:w="723" w:type="dxa"/>
          </w:tcPr>
          <w:p w:rsidR="00714F5D" w:rsidRPr="001D0846" w:rsidRDefault="00714F5D" w:rsidP="008C5C6A">
            <w:pPr>
              <w:pStyle w:val="a9"/>
              <w:spacing w:line="276" w:lineRule="auto"/>
              <w:rPr>
                <w:sz w:val="18"/>
                <w:szCs w:val="18"/>
              </w:rPr>
            </w:pPr>
            <w:r w:rsidRPr="001D0846">
              <w:rPr>
                <w:sz w:val="18"/>
                <w:szCs w:val="18"/>
              </w:rPr>
              <w:t>2016</w:t>
            </w:r>
          </w:p>
        </w:tc>
        <w:tc>
          <w:tcPr>
            <w:tcW w:w="672" w:type="dxa"/>
          </w:tcPr>
          <w:p w:rsidR="00714F5D" w:rsidRPr="001D0846" w:rsidRDefault="00714F5D" w:rsidP="008C5C6A">
            <w:pPr>
              <w:pStyle w:val="a9"/>
              <w:spacing w:line="276" w:lineRule="auto"/>
              <w:rPr>
                <w:sz w:val="18"/>
                <w:szCs w:val="18"/>
              </w:rPr>
            </w:pPr>
            <w:r w:rsidRPr="001D0846">
              <w:rPr>
                <w:sz w:val="18"/>
                <w:szCs w:val="18"/>
              </w:rPr>
              <w:t>319,5</w:t>
            </w:r>
          </w:p>
        </w:tc>
        <w:tc>
          <w:tcPr>
            <w:tcW w:w="883" w:type="dxa"/>
          </w:tcPr>
          <w:p w:rsidR="00714F5D" w:rsidRPr="001D0846" w:rsidRDefault="00714F5D" w:rsidP="008C5C6A">
            <w:pPr>
              <w:pStyle w:val="a9"/>
              <w:spacing w:line="276" w:lineRule="auto"/>
              <w:rPr>
                <w:sz w:val="18"/>
                <w:szCs w:val="18"/>
              </w:rPr>
            </w:pPr>
            <w:r w:rsidRPr="001D0846">
              <w:rPr>
                <w:sz w:val="18"/>
                <w:szCs w:val="18"/>
              </w:rPr>
              <w:t>50,4</w:t>
            </w:r>
          </w:p>
        </w:tc>
        <w:tc>
          <w:tcPr>
            <w:tcW w:w="672" w:type="dxa"/>
          </w:tcPr>
          <w:p w:rsidR="00714F5D" w:rsidRPr="001D0846" w:rsidRDefault="00714F5D" w:rsidP="008C5C6A">
            <w:pPr>
              <w:pStyle w:val="a9"/>
              <w:spacing w:line="276" w:lineRule="auto"/>
              <w:rPr>
                <w:sz w:val="18"/>
                <w:szCs w:val="18"/>
              </w:rPr>
            </w:pPr>
            <w:r w:rsidRPr="001D0846">
              <w:rPr>
                <w:sz w:val="18"/>
                <w:szCs w:val="18"/>
              </w:rPr>
              <w:t>236,7</w:t>
            </w:r>
          </w:p>
        </w:tc>
        <w:tc>
          <w:tcPr>
            <w:tcW w:w="883" w:type="dxa"/>
          </w:tcPr>
          <w:p w:rsidR="00714F5D" w:rsidRPr="001D0846" w:rsidRDefault="00714F5D" w:rsidP="008C5C6A">
            <w:pPr>
              <w:pStyle w:val="a9"/>
              <w:spacing w:line="276" w:lineRule="auto"/>
              <w:rPr>
                <w:sz w:val="18"/>
                <w:szCs w:val="18"/>
              </w:rPr>
            </w:pPr>
            <w:r w:rsidRPr="001D0846">
              <w:rPr>
                <w:sz w:val="18"/>
                <w:szCs w:val="18"/>
              </w:rPr>
              <w:t>41,0</w:t>
            </w:r>
          </w:p>
        </w:tc>
        <w:tc>
          <w:tcPr>
            <w:tcW w:w="671" w:type="dxa"/>
          </w:tcPr>
          <w:p w:rsidR="00714F5D" w:rsidRPr="001D0846" w:rsidRDefault="00714F5D" w:rsidP="008C5C6A">
            <w:pPr>
              <w:pStyle w:val="a9"/>
              <w:spacing w:line="276" w:lineRule="auto"/>
              <w:rPr>
                <w:sz w:val="18"/>
                <w:szCs w:val="18"/>
              </w:rPr>
            </w:pPr>
            <w:r w:rsidRPr="001D0846">
              <w:rPr>
                <w:sz w:val="18"/>
                <w:szCs w:val="18"/>
              </w:rPr>
              <w:t>12,2</w:t>
            </w:r>
          </w:p>
        </w:tc>
        <w:tc>
          <w:tcPr>
            <w:tcW w:w="883" w:type="dxa"/>
          </w:tcPr>
          <w:p w:rsidR="00714F5D" w:rsidRPr="001D0846" w:rsidRDefault="00714F5D" w:rsidP="008C5C6A">
            <w:pPr>
              <w:pStyle w:val="a9"/>
              <w:spacing w:line="276" w:lineRule="auto"/>
              <w:rPr>
                <w:sz w:val="18"/>
                <w:szCs w:val="18"/>
              </w:rPr>
            </w:pPr>
            <w:r w:rsidRPr="001D0846">
              <w:rPr>
                <w:sz w:val="18"/>
                <w:szCs w:val="18"/>
              </w:rPr>
              <w:t>1,2</w:t>
            </w:r>
          </w:p>
        </w:tc>
        <w:tc>
          <w:tcPr>
            <w:tcW w:w="671" w:type="dxa"/>
          </w:tcPr>
          <w:p w:rsidR="00714F5D" w:rsidRPr="001D0846" w:rsidRDefault="00714F5D" w:rsidP="008C5C6A">
            <w:pPr>
              <w:pStyle w:val="a9"/>
              <w:spacing w:line="276" w:lineRule="auto"/>
              <w:rPr>
                <w:sz w:val="18"/>
                <w:szCs w:val="18"/>
              </w:rPr>
            </w:pPr>
            <w:r w:rsidRPr="001D0846">
              <w:rPr>
                <w:sz w:val="18"/>
                <w:szCs w:val="18"/>
              </w:rPr>
              <w:t>41,4</w:t>
            </w:r>
          </w:p>
        </w:tc>
        <w:tc>
          <w:tcPr>
            <w:tcW w:w="883" w:type="dxa"/>
          </w:tcPr>
          <w:p w:rsidR="00714F5D" w:rsidRPr="001D0846" w:rsidRDefault="00714F5D" w:rsidP="008C5C6A">
            <w:pPr>
              <w:pStyle w:val="a9"/>
              <w:spacing w:line="276" w:lineRule="auto"/>
              <w:rPr>
                <w:sz w:val="18"/>
                <w:szCs w:val="18"/>
              </w:rPr>
            </w:pPr>
            <w:r w:rsidRPr="001D0846">
              <w:rPr>
                <w:sz w:val="18"/>
                <w:szCs w:val="18"/>
              </w:rPr>
              <w:t>6,8</w:t>
            </w:r>
          </w:p>
        </w:tc>
        <w:tc>
          <w:tcPr>
            <w:tcW w:w="671" w:type="dxa"/>
          </w:tcPr>
          <w:p w:rsidR="00714F5D" w:rsidRPr="001D0846" w:rsidRDefault="00714F5D" w:rsidP="008C5C6A">
            <w:pPr>
              <w:pStyle w:val="a9"/>
              <w:spacing w:line="276" w:lineRule="auto"/>
              <w:rPr>
                <w:sz w:val="18"/>
                <w:szCs w:val="18"/>
              </w:rPr>
            </w:pPr>
            <w:r w:rsidRPr="001D0846">
              <w:rPr>
                <w:sz w:val="18"/>
                <w:szCs w:val="18"/>
              </w:rPr>
              <w:t>2,0</w:t>
            </w:r>
          </w:p>
        </w:tc>
        <w:tc>
          <w:tcPr>
            <w:tcW w:w="883" w:type="dxa"/>
          </w:tcPr>
          <w:p w:rsidR="00714F5D" w:rsidRPr="001D0846" w:rsidRDefault="00714F5D" w:rsidP="008C5C6A">
            <w:pPr>
              <w:pStyle w:val="a9"/>
              <w:spacing w:line="276" w:lineRule="auto"/>
              <w:rPr>
                <w:sz w:val="18"/>
                <w:szCs w:val="18"/>
              </w:rPr>
            </w:pPr>
            <w:r w:rsidRPr="001D0846">
              <w:rPr>
                <w:sz w:val="18"/>
                <w:szCs w:val="18"/>
              </w:rPr>
              <w:t>0,3</w:t>
            </w:r>
          </w:p>
        </w:tc>
        <w:tc>
          <w:tcPr>
            <w:tcW w:w="671" w:type="dxa"/>
          </w:tcPr>
          <w:p w:rsidR="00714F5D" w:rsidRPr="001D0846" w:rsidRDefault="00714F5D" w:rsidP="008C5C6A">
            <w:pPr>
              <w:pStyle w:val="a9"/>
              <w:spacing w:line="276" w:lineRule="auto"/>
              <w:rPr>
                <w:sz w:val="18"/>
                <w:szCs w:val="18"/>
              </w:rPr>
            </w:pPr>
            <w:r w:rsidRPr="001D0846">
              <w:rPr>
                <w:sz w:val="18"/>
                <w:szCs w:val="18"/>
              </w:rPr>
              <w:t>27,2</w:t>
            </w:r>
          </w:p>
        </w:tc>
        <w:tc>
          <w:tcPr>
            <w:tcW w:w="405" w:type="dxa"/>
          </w:tcPr>
          <w:p w:rsidR="00714F5D" w:rsidRPr="001D0846" w:rsidRDefault="00714F5D" w:rsidP="008C5C6A">
            <w:pPr>
              <w:pStyle w:val="a9"/>
              <w:spacing w:line="276" w:lineRule="auto"/>
              <w:rPr>
                <w:sz w:val="18"/>
                <w:szCs w:val="18"/>
              </w:rPr>
            </w:pPr>
            <w:r w:rsidRPr="001D0846">
              <w:rPr>
                <w:sz w:val="18"/>
                <w:szCs w:val="18"/>
              </w:rPr>
              <w:t>1,0</w:t>
            </w:r>
          </w:p>
        </w:tc>
      </w:tr>
      <w:tr w:rsidR="00714F5D" w:rsidRPr="001D0846" w:rsidTr="008C5C6A">
        <w:tc>
          <w:tcPr>
            <w:tcW w:w="723" w:type="dxa"/>
          </w:tcPr>
          <w:p w:rsidR="00714F5D" w:rsidRPr="001D0846" w:rsidRDefault="00714F5D" w:rsidP="008C5C6A">
            <w:pPr>
              <w:pStyle w:val="a9"/>
              <w:spacing w:line="276" w:lineRule="auto"/>
              <w:rPr>
                <w:sz w:val="18"/>
                <w:szCs w:val="18"/>
              </w:rPr>
            </w:pPr>
            <w:r w:rsidRPr="001D0846">
              <w:rPr>
                <w:sz w:val="18"/>
                <w:szCs w:val="18"/>
              </w:rPr>
              <w:t>2017</w:t>
            </w:r>
          </w:p>
        </w:tc>
        <w:tc>
          <w:tcPr>
            <w:tcW w:w="672" w:type="dxa"/>
          </w:tcPr>
          <w:p w:rsidR="00714F5D" w:rsidRPr="001D0846" w:rsidRDefault="00714F5D" w:rsidP="008C5C6A">
            <w:pPr>
              <w:pStyle w:val="a9"/>
              <w:spacing w:line="276" w:lineRule="auto"/>
              <w:rPr>
                <w:sz w:val="18"/>
                <w:szCs w:val="18"/>
              </w:rPr>
            </w:pPr>
            <w:r w:rsidRPr="001D0846">
              <w:rPr>
                <w:sz w:val="18"/>
                <w:szCs w:val="18"/>
              </w:rPr>
              <w:t>385,8</w:t>
            </w:r>
          </w:p>
        </w:tc>
        <w:tc>
          <w:tcPr>
            <w:tcW w:w="883" w:type="dxa"/>
          </w:tcPr>
          <w:p w:rsidR="00714F5D" w:rsidRPr="001D0846" w:rsidRDefault="00714F5D" w:rsidP="008C5C6A">
            <w:pPr>
              <w:pStyle w:val="a9"/>
              <w:spacing w:line="276" w:lineRule="auto"/>
              <w:rPr>
                <w:sz w:val="18"/>
                <w:szCs w:val="18"/>
              </w:rPr>
            </w:pPr>
            <w:r w:rsidRPr="001D0846">
              <w:rPr>
                <w:sz w:val="18"/>
                <w:szCs w:val="18"/>
              </w:rPr>
              <w:t>69,6</w:t>
            </w:r>
          </w:p>
        </w:tc>
        <w:tc>
          <w:tcPr>
            <w:tcW w:w="672" w:type="dxa"/>
          </w:tcPr>
          <w:p w:rsidR="00714F5D" w:rsidRPr="001D0846" w:rsidRDefault="00714F5D" w:rsidP="008C5C6A">
            <w:pPr>
              <w:pStyle w:val="a9"/>
              <w:spacing w:line="276" w:lineRule="auto"/>
              <w:rPr>
                <w:sz w:val="18"/>
                <w:szCs w:val="18"/>
              </w:rPr>
            </w:pPr>
            <w:r w:rsidRPr="001D0846">
              <w:rPr>
                <w:sz w:val="18"/>
                <w:szCs w:val="18"/>
              </w:rPr>
              <w:t>273,2</w:t>
            </w:r>
          </w:p>
        </w:tc>
        <w:tc>
          <w:tcPr>
            <w:tcW w:w="883" w:type="dxa"/>
          </w:tcPr>
          <w:p w:rsidR="00714F5D" w:rsidRPr="001D0846" w:rsidRDefault="00714F5D" w:rsidP="008C5C6A">
            <w:pPr>
              <w:pStyle w:val="a9"/>
              <w:spacing w:line="276" w:lineRule="auto"/>
              <w:rPr>
                <w:sz w:val="18"/>
                <w:szCs w:val="18"/>
              </w:rPr>
            </w:pPr>
            <w:r w:rsidRPr="001D0846">
              <w:rPr>
                <w:sz w:val="18"/>
                <w:szCs w:val="18"/>
              </w:rPr>
              <w:t>55,9</w:t>
            </w:r>
          </w:p>
        </w:tc>
        <w:tc>
          <w:tcPr>
            <w:tcW w:w="671" w:type="dxa"/>
          </w:tcPr>
          <w:p w:rsidR="00714F5D" w:rsidRPr="001D0846" w:rsidRDefault="00714F5D" w:rsidP="008C5C6A">
            <w:pPr>
              <w:pStyle w:val="a9"/>
              <w:spacing w:line="276" w:lineRule="auto"/>
              <w:rPr>
                <w:sz w:val="18"/>
                <w:szCs w:val="18"/>
              </w:rPr>
            </w:pPr>
            <w:r w:rsidRPr="001D0846">
              <w:rPr>
                <w:sz w:val="18"/>
                <w:szCs w:val="18"/>
              </w:rPr>
              <w:t>12,4</w:t>
            </w:r>
          </w:p>
        </w:tc>
        <w:tc>
          <w:tcPr>
            <w:tcW w:w="883" w:type="dxa"/>
          </w:tcPr>
          <w:p w:rsidR="00714F5D" w:rsidRPr="001D0846" w:rsidRDefault="00714F5D" w:rsidP="008C5C6A">
            <w:pPr>
              <w:pStyle w:val="a9"/>
              <w:spacing w:line="276" w:lineRule="auto"/>
              <w:rPr>
                <w:sz w:val="18"/>
                <w:szCs w:val="18"/>
              </w:rPr>
            </w:pPr>
            <w:r w:rsidRPr="001D0846">
              <w:rPr>
                <w:sz w:val="18"/>
                <w:szCs w:val="18"/>
              </w:rPr>
              <w:t>1,5</w:t>
            </w:r>
          </w:p>
        </w:tc>
        <w:tc>
          <w:tcPr>
            <w:tcW w:w="671" w:type="dxa"/>
          </w:tcPr>
          <w:p w:rsidR="00714F5D" w:rsidRPr="001D0846" w:rsidRDefault="00714F5D" w:rsidP="008C5C6A">
            <w:pPr>
              <w:pStyle w:val="a9"/>
              <w:spacing w:line="276" w:lineRule="auto"/>
              <w:rPr>
                <w:sz w:val="18"/>
                <w:szCs w:val="18"/>
              </w:rPr>
            </w:pPr>
            <w:r w:rsidRPr="001D0846">
              <w:rPr>
                <w:sz w:val="18"/>
                <w:szCs w:val="18"/>
              </w:rPr>
              <w:t>48,8</w:t>
            </w:r>
          </w:p>
        </w:tc>
        <w:tc>
          <w:tcPr>
            <w:tcW w:w="883" w:type="dxa"/>
          </w:tcPr>
          <w:p w:rsidR="00714F5D" w:rsidRPr="001D0846" w:rsidRDefault="00714F5D" w:rsidP="008C5C6A">
            <w:pPr>
              <w:pStyle w:val="a9"/>
              <w:spacing w:line="276" w:lineRule="auto"/>
              <w:rPr>
                <w:sz w:val="18"/>
                <w:szCs w:val="18"/>
              </w:rPr>
            </w:pPr>
            <w:r w:rsidRPr="001D0846">
              <w:rPr>
                <w:sz w:val="18"/>
                <w:szCs w:val="18"/>
              </w:rPr>
              <w:t>9,2</w:t>
            </w:r>
          </w:p>
        </w:tc>
        <w:tc>
          <w:tcPr>
            <w:tcW w:w="671" w:type="dxa"/>
          </w:tcPr>
          <w:p w:rsidR="00714F5D" w:rsidRPr="001D0846" w:rsidRDefault="00714F5D" w:rsidP="008C5C6A">
            <w:pPr>
              <w:pStyle w:val="a9"/>
              <w:spacing w:line="276" w:lineRule="auto"/>
              <w:rPr>
                <w:sz w:val="18"/>
                <w:szCs w:val="18"/>
              </w:rPr>
            </w:pPr>
            <w:r w:rsidRPr="001D0846">
              <w:rPr>
                <w:sz w:val="18"/>
                <w:szCs w:val="18"/>
              </w:rPr>
              <w:t>2,4</w:t>
            </w:r>
          </w:p>
        </w:tc>
        <w:tc>
          <w:tcPr>
            <w:tcW w:w="883" w:type="dxa"/>
          </w:tcPr>
          <w:p w:rsidR="00714F5D" w:rsidRPr="001D0846" w:rsidRDefault="00714F5D" w:rsidP="008C5C6A">
            <w:pPr>
              <w:pStyle w:val="a9"/>
              <w:spacing w:line="276" w:lineRule="auto"/>
              <w:rPr>
                <w:sz w:val="18"/>
                <w:szCs w:val="18"/>
              </w:rPr>
            </w:pPr>
            <w:r w:rsidRPr="001D0846">
              <w:rPr>
                <w:sz w:val="18"/>
                <w:szCs w:val="18"/>
              </w:rPr>
              <w:t>0,4</w:t>
            </w:r>
          </w:p>
        </w:tc>
        <w:tc>
          <w:tcPr>
            <w:tcW w:w="671" w:type="dxa"/>
          </w:tcPr>
          <w:p w:rsidR="00714F5D" w:rsidRPr="001D0846" w:rsidRDefault="00714F5D" w:rsidP="008C5C6A">
            <w:pPr>
              <w:pStyle w:val="a9"/>
              <w:spacing w:line="276" w:lineRule="auto"/>
              <w:rPr>
                <w:sz w:val="18"/>
                <w:szCs w:val="18"/>
              </w:rPr>
            </w:pPr>
            <w:r w:rsidRPr="001D0846">
              <w:rPr>
                <w:sz w:val="18"/>
                <w:szCs w:val="18"/>
              </w:rPr>
              <w:t>49,0</w:t>
            </w:r>
          </w:p>
        </w:tc>
        <w:tc>
          <w:tcPr>
            <w:tcW w:w="405" w:type="dxa"/>
          </w:tcPr>
          <w:p w:rsidR="00714F5D" w:rsidRPr="001D0846" w:rsidRDefault="00714F5D" w:rsidP="008C5C6A">
            <w:pPr>
              <w:pStyle w:val="a9"/>
              <w:spacing w:line="276" w:lineRule="auto"/>
              <w:rPr>
                <w:sz w:val="18"/>
                <w:szCs w:val="18"/>
              </w:rPr>
            </w:pPr>
            <w:r w:rsidRPr="001D0846">
              <w:rPr>
                <w:sz w:val="18"/>
                <w:szCs w:val="18"/>
              </w:rPr>
              <w:t>2,6</w:t>
            </w:r>
          </w:p>
        </w:tc>
      </w:tr>
    </w:tbl>
    <w:p w:rsidR="00714F5D" w:rsidRPr="001D0846"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76" w:lineRule="auto"/>
        <w:ind w:firstLine="567"/>
        <w:jc w:val="right"/>
        <w:rPr>
          <w:rFonts w:ascii="Times New Roman" w:hAnsi="Times New Roman" w:cs="Times New Roman"/>
          <w:b/>
          <w:i/>
          <w:sz w:val="28"/>
          <w:szCs w:val="28"/>
        </w:rPr>
      </w:pPr>
    </w:p>
    <w:p w:rsidR="00714F5D" w:rsidRPr="001D0846" w:rsidRDefault="00714F5D" w:rsidP="00714F5D">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lastRenderedPageBreak/>
        <w:t>Tabelul nr.19</w:t>
      </w:r>
    </w:p>
    <w:p w:rsidR="00714F5D" w:rsidRPr="001D0846" w:rsidRDefault="00714F5D" w:rsidP="00714F5D">
      <w:pPr>
        <w:spacing w:after="0" w:line="240" w:lineRule="auto"/>
        <w:ind w:firstLine="567"/>
        <w:jc w:val="center"/>
        <w:rPr>
          <w:rFonts w:ascii="Times New Roman" w:hAnsi="Times New Roman" w:cs="Times New Roman"/>
          <w:b/>
          <w:i/>
          <w:sz w:val="28"/>
          <w:szCs w:val="28"/>
        </w:rPr>
      </w:pPr>
      <w:r w:rsidRPr="001D0846">
        <w:rPr>
          <w:rFonts w:ascii="Times New Roman" w:hAnsi="Times New Roman" w:cs="Times New Roman"/>
          <w:i/>
          <w:sz w:val="28"/>
          <w:szCs w:val="28"/>
        </w:rPr>
        <w:t>Informația privind evoluția restanțelor istorice la BS</w:t>
      </w:r>
      <w:r>
        <w:rPr>
          <w:rFonts w:ascii="Times New Roman" w:hAnsi="Times New Roman" w:cs="Times New Roman"/>
          <w:i/>
          <w:sz w:val="28"/>
          <w:szCs w:val="28"/>
        </w:rPr>
        <w:t>,</w:t>
      </w:r>
      <w:r w:rsidRPr="001D0846">
        <w:rPr>
          <w:rFonts w:ascii="Times New Roman" w:hAnsi="Times New Roman" w:cs="Times New Roman"/>
          <w:i/>
          <w:sz w:val="28"/>
          <w:szCs w:val="28"/>
        </w:rPr>
        <w:t xml:space="preserve"> administrate de SV</w:t>
      </w:r>
      <w:r>
        <w:rPr>
          <w:rFonts w:ascii="Times New Roman" w:hAnsi="Times New Roman" w:cs="Times New Roman"/>
          <w:i/>
          <w:sz w:val="28"/>
          <w:szCs w:val="28"/>
        </w:rPr>
        <w:t>,</w:t>
      </w:r>
      <w:r w:rsidRPr="001D0846">
        <w:rPr>
          <w:rFonts w:ascii="Times New Roman" w:hAnsi="Times New Roman" w:cs="Times New Roman"/>
          <w:i/>
          <w:sz w:val="28"/>
          <w:szCs w:val="28"/>
        </w:rPr>
        <w:t xml:space="preserve"> și gradul de recuperare a acestora</w:t>
      </w:r>
    </w:p>
    <w:p w:rsidR="00714F5D" w:rsidRPr="00EE1A86" w:rsidRDefault="00714F5D" w:rsidP="00714F5D">
      <w:pPr>
        <w:spacing w:after="0" w:line="240" w:lineRule="auto"/>
        <w:ind w:right="-75" w:firstLine="567"/>
        <w:jc w:val="right"/>
        <w:rPr>
          <w:rFonts w:ascii="Times New Roman" w:hAnsi="Times New Roman" w:cs="Times New Roman"/>
          <w:i/>
          <w:sz w:val="28"/>
          <w:szCs w:val="28"/>
        </w:rPr>
      </w:pPr>
      <w:r w:rsidRPr="00EE1A86">
        <w:rPr>
          <w:rFonts w:ascii="Times New Roman" w:hAnsi="Times New Roman" w:cs="Times New Roman"/>
          <w:i/>
          <w:sz w:val="28"/>
          <w:szCs w:val="28"/>
        </w:rPr>
        <w:t>(mii lei)</w:t>
      </w:r>
    </w:p>
    <w:tbl>
      <w:tblPr>
        <w:tblStyle w:val="a3"/>
        <w:tblW w:w="9445" w:type="dxa"/>
        <w:tblLayout w:type="fixed"/>
        <w:tblLook w:val="04A0" w:firstRow="1" w:lastRow="0" w:firstColumn="1" w:lastColumn="0" w:noHBand="0" w:noVBand="1"/>
      </w:tblPr>
      <w:tblGrid>
        <w:gridCol w:w="895"/>
        <w:gridCol w:w="1350"/>
        <w:gridCol w:w="35"/>
        <w:gridCol w:w="1080"/>
        <w:gridCol w:w="676"/>
        <w:gridCol w:w="378"/>
        <w:gridCol w:w="1141"/>
        <w:gridCol w:w="172"/>
        <w:gridCol w:w="970"/>
        <w:gridCol w:w="794"/>
        <w:gridCol w:w="323"/>
        <w:gridCol w:w="1631"/>
      </w:tblGrid>
      <w:tr w:rsidR="00714F5D" w:rsidRPr="001D0846" w:rsidTr="008C5C6A">
        <w:trPr>
          <w:trHeight w:val="58"/>
        </w:trPr>
        <w:tc>
          <w:tcPr>
            <w:tcW w:w="895" w:type="dxa"/>
            <w:vMerge w:val="restart"/>
          </w:tcPr>
          <w:p w:rsidR="00714F5D" w:rsidRPr="001D0846" w:rsidRDefault="00714F5D" w:rsidP="008C5C6A">
            <w:pPr>
              <w:spacing w:line="276" w:lineRule="auto"/>
              <w:jc w:val="center"/>
              <w:rPr>
                <w:rFonts w:ascii="Times New Roman" w:hAnsi="Times New Roman" w:cs="Times New Roman"/>
                <w:b/>
                <w:sz w:val="24"/>
                <w:szCs w:val="24"/>
              </w:rPr>
            </w:pPr>
          </w:p>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Anul</w:t>
            </w:r>
          </w:p>
        </w:tc>
        <w:tc>
          <w:tcPr>
            <w:tcW w:w="1385" w:type="dxa"/>
            <w:gridSpan w:val="2"/>
            <w:vMerge w:val="restart"/>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 xml:space="preserve">Restanța creată la </w:t>
            </w:r>
          </w:p>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31 decembrie</w:t>
            </w:r>
          </w:p>
        </w:tc>
        <w:tc>
          <w:tcPr>
            <w:tcW w:w="5534" w:type="dxa"/>
            <w:gridSpan w:val="8"/>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Restanța recuperată pe ani</w:t>
            </w:r>
          </w:p>
        </w:tc>
        <w:tc>
          <w:tcPr>
            <w:tcW w:w="1631" w:type="dxa"/>
            <w:vMerge w:val="restart"/>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Sold la 31.12.2017</w:t>
            </w:r>
          </w:p>
        </w:tc>
      </w:tr>
      <w:tr w:rsidR="00714F5D" w:rsidRPr="001D0846" w:rsidTr="008C5C6A">
        <w:trPr>
          <w:trHeight w:val="341"/>
        </w:trPr>
        <w:tc>
          <w:tcPr>
            <w:tcW w:w="895" w:type="dxa"/>
            <w:vMerge/>
          </w:tcPr>
          <w:p w:rsidR="00714F5D" w:rsidRPr="001D0846" w:rsidRDefault="00714F5D" w:rsidP="008C5C6A">
            <w:pPr>
              <w:spacing w:line="276" w:lineRule="auto"/>
              <w:jc w:val="center"/>
              <w:rPr>
                <w:rFonts w:ascii="Times New Roman" w:hAnsi="Times New Roman" w:cs="Times New Roman"/>
                <w:sz w:val="24"/>
                <w:szCs w:val="24"/>
              </w:rPr>
            </w:pPr>
          </w:p>
        </w:tc>
        <w:tc>
          <w:tcPr>
            <w:tcW w:w="1385" w:type="dxa"/>
            <w:gridSpan w:val="2"/>
            <w:vMerge/>
          </w:tcPr>
          <w:p w:rsidR="00714F5D" w:rsidRPr="001D0846" w:rsidRDefault="00714F5D" w:rsidP="008C5C6A">
            <w:pPr>
              <w:spacing w:line="276" w:lineRule="auto"/>
              <w:jc w:val="center"/>
              <w:rPr>
                <w:rFonts w:ascii="Times New Roman" w:hAnsi="Times New Roman" w:cs="Times New Roman"/>
                <w:sz w:val="24"/>
                <w:szCs w:val="24"/>
              </w:rPr>
            </w:pPr>
          </w:p>
        </w:tc>
        <w:tc>
          <w:tcPr>
            <w:tcW w:w="1080"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2013</w:t>
            </w:r>
          </w:p>
        </w:tc>
        <w:tc>
          <w:tcPr>
            <w:tcW w:w="1054"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2014</w:t>
            </w:r>
          </w:p>
        </w:tc>
        <w:tc>
          <w:tcPr>
            <w:tcW w:w="1141"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2015</w:t>
            </w:r>
          </w:p>
        </w:tc>
        <w:tc>
          <w:tcPr>
            <w:tcW w:w="1142"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2016</w:t>
            </w:r>
          </w:p>
        </w:tc>
        <w:tc>
          <w:tcPr>
            <w:tcW w:w="1117"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2017</w:t>
            </w:r>
          </w:p>
        </w:tc>
        <w:tc>
          <w:tcPr>
            <w:tcW w:w="1631" w:type="dxa"/>
            <w:vMerge/>
          </w:tcPr>
          <w:p w:rsidR="00714F5D" w:rsidRPr="001D0846" w:rsidRDefault="00714F5D" w:rsidP="008C5C6A">
            <w:pPr>
              <w:spacing w:line="276" w:lineRule="auto"/>
              <w:rPr>
                <w:rFonts w:ascii="Times New Roman" w:hAnsi="Times New Roman" w:cs="Times New Roman"/>
                <w:sz w:val="24"/>
                <w:szCs w:val="24"/>
              </w:rPr>
            </w:pP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2012</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103366,3</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18515,1</w:t>
            </w: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6285,1</w:t>
            </w: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23329,3</w:t>
            </w: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3404,2</w:t>
            </w: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115,2</w:t>
            </w: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51717,4</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2013</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55653,3</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7930,1</w:t>
            </w: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8631,9</w:t>
            </w: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1429,8</w:t>
            </w: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523,4</w:t>
            </w: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37138,1</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2014</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36452,1</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1181,5</w:t>
            </w: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4369,7</w:t>
            </w: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734,0</w:t>
            </w: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30166,9</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2015</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24551,8</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1961,7</w:t>
            </w: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955,7</w:t>
            </w: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21634,4</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2016</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35925,8</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x</w:t>
            </w: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3956,0</w:t>
            </w: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31969,8</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2017</w:t>
            </w:r>
          </w:p>
        </w:tc>
        <w:tc>
          <w:tcPr>
            <w:tcW w:w="1385" w:type="dxa"/>
            <w:gridSpan w:val="2"/>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57829,6</w:t>
            </w:r>
          </w:p>
        </w:tc>
        <w:tc>
          <w:tcPr>
            <w:tcW w:w="1080" w:type="dxa"/>
          </w:tcPr>
          <w:p w:rsidR="00714F5D" w:rsidRPr="001D0846" w:rsidRDefault="00714F5D" w:rsidP="008C5C6A">
            <w:pPr>
              <w:spacing w:line="276" w:lineRule="auto"/>
              <w:jc w:val="center"/>
              <w:rPr>
                <w:rFonts w:ascii="Times New Roman" w:hAnsi="Times New Roman" w:cs="Times New Roman"/>
                <w:sz w:val="24"/>
                <w:szCs w:val="24"/>
              </w:rPr>
            </w:pPr>
          </w:p>
        </w:tc>
        <w:tc>
          <w:tcPr>
            <w:tcW w:w="1054" w:type="dxa"/>
            <w:gridSpan w:val="2"/>
          </w:tcPr>
          <w:p w:rsidR="00714F5D" w:rsidRPr="001D0846" w:rsidRDefault="00714F5D" w:rsidP="008C5C6A">
            <w:pPr>
              <w:spacing w:line="276" w:lineRule="auto"/>
              <w:jc w:val="center"/>
              <w:rPr>
                <w:rFonts w:ascii="Times New Roman" w:hAnsi="Times New Roman" w:cs="Times New Roman"/>
                <w:sz w:val="24"/>
                <w:szCs w:val="24"/>
              </w:rPr>
            </w:pPr>
          </w:p>
        </w:tc>
        <w:tc>
          <w:tcPr>
            <w:tcW w:w="1141" w:type="dxa"/>
          </w:tcPr>
          <w:p w:rsidR="00714F5D" w:rsidRPr="001D0846" w:rsidRDefault="00714F5D" w:rsidP="008C5C6A">
            <w:pPr>
              <w:spacing w:line="276" w:lineRule="auto"/>
              <w:jc w:val="center"/>
              <w:rPr>
                <w:rFonts w:ascii="Times New Roman" w:hAnsi="Times New Roman" w:cs="Times New Roman"/>
                <w:sz w:val="24"/>
                <w:szCs w:val="24"/>
              </w:rPr>
            </w:pPr>
          </w:p>
        </w:tc>
        <w:tc>
          <w:tcPr>
            <w:tcW w:w="1142" w:type="dxa"/>
            <w:gridSpan w:val="2"/>
          </w:tcPr>
          <w:p w:rsidR="00714F5D" w:rsidRPr="001D0846" w:rsidRDefault="00714F5D" w:rsidP="008C5C6A">
            <w:pPr>
              <w:spacing w:line="276" w:lineRule="auto"/>
              <w:jc w:val="center"/>
              <w:rPr>
                <w:rFonts w:ascii="Times New Roman" w:hAnsi="Times New Roman" w:cs="Times New Roman"/>
                <w:sz w:val="24"/>
                <w:szCs w:val="24"/>
              </w:rPr>
            </w:pPr>
          </w:p>
        </w:tc>
        <w:tc>
          <w:tcPr>
            <w:tcW w:w="1117" w:type="dxa"/>
            <w:gridSpan w:val="2"/>
          </w:tcPr>
          <w:p w:rsidR="00714F5D" w:rsidRPr="001D0846" w:rsidRDefault="00714F5D" w:rsidP="008C5C6A">
            <w:pPr>
              <w:spacing w:line="276" w:lineRule="auto"/>
              <w:jc w:val="center"/>
              <w:rPr>
                <w:rFonts w:ascii="Times New Roman" w:hAnsi="Times New Roman" w:cs="Times New Roman"/>
                <w:sz w:val="24"/>
                <w:szCs w:val="24"/>
              </w:rPr>
            </w:pPr>
          </w:p>
        </w:tc>
        <w:tc>
          <w:tcPr>
            <w:tcW w:w="1631" w:type="dxa"/>
          </w:tcPr>
          <w:p w:rsidR="00714F5D" w:rsidRPr="001D0846" w:rsidRDefault="00714F5D" w:rsidP="008C5C6A">
            <w:pPr>
              <w:spacing w:line="276" w:lineRule="auto"/>
              <w:jc w:val="center"/>
              <w:rPr>
                <w:rFonts w:ascii="Times New Roman" w:hAnsi="Times New Roman" w:cs="Times New Roman"/>
                <w:sz w:val="24"/>
                <w:szCs w:val="24"/>
              </w:rPr>
            </w:pPr>
            <w:r w:rsidRPr="001D0846">
              <w:rPr>
                <w:rFonts w:ascii="Times New Roman" w:hAnsi="Times New Roman" w:cs="Times New Roman"/>
                <w:sz w:val="24"/>
                <w:szCs w:val="24"/>
              </w:rPr>
              <w:t>57829,6</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Total</w:t>
            </w:r>
          </w:p>
        </w:tc>
        <w:tc>
          <w:tcPr>
            <w:tcW w:w="1385"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313778,9</w:t>
            </w:r>
          </w:p>
        </w:tc>
        <w:tc>
          <w:tcPr>
            <w:tcW w:w="1080"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18515,1</w:t>
            </w:r>
          </w:p>
        </w:tc>
        <w:tc>
          <w:tcPr>
            <w:tcW w:w="1054"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14215,2</w:t>
            </w:r>
          </w:p>
        </w:tc>
        <w:tc>
          <w:tcPr>
            <w:tcW w:w="1141"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33142,7</w:t>
            </w:r>
          </w:p>
        </w:tc>
        <w:tc>
          <w:tcPr>
            <w:tcW w:w="1142"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11165,4</w:t>
            </w:r>
          </w:p>
        </w:tc>
        <w:tc>
          <w:tcPr>
            <w:tcW w:w="1117" w:type="dxa"/>
            <w:gridSpan w:val="2"/>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6284,3</w:t>
            </w:r>
          </w:p>
        </w:tc>
        <w:tc>
          <w:tcPr>
            <w:tcW w:w="1631" w:type="dxa"/>
          </w:tcPr>
          <w:p w:rsidR="00714F5D" w:rsidRPr="001D0846" w:rsidRDefault="00714F5D" w:rsidP="008C5C6A">
            <w:pPr>
              <w:spacing w:line="276" w:lineRule="auto"/>
              <w:jc w:val="center"/>
              <w:rPr>
                <w:rFonts w:ascii="Times New Roman" w:hAnsi="Times New Roman" w:cs="Times New Roman"/>
                <w:b/>
                <w:sz w:val="24"/>
                <w:szCs w:val="24"/>
              </w:rPr>
            </w:pPr>
            <w:r w:rsidRPr="001D0846">
              <w:rPr>
                <w:rFonts w:ascii="Times New Roman" w:hAnsi="Times New Roman" w:cs="Times New Roman"/>
                <w:b/>
                <w:sz w:val="24"/>
                <w:szCs w:val="24"/>
              </w:rPr>
              <w:t>230456,2</w:t>
            </w:r>
          </w:p>
        </w:tc>
      </w:tr>
      <w:tr w:rsidR="00714F5D" w:rsidRPr="001D0846" w:rsidTr="008C5C6A">
        <w:trPr>
          <w:trHeight w:val="269"/>
        </w:trPr>
        <w:tc>
          <w:tcPr>
            <w:tcW w:w="895" w:type="dxa"/>
            <w:vMerge w:val="restart"/>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Anul</w:t>
            </w:r>
          </w:p>
        </w:tc>
        <w:tc>
          <w:tcPr>
            <w:tcW w:w="8550" w:type="dxa"/>
            <w:gridSpan w:val="11"/>
          </w:tcPr>
          <w:p w:rsidR="00714F5D" w:rsidRPr="001D0846" w:rsidRDefault="00714F5D" w:rsidP="008C5C6A">
            <w:pPr>
              <w:spacing w:line="276" w:lineRule="auto"/>
              <w:rPr>
                <w:rFonts w:ascii="Times New Roman" w:hAnsi="Times New Roman" w:cs="Times New Roman"/>
                <w:b/>
                <w:sz w:val="24"/>
                <w:szCs w:val="24"/>
                <w:shd w:val="clear" w:color="auto" w:fill="FFFFFF"/>
                <w:lang w:val="ro-MD"/>
              </w:rPr>
            </w:pPr>
            <w:r w:rsidRPr="001D0846">
              <w:rPr>
                <w:rFonts w:ascii="Times New Roman" w:hAnsi="Times New Roman" w:cs="Times New Roman"/>
                <w:b/>
                <w:sz w:val="24"/>
                <w:szCs w:val="24"/>
                <w:shd w:val="clear" w:color="auto" w:fill="FFFFFF"/>
              </w:rPr>
              <w:t xml:space="preserve">                                    Gradul de recuperare</w:t>
            </w:r>
            <w:r w:rsidRPr="001D0846">
              <w:rPr>
                <w:rFonts w:ascii="Times New Roman" w:hAnsi="Times New Roman" w:cs="Times New Roman"/>
                <w:b/>
                <w:sz w:val="24"/>
                <w:szCs w:val="24"/>
                <w:shd w:val="clear" w:color="auto" w:fill="FFFFFF"/>
                <w:lang w:val="ro-MD"/>
              </w:rPr>
              <w:t xml:space="preserve"> (%)</w:t>
            </w:r>
          </w:p>
        </w:tc>
      </w:tr>
      <w:tr w:rsidR="00714F5D" w:rsidRPr="001D0846" w:rsidTr="008C5C6A">
        <w:trPr>
          <w:trHeight w:val="360"/>
        </w:trPr>
        <w:tc>
          <w:tcPr>
            <w:tcW w:w="895" w:type="dxa"/>
            <w:vMerge/>
          </w:tcPr>
          <w:p w:rsidR="00714F5D" w:rsidRPr="001D0846" w:rsidRDefault="00714F5D" w:rsidP="008C5C6A">
            <w:pPr>
              <w:spacing w:line="276" w:lineRule="auto"/>
              <w:rPr>
                <w:rFonts w:ascii="Times New Roman" w:hAnsi="Times New Roman" w:cs="Times New Roman"/>
                <w:b/>
                <w:sz w:val="24"/>
                <w:szCs w:val="24"/>
                <w:shd w:val="clear" w:color="auto" w:fill="FFFFFF"/>
              </w:rPr>
            </w:pPr>
          </w:p>
        </w:tc>
        <w:tc>
          <w:tcPr>
            <w:tcW w:w="1350" w:type="dxa"/>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2013</w:t>
            </w:r>
          </w:p>
        </w:tc>
        <w:tc>
          <w:tcPr>
            <w:tcW w:w="1791" w:type="dxa"/>
            <w:gridSpan w:val="3"/>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2014</w:t>
            </w:r>
          </w:p>
        </w:tc>
        <w:tc>
          <w:tcPr>
            <w:tcW w:w="1691" w:type="dxa"/>
            <w:gridSpan w:val="3"/>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2015</w:t>
            </w:r>
          </w:p>
        </w:tc>
        <w:tc>
          <w:tcPr>
            <w:tcW w:w="1764" w:type="dxa"/>
            <w:gridSpan w:val="2"/>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2016</w:t>
            </w:r>
          </w:p>
        </w:tc>
        <w:tc>
          <w:tcPr>
            <w:tcW w:w="1954" w:type="dxa"/>
            <w:gridSpan w:val="2"/>
          </w:tcPr>
          <w:p w:rsidR="00714F5D" w:rsidRPr="001D0846" w:rsidRDefault="00714F5D" w:rsidP="008C5C6A">
            <w:pPr>
              <w:spacing w:line="276" w:lineRule="auto"/>
              <w:jc w:val="center"/>
              <w:rPr>
                <w:rFonts w:ascii="Times New Roman" w:hAnsi="Times New Roman" w:cs="Times New Roman"/>
                <w:b/>
                <w:sz w:val="24"/>
                <w:szCs w:val="24"/>
                <w:shd w:val="clear" w:color="auto" w:fill="FFFFFF"/>
              </w:rPr>
            </w:pPr>
            <w:r w:rsidRPr="001D0846">
              <w:rPr>
                <w:rFonts w:ascii="Times New Roman" w:hAnsi="Times New Roman" w:cs="Times New Roman"/>
                <w:b/>
                <w:sz w:val="24"/>
                <w:szCs w:val="24"/>
                <w:shd w:val="clear" w:color="auto" w:fill="FFFFFF"/>
              </w:rPr>
              <w:t>2017</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2012</w:t>
            </w:r>
          </w:p>
        </w:tc>
        <w:tc>
          <w:tcPr>
            <w:tcW w:w="1350"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17,7</w:t>
            </w:r>
          </w:p>
        </w:tc>
        <w:tc>
          <w:tcPr>
            <w:tcW w:w="17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7,4</w:t>
            </w:r>
          </w:p>
        </w:tc>
        <w:tc>
          <w:tcPr>
            <w:tcW w:w="16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29,7</w:t>
            </w:r>
          </w:p>
        </w:tc>
        <w:tc>
          <w:tcPr>
            <w:tcW w:w="176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6,2</w:t>
            </w:r>
          </w:p>
        </w:tc>
        <w:tc>
          <w:tcPr>
            <w:tcW w:w="195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0,2</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2013</w:t>
            </w:r>
          </w:p>
        </w:tc>
        <w:tc>
          <w:tcPr>
            <w:tcW w:w="1350"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14,2</w:t>
            </w:r>
          </w:p>
        </w:tc>
        <w:tc>
          <w:tcPr>
            <w:tcW w:w="16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18,1</w:t>
            </w:r>
          </w:p>
        </w:tc>
        <w:tc>
          <w:tcPr>
            <w:tcW w:w="176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3,65</w:t>
            </w:r>
          </w:p>
        </w:tc>
        <w:tc>
          <w:tcPr>
            <w:tcW w:w="195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1,4</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2014</w:t>
            </w:r>
          </w:p>
        </w:tc>
        <w:tc>
          <w:tcPr>
            <w:tcW w:w="1350"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3,24</w:t>
            </w:r>
          </w:p>
        </w:tc>
        <w:tc>
          <w:tcPr>
            <w:tcW w:w="176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12,3</w:t>
            </w:r>
          </w:p>
        </w:tc>
        <w:tc>
          <w:tcPr>
            <w:tcW w:w="195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2,4</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2015</w:t>
            </w:r>
          </w:p>
        </w:tc>
        <w:tc>
          <w:tcPr>
            <w:tcW w:w="1350"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6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9,4</w:t>
            </w:r>
          </w:p>
        </w:tc>
        <w:tc>
          <w:tcPr>
            <w:tcW w:w="195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2,9</w:t>
            </w:r>
          </w:p>
        </w:tc>
      </w:tr>
      <w:tr w:rsidR="00714F5D" w:rsidRPr="001D0846" w:rsidTr="008C5C6A">
        <w:tc>
          <w:tcPr>
            <w:tcW w:w="895"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2016</w:t>
            </w:r>
          </w:p>
        </w:tc>
        <w:tc>
          <w:tcPr>
            <w:tcW w:w="1350" w:type="dxa"/>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691" w:type="dxa"/>
            <w:gridSpan w:val="3"/>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76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x</w:t>
            </w:r>
          </w:p>
        </w:tc>
        <w:tc>
          <w:tcPr>
            <w:tcW w:w="1954" w:type="dxa"/>
            <w:gridSpan w:val="2"/>
          </w:tcPr>
          <w:p w:rsidR="00714F5D" w:rsidRPr="001D0846" w:rsidRDefault="00714F5D" w:rsidP="008C5C6A">
            <w:pPr>
              <w:spacing w:line="276" w:lineRule="auto"/>
              <w:jc w:val="center"/>
              <w:rPr>
                <w:rFonts w:ascii="Times New Roman" w:hAnsi="Times New Roman" w:cs="Times New Roman"/>
                <w:sz w:val="24"/>
                <w:szCs w:val="24"/>
                <w:shd w:val="clear" w:color="auto" w:fill="FFFFFF"/>
              </w:rPr>
            </w:pPr>
            <w:r w:rsidRPr="001D0846">
              <w:rPr>
                <w:rFonts w:ascii="Times New Roman" w:hAnsi="Times New Roman" w:cs="Times New Roman"/>
                <w:sz w:val="24"/>
                <w:szCs w:val="24"/>
                <w:shd w:val="clear" w:color="auto" w:fill="FFFFFF"/>
              </w:rPr>
              <w:t>11,0</w:t>
            </w:r>
          </w:p>
        </w:tc>
      </w:tr>
    </w:tbl>
    <w:p w:rsidR="00714F5D" w:rsidRPr="001D0846" w:rsidRDefault="00714F5D" w:rsidP="00714F5D">
      <w:pPr>
        <w:spacing w:after="0" w:line="240"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p>
    <w:p w:rsidR="00714F5D" w:rsidRPr="001D0846" w:rsidRDefault="00714F5D" w:rsidP="00714F5D">
      <w:pPr>
        <w:spacing w:after="0" w:line="240" w:lineRule="auto"/>
        <w:ind w:right="-334"/>
        <w:rPr>
          <w:rFonts w:ascii="Times New Roman" w:hAnsi="Times New Roman" w:cs="Times New Roman"/>
        </w:rPr>
      </w:pPr>
    </w:p>
    <w:p w:rsidR="00714F5D" w:rsidRPr="001D0846" w:rsidRDefault="00714F5D" w:rsidP="00714F5D">
      <w:pPr>
        <w:spacing w:after="0" w:line="240" w:lineRule="auto"/>
        <w:ind w:firstLine="720"/>
        <w:jc w:val="right"/>
        <w:rPr>
          <w:rFonts w:ascii="Times New Roman" w:hAnsi="Times New Roman" w:cs="Times New Roman"/>
          <w:b/>
          <w:i/>
          <w:sz w:val="28"/>
          <w:szCs w:val="28"/>
          <w:shd w:val="clear" w:color="auto" w:fill="FFFFFF"/>
        </w:rPr>
      </w:pPr>
      <w:r w:rsidRPr="001D0846">
        <w:rPr>
          <w:rFonts w:ascii="Times New Roman" w:hAnsi="Times New Roman" w:cs="Times New Roman"/>
          <w:b/>
          <w:i/>
          <w:sz w:val="28"/>
          <w:szCs w:val="28"/>
          <w:shd w:val="clear" w:color="auto" w:fill="FFFFFF"/>
        </w:rPr>
        <w:t>Tabelul nr.</w:t>
      </w:r>
      <w:r>
        <w:rPr>
          <w:rFonts w:ascii="Times New Roman" w:hAnsi="Times New Roman" w:cs="Times New Roman"/>
          <w:b/>
          <w:i/>
          <w:sz w:val="28"/>
          <w:szCs w:val="28"/>
          <w:shd w:val="clear" w:color="auto" w:fill="FFFFFF"/>
        </w:rPr>
        <w:t>20</w:t>
      </w:r>
    </w:p>
    <w:p w:rsidR="00714F5D" w:rsidRPr="001D0846" w:rsidRDefault="00714F5D" w:rsidP="00714F5D">
      <w:pPr>
        <w:spacing w:after="0" w:line="240" w:lineRule="auto"/>
        <w:ind w:firstLine="720"/>
        <w:jc w:val="center"/>
        <w:rPr>
          <w:rFonts w:ascii="Times New Roman" w:hAnsi="Times New Roman" w:cs="Times New Roman"/>
          <w:b/>
          <w:i/>
          <w:sz w:val="28"/>
          <w:szCs w:val="28"/>
          <w:shd w:val="clear" w:color="auto" w:fill="FFFFFF"/>
        </w:rPr>
      </w:pPr>
      <w:r w:rsidRPr="001D0846">
        <w:rPr>
          <w:rFonts w:ascii="Times New Roman" w:hAnsi="Times New Roman" w:cs="Times New Roman"/>
          <w:i/>
          <w:sz w:val="28"/>
          <w:szCs w:val="28"/>
        </w:rPr>
        <w:t>Informația privind majorările de înt</w:t>
      </w:r>
      <w:r>
        <w:rPr>
          <w:rFonts w:ascii="Times New Roman" w:hAnsi="Times New Roman" w:cs="Times New Roman"/>
          <w:i/>
          <w:sz w:val="28"/>
          <w:szCs w:val="28"/>
        </w:rPr>
        <w:t>â</w:t>
      </w:r>
      <w:r w:rsidRPr="001D0846">
        <w:rPr>
          <w:rFonts w:ascii="Times New Roman" w:hAnsi="Times New Roman" w:cs="Times New Roman"/>
          <w:i/>
          <w:sz w:val="28"/>
          <w:szCs w:val="28"/>
        </w:rPr>
        <w:t xml:space="preserve">rziere calculate la plățile de bază și încasate la buget de către SV </w:t>
      </w:r>
    </w:p>
    <w:p w:rsidR="00714F5D" w:rsidRPr="00DE7EFA" w:rsidRDefault="00714F5D" w:rsidP="00714F5D">
      <w:pPr>
        <w:spacing w:after="0" w:line="240" w:lineRule="auto"/>
        <w:ind w:right="-75"/>
        <w:jc w:val="right"/>
        <w:rPr>
          <w:rFonts w:ascii="Times New Roman" w:hAnsi="Times New Roman" w:cs="Times New Roman"/>
          <w:i/>
          <w:sz w:val="28"/>
          <w:szCs w:val="28"/>
          <w:shd w:val="clear" w:color="auto" w:fill="FFFFFF"/>
        </w:rPr>
      </w:pPr>
      <w:r w:rsidRPr="00DE7EFA">
        <w:rPr>
          <w:rFonts w:ascii="Times New Roman" w:hAnsi="Times New Roman" w:cs="Times New Roman"/>
          <w:i/>
          <w:sz w:val="28"/>
          <w:szCs w:val="28"/>
          <w:shd w:val="clear" w:color="auto" w:fill="FFFFFF"/>
        </w:rPr>
        <w:t xml:space="preserve">                                                                                                 (mii lei)</w:t>
      </w:r>
    </w:p>
    <w:tbl>
      <w:tblPr>
        <w:tblW w:w="9451" w:type="dxa"/>
        <w:tblInd w:w="-5" w:type="dxa"/>
        <w:tblLook w:val="04A0" w:firstRow="1" w:lastRow="0" w:firstColumn="1" w:lastColumn="0" w:noHBand="0" w:noVBand="1"/>
      </w:tblPr>
      <w:tblGrid>
        <w:gridCol w:w="1350"/>
        <w:gridCol w:w="1890"/>
        <w:gridCol w:w="900"/>
        <w:gridCol w:w="990"/>
        <w:gridCol w:w="990"/>
        <w:gridCol w:w="990"/>
        <w:gridCol w:w="1080"/>
        <w:gridCol w:w="1261"/>
      </w:tblGrid>
      <w:tr w:rsidR="00714F5D" w:rsidRPr="001D0846" w:rsidTr="008C5C6A">
        <w:trPr>
          <w:trHeight w:val="300"/>
        </w:trPr>
        <w:tc>
          <w:tcPr>
            <w:tcW w:w="1350" w:type="dxa"/>
            <w:vMerge w:val="restart"/>
            <w:tcBorders>
              <w:top w:val="single" w:sz="4" w:space="0" w:color="auto"/>
              <w:left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Anul</w:t>
            </w:r>
          </w:p>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b/>
                <w:color w:val="000000"/>
                <w:lang w:val="ro-MD" w:eastAsia="ru-RU"/>
              </w:rPr>
              <w:t>formării</w:t>
            </w:r>
          </w:p>
        </w:tc>
        <w:tc>
          <w:tcPr>
            <w:tcW w:w="1890" w:type="dxa"/>
            <w:vMerge w:val="restart"/>
            <w:tcBorders>
              <w:top w:val="single" w:sz="4" w:space="0" w:color="auto"/>
              <w:left w:val="nil"/>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M</w:t>
            </w:r>
            <w:proofErr w:type="spellStart"/>
            <w:r w:rsidRPr="001D0846">
              <w:rPr>
                <w:rFonts w:ascii="Times New Roman" w:eastAsia="Times New Roman" w:hAnsi="Times New Roman" w:cs="Times New Roman"/>
                <w:b/>
                <w:color w:val="000000"/>
                <w:lang w:val="ro-MD" w:eastAsia="ru-RU"/>
              </w:rPr>
              <w:t>ajorări</w:t>
            </w:r>
            <w:proofErr w:type="spellEnd"/>
            <w:r w:rsidRPr="001D0846">
              <w:rPr>
                <w:rFonts w:ascii="Times New Roman" w:eastAsia="Times New Roman" w:hAnsi="Times New Roman" w:cs="Times New Roman"/>
                <w:b/>
                <w:color w:val="000000"/>
                <w:lang w:val="ro-MD" w:eastAsia="ru-RU"/>
              </w:rPr>
              <w:t xml:space="preserve"> de înt</w:t>
            </w:r>
            <w:r>
              <w:rPr>
                <w:rFonts w:ascii="Times New Roman" w:eastAsia="Times New Roman" w:hAnsi="Times New Roman" w:cs="Times New Roman"/>
                <w:b/>
                <w:color w:val="000000"/>
                <w:lang w:val="ro-MD" w:eastAsia="ru-RU"/>
              </w:rPr>
              <w:t>â</w:t>
            </w:r>
            <w:r w:rsidRPr="001D0846">
              <w:rPr>
                <w:rFonts w:ascii="Times New Roman" w:eastAsia="Times New Roman" w:hAnsi="Times New Roman" w:cs="Times New Roman"/>
                <w:b/>
                <w:color w:val="000000"/>
                <w:lang w:val="ro-MD" w:eastAsia="ru-RU"/>
              </w:rPr>
              <w:t>rziere calculate (restante)</w:t>
            </w:r>
          </w:p>
        </w:tc>
        <w:tc>
          <w:tcPr>
            <w:tcW w:w="4950" w:type="dxa"/>
            <w:gridSpan w:val="5"/>
            <w:tcBorders>
              <w:top w:val="single" w:sz="4" w:space="0" w:color="auto"/>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val="ro-MD" w:eastAsia="ru-RU"/>
              </w:rPr>
              <w:t>Restanța încasată la majorări de înt</w:t>
            </w:r>
            <w:r>
              <w:rPr>
                <w:rFonts w:ascii="Times New Roman" w:eastAsia="Times New Roman" w:hAnsi="Times New Roman" w:cs="Times New Roman"/>
                <w:b/>
                <w:color w:val="000000"/>
                <w:lang w:val="ro-MD" w:eastAsia="ru-RU"/>
              </w:rPr>
              <w:t>â</w:t>
            </w:r>
            <w:r w:rsidRPr="001D0846">
              <w:rPr>
                <w:rFonts w:ascii="Times New Roman" w:eastAsia="Times New Roman" w:hAnsi="Times New Roman" w:cs="Times New Roman"/>
                <w:b/>
                <w:color w:val="000000"/>
                <w:lang w:val="ro-MD" w:eastAsia="ru-RU"/>
              </w:rPr>
              <w:t>rziere pe ani</w:t>
            </w:r>
          </w:p>
        </w:tc>
        <w:tc>
          <w:tcPr>
            <w:tcW w:w="1261" w:type="dxa"/>
            <w:vMerge w:val="restart"/>
            <w:tcBorders>
              <w:top w:val="single" w:sz="4" w:space="0" w:color="auto"/>
              <w:left w:val="nil"/>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Sold</w:t>
            </w:r>
            <w:r>
              <w:rPr>
                <w:rFonts w:ascii="Times New Roman" w:eastAsia="Times New Roman" w:hAnsi="Times New Roman" w:cs="Times New Roman"/>
                <w:b/>
                <w:color w:val="000000"/>
                <w:lang w:eastAsia="ru-RU"/>
              </w:rPr>
              <w:t>ul</w:t>
            </w:r>
            <w:r w:rsidRPr="001D0846">
              <w:rPr>
                <w:rFonts w:ascii="Times New Roman" w:eastAsia="Times New Roman" w:hAnsi="Times New Roman" w:cs="Times New Roman"/>
                <w:b/>
                <w:color w:val="000000"/>
                <w:lang w:eastAsia="ru-RU"/>
              </w:rPr>
              <w:t xml:space="preserve"> la 29.12.2017</w:t>
            </w:r>
            <w:r w:rsidRPr="001D0846">
              <w:rPr>
                <w:rFonts w:ascii="Times New Roman" w:eastAsia="Times New Roman" w:hAnsi="Times New Roman" w:cs="Times New Roman"/>
                <w:color w:val="000000"/>
                <w:lang w:eastAsia="ru-RU"/>
              </w:rPr>
              <w:t> </w:t>
            </w:r>
          </w:p>
        </w:tc>
      </w:tr>
      <w:tr w:rsidR="00714F5D" w:rsidRPr="001D0846" w:rsidTr="008C5C6A">
        <w:trPr>
          <w:trHeight w:val="107"/>
        </w:trPr>
        <w:tc>
          <w:tcPr>
            <w:tcW w:w="1350" w:type="dxa"/>
            <w:vMerge/>
            <w:tcBorders>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rPr>
                <w:rFonts w:ascii="Times New Roman" w:eastAsia="Times New Roman" w:hAnsi="Times New Roman" w:cs="Times New Roman"/>
                <w:color w:val="000000"/>
                <w:lang w:eastAsia="ru-RU"/>
              </w:rPr>
            </w:pPr>
          </w:p>
        </w:tc>
        <w:tc>
          <w:tcPr>
            <w:tcW w:w="1890" w:type="dxa"/>
            <w:vMerge/>
            <w:tcBorders>
              <w:left w:val="nil"/>
              <w:bottom w:val="single" w:sz="4" w:space="0" w:color="auto"/>
              <w:right w:val="single" w:sz="4" w:space="0" w:color="auto"/>
            </w:tcBorders>
            <w:noWrap/>
            <w:vAlign w:val="bottom"/>
            <w:hideMark/>
          </w:tcPr>
          <w:p w:rsidR="00714F5D" w:rsidRPr="001D0846" w:rsidRDefault="00714F5D" w:rsidP="008C5C6A">
            <w:pPr>
              <w:spacing w:after="0" w:line="276" w:lineRule="auto"/>
              <w:rPr>
                <w:rFonts w:ascii="Times New Roman" w:eastAsia="Times New Roman" w:hAnsi="Times New Roman" w:cs="Times New Roman"/>
                <w:color w:val="000000"/>
                <w:lang w:eastAsia="ru-RU"/>
              </w:rPr>
            </w:pP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2013</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2014</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2015</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2016</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2017</w:t>
            </w:r>
          </w:p>
        </w:tc>
        <w:tc>
          <w:tcPr>
            <w:tcW w:w="1261" w:type="dxa"/>
            <w:vMerge/>
            <w:tcBorders>
              <w:left w:val="nil"/>
              <w:bottom w:val="single" w:sz="4" w:space="0" w:color="auto"/>
              <w:right w:val="single" w:sz="4" w:space="0" w:color="auto"/>
            </w:tcBorders>
            <w:noWrap/>
            <w:vAlign w:val="bottom"/>
            <w:hideMark/>
          </w:tcPr>
          <w:p w:rsidR="00714F5D" w:rsidRPr="001D0846" w:rsidRDefault="00714F5D" w:rsidP="008C5C6A">
            <w:pPr>
              <w:spacing w:after="0" w:line="276" w:lineRule="auto"/>
              <w:rPr>
                <w:rFonts w:ascii="Times New Roman" w:eastAsia="Times New Roman" w:hAnsi="Times New Roman" w:cs="Times New Roman"/>
                <w:color w:val="000000"/>
                <w:lang w:eastAsia="ru-RU"/>
              </w:rPr>
            </w:pP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2012</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43535,7</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3435,8</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2123,3</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1474,9</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1884,9</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299,7</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34317,1</w:t>
            </w: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2013</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19888,3</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149,0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1601,2</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916,5</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260,0</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16961,6</w:t>
            </w: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2014</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19053,5</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-555,6</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1667,1</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373,1</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17568,9</w:t>
            </w:r>
          </w:p>
        </w:tc>
      </w:tr>
      <w:tr w:rsidR="00714F5D" w:rsidRPr="001D0846" w:rsidTr="008C5C6A">
        <w:trPr>
          <w:trHeight w:val="212"/>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2015</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-12045,7</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583,1</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172,7</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-12801,5</w:t>
            </w: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2016</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7841,1</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217,7</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7623,4</w:t>
            </w: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2017</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19180,9</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0</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color w:val="000000"/>
                <w:lang w:eastAsia="ru-RU"/>
              </w:rPr>
            </w:pPr>
            <w:r w:rsidRPr="001D0846">
              <w:rPr>
                <w:rFonts w:ascii="Times New Roman" w:eastAsia="Times New Roman" w:hAnsi="Times New Roman" w:cs="Times New Roman"/>
                <w:color w:val="000000"/>
                <w:lang w:eastAsia="ru-RU"/>
              </w:rPr>
              <w:t>19180,9</w:t>
            </w:r>
          </w:p>
        </w:tc>
      </w:tr>
      <w:tr w:rsidR="00714F5D" w:rsidRPr="001D0846" w:rsidTr="008C5C6A">
        <w:trPr>
          <w:trHeight w:val="300"/>
        </w:trPr>
        <w:tc>
          <w:tcPr>
            <w:tcW w:w="1350" w:type="dxa"/>
            <w:tcBorders>
              <w:top w:val="nil"/>
              <w:left w:val="single" w:sz="4" w:space="0" w:color="auto"/>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Total</w:t>
            </w:r>
          </w:p>
        </w:tc>
        <w:tc>
          <w:tcPr>
            <w:tcW w:w="18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97453,8</w:t>
            </w:r>
          </w:p>
        </w:tc>
        <w:tc>
          <w:tcPr>
            <w:tcW w:w="90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3435,8</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2272,3</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2520,5</w:t>
            </w:r>
          </w:p>
        </w:tc>
        <w:tc>
          <w:tcPr>
            <w:tcW w:w="99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5051,6</w:t>
            </w:r>
          </w:p>
        </w:tc>
        <w:tc>
          <w:tcPr>
            <w:tcW w:w="1080"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1323,2</w:t>
            </w:r>
          </w:p>
        </w:tc>
        <w:tc>
          <w:tcPr>
            <w:tcW w:w="1261" w:type="dxa"/>
            <w:tcBorders>
              <w:top w:val="nil"/>
              <w:left w:val="nil"/>
              <w:bottom w:val="single" w:sz="4" w:space="0" w:color="auto"/>
              <w:right w:val="single" w:sz="4" w:space="0" w:color="auto"/>
            </w:tcBorders>
            <w:noWrap/>
            <w:vAlign w:val="bottom"/>
            <w:hideMark/>
          </w:tcPr>
          <w:p w:rsidR="00714F5D" w:rsidRPr="001D0846" w:rsidRDefault="00714F5D" w:rsidP="008C5C6A">
            <w:pPr>
              <w:spacing w:after="0" w:line="276" w:lineRule="auto"/>
              <w:jc w:val="center"/>
              <w:rPr>
                <w:rFonts w:ascii="Times New Roman" w:eastAsia="Times New Roman" w:hAnsi="Times New Roman" w:cs="Times New Roman"/>
                <w:b/>
                <w:color w:val="000000"/>
                <w:lang w:eastAsia="ru-RU"/>
              </w:rPr>
            </w:pPr>
            <w:r w:rsidRPr="001D0846">
              <w:rPr>
                <w:rFonts w:ascii="Times New Roman" w:eastAsia="Times New Roman" w:hAnsi="Times New Roman" w:cs="Times New Roman"/>
                <w:b/>
                <w:color w:val="000000"/>
                <w:lang w:eastAsia="ru-RU"/>
              </w:rPr>
              <w:t>82850,4</w:t>
            </w:r>
          </w:p>
        </w:tc>
      </w:tr>
    </w:tbl>
    <w:p w:rsidR="00714F5D" w:rsidRPr="001D0846" w:rsidRDefault="00714F5D" w:rsidP="00714F5D">
      <w:pPr>
        <w:spacing w:after="0" w:line="276" w:lineRule="auto"/>
        <w:ind w:right="49"/>
        <w:jc w:val="both"/>
        <w:rPr>
          <w:rFonts w:ascii="Times New Roman" w:hAnsi="Times New Roman" w:cs="Times New Roman"/>
          <w:b/>
          <w:i/>
          <w:sz w:val="28"/>
          <w:szCs w:val="28"/>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r w:rsidRPr="001D0846">
        <w:rPr>
          <w:rFonts w:ascii="Times New Roman" w:hAnsi="Times New Roman" w:cs="Times New Roman"/>
          <w:b/>
          <w:i/>
          <w:sz w:val="28"/>
          <w:szCs w:val="28"/>
        </w:rPr>
        <w:t xml:space="preserve">                                                                                                     </w:t>
      </w:r>
    </w:p>
    <w:p w:rsidR="00714F5D" w:rsidRPr="000C61BF" w:rsidRDefault="00714F5D" w:rsidP="00714F5D">
      <w:pPr>
        <w:spacing w:after="0" w:line="240" w:lineRule="auto"/>
        <w:ind w:right="-334"/>
        <w:jc w:val="right"/>
        <w:rPr>
          <w:rFonts w:ascii="Times New Roman" w:hAnsi="Times New Roman" w:cs="Times New Roman"/>
          <w:b/>
          <w:i/>
          <w:sz w:val="28"/>
          <w:szCs w:val="28"/>
        </w:rPr>
      </w:pPr>
      <w:r w:rsidRPr="000C61BF">
        <w:rPr>
          <w:rFonts w:ascii="Times New Roman" w:hAnsi="Times New Roman" w:cs="Times New Roman"/>
          <w:b/>
          <w:i/>
          <w:sz w:val="28"/>
          <w:szCs w:val="28"/>
        </w:rPr>
        <w:lastRenderedPageBreak/>
        <w:t>Tabelul nr.21</w:t>
      </w:r>
    </w:p>
    <w:p w:rsidR="00714F5D" w:rsidRPr="000C61BF" w:rsidRDefault="00714F5D" w:rsidP="00714F5D">
      <w:pPr>
        <w:tabs>
          <w:tab w:val="left" w:pos="720"/>
        </w:tabs>
        <w:spacing w:after="0" w:line="240" w:lineRule="auto"/>
        <w:contextualSpacing/>
        <w:jc w:val="center"/>
        <w:rPr>
          <w:rFonts w:ascii="Times New Roman" w:hAnsi="Times New Roman" w:cs="Times New Roman"/>
          <w:i/>
        </w:rPr>
      </w:pPr>
      <w:r w:rsidRPr="000C61BF">
        <w:rPr>
          <w:rFonts w:ascii="Times New Roman" w:hAnsi="Times New Roman" w:cs="Times New Roman"/>
          <w:i/>
          <w:sz w:val="28"/>
          <w:szCs w:val="28"/>
          <w:lang w:val="ro-MD"/>
        </w:rPr>
        <w:t>Informația privind obligațiile fiscale</w:t>
      </w:r>
      <w:r>
        <w:rPr>
          <w:rFonts w:ascii="Times New Roman" w:hAnsi="Times New Roman" w:cs="Times New Roman"/>
          <w:i/>
          <w:sz w:val="28"/>
          <w:szCs w:val="28"/>
          <w:lang w:val="ro-MD"/>
        </w:rPr>
        <w:t xml:space="preserve"> calculate și</w:t>
      </w:r>
      <w:r w:rsidRPr="000C61BF">
        <w:rPr>
          <w:rFonts w:ascii="Times New Roman" w:hAnsi="Times New Roman" w:cs="Times New Roman"/>
          <w:i/>
          <w:sz w:val="28"/>
          <w:szCs w:val="28"/>
          <w:lang w:val="ro-MD"/>
        </w:rPr>
        <w:t xml:space="preserve"> achitate la BPN în </w:t>
      </w:r>
      <w:r>
        <w:rPr>
          <w:rFonts w:ascii="Times New Roman" w:hAnsi="Times New Roman" w:cs="Times New Roman"/>
          <w:i/>
          <w:sz w:val="28"/>
          <w:szCs w:val="28"/>
          <w:lang w:val="ro-MD"/>
        </w:rPr>
        <w:t>perioada anilor 2016-2017 de către contribuabilii monitorizați prin prisma Programului de conformare voluntară</w:t>
      </w:r>
      <w:r w:rsidR="00283230">
        <w:rPr>
          <w:rFonts w:ascii="Times New Roman" w:hAnsi="Times New Roman" w:cs="Times New Roman"/>
          <w:i/>
          <w:sz w:val="28"/>
          <w:szCs w:val="28"/>
          <w:lang w:val="ro-MD"/>
        </w:rPr>
        <w:t xml:space="preserve"> de SFS</w:t>
      </w:r>
    </w:p>
    <w:p w:rsidR="00714F5D" w:rsidRPr="000C61BF" w:rsidRDefault="00714F5D" w:rsidP="00714F5D">
      <w:pPr>
        <w:tabs>
          <w:tab w:val="left" w:pos="720"/>
        </w:tabs>
        <w:spacing w:after="0" w:line="240" w:lineRule="auto"/>
        <w:ind w:right="-345"/>
        <w:contextualSpacing/>
        <w:jc w:val="right"/>
        <w:rPr>
          <w:rFonts w:ascii="Times New Roman" w:hAnsi="Times New Roman" w:cs="Times New Roman"/>
          <w:i/>
          <w:sz w:val="28"/>
          <w:szCs w:val="28"/>
          <w:lang w:val="ro-MD"/>
        </w:rPr>
      </w:pPr>
      <w:r w:rsidRPr="000C61BF">
        <w:rPr>
          <w:rFonts w:ascii="Times New Roman" w:hAnsi="Times New Roman" w:cs="Times New Roman"/>
          <w:b/>
          <w:i/>
          <w:sz w:val="28"/>
          <w:szCs w:val="28"/>
          <w:lang w:val="ro-MD"/>
        </w:rPr>
        <w:t xml:space="preserve"> </w:t>
      </w:r>
      <w:r>
        <w:rPr>
          <w:rFonts w:ascii="Times New Roman" w:hAnsi="Times New Roman" w:cs="Times New Roman"/>
          <w:b/>
          <w:i/>
          <w:sz w:val="28"/>
          <w:szCs w:val="28"/>
          <w:lang w:val="ro-MD"/>
        </w:rPr>
        <w:t xml:space="preserve"> </w:t>
      </w:r>
      <w:r w:rsidRPr="000C61BF">
        <w:rPr>
          <w:rFonts w:ascii="Times New Roman" w:hAnsi="Times New Roman" w:cs="Times New Roman"/>
          <w:i/>
          <w:sz w:val="28"/>
          <w:szCs w:val="28"/>
          <w:lang w:val="ro-MD"/>
        </w:rPr>
        <w:t xml:space="preserve"> (mil.lei)</w:t>
      </w:r>
    </w:p>
    <w:tbl>
      <w:tblPr>
        <w:tblStyle w:val="a3"/>
        <w:tblW w:w="9715" w:type="dxa"/>
        <w:tblLook w:val="04A0" w:firstRow="1" w:lastRow="0" w:firstColumn="1" w:lastColumn="0" w:noHBand="0" w:noVBand="1"/>
      </w:tblPr>
      <w:tblGrid>
        <w:gridCol w:w="516"/>
        <w:gridCol w:w="1507"/>
        <w:gridCol w:w="913"/>
        <w:gridCol w:w="887"/>
        <w:gridCol w:w="724"/>
        <w:gridCol w:w="690"/>
        <w:gridCol w:w="1032"/>
        <w:gridCol w:w="1032"/>
        <w:gridCol w:w="1032"/>
        <w:gridCol w:w="1382"/>
      </w:tblGrid>
      <w:tr w:rsidR="00714F5D" w:rsidRPr="001D0846" w:rsidTr="008C5C6A">
        <w:tc>
          <w:tcPr>
            <w:tcW w:w="516" w:type="dxa"/>
            <w:vMerge w:val="restart"/>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Nr.</w:t>
            </w:r>
          </w:p>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d/o</w:t>
            </w:r>
          </w:p>
        </w:tc>
        <w:tc>
          <w:tcPr>
            <w:tcW w:w="1507" w:type="dxa"/>
            <w:vMerge w:val="restart"/>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Domenii de activitate</w:t>
            </w:r>
          </w:p>
        </w:tc>
        <w:tc>
          <w:tcPr>
            <w:tcW w:w="3214" w:type="dxa"/>
            <w:gridSpan w:val="4"/>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Obligații fiscale calculate la BPN</w:t>
            </w:r>
          </w:p>
        </w:tc>
        <w:tc>
          <w:tcPr>
            <w:tcW w:w="4478" w:type="dxa"/>
            <w:gridSpan w:val="4"/>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Obligații fiscale achitate la BPN</w:t>
            </w:r>
          </w:p>
        </w:tc>
      </w:tr>
      <w:tr w:rsidR="00714F5D" w:rsidRPr="001D0846" w:rsidTr="008C5C6A">
        <w:tc>
          <w:tcPr>
            <w:tcW w:w="516" w:type="dxa"/>
            <w:vMerge/>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p>
        </w:tc>
        <w:tc>
          <w:tcPr>
            <w:tcW w:w="1507" w:type="dxa"/>
            <w:vMerge/>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2016</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2017</w:t>
            </w:r>
          </w:p>
        </w:tc>
        <w:tc>
          <w:tcPr>
            <w:tcW w:w="1414" w:type="dxa"/>
            <w:gridSpan w:val="2"/>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Devieri</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2016</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2017</w:t>
            </w:r>
          </w:p>
        </w:tc>
        <w:tc>
          <w:tcPr>
            <w:tcW w:w="2414" w:type="dxa"/>
            <w:gridSpan w:val="2"/>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 xml:space="preserve">Devieri </w:t>
            </w:r>
          </w:p>
        </w:tc>
      </w:tr>
      <w:tr w:rsidR="00714F5D" w:rsidRPr="001D0846" w:rsidTr="008C5C6A">
        <w:tc>
          <w:tcPr>
            <w:tcW w:w="516" w:type="dxa"/>
            <w:vMerge/>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p>
        </w:tc>
        <w:tc>
          <w:tcPr>
            <w:tcW w:w="1507" w:type="dxa"/>
            <w:vMerge/>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p>
        </w:tc>
        <w:tc>
          <w:tcPr>
            <w:tcW w:w="913" w:type="dxa"/>
            <w:tcBorders>
              <w:top w:val="nil"/>
            </w:tcBorders>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mii lei</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mii lei</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w:t>
            </w:r>
          </w:p>
        </w:tc>
      </w:tr>
      <w:tr w:rsidR="00714F5D" w:rsidRPr="001D0846" w:rsidTr="008C5C6A">
        <w:tc>
          <w:tcPr>
            <w:tcW w:w="516"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1</w:t>
            </w:r>
            <w:r>
              <w:rPr>
                <w:rFonts w:ascii="Times New Roman" w:hAnsi="Times New Roman" w:cs="Times New Roman"/>
                <w:b/>
                <w:sz w:val="20"/>
                <w:szCs w:val="20"/>
                <w:lang w:val="ro-MD"/>
              </w:rPr>
              <w:t>.</w:t>
            </w:r>
          </w:p>
        </w:tc>
        <w:tc>
          <w:tcPr>
            <w:tcW w:w="1507" w:type="dxa"/>
          </w:tcPr>
          <w:p w:rsidR="00714F5D" w:rsidRPr="001D0846" w:rsidRDefault="00714F5D" w:rsidP="008C5C6A">
            <w:pPr>
              <w:tabs>
                <w:tab w:val="left" w:pos="720"/>
              </w:tabs>
              <w:spacing w:line="276" w:lineRule="auto"/>
              <w:contextualSpacing/>
              <w:jc w:val="both"/>
              <w:rPr>
                <w:rFonts w:ascii="Times New Roman" w:hAnsi="Times New Roman" w:cs="Times New Roman"/>
                <w:sz w:val="20"/>
                <w:szCs w:val="20"/>
                <w:lang w:val="ro-MD"/>
              </w:rPr>
            </w:pPr>
            <w:r w:rsidRPr="001D0846">
              <w:rPr>
                <w:rFonts w:ascii="Times New Roman" w:hAnsi="Times New Roman" w:cs="Times New Roman"/>
                <w:sz w:val="20"/>
                <w:szCs w:val="20"/>
                <w:lang w:val="ro-MD"/>
              </w:rPr>
              <w:t>Agricultura</w:t>
            </w: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486</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456,6</w:t>
            </w: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-29,4</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-6,1</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388,0</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505</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117</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30,1</w:t>
            </w:r>
          </w:p>
        </w:tc>
      </w:tr>
      <w:tr w:rsidR="00714F5D" w:rsidRPr="001D0846" w:rsidTr="008C5C6A">
        <w:tc>
          <w:tcPr>
            <w:tcW w:w="516"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w:t>
            </w:r>
            <w:r>
              <w:rPr>
                <w:rFonts w:ascii="Times New Roman" w:hAnsi="Times New Roman" w:cs="Times New Roman"/>
                <w:b/>
                <w:sz w:val="20"/>
                <w:szCs w:val="20"/>
                <w:lang w:val="ro-MD"/>
              </w:rPr>
              <w:t>.</w:t>
            </w:r>
          </w:p>
        </w:tc>
        <w:tc>
          <w:tcPr>
            <w:tcW w:w="1507" w:type="dxa"/>
          </w:tcPr>
          <w:p w:rsidR="00714F5D" w:rsidRPr="001D0846" w:rsidRDefault="00714F5D" w:rsidP="008C5C6A">
            <w:pPr>
              <w:tabs>
                <w:tab w:val="left" w:pos="720"/>
              </w:tabs>
              <w:spacing w:line="276" w:lineRule="auto"/>
              <w:contextualSpacing/>
              <w:jc w:val="both"/>
              <w:rPr>
                <w:rFonts w:ascii="Times New Roman" w:hAnsi="Times New Roman" w:cs="Times New Roman"/>
                <w:sz w:val="20"/>
                <w:szCs w:val="20"/>
                <w:lang w:val="ro-MD"/>
              </w:rPr>
            </w:pPr>
            <w:r w:rsidRPr="001D0846">
              <w:rPr>
                <w:rFonts w:ascii="Times New Roman" w:hAnsi="Times New Roman" w:cs="Times New Roman"/>
                <w:sz w:val="20"/>
                <w:szCs w:val="20"/>
                <w:lang w:val="ro-MD"/>
              </w:rPr>
              <w:t xml:space="preserve">Comerțul cu ridicata și </w:t>
            </w:r>
            <w:r>
              <w:rPr>
                <w:rFonts w:ascii="Times New Roman" w:hAnsi="Times New Roman" w:cs="Times New Roman"/>
                <w:sz w:val="20"/>
                <w:szCs w:val="20"/>
                <w:lang w:val="ro-MD"/>
              </w:rPr>
              <w:t xml:space="preserve">cu </w:t>
            </w:r>
            <w:r w:rsidRPr="001D0846">
              <w:rPr>
                <w:rFonts w:ascii="Times New Roman" w:hAnsi="Times New Roman" w:cs="Times New Roman"/>
                <w:sz w:val="20"/>
                <w:szCs w:val="20"/>
                <w:lang w:val="ro-MD"/>
              </w:rPr>
              <w:t>amănuntul</w:t>
            </w: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920,9</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1168,7</w:t>
            </w: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247,8</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26,9</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956,7</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1218,3</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261,6</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27,3</w:t>
            </w:r>
          </w:p>
        </w:tc>
      </w:tr>
      <w:tr w:rsidR="00714F5D" w:rsidRPr="001D0846" w:rsidTr="008C5C6A">
        <w:tc>
          <w:tcPr>
            <w:tcW w:w="516"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3</w:t>
            </w:r>
            <w:r>
              <w:rPr>
                <w:rFonts w:ascii="Times New Roman" w:hAnsi="Times New Roman" w:cs="Times New Roman"/>
                <w:b/>
                <w:sz w:val="20"/>
                <w:szCs w:val="20"/>
                <w:lang w:val="ro-MD"/>
              </w:rPr>
              <w:t>.</w:t>
            </w:r>
          </w:p>
        </w:tc>
        <w:tc>
          <w:tcPr>
            <w:tcW w:w="1507" w:type="dxa"/>
          </w:tcPr>
          <w:p w:rsidR="00714F5D" w:rsidRPr="001D0846" w:rsidRDefault="00714F5D" w:rsidP="008C5C6A">
            <w:pPr>
              <w:tabs>
                <w:tab w:val="left" w:pos="720"/>
              </w:tabs>
              <w:spacing w:line="276" w:lineRule="auto"/>
              <w:contextualSpacing/>
              <w:jc w:val="both"/>
              <w:rPr>
                <w:rFonts w:ascii="Times New Roman" w:hAnsi="Times New Roman" w:cs="Times New Roman"/>
                <w:sz w:val="20"/>
                <w:szCs w:val="20"/>
                <w:lang w:val="ro-MD"/>
              </w:rPr>
            </w:pPr>
            <w:r w:rsidRPr="001D0846">
              <w:rPr>
                <w:rFonts w:ascii="Times New Roman" w:hAnsi="Times New Roman" w:cs="Times New Roman"/>
                <w:sz w:val="20"/>
                <w:szCs w:val="20"/>
                <w:lang w:val="ro-MD"/>
              </w:rPr>
              <w:t>Construcții</w:t>
            </w: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173</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211,5</w:t>
            </w: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38,4</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22,2</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163,0</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227,0</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64,0</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39,3</w:t>
            </w:r>
          </w:p>
        </w:tc>
      </w:tr>
      <w:tr w:rsidR="00714F5D" w:rsidRPr="001D0846" w:rsidTr="008C5C6A">
        <w:tc>
          <w:tcPr>
            <w:tcW w:w="516"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4</w:t>
            </w:r>
            <w:r>
              <w:rPr>
                <w:rFonts w:ascii="Times New Roman" w:hAnsi="Times New Roman" w:cs="Times New Roman"/>
                <w:b/>
                <w:sz w:val="20"/>
                <w:szCs w:val="20"/>
                <w:lang w:val="ro-MD"/>
              </w:rPr>
              <w:t>.</w:t>
            </w:r>
          </w:p>
        </w:tc>
        <w:tc>
          <w:tcPr>
            <w:tcW w:w="1507" w:type="dxa"/>
          </w:tcPr>
          <w:p w:rsidR="00714F5D" w:rsidRPr="001D0846" w:rsidRDefault="00714F5D" w:rsidP="008C5C6A">
            <w:pPr>
              <w:tabs>
                <w:tab w:val="left" w:pos="720"/>
              </w:tabs>
              <w:spacing w:line="276" w:lineRule="auto"/>
              <w:contextualSpacing/>
              <w:jc w:val="both"/>
              <w:rPr>
                <w:rFonts w:ascii="Times New Roman" w:hAnsi="Times New Roman" w:cs="Times New Roman"/>
                <w:sz w:val="20"/>
                <w:szCs w:val="20"/>
                <w:lang w:val="ro-MD"/>
              </w:rPr>
            </w:pPr>
            <w:r w:rsidRPr="001D0846">
              <w:rPr>
                <w:rFonts w:ascii="Times New Roman" w:hAnsi="Times New Roman" w:cs="Times New Roman"/>
                <w:sz w:val="20"/>
                <w:szCs w:val="20"/>
                <w:lang w:val="ro-MD"/>
              </w:rPr>
              <w:t xml:space="preserve">Întreținerea și reparația </w:t>
            </w:r>
          </w:p>
          <w:p w:rsidR="00714F5D" w:rsidRPr="001D0846" w:rsidRDefault="00714F5D" w:rsidP="008C5C6A">
            <w:pPr>
              <w:tabs>
                <w:tab w:val="left" w:pos="720"/>
              </w:tabs>
              <w:spacing w:line="276" w:lineRule="auto"/>
              <w:contextualSpacing/>
              <w:jc w:val="both"/>
              <w:rPr>
                <w:rFonts w:ascii="Times New Roman" w:hAnsi="Times New Roman" w:cs="Times New Roman"/>
                <w:sz w:val="20"/>
                <w:szCs w:val="20"/>
                <w:lang w:val="ro-MD"/>
              </w:rPr>
            </w:pPr>
            <w:r w:rsidRPr="001D0846">
              <w:rPr>
                <w:rFonts w:ascii="Times New Roman" w:hAnsi="Times New Roman" w:cs="Times New Roman"/>
                <w:sz w:val="20"/>
                <w:szCs w:val="20"/>
                <w:lang w:val="ro-MD"/>
              </w:rPr>
              <w:t>autovehiculelor</w:t>
            </w: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78,7</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95,9</w:t>
            </w: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17,2</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21,9</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82,0</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100,3</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18,3</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sz w:val="20"/>
                <w:szCs w:val="20"/>
                <w:lang w:val="ro-MD"/>
              </w:rPr>
            </w:pPr>
            <w:r w:rsidRPr="001D0846">
              <w:rPr>
                <w:rFonts w:ascii="Times New Roman" w:hAnsi="Times New Roman" w:cs="Times New Roman"/>
                <w:sz w:val="20"/>
                <w:szCs w:val="20"/>
                <w:lang w:val="ro-MD"/>
              </w:rPr>
              <w:t>22,3</w:t>
            </w:r>
          </w:p>
        </w:tc>
      </w:tr>
      <w:tr w:rsidR="00714F5D" w:rsidRPr="001D0846" w:rsidTr="008C5C6A">
        <w:trPr>
          <w:trHeight w:val="58"/>
        </w:trPr>
        <w:tc>
          <w:tcPr>
            <w:tcW w:w="2023" w:type="dxa"/>
            <w:gridSpan w:val="2"/>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TOTAL</w:t>
            </w:r>
          </w:p>
        </w:tc>
        <w:tc>
          <w:tcPr>
            <w:tcW w:w="913"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1658,6</w:t>
            </w:r>
          </w:p>
        </w:tc>
        <w:tc>
          <w:tcPr>
            <w:tcW w:w="887"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1932,6</w:t>
            </w:r>
          </w:p>
        </w:tc>
        <w:tc>
          <w:tcPr>
            <w:tcW w:w="724"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274</w:t>
            </w:r>
          </w:p>
        </w:tc>
        <w:tc>
          <w:tcPr>
            <w:tcW w:w="690"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16,5</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1589,7</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2050,6</w:t>
            </w:r>
          </w:p>
        </w:tc>
        <w:tc>
          <w:tcPr>
            <w:tcW w:w="103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460,9</w:t>
            </w:r>
          </w:p>
        </w:tc>
        <w:tc>
          <w:tcPr>
            <w:tcW w:w="1382" w:type="dxa"/>
          </w:tcPr>
          <w:p w:rsidR="00714F5D" w:rsidRPr="001D0846" w:rsidRDefault="00714F5D" w:rsidP="008C5C6A">
            <w:pPr>
              <w:tabs>
                <w:tab w:val="left" w:pos="720"/>
              </w:tabs>
              <w:spacing w:line="276" w:lineRule="auto"/>
              <w:contextualSpacing/>
              <w:jc w:val="center"/>
              <w:rPr>
                <w:rFonts w:ascii="Times New Roman" w:hAnsi="Times New Roman" w:cs="Times New Roman"/>
                <w:b/>
                <w:sz w:val="20"/>
                <w:szCs w:val="20"/>
                <w:lang w:val="ro-MD"/>
              </w:rPr>
            </w:pPr>
            <w:r w:rsidRPr="001D0846">
              <w:rPr>
                <w:rFonts w:ascii="Times New Roman" w:hAnsi="Times New Roman" w:cs="Times New Roman"/>
                <w:b/>
                <w:sz w:val="20"/>
                <w:szCs w:val="20"/>
                <w:lang w:val="ro-MD"/>
              </w:rPr>
              <w:t>29</w:t>
            </w:r>
          </w:p>
        </w:tc>
      </w:tr>
    </w:tbl>
    <w:p w:rsidR="00714F5D" w:rsidRPr="001D0846" w:rsidRDefault="00714F5D" w:rsidP="00714F5D">
      <w:pPr>
        <w:spacing w:after="0" w:line="276" w:lineRule="auto"/>
        <w:ind w:right="-334"/>
        <w:rPr>
          <w:rFonts w:ascii="Times New Roman" w:hAnsi="Times New Roman" w:cs="Times New Roman"/>
          <w:i/>
        </w:rPr>
      </w:pPr>
      <w:r w:rsidRPr="001D0846">
        <w:rPr>
          <w:rFonts w:ascii="Times New Roman" w:hAnsi="Times New Roman" w:cs="Times New Roman"/>
          <w:b/>
          <w:i/>
        </w:rPr>
        <w:t>Sursă:</w:t>
      </w:r>
      <w:r w:rsidRPr="001D0846">
        <w:rPr>
          <w:rFonts w:ascii="Times New Roman" w:hAnsi="Times New Roman" w:cs="Times New Roman"/>
          <w:i/>
        </w:rPr>
        <w:t xml:space="preserve"> Informații</w:t>
      </w:r>
      <w:r>
        <w:rPr>
          <w:rFonts w:ascii="Times New Roman" w:hAnsi="Times New Roman" w:cs="Times New Roman"/>
          <w:i/>
        </w:rPr>
        <w:t>le</w:t>
      </w:r>
      <w:r w:rsidRPr="001D0846">
        <w:rPr>
          <w:rFonts w:ascii="Times New Roman" w:hAnsi="Times New Roman" w:cs="Times New Roman"/>
          <w:i/>
        </w:rPr>
        <w:t xml:space="preserve"> prezentate de către SFS.</w:t>
      </w:r>
    </w:p>
    <w:p w:rsidR="00714F5D" w:rsidRPr="001D0846" w:rsidRDefault="00714F5D" w:rsidP="00714F5D">
      <w:pPr>
        <w:pStyle w:val="a7"/>
        <w:tabs>
          <w:tab w:val="left" w:pos="540"/>
        </w:tabs>
        <w:spacing w:after="0" w:line="276" w:lineRule="auto"/>
        <w:ind w:left="0"/>
        <w:jc w:val="both"/>
        <w:rPr>
          <w:rFonts w:ascii="Times New Roman" w:hAnsi="Times New Roman"/>
          <w:i/>
          <w:color w:val="000000"/>
          <w:sz w:val="28"/>
          <w:szCs w:val="28"/>
          <w:lang w:val="ro-MD"/>
        </w:rPr>
      </w:pPr>
    </w:p>
    <w:p w:rsidR="00714F5D" w:rsidRPr="001D0846" w:rsidRDefault="00714F5D" w:rsidP="00714F5D">
      <w:pPr>
        <w:spacing w:after="0" w:line="276" w:lineRule="auto"/>
        <w:ind w:firstLine="567"/>
        <w:jc w:val="right"/>
        <w:rPr>
          <w:rFonts w:ascii="Times New Roman" w:hAnsi="Times New Roman"/>
          <w:b/>
          <w:i/>
          <w:color w:val="000000"/>
          <w:sz w:val="28"/>
          <w:szCs w:val="28"/>
          <w:lang w:val="ro-MD"/>
        </w:rPr>
      </w:pPr>
    </w:p>
    <w:p w:rsidR="00714F5D" w:rsidRPr="00C65598" w:rsidRDefault="00714F5D" w:rsidP="00714F5D">
      <w:pPr>
        <w:spacing w:after="0" w:line="276" w:lineRule="auto"/>
        <w:ind w:firstLine="567"/>
        <w:jc w:val="right"/>
        <w:rPr>
          <w:rFonts w:ascii="Times New Roman" w:hAnsi="Times New Roman"/>
          <w:b/>
          <w:i/>
          <w:color w:val="000000"/>
          <w:sz w:val="28"/>
          <w:szCs w:val="28"/>
          <w:lang w:val="ro-MD"/>
        </w:rPr>
      </w:pPr>
      <w:r w:rsidRPr="00C65598">
        <w:rPr>
          <w:rFonts w:ascii="Times New Roman" w:hAnsi="Times New Roman"/>
          <w:b/>
          <w:i/>
          <w:color w:val="000000"/>
          <w:sz w:val="28"/>
          <w:szCs w:val="28"/>
          <w:lang w:val="ro-MD"/>
        </w:rPr>
        <w:t>Tabelul nr.22</w:t>
      </w:r>
    </w:p>
    <w:p w:rsidR="00714F5D" w:rsidRPr="00C65598" w:rsidRDefault="00714F5D" w:rsidP="00714F5D">
      <w:pPr>
        <w:spacing w:after="0" w:line="276" w:lineRule="auto"/>
        <w:ind w:firstLine="567"/>
        <w:jc w:val="center"/>
        <w:rPr>
          <w:rFonts w:ascii="Times New Roman" w:hAnsi="Times New Roman"/>
          <w:b/>
          <w:i/>
          <w:color w:val="000000"/>
          <w:sz w:val="28"/>
          <w:szCs w:val="28"/>
          <w:lang w:val="ro-MD"/>
        </w:rPr>
      </w:pPr>
      <w:r w:rsidRPr="00C65598">
        <w:rPr>
          <w:rFonts w:ascii="Times New Roman" w:hAnsi="Times New Roman"/>
          <w:i/>
          <w:color w:val="000000"/>
          <w:sz w:val="28"/>
          <w:szCs w:val="28"/>
          <w:lang w:val="ro-MD"/>
        </w:rPr>
        <w:t xml:space="preserve">Informația privind numărul deciziilor de regularizare adoptate, obligațiile vamale calculate și încasate de </w:t>
      </w:r>
      <w:r>
        <w:rPr>
          <w:rFonts w:ascii="Times New Roman" w:hAnsi="Times New Roman"/>
          <w:i/>
          <w:color w:val="000000"/>
          <w:sz w:val="28"/>
          <w:szCs w:val="28"/>
          <w:lang w:val="ro-MD"/>
        </w:rPr>
        <w:t xml:space="preserve">către </w:t>
      </w:r>
      <w:r w:rsidRPr="00C65598">
        <w:rPr>
          <w:rFonts w:ascii="Times New Roman" w:hAnsi="Times New Roman"/>
          <w:i/>
          <w:color w:val="000000"/>
          <w:sz w:val="28"/>
          <w:szCs w:val="28"/>
          <w:lang w:val="ro-MD"/>
        </w:rPr>
        <w:t xml:space="preserve">SV în perioada </w:t>
      </w:r>
      <w:r>
        <w:rPr>
          <w:rFonts w:ascii="Times New Roman" w:hAnsi="Times New Roman"/>
          <w:i/>
          <w:color w:val="000000"/>
          <w:sz w:val="28"/>
          <w:szCs w:val="28"/>
          <w:lang w:val="ro-MD"/>
        </w:rPr>
        <w:t xml:space="preserve">anilor </w:t>
      </w:r>
      <w:r w:rsidRPr="00C65598">
        <w:rPr>
          <w:rFonts w:ascii="Times New Roman" w:hAnsi="Times New Roman"/>
          <w:i/>
          <w:color w:val="000000"/>
          <w:sz w:val="28"/>
          <w:szCs w:val="28"/>
          <w:lang w:val="ro-MD"/>
        </w:rPr>
        <w:t>2015-2017</w:t>
      </w:r>
    </w:p>
    <w:p w:rsidR="00714F5D" w:rsidRPr="00C65598" w:rsidRDefault="00714F5D" w:rsidP="00714F5D">
      <w:pPr>
        <w:spacing w:after="0" w:line="276" w:lineRule="auto"/>
        <w:ind w:left="90" w:firstLine="567"/>
        <w:jc w:val="right"/>
        <w:rPr>
          <w:rFonts w:ascii="Times New Roman" w:hAnsi="Times New Roman"/>
          <w:i/>
          <w:color w:val="000000"/>
          <w:sz w:val="28"/>
          <w:szCs w:val="28"/>
          <w:lang w:val="ro-MD"/>
        </w:rPr>
      </w:pPr>
      <w:r w:rsidRPr="00C65598">
        <w:rPr>
          <w:rFonts w:ascii="Times New Roman" w:hAnsi="Times New Roman"/>
          <w:i/>
          <w:color w:val="000000"/>
          <w:sz w:val="28"/>
          <w:szCs w:val="28"/>
          <w:lang w:val="ro-MD"/>
        </w:rPr>
        <w:t>(mil.lei)</w:t>
      </w:r>
    </w:p>
    <w:tbl>
      <w:tblPr>
        <w:tblStyle w:val="a3"/>
        <w:tblW w:w="9450" w:type="dxa"/>
        <w:tblInd w:w="-5" w:type="dxa"/>
        <w:tblLook w:val="04A0" w:firstRow="1" w:lastRow="0" w:firstColumn="1" w:lastColumn="0" w:noHBand="0" w:noVBand="1"/>
      </w:tblPr>
      <w:tblGrid>
        <w:gridCol w:w="763"/>
        <w:gridCol w:w="2217"/>
        <w:gridCol w:w="1771"/>
        <w:gridCol w:w="1277"/>
        <w:gridCol w:w="1530"/>
        <w:gridCol w:w="1892"/>
      </w:tblGrid>
      <w:tr w:rsidR="00714F5D" w:rsidRPr="001D0846" w:rsidTr="008C5C6A">
        <w:trPr>
          <w:trHeight w:val="435"/>
        </w:trPr>
        <w:tc>
          <w:tcPr>
            <w:tcW w:w="763"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Anul</w:t>
            </w:r>
          </w:p>
        </w:tc>
        <w:tc>
          <w:tcPr>
            <w:tcW w:w="2217"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Numărul deciziilor de regularizare</w:t>
            </w:r>
          </w:p>
        </w:tc>
        <w:tc>
          <w:tcPr>
            <w:tcW w:w="1771"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Suma calculată spre încasare</w:t>
            </w:r>
          </w:p>
        </w:tc>
        <w:tc>
          <w:tcPr>
            <w:tcW w:w="1277"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Suma încasată</w:t>
            </w:r>
          </w:p>
          <w:p w:rsidR="00714F5D" w:rsidRPr="001D0846" w:rsidRDefault="00714F5D" w:rsidP="008C5C6A">
            <w:pPr>
              <w:spacing w:line="276" w:lineRule="auto"/>
              <w:jc w:val="center"/>
              <w:rPr>
                <w:rFonts w:ascii="Times New Roman" w:hAnsi="Times New Roman"/>
                <w:b/>
                <w:color w:val="000000"/>
                <w:sz w:val="24"/>
                <w:szCs w:val="24"/>
                <w:lang w:val="ro-MD"/>
              </w:rPr>
            </w:pPr>
          </w:p>
        </w:tc>
        <w:tc>
          <w:tcPr>
            <w:tcW w:w="1530"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 de încasări</w:t>
            </w:r>
          </w:p>
        </w:tc>
        <w:tc>
          <w:tcPr>
            <w:tcW w:w="1892"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Datorii formate</w:t>
            </w:r>
          </w:p>
        </w:tc>
      </w:tr>
      <w:tr w:rsidR="00714F5D" w:rsidRPr="001D0846" w:rsidTr="008C5C6A">
        <w:tc>
          <w:tcPr>
            <w:tcW w:w="763"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2015</w:t>
            </w:r>
          </w:p>
        </w:tc>
        <w:tc>
          <w:tcPr>
            <w:tcW w:w="2217"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2191</w:t>
            </w:r>
          </w:p>
        </w:tc>
        <w:tc>
          <w:tcPr>
            <w:tcW w:w="1771"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41,5</w:t>
            </w:r>
          </w:p>
        </w:tc>
        <w:tc>
          <w:tcPr>
            <w:tcW w:w="1277"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18,9</w:t>
            </w:r>
          </w:p>
        </w:tc>
        <w:tc>
          <w:tcPr>
            <w:tcW w:w="1530"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45,5</w:t>
            </w:r>
          </w:p>
        </w:tc>
        <w:tc>
          <w:tcPr>
            <w:tcW w:w="1892"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22,6</w:t>
            </w:r>
          </w:p>
        </w:tc>
      </w:tr>
      <w:tr w:rsidR="00714F5D" w:rsidRPr="001D0846" w:rsidTr="008C5C6A">
        <w:tc>
          <w:tcPr>
            <w:tcW w:w="763"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2016</w:t>
            </w:r>
          </w:p>
        </w:tc>
        <w:tc>
          <w:tcPr>
            <w:tcW w:w="2217"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2299</w:t>
            </w:r>
          </w:p>
        </w:tc>
        <w:tc>
          <w:tcPr>
            <w:tcW w:w="1771"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59,3</w:t>
            </w:r>
          </w:p>
        </w:tc>
        <w:tc>
          <w:tcPr>
            <w:tcW w:w="1277"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23,9</w:t>
            </w:r>
          </w:p>
        </w:tc>
        <w:tc>
          <w:tcPr>
            <w:tcW w:w="1530"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40,3</w:t>
            </w:r>
          </w:p>
        </w:tc>
        <w:tc>
          <w:tcPr>
            <w:tcW w:w="1892"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35,4</w:t>
            </w:r>
          </w:p>
        </w:tc>
      </w:tr>
      <w:tr w:rsidR="00714F5D" w:rsidRPr="001D0846" w:rsidTr="008C5C6A">
        <w:tc>
          <w:tcPr>
            <w:tcW w:w="763"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2017</w:t>
            </w:r>
          </w:p>
        </w:tc>
        <w:tc>
          <w:tcPr>
            <w:tcW w:w="2217"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2190</w:t>
            </w:r>
          </w:p>
        </w:tc>
        <w:tc>
          <w:tcPr>
            <w:tcW w:w="1771"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81,4</w:t>
            </w:r>
          </w:p>
        </w:tc>
        <w:tc>
          <w:tcPr>
            <w:tcW w:w="1277"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36,0</w:t>
            </w:r>
          </w:p>
        </w:tc>
        <w:tc>
          <w:tcPr>
            <w:tcW w:w="1530"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44,2</w:t>
            </w:r>
          </w:p>
        </w:tc>
        <w:tc>
          <w:tcPr>
            <w:tcW w:w="1892" w:type="dxa"/>
          </w:tcPr>
          <w:p w:rsidR="00714F5D" w:rsidRPr="001D0846" w:rsidRDefault="00714F5D" w:rsidP="008C5C6A">
            <w:pPr>
              <w:spacing w:line="276" w:lineRule="auto"/>
              <w:jc w:val="center"/>
              <w:rPr>
                <w:rFonts w:ascii="Times New Roman" w:hAnsi="Times New Roman"/>
                <w:color w:val="000000"/>
                <w:sz w:val="24"/>
                <w:szCs w:val="24"/>
                <w:lang w:val="ro-MD"/>
              </w:rPr>
            </w:pPr>
            <w:r w:rsidRPr="001D0846">
              <w:rPr>
                <w:rFonts w:ascii="Times New Roman" w:hAnsi="Times New Roman"/>
                <w:color w:val="000000"/>
                <w:sz w:val="24"/>
                <w:szCs w:val="24"/>
                <w:lang w:val="ro-MD"/>
              </w:rPr>
              <w:t>45,4</w:t>
            </w:r>
          </w:p>
        </w:tc>
      </w:tr>
      <w:tr w:rsidR="00714F5D" w:rsidRPr="001D0846" w:rsidTr="008C5C6A">
        <w:tc>
          <w:tcPr>
            <w:tcW w:w="763"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Total</w:t>
            </w:r>
          </w:p>
        </w:tc>
        <w:tc>
          <w:tcPr>
            <w:tcW w:w="2217"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6680</w:t>
            </w:r>
          </w:p>
        </w:tc>
        <w:tc>
          <w:tcPr>
            <w:tcW w:w="1771"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182,2</w:t>
            </w:r>
          </w:p>
        </w:tc>
        <w:tc>
          <w:tcPr>
            <w:tcW w:w="1277"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78,8</w:t>
            </w:r>
          </w:p>
        </w:tc>
        <w:tc>
          <w:tcPr>
            <w:tcW w:w="1530"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43,2</w:t>
            </w:r>
          </w:p>
        </w:tc>
        <w:tc>
          <w:tcPr>
            <w:tcW w:w="1892" w:type="dxa"/>
          </w:tcPr>
          <w:p w:rsidR="00714F5D" w:rsidRPr="001D0846" w:rsidRDefault="00714F5D" w:rsidP="008C5C6A">
            <w:pPr>
              <w:spacing w:line="276" w:lineRule="auto"/>
              <w:jc w:val="center"/>
              <w:rPr>
                <w:rFonts w:ascii="Times New Roman" w:hAnsi="Times New Roman"/>
                <w:b/>
                <w:color w:val="000000"/>
                <w:sz w:val="24"/>
                <w:szCs w:val="24"/>
                <w:lang w:val="ro-MD"/>
              </w:rPr>
            </w:pPr>
            <w:r w:rsidRPr="001D0846">
              <w:rPr>
                <w:rFonts w:ascii="Times New Roman" w:hAnsi="Times New Roman"/>
                <w:b/>
                <w:color w:val="000000"/>
                <w:sz w:val="24"/>
                <w:szCs w:val="24"/>
                <w:lang w:val="ro-MD"/>
              </w:rPr>
              <w:t>103,4</w:t>
            </w:r>
          </w:p>
        </w:tc>
      </w:tr>
    </w:tbl>
    <w:p w:rsidR="00714F5D" w:rsidRPr="001D0846"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p>
    <w:p w:rsidR="00714F5D" w:rsidRPr="001D0846" w:rsidRDefault="00714F5D" w:rsidP="00714F5D">
      <w:pPr>
        <w:spacing w:after="0" w:line="276" w:lineRule="auto"/>
        <w:ind w:right="49"/>
        <w:jc w:val="both"/>
        <w:rPr>
          <w:rFonts w:ascii="Times New Roman" w:eastAsia="Calibri" w:hAnsi="Times New Roman" w:cs="Times New Roman"/>
          <w:i/>
          <w:sz w:val="20"/>
          <w:szCs w:val="20"/>
        </w:rPr>
      </w:pPr>
    </w:p>
    <w:p w:rsidR="00714F5D" w:rsidRPr="001D0846" w:rsidRDefault="00714F5D" w:rsidP="00714F5D">
      <w:pPr>
        <w:spacing w:after="0" w:line="276" w:lineRule="auto"/>
        <w:ind w:right="-334"/>
        <w:jc w:val="both"/>
        <w:rPr>
          <w:rFonts w:ascii="Times New Roman" w:hAnsi="Times New Roman" w:cs="Times New Roman"/>
          <w:b/>
          <w:i/>
          <w:sz w:val="28"/>
          <w:szCs w:val="28"/>
          <w:lang w:val="ro-MD" w:eastAsia="ru-RU"/>
        </w:rPr>
      </w:pPr>
    </w:p>
    <w:p w:rsidR="00714F5D" w:rsidRPr="001D0846" w:rsidRDefault="00714F5D" w:rsidP="00714F5D">
      <w:pPr>
        <w:spacing w:after="0" w:line="276" w:lineRule="auto"/>
        <w:ind w:right="-334"/>
        <w:jc w:val="both"/>
        <w:rPr>
          <w:rFonts w:ascii="Times New Roman" w:hAnsi="Times New Roman" w:cs="Times New Roman"/>
          <w:b/>
          <w:i/>
          <w:sz w:val="28"/>
          <w:szCs w:val="28"/>
          <w:lang w:val="ro-MD" w:eastAsia="ru-RU"/>
        </w:rPr>
      </w:pPr>
    </w:p>
    <w:p w:rsidR="00714F5D" w:rsidRPr="001D0846" w:rsidRDefault="00714F5D" w:rsidP="00714F5D">
      <w:pPr>
        <w:spacing w:after="0" w:line="276" w:lineRule="auto"/>
        <w:ind w:right="-334"/>
        <w:jc w:val="both"/>
        <w:rPr>
          <w:rFonts w:ascii="Times New Roman" w:hAnsi="Times New Roman" w:cs="Times New Roman"/>
          <w:b/>
          <w:i/>
          <w:sz w:val="28"/>
          <w:szCs w:val="28"/>
          <w:lang w:val="ro-MD" w:eastAsia="ru-RU"/>
        </w:rPr>
      </w:pPr>
    </w:p>
    <w:p w:rsidR="00714F5D" w:rsidRPr="001D0846" w:rsidRDefault="00714F5D" w:rsidP="00714F5D">
      <w:pPr>
        <w:spacing w:after="0" w:line="276" w:lineRule="auto"/>
        <w:ind w:right="-334"/>
        <w:jc w:val="both"/>
        <w:rPr>
          <w:rFonts w:ascii="Times New Roman" w:hAnsi="Times New Roman" w:cs="Times New Roman"/>
          <w:b/>
          <w:i/>
          <w:sz w:val="28"/>
          <w:szCs w:val="28"/>
          <w:lang w:val="ro-MD" w:eastAsia="ru-RU"/>
        </w:rPr>
      </w:pPr>
    </w:p>
    <w:p w:rsidR="00714F5D" w:rsidRPr="001D0846" w:rsidRDefault="00714F5D" w:rsidP="00714F5D">
      <w:pPr>
        <w:pStyle w:val="2"/>
        <w:jc w:val="both"/>
        <w:rPr>
          <w:rFonts w:ascii="Times New Roman" w:hAnsi="Times New Roman" w:cs="Times New Roman"/>
          <w:i/>
          <w:color w:val="000000" w:themeColor="text1"/>
          <w:sz w:val="28"/>
          <w:szCs w:val="28"/>
          <w:lang w:val="ro-MD" w:eastAsia="ru-RU"/>
        </w:rPr>
      </w:pPr>
      <w:bookmarkStart w:id="35" w:name="_Toc515344964"/>
      <w:bookmarkStart w:id="36" w:name="_Toc515894902"/>
      <w:r w:rsidRPr="001D0846">
        <w:rPr>
          <w:rFonts w:ascii="Times New Roman" w:hAnsi="Times New Roman" w:cs="Times New Roman"/>
          <w:b/>
          <w:i/>
          <w:color w:val="000000" w:themeColor="text1"/>
          <w:sz w:val="28"/>
          <w:szCs w:val="28"/>
          <w:lang w:val="ro-MD" w:eastAsia="ru-RU"/>
        </w:rPr>
        <w:lastRenderedPageBreak/>
        <w:t>Anexa nr.4</w:t>
      </w:r>
      <w:r>
        <w:rPr>
          <w:rFonts w:ascii="Times New Roman" w:hAnsi="Times New Roman" w:cs="Times New Roman"/>
          <w:b/>
          <w:i/>
          <w:color w:val="000000" w:themeColor="text1"/>
          <w:sz w:val="28"/>
          <w:szCs w:val="28"/>
          <w:lang w:val="ro-MD" w:eastAsia="ru-RU"/>
        </w:rPr>
        <w:t xml:space="preserve">. </w:t>
      </w:r>
      <w:r w:rsidRPr="001D0846">
        <w:rPr>
          <w:rFonts w:ascii="Times New Roman" w:hAnsi="Times New Roman" w:cs="Times New Roman"/>
          <w:i/>
          <w:color w:val="000000" w:themeColor="text1"/>
          <w:sz w:val="28"/>
          <w:szCs w:val="28"/>
          <w:lang w:val="ro-MD" w:eastAsia="ru-RU"/>
        </w:rPr>
        <w:t>Diagrame întocmite de către ech</w:t>
      </w:r>
      <w:r>
        <w:rPr>
          <w:rFonts w:ascii="Times New Roman" w:hAnsi="Times New Roman" w:cs="Times New Roman"/>
          <w:i/>
          <w:color w:val="000000" w:themeColor="text1"/>
          <w:sz w:val="28"/>
          <w:szCs w:val="28"/>
          <w:lang w:val="ro-MD" w:eastAsia="ru-RU"/>
        </w:rPr>
        <w:t>i</w:t>
      </w:r>
      <w:r w:rsidRPr="001D0846">
        <w:rPr>
          <w:rFonts w:ascii="Times New Roman" w:hAnsi="Times New Roman" w:cs="Times New Roman"/>
          <w:i/>
          <w:color w:val="000000" w:themeColor="text1"/>
          <w:sz w:val="28"/>
          <w:szCs w:val="28"/>
          <w:lang w:val="ro-MD" w:eastAsia="ru-RU"/>
        </w:rPr>
        <w:t>pa de audit în baza informațiilor prezentate de entități.</w:t>
      </w:r>
      <w:bookmarkEnd w:id="35"/>
      <w:bookmarkEnd w:id="36"/>
    </w:p>
    <w:p w:rsidR="00714F5D" w:rsidRPr="001D0846" w:rsidRDefault="00714F5D" w:rsidP="00714F5D">
      <w:pPr>
        <w:spacing w:after="0" w:line="276" w:lineRule="auto"/>
        <w:ind w:right="-331"/>
        <w:jc w:val="center"/>
        <w:rPr>
          <w:rFonts w:ascii="Times New Roman" w:eastAsia="Calibri" w:hAnsi="Times New Roman" w:cs="Times New Roman"/>
          <w:i/>
          <w:sz w:val="20"/>
          <w:szCs w:val="20"/>
          <w:lang w:val="ro-MD"/>
        </w:rPr>
      </w:pPr>
      <w:r w:rsidRPr="001D0846">
        <w:rPr>
          <w:rFonts w:ascii="Times New Roman" w:hAnsi="Times New Roman" w:cs="Times New Roman"/>
          <w:b/>
          <w:i/>
          <w:sz w:val="28"/>
          <w:szCs w:val="28"/>
          <w:lang w:val="ro-MD" w:eastAsia="ru-RU"/>
        </w:rPr>
        <w:t xml:space="preserve">                                                                                                   </w:t>
      </w:r>
    </w:p>
    <w:p w:rsidR="00714F5D" w:rsidRPr="001D0846" w:rsidRDefault="00714F5D" w:rsidP="00714F5D">
      <w:pPr>
        <w:spacing w:after="0" w:line="276" w:lineRule="auto"/>
        <w:ind w:right="-334"/>
        <w:jc w:val="right"/>
        <w:rPr>
          <w:rFonts w:ascii="Times New Roman" w:hAnsi="Times New Roman" w:cs="Times New Roman"/>
          <w:i/>
          <w:sz w:val="24"/>
          <w:szCs w:val="24"/>
          <w:lang w:val="ro-MD" w:eastAsia="ru-RU"/>
        </w:rPr>
      </w:pPr>
      <w:r>
        <w:rPr>
          <w:rFonts w:ascii="Times New Roman" w:hAnsi="Times New Roman" w:cs="Times New Roman"/>
          <w:b/>
          <w:i/>
          <w:sz w:val="28"/>
          <w:szCs w:val="28"/>
          <w:lang w:val="ro-MD" w:eastAsia="ru-RU"/>
        </w:rPr>
        <w:t>Diagrama nr.6</w:t>
      </w:r>
      <w:r w:rsidRPr="001D0846">
        <w:rPr>
          <w:rFonts w:ascii="Times New Roman" w:hAnsi="Times New Roman" w:cs="Times New Roman"/>
          <w:i/>
          <w:sz w:val="24"/>
          <w:szCs w:val="24"/>
          <w:lang w:val="ro-MD" w:eastAsia="ru-RU"/>
        </w:rPr>
        <w:t xml:space="preserve">  </w:t>
      </w:r>
    </w:p>
    <w:p w:rsidR="00714F5D" w:rsidRPr="001D0846" w:rsidRDefault="00714F5D" w:rsidP="00714F5D">
      <w:pPr>
        <w:spacing w:after="0" w:line="276" w:lineRule="auto"/>
        <w:ind w:right="-334"/>
        <w:jc w:val="right"/>
        <w:rPr>
          <w:rFonts w:ascii="Times New Roman" w:hAnsi="Times New Roman" w:cs="Times New Roman"/>
          <w:i/>
          <w:sz w:val="24"/>
          <w:szCs w:val="24"/>
          <w:lang w:val="ro-MD" w:eastAsia="ru-RU"/>
        </w:rPr>
      </w:pPr>
      <w:r w:rsidRPr="001D0846">
        <w:rPr>
          <w:rFonts w:ascii="Times New Roman" w:hAnsi="Times New Roman" w:cs="Times New Roman"/>
          <w:i/>
          <w:sz w:val="24"/>
          <w:szCs w:val="24"/>
          <w:lang w:val="ro-MD" w:eastAsia="ru-RU"/>
        </w:rPr>
        <w:t xml:space="preserve">                                                                                                   (</w:t>
      </w:r>
      <w:proofErr w:type="spellStart"/>
      <w:r w:rsidRPr="001D0846">
        <w:rPr>
          <w:rFonts w:ascii="Times New Roman" w:hAnsi="Times New Roman" w:cs="Times New Roman"/>
          <w:i/>
          <w:sz w:val="24"/>
          <w:szCs w:val="24"/>
          <w:lang w:val="ro-MD" w:eastAsia="ru-RU"/>
        </w:rPr>
        <w:t>ml</w:t>
      </w:r>
      <w:r>
        <w:rPr>
          <w:rFonts w:ascii="Times New Roman" w:hAnsi="Times New Roman" w:cs="Times New Roman"/>
          <w:i/>
          <w:sz w:val="24"/>
          <w:szCs w:val="24"/>
          <w:lang w:val="ro-MD" w:eastAsia="ru-RU"/>
        </w:rPr>
        <w:t>r</w:t>
      </w:r>
      <w:r w:rsidRPr="001D0846">
        <w:rPr>
          <w:rFonts w:ascii="Times New Roman" w:hAnsi="Times New Roman" w:cs="Times New Roman"/>
          <w:i/>
          <w:sz w:val="24"/>
          <w:szCs w:val="24"/>
          <w:lang w:val="ro-MD" w:eastAsia="ru-RU"/>
        </w:rPr>
        <w:t>d.lei</w:t>
      </w:r>
      <w:proofErr w:type="spellEnd"/>
      <w:r w:rsidRPr="001D0846">
        <w:rPr>
          <w:rFonts w:ascii="Times New Roman" w:hAnsi="Times New Roman" w:cs="Times New Roman"/>
          <w:i/>
          <w:sz w:val="24"/>
          <w:szCs w:val="24"/>
          <w:lang w:val="ro-MD" w:eastAsia="ru-RU"/>
        </w:rPr>
        <w:t>)</w:t>
      </w:r>
    </w:p>
    <w:p w:rsidR="00714F5D" w:rsidRPr="001D0846" w:rsidRDefault="00714F5D" w:rsidP="00714F5D">
      <w:pPr>
        <w:tabs>
          <w:tab w:val="left" w:pos="5316"/>
        </w:tabs>
        <w:spacing w:after="0" w:line="276" w:lineRule="auto"/>
        <w:ind w:right="-334"/>
        <w:rPr>
          <w:rFonts w:ascii="Times New Roman" w:hAnsi="Times New Roman" w:cs="Times New Roman"/>
          <w:sz w:val="28"/>
          <w:szCs w:val="28"/>
          <w:lang w:val="ro-MD"/>
        </w:rPr>
      </w:pPr>
      <w:r w:rsidRPr="001D0846">
        <w:rPr>
          <w:rFonts w:ascii="Times New Roman" w:hAnsi="Times New Roman" w:cs="Times New Roman"/>
          <w:noProof/>
          <w:sz w:val="16"/>
          <w:szCs w:val="16"/>
          <w:lang w:val="ru-RU" w:eastAsia="ru-RU"/>
        </w:rPr>
        <w:drawing>
          <wp:inline distT="0" distB="0" distL="0" distR="0" wp14:anchorId="33B20EB6" wp14:editId="50EB3535">
            <wp:extent cx="6152515" cy="2926080"/>
            <wp:effectExtent l="0" t="0" r="635" b="7620"/>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4F5D" w:rsidRPr="001D0846" w:rsidRDefault="00714F5D" w:rsidP="00714F5D">
      <w:pPr>
        <w:spacing w:after="0" w:line="240" w:lineRule="auto"/>
        <w:ind w:right="-331"/>
        <w:jc w:val="both"/>
        <w:rPr>
          <w:rFonts w:ascii="Times New Roman" w:eastAsia="Calibri" w:hAnsi="Times New Roman" w:cs="Times New Roman"/>
          <w:i/>
          <w:sz w:val="20"/>
          <w:szCs w:val="20"/>
          <w:lang w:val="ro-MD"/>
        </w:rPr>
      </w:pPr>
      <w:r w:rsidRPr="001D0846">
        <w:rPr>
          <w:rFonts w:ascii="Times New Roman" w:eastAsia="Calibri" w:hAnsi="Times New Roman" w:cs="Times New Roman"/>
          <w:b/>
          <w:i/>
          <w:sz w:val="20"/>
          <w:szCs w:val="20"/>
          <w:lang w:val="ro-MD"/>
        </w:rPr>
        <w:t>Sursă:</w:t>
      </w:r>
      <w:r w:rsidRPr="001D0846">
        <w:rPr>
          <w:rFonts w:ascii="Times New Roman" w:eastAsia="Calibri" w:hAnsi="Times New Roman" w:cs="Times New Roman"/>
          <w:i/>
          <w:sz w:val="20"/>
          <w:szCs w:val="20"/>
          <w:lang w:val="ro-MD"/>
        </w:rPr>
        <w:t xml:space="preserve"> Date</w:t>
      </w:r>
      <w:r>
        <w:rPr>
          <w:rFonts w:ascii="Times New Roman" w:eastAsia="Calibri" w:hAnsi="Times New Roman" w:cs="Times New Roman"/>
          <w:i/>
          <w:sz w:val="20"/>
          <w:szCs w:val="20"/>
          <w:lang w:val="ro-MD"/>
        </w:rPr>
        <w:t>le</w:t>
      </w:r>
      <w:r w:rsidRPr="001D0846">
        <w:rPr>
          <w:rFonts w:ascii="Times New Roman" w:eastAsia="Calibri" w:hAnsi="Times New Roman" w:cs="Times New Roman"/>
          <w:i/>
          <w:sz w:val="20"/>
          <w:szCs w:val="20"/>
          <w:lang w:val="ro-MD"/>
        </w:rPr>
        <w:t xml:space="preserve"> generalizate de către echipa de audit în baza informațiilor din dările de seamă privind încasările la BPN administrate de SFS pe anii 2015-2017, precum și anuarul statistic.</w:t>
      </w:r>
    </w:p>
    <w:p w:rsidR="00714F5D" w:rsidRDefault="00714F5D" w:rsidP="00714F5D">
      <w:pPr>
        <w:spacing w:after="0" w:line="276" w:lineRule="auto"/>
        <w:ind w:right="-331" w:firstLine="720"/>
        <w:jc w:val="right"/>
        <w:rPr>
          <w:rFonts w:ascii="Times New Roman" w:hAnsi="Times New Roman" w:cs="Times New Roman"/>
          <w:b/>
          <w:i/>
          <w:sz w:val="28"/>
          <w:szCs w:val="28"/>
          <w:highlight w:val="magenta"/>
          <w:lang w:val="ro-MD"/>
        </w:rPr>
      </w:pPr>
    </w:p>
    <w:p w:rsidR="00714F5D" w:rsidRPr="001D0846" w:rsidRDefault="00714F5D" w:rsidP="00714F5D">
      <w:pPr>
        <w:tabs>
          <w:tab w:val="left" w:pos="284"/>
          <w:tab w:val="left" w:pos="851"/>
          <w:tab w:val="left" w:pos="1134"/>
        </w:tabs>
        <w:spacing w:after="0" w:line="276" w:lineRule="auto"/>
        <w:ind w:right="-334"/>
        <w:jc w:val="right"/>
        <w:rPr>
          <w:rFonts w:ascii="Times New Roman" w:hAnsi="Times New Roman" w:cs="Times New Roman"/>
          <w:b/>
          <w:i/>
          <w:sz w:val="28"/>
          <w:szCs w:val="28"/>
          <w:lang w:val="ro-MD"/>
        </w:rPr>
      </w:pPr>
      <w:r w:rsidRPr="001D0846">
        <w:rPr>
          <w:rFonts w:ascii="Times New Roman" w:hAnsi="Times New Roman" w:cs="Times New Roman"/>
          <w:b/>
          <w:i/>
          <w:sz w:val="28"/>
          <w:szCs w:val="28"/>
          <w:lang w:val="ro-MD"/>
        </w:rPr>
        <w:t>Diagrama nr.</w:t>
      </w:r>
      <w:r>
        <w:rPr>
          <w:rFonts w:ascii="Times New Roman" w:hAnsi="Times New Roman" w:cs="Times New Roman"/>
          <w:b/>
          <w:i/>
          <w:sz w:val="28"/>
          <w:szCs w:val="28"/>
          <w:lang w:val="ro-MD"/>
        </w:rPr>
        <w:t>7</w:t>
      </w:r>
    </w:p>
    <w:p w:rsidR="00714F5D" w:rsidRPr="00FD037B" w:rsidRDefault="00714F5D" w:rsidP="00714F5D">
      <w:pPr>
        <w:tabs>
          <w:tab w:val="left" w:pos="284"/>
          <w:tab w:val="left" w:pos="851"/>
          <w:tab w:val="left" w:pos="1134"/>
        </w:tabs>
        <w:spacing w:after="0" w:line="276" w:lineRule="auto"/>
        <w:ind w:right="-334"/>
        <w:jc w:val="right"/>
        <w:rPr>
          <w:rFonts w:ascii="Times New Roman" w:hAnsi="Times New Roman" w:cs="Times New Roman"/>
          <w:sz w:val="24"/>
          <w:szCs w:val="24"/>
          <w:lang w:val="ro-MD"/>
        </w:rPr>
      </w:pPr>
      <w:r w:rsidRPr="00FD037B">
        <w:rPr>
          <w:rFonts w:ascii="Times New Roman" w:hAnsi="Times New Roman" w:cs="Times New Roman"/>
          <w:i/>
          <w:sz w:val="24"/>
          <w:szCs w:val="24"/>
          <w:lang w:val="ro-MD"/>
        </w:rPr>
        <w:t>(mil.lei)</w:t>
      </w:r>
    </w:p>
    <w:p w:rsidR="00714F5D" w:rsidRPr="001D0846" w:rsidRDefault="00714F5D" w:rsidP="00714F5D">
      <w:pPr>
        <w:tabs>
          <w:tab w:val="left" w:pos="284"/>
          <w:tab w:val="left" w:pos="851"/>
          <w:tab w:val="left" w:pos="1134"/>
        </w:tabs>
        <w:spacing w:after="0" w:line="276" w:lineRule="auto"/>
        <w:ind w:right="-334"/>
        <w:jc w:val="both"/>
        <w:rPr>
          <w:rFonts w:ascii="Times New Roman" w:hAnsi="Times New Roman" w:cs="Times New Roman"/>
          <w:sz w:val="28"/>
          <w:szCs w:val="28"/>
          <w:lang w:val="ro-MD"/>
        </w:rPr>
      </w:pPr>
      <w:r w:rsidRPr="001D0846">
        <w:rPr>
          <w:rFonts w:ascii="Times New Roman" w:hAnsi="Times New Roman" w:cs="Times New Roman"/>
          <w:noProof/>
          <w:lang w:val="ru-RU" w:eastAsia="ru-RU"/>
        </w:rPr>
        <w:drawing>
          <wp:inline distT="0" distB="0" distL="0" distR="0" wp14:anchorId="6A650AF7" wp14:editId="4162A855">
            <wp:extent cx="6126480" cy="2811780"/>
            <wp:effectExtent l="0" t="0" r="7620" b="762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4F5D" w:rsidRPr="001D0846" w:rsidRDefault="00714F5D" w:rsidP="00714F5D">
      <w:pPr>
        <w:tabs>
          <w:tab w:val="left" w:pos="7896"/>
          <w:tab w:val="left" w:pos="8680"/>
        </w:tabs>
        <w:spacing w:after="0" w:line="240" w:lineRule="auto"/>
        <w:ind w:right="-331"/>
        <w:jc w:val="both"/>
        <w:rPr>
          <w:rFonts w:ascii="Times New Roman" w:hAnsi="Times New Roman" w:cs="Times New Roman"/>
          <w:i/>
          <w:sz w:val="20"/>
          <w:szCs w:val="20"/>
          <w:lang w:val="ro-MD"/>
        </w:rPr>
      </w:pPr>
      <w:r w:rsidRPr="001D0846">
        <w:rPr>
          <w:rFonts w:ascii="Times New Roman" w:hAnsi="Times New Roman" w:cs="Times New Roman"/>
          <w:b/>
          <w:i/>
          <w:sz w:val="20"/>
          <w:szCs w:val="20"/>
          <w:lang w:val="ro-MD"/>
        </w:rPr>
        <w:t>Sursă:</w:t>
      </w:r>
      <w:r w:rsidRPr="001D0846">
        <w:rPr>
          <w:rFonts w:ascii="Times New Roman" w:hAnsi="Times New Roman" w:cs="Times New Roman"/>
          <w:i/>
          <w:sz w:val="20"/>
          <w:szCs w:val="20"/>
          <w:lang w:val="ro-MD"/>
        </w:rPr>
        <w:t xml:space="preserve"> Dările de seamă privind încasările la </w:t>
      </w:r>
      <w:r w:rsidRPr="00E330C1">
        <w:rPr>
          <w:rFonts w:ascii="Times New Roman" w:hAnsi="Times New Roman" w:cs="Times New Roman"/>
          <w:i/>
          <w:sz w:val="20"/>
          <w:szCs w:val="20"/>
          <w:lang w:val="ro-MD"/>
        </w:rPr>
        <w:t>b</w:t>
      </w:r>
      <w:r w:rsidRPr="00E77D9A">
        <w:rPr>
          <w:rFonts w:ascii="Times New Roman" w:hAnsi="Times New Roman" w:cs="Times New Roman"/>
          <w:i/>
          <w:sz w:val="20"/>
          <w:szCs w:val="20"/>
          <w:lang w:val="ro-MD"/>
        </w:rPr>
        <w:t xml:space="preserve">ugetul </w:t>
      </w:r>
      <w:r w:rsidRPr="00E330C1">
        <w:rPr>
          <w:rFonts w:ascii="Times New Roman" w:hAnsi="Times New Roman" w:cs="Times New Roman"/>
          <w:i/>
          <w:sz w:val="20"/>
          <w:szCs w:val="20"/>
          <w:lang w:val="ro-MD"/>
        </w:rPr>
        <w:t>p</w:t>
      </w:r>
      <w:r w:rsidRPr="00E77D9A">
        <w:rPr>
          <w:rFonts w:ascii="Times New Roman" w:hAnsi="Times New Roman" w:cs="Times New Roman"/>
          <w:i/>
          <w:sz w:val="20"/>
          <w:szCs w:val="20"/>
          <w:lang w:val="ro-MD"/>
        </w:rPr>
        <w:t xml:space="preserve">ublic </w:t>
      </w:r>
      <w:r w:rsidRPr="00E330C1">
        <w:rPr>
          <w:rFonts w:ascii="Times New Roman" w:hAnsi="Times New Roman" w:cs="Times New Roman"/>
          <w:i/>
          <w:sz w:val="20"/>
          <w:szCs w:val="20"/>
          <w:lang w:val="ro-MD"/>
        </w:rPr>
        <w:t>n</w:t>
      </w:r>
      <w:r w:rsidRPr="00E77D9A">
        <w:rPr>
          <w:rFonts w:ascii="Times New Roman" w:hAnsi="Times New Roman" w:cs="Times New Roman"/>
          <w:i/>
          <w:sz w:val="20"/>
          <w:szCs w:val="20"/>
          <w:lang w:val="ro-MD"/>
        </w:rPr>
        <w:t>ațional</w:t>
      </w:r>
      <w:r w:rsidRPr="001D0846">
        <w:rPr>
          <w:rFonts w:ascii="Times New Roman" w:hAnsi="Times New Roman" w:cs="Times New Roman"/>
          <w:i/>
          <w:sz w:val="20"/>
          <w:szCs w:val="20"/>
          <w:lang w:val="ro-MD"/>
        </w:rPr>
        <w:t xml:space="preserve"> administrate de </w:t>
      </w:r>
      <w:r>
        <w:rPr>
          <w:rFonts w:ascii="Times New Roman" w:hAnsi="Times New Roman" w:cs="Times New Roman"/>
          <w:i/>
          <w:sz w:val="20"/>
          <w:szCs w:val="20"/>
          <w:lang w:val="ro-MD"/>
        </w:rPr>
        <w:t xml:space="preserve">către </w:t>
      </w:r>
      <w:r w:rsidRPr="001D0846">
        <w:rPr>
          <w:rFonts w:ascii="Times New Roman" w:hAnsi="Times New Roman" w:cs="Times New Roman"/>
          <w:i/>
          <w:sz w:val="20"/>
          <w:szCs w:val="20"/>
          <w:lang w:val="ro-MD"/>
        </w:rPr>
        <w:t>SFS corespunzător clasificației veniturilor bugetare pentru anii 2015-2017.</w:t>
      </w:r>
    </w:p>
    <w:p w:rsidR="00714F5D" w:rsidRPr="001D0846" w:rsidRDefault="00714F5D" w:rsidP="00714F5D">
      <w:pPr>
        <w:spacing w:after="0" w:line="240" w:lineRule="auto"/>
        <w:ind w:right="-331"/>
        <w:rPr>
          <w:rFonts w:ascii="Times New Roman" w:hAnsi="Times New Roman" w:cs="Times New Roman"/>
          <w:b/>
          <w:i/>
          <w:sz w:val="28"/>
          <w:szCs w:val="28"/>
          <w:lang w:val="ro-MD"/>
        </w:rPr>
      </w:pPr>
    </w:p>
    <w:p w:rsidR="00714F5D" w:rsidRPr="00FD037B" w:rsidRDefault="00714F5D" w:rsidP="00714F5D">
      <w:pPr>
        <w:spacing w:after="0" w:line="276" w:lineRule="auto"/>
        <w:ind w:right="-331" w:firstLine="720"/>
        <w:jc w:val="right"/>
        <w:rPr>
          <w:rFonts w:ascii="Times New Roman" w:hAnsi="Times New Roman" w:cs="Times New Roman"/>
          <w:b/>
          <w:i/>
          <w:sz w:val="28"/>
          <w:szCs w:val="28"/>
          <w:lang w:val="ro-MD"/>
        </w:rPr>
      </w:pPr>
      <w:r w:rsidRPr="00FD037B">
        <w:rPr>
          <w:rFonts w:ascii="Times New Roman" w:hAnsi="Times New Roman" w:cs="Times New Roman"/>
          <w:b/>
          <w:i/>
          <w:sz w:val="28"/>
          <w:szCs w:val="28"/>
          <w:lang w:val="ro-MD"/>
        </w:rPr>
        <w:lastRenderedPageBreak/>
        <w:t>Diagrama nr.</w:t>
      </w:r>
      <w:r>
        <w:rPr>
          <w:rFonts w:ascii="Times New Roman" w:hAnsi="Times New Roman" w:cs="Times New Roman"/>
          <w:b/>
          <w:i/>
          <w:sz w:val="28"/>
          <w:szCs w:val="28"/>
          <w:lang w:val="ro-MD"/>
        </w:rPr>
        <w:t>8</w:t>
      </w:r>
    </w:p>
    <w:p w:rsidR="00714F5D" w:rsidRPr="00FD037B" w:rsidRDefault="00714F5D" w:rsidP="00714F5D">
      <w:pPr>
        <w:spacing w:after="0" w:line="276" w:lineRule="auto"/>
        <w:ind w:right="-331" w:firstLine="720"/>
        <w:jc w:val="right"/>
        <w:rPr>
          <w:rFonts w:ascii="Times New Roman" w:hAnsi="Times New Roman" w:cs="Times New Roman"/>
          <w:i/>
          <w:sz w:val="24"/>
          <w:szCs w:val="24"/>
          <w:lang w:val="ro-MD"/>
        </w:rPr>
      </w:pPr>
      <w:r w:rsidRPr="00FD037B">
        <w:rPr>
          <w:rFonts w:ascii="Times New Roman" w:hAnsi="Times New Roman" w:cs="Times New Roman"/>
          <w:i/>
          <w:sz w:val="24"/>
          <w:szCs w:val="24"/>
          <w:lang w:val="ro-MD"/>
        </w:rPr>
        <w:t>(</w:t>
      </w:r>
      <w:proofErr w:type="spellStart"/>
      <w:r w:rsidRPr="00FD037B">
        <w:rPr>
          <w:rFonts w:ascii="Times New Roman" w:hAnsi="Times New Roman" w:cs="Times New Roman"/>
          <w:i/>
          <w:sz w:val="24"/>
          <w:szCs w:val="24"/>
          <w:lang w:val="ro-MD"/>
        </w:rPr>
        <w:t>mlrd.lei</w:t>
      </w:r>
      <w:proofErr w:type="spellEnd"/>
      <w:r w:rsidRPr="00FD037B">
        <w:rPr>
          <w:rFonts w:ascii="Times New Roman" w:hAnsi="Times New Roman" w:cs="Times New Roman"/>
          <w:i/>
          <w:sz w:val="24"/>
          <w:szCs w:val="24"/>
          <w:lang w:val="ro-MD"/>
        </w:rPr>
        <w:t>)</w:t>
      </w:r>
    </w:p>
    <w:p w:rsidR="00714F5D" w:rsidRPr="001D0846" w:rsidRDefault="00714F5D" w:rsidP="00714F5D">
      <w:pPr>
        <w:spacing w:after="0" w:line="276" w:lineRule="auto"/>
        <w:ind w:right="-334"/>
        <w:jc w:val="both"/>
        <w:rPr>
          <w:rFonts w:ascii="Times New Roman" w:hAnsi="Times New Roman" w:cs="Times New Roman"/>
          <w:sz w:val="28"/>
          <w:szCs w:val="28"/>
          <w:lang w:val="ro-MD"/>
        </w:rPr>
      </w:pPr>
      <w:r w:rsidRPr="001D0846">
        <w:rPr>
          <w:rFonts w:ascii="Times New Roman" w:hAnsi="Times New Roman" w:cs="Times New Roman"/>
          <w:noProof/>
          <w:lang w:val="ru-RU" w:eastAsia="ru-RU"/>
        </w:rPr>
        <w:drawing>
          <wp:inline distT="0" distB="0" distL="0" distR="0" wp14:anchorId="00E08F5D" wp14:editId="41E88507">
            <wp:extent cx="6134100" cy="3133725"/>
            <wp:effectExtent l="0" t="0" r="0" b="9525"/>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4F5D" w:rsidRPr="001D0846" w:rsidRDefault="00714F5D" w:rsidP="00714F5D">
      <w:pPr>
        <w:spacing w:after="0" w:line="276" w:lineRule="auto"/>
        <w:ind w:right="-334"/>
        <w:jc w:val="both"/>
        <w:rPr>
          <w:rFonts w:ascii="Times New Roman" w:eastAsia="Calibri" w:hAnsi="Times New Roman" w:cs="Times New Roman"/>
          <w:i/>
          <w:sz w:val="20"/>
          <w:szCs w:val="20"/>
          <w:lang w:val="ro-MD"/>
        </w:rPr>
      </w:pPr>
      <w:r w:rsidRPr="001D0846">
        <w:rPr>
          <w:rFonts w:ascii="Times New Roman" w:eastAsia="Calibri" w:hAnsi="Times New Roman" w:cs="Times New Roman"/>
          <w:b/>
          <w:i/>
          <w:sz w:val="20"/>
          <w:szCs w:val="20"/>
          <w:lang w:val="ro-MD"/>
        </w:rPr>
        <w:t>Sursă:</w:t>
      </w:r>
      <w:r w:rsidRPr="001D0846">
        <w:rPr>
          <w:rFonts w:ascii="Times New Roman" w:eastAsia="Calibri" w:hAnsi="Times New Roman" w:cs="Times New Roman"/>
          <w:i/>
          <w:sz w:val="20"/>
          <w:szCs w:val="20"/>
          <w:lang w:val="ro-MD"/>
        </w:rPr>
        <w:t xml:space="preserve"> Date</w:t>
      </w:r>
      <w:r>
        <w:rPr>
          <w:rFonts w:ascii="Times New Roman" w:eastAsia="Calibri" w:hAnsi="Times New Roman" w:cs="Times New Roman"/>
          <w:i/>
          <w:sz w:val="20"/>
          <w:szCs w:val="20"/>
          <w:lang w:val="ro-MD"/>
        </w:rPr>
        <w:t>le</w:t>
      </w:r>
      <w:r w:rsidRPr="001D0846">
        <w:rPr>
          <w:rFonts w:ascii="Times New Roman" w:eastAsia="Calibri" w:hAnsi="Times New Roman" w:cs="Times New Roman"/>
          <w:i/>
          <w:sz w:val="20"/>
          <w:szCs w:val="20"/>
          <w:lang w:val="ro-MD"/>
        </w:rPr>
        <w:t xml:space="preserve"> generalizate de către echipa de audit în baza informațiilor din dările de seamă privind încasările la</w:t>
      </w:r>
      <w:r>
        <w:rPr>
          <w:rFonts w:ascii="Times New Roman" w:eastAsia="Calibri" w:hAnsi="Times New Roman" w:cs="Times New Roman"/>
          <w:i/>
          <w:sz w:val="20"/>
          <w:szCs w:val="20"/>
          <w:lang w:val="ro-MD"/>
        </w:rPr>
        <w:t xml:space="preserve"> BS</w:t>
      </w:r>
    </w:p>
    <w:p w:rsidR="00714F5D" w:rsidRPr="001D0846" w:rsidRDefault="00714F5D" w:rsidP="00714F5D">
      <w:pPr>
        <w:spacing w:after="0" w:line="276" w:lineRule="auto"/>
        <w:ind w:right="-334"/>
        <w:jc w:val="both"/>
        <w:rPr>
          <w:rFonts w:ascii="Times New Roman" w:eastAsia="Calibri" w:hAnsi="Times New Roman" w:cs="Times New Roman"/>
          <w:i/>
          <w:sz w:val="20"/>
          <w:szCs w:val="20"/>
          <w:lang w:val="ro-MD"/>
        </w:rPr>
      </w:pPr>
      <w:r w:rsidRPr="001D0846">
        <w:rPr>
          <w:rFonts w:ascii="Times New Roman" w:eastAsia="Calibri" w:hAnsi="Times New Roman" w:cs="Times New Roman"/>
          <w:i/>
          <w:sz w:val="20"/>
          <w:szCs w:val="20"/>
          <w:lang w:val="ro-MD"/>
        </w:rPr>
        <w:t>administrate de SV pe anii 2015-2017, precum și anuarul statistic.</w:t>
      </w:r>
    </w:p>
    <w:p w:rsidR="00714F5D" w:rsidRPr="001D0846" w:rsidRDefault="00714F5D" w:rsidP="00714F5D">
      <w:pPr>
        <w:tabs>
          <w:tab w:val="left" w:pos="284"/>
          <w:tab w:val="left" w:pos="851"/>
          <w:tab w:val="left" w:pos="1134"/>
        </w:tabs>
        <w:spacing w:after="0" w:line="276" w:lineRule="auto"/>
        <w:ind w:right="-334"/>
        <w:rPr>
          <w:rFonts w:ascii="Times New Roman" w:hAnsi="Times New Roman" w:cs="Times New Roman"/>
          <w:b/>
          <w:i/>
          <w:sz w:val="28"/>
          <w:szCs w:val="28"/>
          <w:lang w:val="ro-MD"/>
        </w:rPr>
      </w:pPr>
    </w:p>
    <w:p w:rsidR="00714F5D" w:rsidRPr="001D0846" w:rsidRDefault="00714F5D" w:rsidP="00714F5D">
      <w:pPr>
        <w:spacing w:after="0" w:line="276" w:lineRule="auto"/>
        <w:ind w:right="-334" w:firstLine="720"/>
        <w:jc w:val="right"/>
        <w:rPr>
          <w:rFonts w:ascii="Times New Roman" w:hAnsi="Times New Roman" w:cs="Times New Roman"/>
          <w:b/>
          <w:i/>
          <w:sz w:val="28"/>
          <w:szCs w:val="28"/>
          <w:lang w:val="ro-MD"/>
        </w:rPr>
      </w:pPr>
      <w:r>
        <w:rPr>
          <w:rFonts w:ascii="Times New Roman" w:hAnsi="Times New Roman" w:cs="Times New Roman"/>
          <w:b/>
          <w:i/>
          <w:sz w:val="28"/>
          <w:szCs w:val="28"/>
          <w:lang w:val="ro-MD"/>
        </w:rPr>
        <w:t>Diagrama nr.9</w:t>
      </w:r>
    </w:p>
    <w:p w:rsidR="00714F5D" w:rsidRPr="001D0846" w:rsidRDefault="00714F5D" w:rsidP="00714F5D">
      <w:pPr>
        <w:spacing w:after="0" w:line="276" w:lineRule="auto"/>
        <w:ind w:right="-334" w:firstLine="720"/>
        <w:jc w:val="right"/>
        <w:rPr>
          <w:rFonts w:ascii="Times New Roman" w:hAnsi="Times New Roman" w:cs="Times New Roman"/>
          <w:i/>
          <w:sz w:val="28"/>
          <w:szCs w:val="28"/>
          <w:lang w:val="ro-MD"/>
        </w:rPr>
      </w:pPr>
      <w:r w:rsidRPr="001D0846">
        <w:rPr>
          <w:rFonts w:ascii="Times New Roman" w:hAnsi="Times New Roman" w:cs="Times New Roman"/>
          <w:i/>
          <w:sz w:val="28"/>
          <w:szCs w:val="28"/>
          <w:lang w:val="ro-MD"/>
        </w:rPr>
        <w:t xml:space="preserve"> (</w:t>
      </w:r>
      <w:proofErr w:type="spellStart"/>
      <w:r w:rsidRPr="001D0846">
        <w:rPr>
          <w:rFonts w:ascii="Times New Roman" w:hAnsi="Times New Roman" w:cs="Times New Roman"/>
          <w:i/>
          <w:sz w:val="28"/>
          <w:szCs w:val="28"/>
          <w:lang w:val="ro-MD"/>
        </w:rPr>
        <w:t>ml</w:t>
      </w:r>
      <w:r>
        <w:rPr>
          <w:rFonts w:ascii="Times New Roman" w:hAnsi="Times New Roman" w:cs="Times New Roman"/>
          <w:i/>
          <w:sz w:val="28"/>
          <w:szCs w:val="28"/>
          <w:lang w:val="ro-MD"/>
        </w:rPr>
        <w:t>r</w:t>
      </w:r>
      <w:r w:rsidRPr="001D0846">
        <w:rPr>
          <w:rFonts w:ascii="Times New Roman" w:hAnsi="Times New Roman" w:cs="Times New Roman"/>
          <w:i/>
          <w:sz w:val="28"/>
          <w:szCs w:val="28"/>
          <w:lang w:val="ro-MD"/>
        </w:rPr>
        <w:t>d.lei</w:t>
      </w:r>
      <w:proofErr w:type="spellEnd"/>
      <w:r w:rsidRPr="001D0846">
        <w:rPr>
          <w:rFonts w:ascii="Times New Roman" w:hAnsi="Times New Roman" w:cs="Times New Roman"/>
          <w:i/>
          <w:sz w:val="28"/>
          <w:szCs w:val="28"/>
          <w:lang w:val="ro-MD"/>
        </w:rPr>
        <w:t>)</w:t>
      </w:r>
    </w:p>
    <w:p w:rsidR="00714F5D" w:rsidRPr="001D0846" w:rsidRDefault="00714F5D" w:rsidP="00714F5D">
      <w:pPr>
        <w:spacing w:after="0" w:line="276" w:lineRule="auto"/>
        <w:ind w:right="-334"/>
        <w:jc w:val="both"/>
        <w:rPr>
          <w:rFonts w:ascii="Times New Roman" w:hAnsi="Times New Roman" w:cs="Times New Roman"/>
          <w:i/>
          <w:sz w:val="20"/>
          <w:szCs w:val="20"/>
          <w:lang w:val="ro-MD"/>
        </w:rPr>
      </w:pPr>
      <w:r w:rsidRPr="001D0846">
        <w:rPr>
          <w:rFonts w:ascii="Times New Roman" w:hAnsi="Times New Roman" w:cs="Times New Roman"/>
          <w:noProof/>
          <w:sz w:val="28"/>
          <w:szCs w:val="28"/>
          <w:lang w:val="ru-RU" w:eastAsia="ru-RU"/>
        </w:rPr>
        <w:drawing>
          <wp:inline distT="0" distB="0" distL="0" distR="0" wp14:anchorId="104437C3" wp14:editId="241BE718">
            <wp:extent cx="6141720" cy="3063240"/>
            <wp:effectExtent l="0" t="0" r="11430" b="3810"/>
            <wp:docPr id="3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4F5D" w:rsidRPr="001D0846" w:rsidRDefault="00714F5D" w:rsidP="00714F5D">
      <w:pPr>
        <w:spacing w:after="0" w:line="240" w:lineRule="auto"/>
        <w:ind w:right="-331"/>
        <w:jc w:val="both"/>
        <w:rPr>
          <w:rFonts w:ascii="Times New Roman" w:eastAsia="Calibri" w:hAnsi="Times New Roman" w:cs="Times New Roman"/>
          <w:i/>
          <w:sz w:val="20"/>
          <w:szCs w:val="20"/>
          <w:lang w:val="ro-MD"/>
        </w:rPr>
      </w:pPr>
      <w:r w:rsidRPr="001D0846">
        <w:rPr>
          <w:rFonts w:ascii="Times New Roman" w:eastAsia="Calibri" w:hAnsi="Times New Roman" w:cs="Times New Roman"/>
          <w:b/>
          <w:i/>
          <w:sz w:val="20"/>
          <w:szCs w:val="20"/>
          <w:lang w:val="ro-MD"/>
        </w:rPr>
        <w:t>Sursă:</w:t>
      </w:r>
      <w:r w:rsidRPr="001D0846">
        <w:rPr>
          <w:rFonts w:ascii="Times New Roman" w:eastAsia="Calibri" w:hAnsi="Times New Roman" w:cs="Times New Roman"/>
          <w:i/>
          <w:sz w:val="20"/>
          <w:szCs w:val="20"/>
          <w:lang w:val="ro-MD"/>
        </w:rPr>
        <w:t xml:space="preserve"> Date</w:t>
      </w:r>
      <w:r>
        <w:rPr>
          <w:rFonts w:ascii="Times New Roman" w:eastAsia="Calibri" w:hAnsi="Times New Roman" w:cs="Times New Roman"/>
          <w:i/>
          <w:sz w:val="20"/>
          <w:szCs w:val="20"/>
          <w:lang w:val="ro-MD"/>
        </w:rPr>
        <w:t>le</w:t>
      </w:r>
      <w:r w:rsidRPr="001D0846">
        <w:rPr>
          <w:rFonts w:ascii="Times New Roman" w:eastAsia="Calibri" w:hAnsi="Times New Roman" w:cs="Times New Roman"/>
          <w:i/>
          <w:sz w:val="20"/>
          <w:szCs w:val="20"/>
          <w:lang w:val="ro-MD"/>
        </w:rPr>
        <w:t xml:space="preserve"> generalizate de către echipa de audit în baza informațiilor din dările de seamă privind încasările la BS administrate de SV pe anii 2015-2017.</w:t>
      </w:r>
    </w:p>
    <w:p w:rsidR="00714F5D" w:rsidRPr="001D0846" w:rsidRDefault="00714F5D" w:rsidP="00714F5D">
      <w:pPr>
        <w:spacing w:after="0" w:line="240" w:lineRule="auto"/>
        <w:ind w:right="-331"/>
        <w:jc w:val="both"/>
        <w:rPr>
          <w:rFonts w:ascii="Times New Roman" w:hAnsi="Times New Roman" w:cs="Times New Roman"/>
          <w:i/>
          <w:sz w:val="20"/>
          <w:szCs w:val="20"/>
          <w:lang w:val="ro-MD"/>
        </w:rPr>
      </w:pPr>
    </w:p>
    <w:p w:rsidR="00714F5D" w:rsidRPr="00576E18" w:rsidRDefault="00714F5D" w:rsidP="00714F5D">
      <w:pPr>
        <w:spacing w:after="0" w:line="276" w:lineRule="auto"/>
        <w:ind w:right="-255" w:firstLine="720"/>
        <w:jc w:val="right"/>
        <w:rPr>
          <w:rFonts w:ascii="Times New Roman" w:eastAsia="Calibri" w:hAnsi="Times New Roman" w:cs="Times New Roman"/>
          <w:b/>
          <w:sz w:val="28"/>
          <w:szCs w:val="28"/>
        </w:rPr>
      </w:pPr>
      <w:r w:rsidRPr="00576E18">
        <w:rPr>
          <w:rFonts w:ascii="Times New Roman" w:eastAsia="Calibri" w:hAnsi="Times New Roman" w:cs="Times New Roman"/>
          <w:b/>
          <w:sz w:val="28"/>
          <w:szCs w:val="28"/>
        </w:rPr>
        <w:lastRenderedPageBreak/>
        <w:t>Diagrama nr.10</w:t>
      </w:r>
    </w:p>
    <w:p w:rsidR="00714F5D" w:rsidRPr="001D0846" w:rsidRDefault="00714F5D" w:rsidP="00714F5D">
      <w:pPr>
        <w:spacing w:after="0" w:line="276" w:lineRule="auto"/>
        <w:ind w:right="-255" w:firstLine="720"/>
        <w:jc w:val="right"/>
        <w:rPr>
          <w:rFonts w:ascii="Times New Roman" w:eastAsia="Calibri" w:hAnsi="Times New Roman" w:cs="Times New Roman"/>
          <w:i/>
          <w:sz w:val="28"/>
          <w:szCs w:val="28"/>
        </w:rPr>
      </w:pPr>
      <w:r w:rsidRPr="00576E18">
        <w:rPr>
          <w:rFonts w:ascii="Times New Roman" w:eastAsia="Calibri" w:hAnsi="Times New Roman" w:cs="Times New Roman"/>
          <w:i/>
          <w:sz w:val="28"/>
          <w:szCs w:val="28"/>
        </w:rPr>
        <w:t>(mil.lei)</w:t>
      </w:r>
      <w:r w:rsidRPr="001D0846">
        <w:rPr>
          <w:rFonts w:ascii="Times New Roman" w:eastAsia="Calibri" w:hAnsi="Times New Roman" w:cs="Times New Roman"/>
          <w:i/>
          <w:sz w:val="28"/>
          <w:szCs w:val="28"/>
        </w:rPr>
        <w:t xml:space="preserve"> </w:t>
      </w:r>
    </w:p>
    <w:p w:rsidR="00714F5D" w:rsidRPr="001D0846" w:rsidRDefault="00714F5D" w:rsidP="00714F5D">
      <w:pPr>
        <w:spacing w:after="0" w:line="276" w:lineRule="auto"/>
        <w:jc w:val="center"/>
        <w:rPr>
          <w:rFonts w:ascii="Times New Roman" w:eastAsia="Calibri" w:hAnsi="Times New Roman" w:cs="Times New Roman"/>
          <w:b/>
          <w:sz w:val="24"/>
          <w:szCs w:val="24"/>
        </w:rPr>
      </w:pPr>
      <w:r w:rsidRPr="001D0846">
        <w:rPr>
          <w:rFonts w:ascii="Times New Roman" w:eastAsia="Times New Roman" w:hAnsi="Times New Roman" w:cs="Times New Roman"/>
          <w:noProof/>
          <w:color w:val="2E74B5"/>
          <w:sz w:val="32"/>
          <w:szCs w:val="32"/>
          <w:lang w:val="ru-RU" w:eastAsia="ru-RU"/>
        </w:rPr>
        <w:drawing>
          <wp:inline distT="0" distB="0" distL="0" distR="0" wp14:anchorId="5D7D407C" wp14:editId="291FBACD">
            <wp:extent cx="6126480" cy="2270760"/>
            <wp:effectExtent l="0" t="0" r="7620" b="152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4F5D" w:rsidRPr="001D0846"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dările de seamă privind restanțele la BPN administrate de SFS pe anii 2015-2017.</w:t>
      </w:r>
    </w:p>
    <w:p w:rsidR="00714F5D" w:rsidRPr="001D0846" w:rsidRDefault="00714F5D" w:rsidP="00714F5D">
      <w:pPr>
        <w:spacing w:after="0" w:line="276" w:lineRule="auto"/>
        <w:ind w:right="-334"/>
        <w:rPr>
          <w:rFonts w:ascii="Times New Roman" w:hAnsi="Times New Roman" w:cs="Times New Roman"/>
        </w:rPr>
      </w:pPr>
    </w:p>
    <w:p w:rsidR="00714F5D" w:rsidRDefault="00714F5D" w:rsidP="00714F5D">
      <w:pPr>
        <w:spacing w:after="0" w:line="276" w:lineRule="auto"/>
        <w:ind w:right="-334"/>
        <w:rPr>
          <w:rFonts w:ascii="Times New Roman" w:hAnsi="Times New Roman" w:cs="Times New Roman"/>
        </w:rPr>
      </w:pPr>
    </w:p>
    <w:p w:rsidR="00714F5D" w:rsidRPr="001D0846" w:rsidRDefault="00714F5D" w:rsidP="00714F5D">
      <w:pPr>
        <w:spacing w:after="0" w:line="276" w:lineRule="auto"/>
        <w:ind w:right="-334"/>
        <w:rPr>
          <w:rFonts w:ascii="Times New Roman" w:hAnsi="Times New Roman" w:cs="Times New Roman"/>
        </w:rPr>
      </w:pPr>
    </w:p>
    <w:p w:rsidR="00714F5D" w:rsidRPr="001D0846" w:rsidRDefault="00714F5D" w:rsidP="00714F5D">
      <w:pPr>
        <w:spacing w:after="0" w:line="276" w:lineRule="auto"/>
        <w:ind w:firstLine="709"/>
        <w:jc w:val="right"/>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Diagrama nr.11</w:t>
      </w:r>
      <w:r w:rsidRPr="001D0846">
        <w:rPr>
          <w:rFonts w:ascii="Times New Roman" w:eastAsia="Times New Roman" w:hAnsi="Times New Roman" w:cs="Times New Roman"/>
          <w:b/>
          <w:i/>
          <w:iCs/>
          <w:sz w:val="28"/>
          <w:szCs w:val="28"/>
        </w:rPr>
        <w:t xml:space="preserve"> </w:t>
      </w:r>
    </w:p>
    <w:p w:rsidR="00714F5D" w:rsidRPr="00576E18" w:rsidRDefault="00714F5D" w:rsidP="00714F5D">
      <w:pPr>
        <w:spacing w:after="0" w:line="276" w:lineRule="auto"/>
        <w:ind w:firstLine="709"/>
        <w:jc w:val="center"/>
        <w:rPr>
          <w:rFonts w:ascii="Times New Roman" w:eastAsia="Times New Roman" w:hAnsi="Times New Roman" w:cs="Times New Roman"/>
          <w:i/>
          <w:iCs/>
          <w:sz w:val="28"/>
          <w:szCs w:val="28"/>
        </w:rPr>
      </w:pPr>
      <w:r w:rsidRPr="00576E18">
        <w:rPr>
          <w:rFonts w:ascii="Times New Roman" w:eastAsia="Times New Roman" w:hAnsi="Times New Roman" w:cs="Times New Roman"/>
          <w:i/>
          <w:iCs/>
          <w:sz w:val="28"/>
          <w:szCs w:val="28"/>
        </w:rPr>
        <w:t>Evoluția restanțelor la plăți</w:t>
      </w:r>
      <w:r>
        <w:rPr>
          <w:rFonts w:ascii="Times New Roman" w:eastAsia="Times New Roman" w:hAnsi="Times New Roman" w:cs="Times New Roman"/>
          <w:i/>
          <w:iCs/>
          <w:sz w:val="28"/>
          <w:szCs w:val="28"/>
        </w:rPr>
        <w:t>le</w:t>
      </w:r>
      <w:r w:rsidRPr="00576E18">
        <w:rPr>
          <w:rFonts w:ascii="Times New Roman" w:eastAsia="Times New Roman" w:hAnsi="Times New Roman" w:cs="Times New Roman"/>
          <w:i/>
          <w:iCs/>
          <w:sz w:val="28"/>
          <w:szCs w:val="28"/>
        </w:rPr>
        <w:t xml:space="preserve"> de bază în aspectul tipurilor de impozite și taxe la BS/BUAT administrate de SFS pentru anii 2015-2017</w:t>
      </w:r>
    </w:p>
    <w:p w:rsidR="00714F5D" w:rsidRPr="001D0846" w:rsidRDefault="00714F5D" w:rsidP="00714F5D">
      <w:pPr>
        <w:spacing w:after="0" w:line="276" w:lineRule="auto"/>
        <w:ind w:firstLine="709"/>
        <w:jc w:val="right"/>
        <w:rPr>
          <w:rFonts w:ascii="Times New Roman" w:eastAsia="Times New Roman" w:hAnsi="Times New Roman" w:cs="Times New Roman"/>
          <w:i/>
          <w:iCs/>
          <w:sz w:val="28"/>
          <w:szCs w:val="28"/>
        </w:rPr>
      </w:pPr>
      <w:r w:rsidRPr="001D0846">
        <w:rPr>
          <w:rFonts w:ascii="Times New Roman" w:eastAsia="Times New Roman" w:hAnsi="Times New Roman" w:cs="Times New Roman"/>
          <w:i/>
          <w:iCs/>
          <w:sz w:val="28"/>
          <w:szCs w:val="28"/>
        </w:rPr>
        <w:t>(mil.lei)</w:t>
      </w:r>
    </w:p>
    <w:p w:rsidR="00714F5D" w:rsidRPr="001D0846" w:rsidRDefault="00714F5D" w:rsidP="00714F5D">
      <w:pPr>
        <w:spacing w:after="0" w:line="276" w:lineRule="auto"/>
        <w:jc w:val="right"/>
        <w:rPr>
          <w:rFonts w:ascii="Times New Roman" w:eastAsia="Times New Roman" w:hAnsi="Times New Roman" w:cs="Times New Roman"/>
          <w:b/>
          <w:iCs/>
          <w:sz w:val="28"/>
          <w:szCs w:val="28"/>
        </w:rPr>
      </w:pPr>
      <w:r w:rsidRPr="001D0846">
        <w:rPr>
          <w:rFonts w:ascii="Times New Roman" w:hAnsi="Times New Roman" w:cs="Times New Roman"/>
          <w:noProof/>
          <w:lang w:val="ru-RU" w:eastAsia="ru-RU"/>
        </w:rPr>
        <w:drawing>
          <wp:inline distT="0" distB="0" distL="0" distR="0" wp14:anchorId="414E1793" wp14:editId="6BEB38B8">
            <wp:extent cx="5928360" cy="2781300"/>
            <wp:effectExtent l="0" t="0" r="1524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4F5D" w:rsidRPr="001D0846" w:rsidRDefault="00714F5D" w:rsidP="00714F5D">
      <w:pPr>
        <w:spacing w:after="0" w:line="240"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dările de seamă privind restanțele la BPN administrate de SFS pe anii 2015-2017.</w:t>
      </w:r>
    </w:p>
    <w:p w:rsidR="00714F5D" w:rsidRPr="001D0846" w:rsidRDefault="00714F5D" w:rsidP="00714F5D">
      <w:pPr>
        <w:spacing w:after="0" w:line="240" w:lineRule="auto"/>
        <w:ind w:right="-334"/>
        <w:rPr>
          <w:rFonts w:ascii="Times New Roman" w:hAnsi="Times New Roman" w:cs="Times New Roman"/>
        </w:rPr>
      </w:pPr>
    </w:p>
    <w:p w:rsidR="00714F5D" w:rsidRPr="001D0846" w:rsidRDefault="00714F5D" w:rsidP="00714F5D">
      <w:pPr>
        <w:spacing w:after="0" w:line="276" w:lineRule="auto"/>
        <w:ind w:right="26" w:firstLine="706"/>
        <w:jc w:val="right"/>
        <w:rPr>
          <w:rFonts w:ascii="Times New Roman" w:eastAsia="Times New Roman" w:hAnsi="Times New Roman" w:cs="Times New Roman"/>
          <w:b/>
          <w:i/>
          <w:sz w:val="28"/>
          <w:szCs w:val="28"/>
          <w:lang w:val="ro-MD"/>
        </w:rPr>
      </w:pPr>
    </w:p>
    <w:p w:rsidR="00714F5D" w:rsidRPr="001D0846" w:rsidRDefault="00714F5D" w:rsidP="00714F5D">
      <w:pPr>
        <w:spacing w:after="0" w:line="276" w:lineRule="auto"/>
        <w:ind w:right="26" w:firstLine="706"/>
        <w:jc w:val="right"/>
        <w:rPr>
          <w:rFonts w:ascii="Times New Roman" w:eastAsia="Times New Roman" w:hAnsi="Times New Roman" w:cs="Times New Roman"/>
          <w:b/>
          <w:i/>
          <w:sz w:val="28"/>
          <w:szCs w:val="28"/>
          <w:lang w:val="ro-MD"/>
        </w:rPr>
      </w:pPr>
    </w:p>
    <w:p w:rsidR="00714F5D" w:rsidRPr="001D0846" w:rsidRDefault="00714F5D" w:rsidP="00714F5D">
      <w:pPr>
        <w:spacing w:after="0" w:line="276" w:lineRule="auto"/>
        <w:ind w:right="26" w:firstLine="706"/>
        <w:jc w:val="right"/>
        <w:rPr>
          <w:rFonts w:ascii="Times New Roman" w:eastAsia="Times New Roman" w:hAnsi="Times New Roman" w:cs="Times New Roman"/>
          <w:b/>
          <w:i/>
          <w:sz w:val="28"/>
          <w:szCs w:val="28"/>
          <w:lang w:val="ro-MD"/>
        </w:rPr>
      </w:pPr>
      <w:r w:rsidRPr="001D0846">
        <w:rPr>
          <w:rFonts w:ascii="Times New Roman" w:eastAsia="Times New Roman" w:hAnsi="Times New Roman" w:cs="Times New Roman"/>
          <w:b/>
          <w:i/>
          <w:sz w:val="28"/>
          <w:szCs w:val="28"/>
          <w:lang w:val="ro-MD"/>
        </w:rPr>
        <w:lastRenderedPageBreak/>
        <w:t>Diagrama nr.</w:t>
      </w:r>
      <w:r>
        <w:rPr>
          <w:rFonts w:ascii="Times New Roman" w:eastAsia="Times New Roman" w:hAnsi="Times New Roman" w:cs="Times New Roman"/>
          <w:b/>
          <w:i/>
          <w:sz w:val="28"/>
          <w:szCs w:val="28"/>
          <w:lang w:val="ro-MD"/>
        </w:rPr>
        <w:t>12</w:t>
      </w:r>
    </w:p>
    <w:p w:rsidR="00714F5D" w:rsidRPr="001D0846" w:rsidRDefault="00714F5D" w:rsidP="00714F5D">
      <w:pPr>
        <w:spacing w:after="0" w:line="276" w:lineRule="auto"/>
        <w:ind w:right="26" w:firstLine="706"/>
        <w:jc w:val="right"/>
        <w:rPr>
          <w:rFonts w:ascii="Times New Roman" w:eastAsia="Times New Roman" w:hAnsi="Times New Roman" w:cs="Times New Roman"/>
          <w:i/>
          <w:sz w:val="28"/>
          <w:szCs w:val="28"/>
          <w:lang w:val="ro-MD"/>
        </w:rPr>
      </w:pPr>
      <w:r w:rsidRPr="001D0846">
        <w:rPr>
          <w:rFonts w:ascii="Times New Roman" w:eastAsia="Times New Roman" w:hAnsi="Times New Roman" w:cs="Times New Roman"/>
          <w:i/>
          <w:sz w:val="28"/>
          <w:szCs w:val="28"/>
          <w:lang w:val="ro-MD"/>
        </w:rPr>
        <w:t>(mil. lei)</w:t>
      </w:r>
    </w:p>
    <w:p w:rsidR="00714F5D" w:rsidRPr="001D0846" w:rsidRDefault="00714F5D" w:rsidP="00714F5D">
      <w:pPr>
        <w:spacing w:after="0" w:line="276" w:lineRule="auto"/>
        <w:jc w:val="center"/>
        <w:rPr>
          <w:rFonts w:ascii="Times New Roman" w:eastAsia="Times New Roman" w:hAnsi="Times New Roman" w:cs="Times New Roman"/>
          <w:sz w:val="28"/>
          <w:szCs w:val="28"/>
          <w:lang w:val="ro-MD"/>
        </w:rPr>
      </w:pPr>
      <w:r w:rsidRPr="001D0846">
        <w:rPr>
          <w:rFonts w:ascii="Times New Roman" w:eastAsia="Times New Roman" w:hAnsi="Times New Roman" w:cs="Times New Roman"/>
          <w:noProof/>
          <w:sz w:val="28"/>
          <w:szCs w:val="28"/>
          <w:shd w:val="clear" w:color="auto" w:fill="FF0000"/>
          <w:lang w:val="ru-RU" w:eastAsia="ru-RU"/>
        </w:rPr>
        <w:drawing>
          <wp:inline distT="0" distB="0" distL="0" distR="0" wp14:anchorId="39EBCE46" wp14:editId="26552EC5">
            <wp:extent cx="6004560" cy="2301240"/>
            <wp:effectExtent l="0" t="0" r="15240" b="38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14F5D" w:rsidRPr="001D0846"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dările de seamă privind restanțele la BPN administrate de SFS pe anii 2015-2017.</w:t>
      </w:r>
    </w:p>
    <w:p w:rsidR="00714F5D" w:rsidRPr="001D0846" w:rsidRDefault="00714F5D" w:rsidP="00714F5D">
      <w:pPr>
        <w:spacing w:after="0" w:line="276" w:lineRule="auto"/>
        <w:ind w:firstLine="709"/>
        <w:jc w:val="both"/>
        <w:rPr>
          <w:rFonts w:ascii="Times New Roman" w:eastAsia="Times New Roman" w:hAnsi="Times New Roman" w:cs="Times New Roman"/>
          <w:iCs/>
          <w:sz w:val="28"/>
          <w:szCs w:val="28"/>
        </w:rPr>
      </w:pPr>
    </w:p>
    <w:p w:rsidR="00714F5D" w:rsidRPr="001D0846" w:rsidRDefault="00714F5D" w:rsidP="00714F5D">
      <w:pPr>
        <w:spacing w:after="0" w:line="276" w:lineRule="auto"/>
        <w:ind w:firstLine="709"/>
        <w:jc w:val="right"/>
        <w:rPr>
          <w:rFonts w:ascii="Times New Roman" w:eastAsia="Times New Roman" w:hAnsi="Times New Roman" w:cs="Times New Roman"/>
          <w:b/>
          <w:iCs/>
          <w:sz w:val="28"/>
          <w:szCs w:val="28"/>
        </w:rPr>
      </w:pPr>
      <w:r w:rsidRPr="001D0846">
        <w:rPr>
          <w:rFonts w:ascii="Times New Roman" w:eastAsia="Times New Roman" w:hAnsi="Times New Roman" w:cs="Times New Roman"/>
          <w:b/>
          <w:iCs/>
          <w:sz w:val="28"/>
          <w:szCs w:val="28"/>
        </w:rPr>
        <w:t>Diagrama nr</w:t>
      </w:r>
      <w:r>
        <w:rPr>
          <w:rFonts w:ascii="Times New Roman" w:eastAsia="Times New Roman" w:hAnsi="Times New Roman" w:cs="Times New Roman"/>
          <w:b/>
          <w:iCs/>
          <w:sz w:val="28"/>
          <w:szCs w:val="28"/>
        </w:rPr>
        <w:t>.14</w:t>
      </w:r>
    </w:p>
    <w:p w:rsidR="00714F5D" w:rsidRPr="001D0846" w:rsidRDefault="00714F5D" w:rsidP="00714F5D">
      <w:pPr>
        <w:spacing w:after="0" w:line="276" w:lineRule="auto"/>
        <w:ind w:firstLine="709"/>
        <w:jc w:val="right"/>
        <w:rPr>
          <w:i/>
          <w:color w:val="000000"/>
          <w:sz w:val="28"/>
          <w:szCs w:val="28"/>
        </w:rPr>
      </w:pPr>
      <w:r w:rsidRPr="001D0846">
        <w:rPr>
          <w:rFonts w:ascii="Times New Roman" w:eastAsia="Times New Roman" w:hAnsi="Times New Roman" w:cs="Times New Roman"/>
          <w:i/>
          <w:iCs/>
          <w:sz w:val="28"/>
          <w:szCs w:val="28"/>
        </w:rPr>
        <w:t>(mil.lei)</w:t>
      </w:r>
    </w:p>
    <w:p w:rsidR="00714F5D" w:rsidRPr="001D0846" w:rsidRDefault="00714F5D" w:rsidP="00714F5D">
      <w:pPr>
        <w:spacing w:after="0" w:line="276" w:lineRule="auto"/>
        <w:jc w:val="both"/>
        <w:rPr>
          <w:rFonts w:ascii="Times New Roman" w:hAnsi="Times New Roman" w:cs="Times New Roman"/>
          <w:sz w:val="28"/>
          <w:szCs w:val="28"/>
        </w:rPr>
      </w:pPr>
      <w:r w:rsidRPr="001D0846">
        <w:rPr>
          <w:noProof/>
          <w:lang w:val="ru-RU" w:eastAsia="ru-RU"/>
        </w:rPr>
        <w:drawing>
          <wp:inline distT="0" distB="0" distL="0" distR="0" wp14:anchorId="2CEFFF27" wp14:editId="0E1C4EDE">
            <wp:extent cx="5981700" cy="3185160"/>
            <wp:effectExtent l="0" t="0" r="0" b="15240"/>
            <wp:docPr id="4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4F5D" w:rsidRPr="001D0846"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p>
    <w:p w:rsidR="00714F5D" w:rsidRPr="001D0846" w:rsidRDefault="00714F5D" w:rsidP="00714F5D">
      <w:pPr>
        <w:spacing w:after="0" w:line="276" w:lineRule="auto"/>
        <w:jc w:val="both"/>
        <w:rPr>
          <w:rFonts w:ascii="Times New Roman" w:hAnsi="Times New Roman" w:cs="Times New Roman"/>
          <w:sz w:val="28"/>
          <w:szCs w:val="28"/>
        </w:rPr>
      </w:pPr>
    </w:p>
    <w:p w:rsidR="00714F5D" w:rsidRPr="001D0846" w:rsidRDefault="00714F5D" w:rsidP="00714F5D">
      <w:pPr>
        <w:spacing w:after="0" w:line="276" w:lineRule="auto"/>
        <w:rPr>
          <w:rFonts w:ascii="Times New Roman" w:hAnsi="Times New Roman" w:cs="Times New Roman"/>
          <w:b/>
          <w:i/>
          <w:sz w:val="28"/>
          <w:szCs w:val="28"/>
        </w:rPr>
      </w:pPr>
    </w:p>
    <w:p w:rsidR="00714F5D" w:rsidRPr="001D0846" w:rsidRDefault="00714F5D" w:rsidP="00714F5D">
      <w:pPr>
        <w:spacing w:after="0" w:line="276" w:lineRule="auto"/>
        <w:rPr>
          <w:rFonts w:ascii="Times New Roman" w:hAnsi="Times New Roman" w:cs="Times New Roman"/>
          <w:b/>
          <w:i/>
          <w:sz w:val="28"/>
          <w:szCs w:val="28"/>
        </w:rPr>
      </w:pPr>
    </w:p>
    <w:p w:rsidR="00714F5D" w:rsidRPr="001D0846" w:rsidRDefault="00714F5D" w:rsidP="00714F5D">
      <w:pPr>
        <w:spacing w:after="0" w:line="276" w:lineRule="auto"/>
        <w:rPr>
          <w:rFonts w:ascii="Times New Roman" w:hAnsi="Times New Roman" w:cs="Times New Roman"/>
          <w:b/>
          <w:i/>
          <w:sz w:val="28"/>
          <w:szCs w:val="28"/>
        </w:rPr>
      </w:pPr>
    </w:p>
    <w:p w:rsidR="00714F5D" w:rsidRPr="00C65598" w:rsidRDefault="00714F5D" w:rsidP="00714F5D">
      <w:pPr>
        <w:spacing w:after="0" w:line="276" w:lineRule="auto"/>
        <w:ind w:firstLine="567"/>
        <w:jc w:val="right"/>
        <w:rPr>
          <w:rFonts w:ascii="Times New Roman" w:hAnsi="Times New Roman"/>
          <w:b/>
          <w:color w:val="000000"/>
          <w:sz w:val="28"/>
          <w:szCs w:val="28"/>
          <w:lang w:val="ro-MD"/>
        </w:rPr>
      </w:pPr>
      <w:r w:rsidRPr="00C65598">
        <w:rPr>
          <w:rFonts w:ascii="Times New Roman" w:hAnsi="Times New Roman"/>
          <w:b/>
          <w:color w:val="000000"/>
          <w:sz w:val="28"/>
          <w:szCs w:val="28"/>
          <w:lang w:val="ro-MD"/>
        </w:rPr>
        <w:lastRenderedPageBreak/>
        <w:t>Diagrama nr.15</w:t>
      </w:r>
    </w:p>
    <w:p w:rsidR="00714F5D" w:rsidRPr="001D0846" w:rsidRDefault="00714F5D" w:rsidP="00714F5D">
      <w:pPr>
        <w:spacing w:after="0" w:line="276" w:lineRule="auto"/>
        <w:ind w:firstLine="567"/>
        <w:jc w:val="right"/>
        <w:rPr>
          <w:rFonts w:ascii="Times New Roman" w:hAnsi="Times New Roman"/>
          <w:i/>
          <w:color w:val="000000"/>
          <w:sz w:val="28"/>
          <w:szCs w:val="28"/>
          <w:lang w:val="ro-MD"/>
        </w:rPr>
      </w:pPr>
      <w:r w:rsidRPr="00C65598">
        <w:rPr>
          <w:rFonts w:ascii="Times New Roman" w:hAnsi="Times New Roman"/>
          <w:i/>
          <w:color w:val="000000"/>
          <w:sz w:val="28"/>
          <w:szCs w:val="28"/>
          <w:lang w:val="ro-MD"/>
        </w:rPr>
        <w:t>(mil.lei)</w:t>
      </w:r>
    </w:p>
    <w:p w:rsidR="00714F5D" w:rsidRPr="001D0846" w:rsidRDefault="00714F5D" w:rsidP="00714F5D">
      <w:pPr>
        <w:spacing w:after="0" w:line="276" w:lineRule="auto"/>
        <w:jc w:val="both"/>
        <w:rPr>
          <w:rFonts w:ascii="Times New Roman" w:hAnsi="Times New Roman"/>
          <w:color w:val="000000"/>
          <w:sz w:val="28"/>
          <w:szCs w:val="28"/>
          <w:lang w:val="ro-MD"/>
        </w:rPr>
      </w:pPr>
      <w:r w:rsidRPr="001D0846">
        <w:rPr>
          <w:noProof/>
          <w:lang w:val="ru-RU" w:eastAsia="ru-RU"/>
        </w:rPr>
        <w:drawing>
          <wp:inline distT="0" distB="0" distL="0" distR="0" wp14:anchorId="6F0A4A00" wp14:editId="78C5DA68">
            <wp:extent cx="5897880" cy="2836545"/>
            <wp:effectExtent l="0" t="0" r="7620" b="1905"/>
            <wp:docPr id="4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14F5D" w:rsidRPr="00163675" w:rsidRDefault="00714F5D" w:rsidP="00714F5D">
      <w:pPr>
        <w:spacing w:after="0" w:line="276" w:lineRule="auto"/>
        <w:ind w:right="49"/>
        <w:jc w:val="both"/>
        <w:rPr>
          <w:rFonts w:ascii="Times New Roman" w:eastAsia="Calibri" w:hAnsi="Times New Roman" w:cs="Times New Roman"/>
          <w:i/>
          <w:sz w:val="20"/>
          <w:szCs w:val="20"/>
        </w:rPr>
      </w:pPr>
      <w:r w:rsidRPr="001D0846">
        <w:rPr>
          <w:rFonts w:ascii="Times New Roman" w:eastAsia="Calibri" w:hAnsi="Times New Roman" w:cs="Times New Roman"/>
          <w:b/>
          <w:i/>
          <w:sz w:val="20"/>
          <w:szCs w:val="20"/>
        </w:rPr>
        <w:t>Sursă:</w:t>
      </w:r>
      <w:r w:rsidRPr="001D0846">
        <w:rPr>
          <w:rFonts w:ascii="Times New Roman" w:eastAsia="Calibri" w:hAnsi="Times New Roman" w:cs="Times New Roman"/>
          <w:i/>
          <w:sz w:val="20"/>
          <w:szCs w:val="20"/>
        </w:rPr>
        <w:t xml:space="preserve"> Date</w:t>
      </w:r>
      <w:r>
        <w:rPr>
          <w:rFonts w:ascii="Times New Roman" w:eastAsia="Calibri" w:hAnsi="Times New Roman" w:cs="Times New Roman"/>
          <w:i/>
          <w:sz w:val="20"/>
          <w:szCs w:val="20"/>
        </w:rPr>
        <w:t>le</w:t>
      </w:r>
      <w:r w:rsidRPr="001D0846">
        <w:rPr>
          <w:rFonts w:ascii="Times New Roman" w:eastAsia="Calibri" w:hAnsi="Times New Roman" w:cs="Times New Roman"/>
          <w:i/>
          <w:sz w:val="20"/>
          <w:szCs w:val="20"/>
        </w:rPr>
        <w:t xml:space="preserve"> generalizate de către echipa de audit în baza informațiilor din rapoartele privind datoriile agenților economici față de BS pe anii 2015-2017.</w:t>
      </w:r>
    </w:p>
    <w:p w:rsidR="00714F5D" w:rsidRDefault="00714F5D" w:rsidP="00714F5D">
      <w:pPr>
        <w:spacing w:after="0" w:line="276" w:lineRule="auto"/>
        <w:ind w:firstLine="567"/>
        <w:jc w:val="both"/>
        <w:rPr>
          <w:rFonts w:ascii="Times New Roman" w:hAnsi="Times New Roman"/>
          <w:color w:val="000000"/>
          <w:sz w:val="28"/>
          <w:szCs w:val="28"/>
          <w:lang w:val="ro-MD"/>
        </w:rPr>
      </w:pPr>
    </w:p>
    <w:p w:rsidR="00714F5D" w:rsidRDefault="00714F5D" w:rsidP="00714F5D">
      <w:pPr>
        <w:pStyle w:val="a7"/>
        <w:tabs>
          <w:tab w:val="left" w:pos="0"/>
        </w:tabs>
        <w:spacing w:after="0" w:line="276" w:lineRule="auto"/>
        <w:ind w:left="0"/>
        <w:jc w:val="right"/>
        <w:rPr>
          <w:rFonts w:ascii="Times New Roman" w:hAnsi="Times New Roman" w:cs="Times New Roman"/>
          <w:b/>
          <w:sz w:val="28"/>
          <w:szCs w:val="28"/>
        </w:rPr>
      </w:pPr>
    </w:p>
    <w:p w:rsidR="00714F5D" w:rsidRDefault="00714F5D" w:rsidP="00714F5D">
      <w:pPr>
        <w:pStyle w:val="a7"/>
        <w:tabs>
          <w:tab w:val="left" w:pos="0"/>
        </w:tabs>
        <w:spacing w:after="0" w:line="276" w:lineRule="auto"/>
        <w:ind w:left="0"/>
        <w:jc w:val="right"/>
        <w:rPr>
          <w:rFonts w:ascii="Times New Roman" w:hAnsi="Times New Roman" w:cs="Times New Roman"/>
          <w:b/>
          <w:sz w:val="28"/>
          <w:szCs w:val="28"/>
        </w:rPr>
      </w:pPr>
    </w:p>
    <w:p w:rsidR="00714F5D" w:rsidRPr="00ED77D9" w:rsidRDefault="00714F5D" w:rsidP="00714F5D">
      <w:pPr>
        <w:spacing w:after="0" w:line="276" w:lineRule="auto"/>
        <w:ind w:firstLine="450"/>
        <w:jc w:val="both"/>
        <w:rPr>
          <w:rFonts w:ascii="Times New Roman" w:hAnsi="Times New Roman" w:cs="Times New Roman"/>
          <w:sz w:val="24"/>
          <w:szCs w:val="24"/>
        </w:rPr>
      </w:pPr>
    </w:p>
    <w:p w:rsidR="00714F5D" w:rsidRPr="005B7DDF" w:rsidRDefault="00714F5D" w:rsidP="00714F5D">
      <w:pPr>
        <w:pStyle w:val="a7"/>
        <w:tabs>
          <w:tab w:val="left" w:pos="284"/>
          <w:tab w:val="left" w:pos="450"/>
          <w:tab w:val="left" w:pos="8730"/>
        </w:tabs>
        <w:spacing w:after="0" w:line="240" w:lineRule="auto"/>
        <w:ind w:left="0" w:right="9"/>
        <w:jc w:val="both"/>
        <w:rPr>
          <w:rFonts w:ascii="Times New Roman" w:hAnsi="Times New Roman" w:cs="Times New Roman"/>
          <w:b/>
          <w:sz w:val="28"/>
          <w:szCs w:val="28"/>
        </w:rPr>
      </w:pPr>
    </w:p>
    <w:p w:rsidR="00714F5D" w:rsidRPr="00D849E4" w:rsidRDefault="00714F5D" w:rsidP="00714F5D">
      <w:pPr>
        <w:pStyle w:val="a7"/>
        <w:tabs>
          <w:tab w:val="left" w:pos="284"/>
          <w:tab w:val="left" w:pos="450"/>
          <w:tab w:val="left" w:pos="8730"/>
        </w:tabs>
        <w:spacing w:after="0" w:line="276" w:lineRule="auto"/>
        <w:ind w:left="0" w:right="9"/>
        <w:jc w:val="both"/>
        <w:rPr>
          <w:rFonts w:ascii="Times New Roman" w:hAnsi="Times New Roman" w:cs="Times New Roman"/>
        </w:rPr>
      </w:pPr>
    </w:p>
    <w:p w:rsidR="00D849E4" w:rsidRPr="00D849E4" w:rsidRDefault="00D849E4" w:rsidP="00714F5D">
      <w:pPr>
        <w:pStyle w:val="1"/>
        <w:spacing w:line="276" w:lineRule="auto"/>
        <w:jc w:val="center"/>
        <w:rPr>
          <w:rFonts w:ascii="Times New Roman" w:hAnsi="Times New Roman" w:cs="Times New Roman"/>
        </w:rPr>
      </w:pPr>
    </w:p>
    <w:sectPr w:rsidR="00D849E4" w:rsidRPr="00D849E4" w:rsidSect="008E6F50">
      <w:pgSz w:w="12240" w:h="15840"/>
      <w:pgMar w:top="1440" w:right="1166"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CC" w:rsidRDefault="00822FCC" w:rsidP="00A0239F">
      <w:pPr>
        <w:spacing w:after="0" w:line="240" w:lineRule="auto"/>
      </w:pPr>
      <w:r>
        <w:separator/>
      </w:r>
    </w:p>
  </w:endnote>
  <w:endnote w:type="continuationSeparator" w:id="0">
    <w:p w:rsidR="00822FCC" w:rsidRDefault="00822FCC" w:rsidP="00A0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568511"/>
      <w:docPartObj>
        <w:docPartGallery w:val="Page Numbers (Bottom of Page)"/>
        <w:docPartUnique/>
      </w:docPartObj>
    </w:sdtPr>
    <w:sdtEndPr>
      <w:rPr>
        <w:noProof/>
      </w:rPr>
    </w:sdtEndPr>
    <w:sdtContent>
      <w:p w:rsidR="00E43F8F" w:rsidRDefault="00E43F8F">
        <w:pPr>
          <w:pStyle w:val="ae"/>
          <w:jc w:val="right"/>
        </w:pPr>
        <w:r>
          <w:fldChar w:fldCharType="begin"/>
        </w:r>
        <w:r>
          <w:instrText xml:space="preserve"> PAGE   \* MERGEFORMAT </w:instrText>
        </w:r>
        <w:r>
          <w:fldChar w:fldCharType="separate"/>
        </w:r>
        <w:r w:rsidR="00E51A8A">
          <w:rPr>
            <w:noProof/>
          </w:rPr>
          <w:t>55</w:t>
        </w:r>
        <w:r>
          <w:rPr>
            <w:noProof/>
          </w:rPr>
          <w:fldChar w:fldCharType="end"/>
        </w:r>
      </w:p>
    </w:sdtContent>
  </w:sdt>
  <w:p w:rsidR="00E43F8F" w:rsidRDefault="00E43F8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CC" w:rsidRDefault="00822FCC" w:rsidP="00A0239F">
      <w:pPr>
        <w:spacing w:after="0" w:line="240" w:lineRule="auto"/>
      </w:pPr>
      <w:r>
        <w:separator/>
      </w:r>
    </w:p>
  </w:footnote>
  <w:footnote w:type="continuationSeparator" w:id="0">
    <w:p w:rsidR="00822FCC" w:rsidRDefault="00822FCC" w:rsidP="00A0239F">
      <w:pPr>
        <w:spacing w:after="0" w:line="240" w:lineRule="auto"/>
      </w:pPr>
      <w:r>
        <w:continuationSeparator/>
      </w:r>
    </w:p>
  </w:footnote>
  <w:footnote w:id="1">
    <w:p w:rsidR="00E43F8F" w:rsidRPr="00444DCB" w:rsidRDefault="00E43F8F" w:rsidP="006358AD">
      <w:pPr>
        <w:pStyle w:val="af6"/>
        <w:jc w:val="both"/>
        <w:rPr>
          <w:rFonts w:ascii="Times New Roman" w:hAnsi="Times New Roman" w:cs="Times New Roman"/>
          <w:color w:val="FF0000"/>
          <w:sz w:val="20"/>
          <w:szCs w:val="20"/>
          <w:lang w:val="ro-RO"/>
        </w:rPr>
      </w:pPr>
      <w:r w:rsidRPr="00444DCB">
        <w:rPr>
          <w:rStyle w:val="a6"/>
          <w:rFonts w:ascii="Times New Roman" w:hAnsi="Times New Roman" w:cs="Times New Roman"/>
          <w:sz w:val="20"/>
          <w:szCs w:val="20"/>
        </w:rPr>
        <w:footnoteRef/>
      </w:r>
      <w:r w:rsidRPr="00444DCB">
        <w:rPr>
          <w:rFonts w:ascii="Times New Roman" w:hAnsi="Times New Roman" w:cs="Times New Roman"/>
          <w:sz w:val="20"/>
          <w:szCs w:val="20"/>
        </w:rPr>
        <w:t xml:space="preserve"> </w:t>
      </w:r>
      <w:r w:rsidRPr="00444DCB">
        <w:rPr>
          <w:rFonts w:ascii="Times New Roman" w:hAnsi="Times New Roman" w:cs="Times New Roman"/>
          <w:sz w:val="20"/>
          <w:szCs w:val="20"/>
          <w:lang w:val="ro-RO"/>
        </w:rPr>
        <w:t>Programul activității de audit a Curții de Conturi pe anul 2017, aprobat prin Hotărârea Curții de Conturi nr.</w:t>
      </w:r>
      <w:r w:rsidRPr="00444DCB">
        <w:rPr>
          <w:rFonts w:ascii="Times New Roman" w:hAnsi="Times New Roman" w:cs="Times New Roman"/>
          <w:sz w:val="20"/>
          <w:szCs w:val="20"/>
        </w:rPr>
        <w:t>47 din 05.12.2016</w:t>
      </w:r>
      <w:r w:rsidRPr="00444DCB">
        <w:rPr>
          <w:rFonts w:ascii="Times New Roman" w:hAnsi="Times New Roman" w:cs="Times New Roman"/>
          <w:sz w:val="20"/>
          <w:szCs w:val="20"/>
          <w:lang w:val="ro-RO"/>
        </w:rPr>
        <w:t xml:space="preserve"> (cu modificările</w:t>
      </w:r>
      <w:r>
        <w:rPr>
          <w:rFonts w:ascii="Times New Roman" w:hAnsi="Times New Roman" w:cs="Times New Roman"/>
          <w:sz w:val="20"/>
          <w:szCs w:val="20"/>
          <w:lang w:val="ro-RO"/>
        </w:rPr>
        <w:t xml:space="preserve"> și completările</w:t>
      </w:r>
      <w:r w:rsidRPr="00444DCB">
        <w:rPr>
          <w:rFonts w:ascii="Times New Roman" w:hAnsi="Times New Roman" w:cs="Times New Roman"/>
          <w:sz w:val="20"/>
          <w:szCs w:val="20"/>
          <w:lang w:val="ro-RO"/>
        </w:rPr>
        <w:t xml:space="preserve"> ulterioare</w:t>
      </w:r>
      <w:r>
        <w:rPr>
          <w:rFonts w:ascii="Times New Roman" w:hAnsi="Times New Roman" w:cs="Times New Roman"/>
          <w:sz w:val="20"/>
          <w:szCs w:val="20"/>
          <w:lang w:val="ro-RO"/>
        </w:rPr>
        <w:t>; în continuare – Programul activității de audit a Curții de Conturi pe anul 2017</w:t>
      </w:r>
      <w:r w:rsidRPr="00444DCB">
        <w:rPr>
          <w:rFonts w:ascii="Times New Roman" w:hAnsi="Times New Roman" w:cs="Times New Roman"/>
          <w:sz w:val="20"/>
          <w:szCs w:val="20"/>
          <w:lang w:val="ro-RO"/>
        </w:rPr>
        <w:t>).</w:t>
      </w:r>
    </w:p>
  </w:footnote>
  <w:footnote w:id="2">
    <w:p w:rsidR="00E43F8F" w:rsidRPr="000258F9" w:rsidRDefault="00E43F8F" w:rsidP="000258F9">
      <w:pPr>
        <w:pStyle w:val="a4"/>
        <w:jc w:val="both"/>
        <w:rPr>
          <w:rFonts w:ascii="Times New Roman" w:hAnsi="Times New Roman" w:cs="Times New Roman"/>
        </w:rPr>
      </w:pPr>
      <w:r w:rsidRPr="00D22580">
        <w:rPr>
          <w:rStyle w:val="a6"/>
          <w:rFonts w:ascii="Times New Roman" w:hAnsi="Times New Roman" w:cs="Times New Roman"/>
        </w:rPr>
        <w:footnoteRef/>
      </w:r>
      <w:r w:rsidRPr="00D22580">
        <w:rPr>
          <w:rFonts w:ascii="Times New Roman" w:hAnsi="Times New Roman" w:cs="Times New Roman"/>
        </w:rPr>
        <w:t xml:space="preserve"> </w:t>
      </w:r>
      <w:r>
        <w:rPr>
          <w:rFonts w:ascii="Times New Roman" w:hAnsi="Times New Roman" w:cs="Times New Roman"/>
        </w:rPr>
        <w:t xml:space="preserve">Regulamentul privind organizarea și funcționarea organelor Serviciului Fiscal de Stat, aprobat prin Hotărârea Guvernului nr.1736 din 31.12.2002; </w:t>
      </w:r>
      <w:r w:rsidRPr="00D22580">
        <w:rPr>
          <w:rFonts w:ascii="Times New Roman" w:hAnsi="Times New Roman" w:cs="Times New Roman"/>
        </w:rPr>
        <w:t>Regulament</w:t>
      </w:r>
      <w:r>
        <w:rPr>
          <w:rFonts w:ascii="Times New Roman" w:hAnsi="Times New Roman" w:cs="Times New Roman"/>
        </w:rPr>
        <w:t xml:space="preserve">ul privind organizarea și funcționarea Serviciului Fiscal de Stat, aprobat prin </w:t>
      </w:r>
      <w:proofErr w:type="spellStart"/>
      <w:r>
        <w:rPr>
          <w:rFonts w:ascii="Times New Roman" w:hAnsi="Times New Roman" w:cs="Times New Roman"/>
        </w:rPr>
        <w:t>Hotărîrea</w:t>
      </w:r>
      <w:proofErr w:type="spellEnd"/>
      <w:r>
        <w:rPr>
          <w:rFonts w:ascii="Times New Roman" w:hAnsi="Times New Roman" w:cs="Times New Roman"/>
        </w:rPr>
        <w:t xml:space="preserve"> Guvernului nr.395 din 05.06.2017; Legea serviciului în organele vamale nr.1150 din 20.07.2000; Legea nr.302 din 21.12.2017 cu privire la Serviciul Vamal.</w:t>
      </w:r>
    </w:p>
  </w:footnote>
  <w:footnote w:id="3">
    <w:p w:rsidR="00E43F8F" w:rsidRPr="000258F9" w:rsidRDefault="00E43F8F" w:rsidP="000258F9">
      <w:pPr>
        <w:pStyle w:val="a7"/>
        <w:spacing w:after="0" w:line="240" w:lineRule="auto"/>
        <w:ind w:left="0"/>
        <w:jc w:val="both"/>
        <w:rPr>
          <w:rFonts w:ascii="Times New Roman" w:hAnsi="Times New Roman" w:cs="Times New Roman"/>
          <w:sz w:val="20"/>
          <w:szCs w:val="20"/>
        </w:rPr>
      </w:pPr>
      <w:r w:rsidRPr="000258F9">
        <w:rPr>
          <w:rStyle w:val="a6"/>
          <w:rFonts w:ascii="Times New Roman" w:hAnsi="Times New Roman" w:cs="Times New Roman"/>
          <w:sz w:val="20"/>
          <w:szCs w:val="20"/>
        </w:rPr>
        <w:footnoteRef/>
      </w:r>
      <w:r w:rsidRPr="000258F9">
        <w:rPr>
          <w:rFonts w:ascii="Times New Roman" w:hAnsi="Times New Roman" w:cs="Times New Roman"/>
          <w:sz w:val="20"/>
          <w:szCs w:val="20"/>
        </w:rPr>
        <w:t xml:space="preserve"> Planul de Dezvoltare Strategică pe anii 2016-2020, aprobat prin Hotărârea Curții de Conturi nr.39 din 10 noiembrie 2016.</w:t>
      </w:r>
    </w:p>
  </w:footnote>
  <w:footnote w:id="4">
    <w:p w:rsidR="00E43F8F" w:rsidRPr="00444DCB" w:rsidRDefault="00E43F8F" w:rsidP="000258F9">
      <w:pPr>
        <w:pStyle w:val="af6"/>
        <w:jc w:val="both"/>
        <w:rPr>
          <w:rFonts w:ascii="Times New Roman" w:hAnsi="Times New Roman" w:cs="Times New Roman"/>
          <w:color w:val="FF0000"/>
          <w:sz w:val="20"/>
          <w:szCs w:val="20"/>
          <w:lang w:val="ro-RO"/>
        </w:rPr>
      </w:pPr>
      <w:r w:rsidRPr="000258F9">
        <w:rPr>
          <w:rStyle w:val="a6"/>
          <w:rFonts w:ascii="Times New Roman" w:hAnsi="Times New Roman" w:cs="Times New Roman"/>
          <w:sz w:val="20"/>
          <w:szCs w:val="20"/>
        </w:rPr>
        <w:footnoteRef/>
      </w:r>
      <w:r w:rsidRPr="000258F9">
        <w:rPr>
          <w:rFonts w:ascii="Times New Roman" w:hAnsi="Times New Roman" w:cs="Times New Roman"/>
          <w:sz w:val="20"/>
          <w:szCs w:val="20"/>
        </w:rPr>
        <w:t xml:space="preserve"> </w:t>
      </w:r>
      <w:r w:rsidRPr="000258F9">
        <w:rPr>
          <w:rFonts w:ascii="Times New Roman" w:hAnsi="Times New Roman" w:cs="Times New Roman"/>
          <w:sz w:val="20"/>
          <w:szCs w:val="20"/>
          <w:lang w:val="ro-RO"/>
        </w:rPr>
        <w:t>Programul activității de audit a Curții de Conturi pe anul 2017</w:t>
      </w:r>
      <w:r>
        <w:rPr>
          <w:rFonts w:ascii="Times New Roman" w:hAnsi="Times New Roman" w:cs="Times New Roman"/>
          <w:sz w:val="20"/>
          <w:szCs w:val="20"/>
          <w:lang w:val="ro-RO"/>
        </w:rPr>
        <w:t>.</w:t>
      </w:r>
    </w:p>
  </w:footnote>
  <w:footnote w:id="5">
    <w:p w:rsidR="00E43F8F" w:rsidRPr="00444DCB" w:rsidRDefault="00E43F8F" w:rsidP="00982BF8">
      <w:pPr>
        <w:pStyle w:val="a4"/>
        <w:jc w:val="both"/>
        <w:rPr>
          <w:rFonts w:ascii="Times New Roman" w:hAnsi="Times New Roman" w:cs="Times New Roman"/>
        </w:rPr>
      </w:pPr>
      <w:r w:rsidRPr="00444DCB">
        <w:rPr>
          <w:rStyle w:val="a6"/>
          <w:rFonts w:ascii="Times New Roman" w:hAnsi="Times New Roman" w:cs="Times New Roman"/>
        </w:rPr>
        <w:footnoteRef/>
      </w:r>
      <w:r w:rsidRPr="00444DCB">
        <w:rPr>
          <w:rFonts w:ascii="Times New Roman" w:hAnsi="Times New Roman" w:cs="Times New Roman"/>
        </w:rPr>
        <w:t xml:space="preserve"> </w:t>
      </w:r>
      <w:r>
        <w:rPr>
          <w:rFonts w:ascii="Times New Roman" w:hAnsi="Times New Roman" w:cs="Times New Roman"/>
        </w:rPr>
        <w:t xml:space="preserve">Art.133 alin. (1) din </w:t>
      </w:r>
      <w:r w:rsidRPr="00444DCB">
        <w:rPr>
          <w:rFonts w:ascii="Times New Roman" w:hAnsi="Times New Roman" w:cs="Times New Roman"/>
        </w:rPr>
        <w:t>Constituția Republicii Moldova din 29.07.1994, Legea Curții de Conturi nr.261 din 05.12.2008.</w:t>
      </w:r>
    </w:p>
  </w:footnote>
  <w:footnote w:id="6">
    <w:p w:rsidR="00E43F8F" w:rsidRPr="00D31413" w:rsidRDefault="00E43F8F" w:rsidP="00D31413">
      <w:pPr>
        <w:spacing w:after="0" w:line="276" w:lineRule="auto"/>
        <w:jc w:val="both"/>
        <w:rPr>
          <w:rFonts w:ascii="Times New Roman" w:hAnsi="Times New Roman" w:cs="Times New Roman"/>
          <w:sz w:val="20"/>
          <w:szCs w:val="20"/>
        </w:rPr>
      </w:pPr>
      <w:r w:rsidRPr="00D31413">
        <w:rPr>
          <w:rStyle w:val="a6"/>
          <w:rFonts w:ascii="Times New Roman" w:hAnsi="Times New Roman" w:cs="Times New Roman"/>
          <w:sz w:val="20"/>
          <w:szCs w:val="20"/>
        </w:rPr>
        <w:footnoteRef/>
      </w:r>
      <w:r w:rsidRPr="00D31413">
        <w:rPr>
          <w:rFonts w:ascii="Times New Roman" w:hAnsi="Times New Roman" w:cs="Times New Roman"/>
          <w:sz w:val="20"/>
          <w:szCs w:val="20"/>
        </w:rPr>
        <w:t xml:space="preserve"> </w:t>
      </w:r>
      <w:r w:rsidRPr="00D31413">
        <w:rPr>
          <w:rFonts w:ascii="Times New Roman" w:eastAsia="Calibri" w:hAnsi="Times New Roman" w:cs="Times New Roman"/>
          <w:sz w:val="20"/>
          <w:szCs w:val="20"/>
        </w:rPr>
        <w:t xml:space="preserve">Strategia de dezvoltare a SFS pentru anii 2016-2020, </w:t>
      </w:r>
      <w:r w:rsidRPr="00D31413">
        <w:rPr>
          <w:rFonts w:ascii="Times New Roman" w:hAnsi="Times New Roman" w:cs="Times New Roman"/>
          <w:sz w:val="20"/>
          <w:szCs w:val="20"/>
        </w:rPr>
        <w:t>aprobată de către Colegiul Ministerului Finanțelor prin Extrasul procesului-verbal nr.4/1 din 03.08.2016.</w:t>
      </w:r>
    </w:p>
  </w:footnote>
  <w:footnote w:id="7">
    <w:p w:rsidR="00E43F8F" w:rsidRPr="00D31413" w:rsidRDefault="00E43F8F" w:rsidP="00D31413">
      <w:pPr>
        <w:spacing w:after="0" w:line="276" w:lineRule="auto"/>
        <w:jc w:val="both"/>
        <w:rPr>
          <w:rFonts w:ascii="Times New Roman" w:hAnsi="Times New Roman" w:cs="Times New Roman"/>
          <w:sz w:val="20"/>
          <w:szCs w:val="20"/>
        </w:rPr>
      </w:pPr>
      <w:r w:rsidRPr="00D31413">
        <w:rPr>
          <w:rStyle w:val="a6"/>
          <w:rFonts w:ascii="Times New Roman" w:hAnsi="Times New Roman" w:cs="Times New Roman"/>
          <w:sz w:val="20"/>
          <w:szCs w:val="20"/>
        </w:rPr>
        <w:footnoteRef/>
      </w:r>
      <w:r w:rsidRPr="00D31413">
        <w:rPr>
          <w:rFonts w:ascii="Times New Roman" w:hAnsi="Times New Roman" w:cs="Times New Roman"/>
          <w:sz w:val="20"/>
          <w:szCs w:val="20"/>
        </w:rPr>
        <w:t xml:space="preserve"> Programul Strategic VAMA 2020, aprobat prin Ordinul SV nr.126-O din 06.04.2017.</w:t>
      </w:r>
    </w:p>
    <w:p w:rsidR="00E43F8F" w:rsidRPr="00D31413" w:rsidRDefault="00E43F8F" w:rsidP="00D31413">
      <w:pPr>
        <w:pStyle w:val="a4"/>
        <w:jc w:val="both"/>
        <w:rPr>
          <w:rFonts w:ascii="Times New Roman" w:hAnsi="Times New Roman" w:cs="Times New Roman"/>
        </w:rPr>
      </w:pPr>
    </w:p>
  </w:footnote>
  <w:footnote w:id="8">
    <w:p w:rsidR="00E43F8F" w:rsidRPr="00E05EC0" w:rsidRDefault="00E43F8F" w:rsidP="00011621">
      <w:pPr>
        <w:pStyle w:val="a4"/>
        <w:jc w:val="both"/>
        <w:rPr>
          <w:rFonts w:ascii="Times New Roman" w:hAnsi="Times New Roman" w:cs="Times New Roman"/>
          <w:b/>
          <w:lang w:val="ro-MD"/>
        </w:rPr>
      </w:pPr>
      <w:r w:rsidRPr="00E05EC0">
        <w:rPr>
          <w:rStyle w:val="a6"/>
          <w:rFonts w:ascii="Times New Roman" w:hAnsi="Times New Roman" w:cs="Times New Roman"/>
        </w:rPr>
        <w:footnoteRef/>
      </w:r>
      <w:r w:rsidRPr="00E05EC0">
        <w:rPr>
          <w:rFonts w:ascii="Times New Roman" w:hAnsi="Times New Roman" w:cs="Times New Roman"/>
        </w:rPr>
        <w:t xml:space="preserve"> </w:t>
      </w:r>
      <w:r w:rsidRPr="00E05EC0">
        <w:rPr>
          <w:rFonts w:ascii="Times New Roman" w:hAnsi="Times New Roman" w:cs="Times New Roman"/>
          <w:lang w:val="ro-MD"/>
        </w:rPr>
        <w:t>Raport</w:t>
      </w:r>
      <w:r>
        <w:rPr>
          <w:rFonts w:ascii="Times New Roman" w:hAnsi="Times New Roman" w:cs="Times New Roman"/>
          <w:lang w:val="ro-MD"/>
        </w:rPr>
        <w:t>ul</w:t>
      </w:r>
      <w:r w:rsidRPr="00E05EC0">
        <w:rPr>
          <w:rFonts w:ascii="Times New Roman" w:hAnsi="Times New Roman" w:cs="Times New Roman"/>
          <w:lang w:val="ro-MD"/>
        </w:rPr>
        <w:t xml:space="preserve"> de performanță </w:t>
      </w:r>
      <w:r>
        <w:rPr>
          <w:rFonts w:ascii="Times New Roman" w:hAnsi="Times New Roman" w:cs="Times New Roman"/>
          <w:lang w:val="ro-MD"/>
        </w:rPr>
        <w:t xml:space="preserve">al SFS </w:t>
      </w:r>
      <w:r w:rsidRPr="00E05EC0">
        <w:rPr>
          <w:rFonts w:ascii="Times New Roman" w:hAnsi="Times New Roman" w:cs="Times New Roman"/>
          <w:lang w:val="ro-MD"/>
        </w:rPr>
        <w:t>la situația din 01.01.2018</w:t>
      </w:r>
      <w:r>
        <w:rPr>
          <w:rFonts w:ascii="Times New Roman" w:hAnsi="Times New Roman" w:cs="Times New Roman"/>
          <w:lang w:val="ro-MD"/>
        </w:rPr>
        <w:t xml:space="preserve"> (Forma FD 053).</w:t>
      </w:r>
    </w:p>
    <w:p w:rsidR="00E43F8F" w:rsidRPr="00E05EC0" w:rsidRDefault="00E43F8F" w:rsidP="00011621">
      <w:pPr>
        <w:pStyle w:val="a4"/>
        <w:rPr>
          <w:lang w:val="ro-MD"/>
        </w:rPr>
      </w:pPr>
    </w:p>
  </w:footnote>
  <w:footnote w:id="9">
    <w:p w:rsidR="00E43F8F" w:rsidRPr="00AD5B7D" w:rsidRDefault="00E43F8F" w:rsidP="00BE46F1">
      <w:pPr>
        <w:pStyle w:val="a4"/>
        <w:jc w:val="both"/>
        <w:rPr>
          <w:rFonts w:ascii="Times New Roman" w:hAnsi="Times New Roman" w:cs="Times New Roman"/>
        </w:rPr>
      </w:pPr>
      <w:r w:rsidRPr="00AD5B7D">
        <w:rPr>
          <w:rStyle w:val="a6"/>
          <w:rFonts w:ascii="Times New Roman" w:hAnsi="Times New Roman" w:cs="Times New Roman"/>
        </w:rPr>
        <w:footnoteRef/>
      </w:r>
      <w:r w:rsidRPr="00AD5B7D">
        <w:rPr>
          <w:rFonts w:ascii="Times New Roman" w:hAnsi="Times New Roman" w:cs="Times New Roman"/>
        </w:rPr>
        <w:t xml:space="preserve">  Legea finanțelor publice și responsabilității bugetar-fiscale nr.181 din 25.07.2014 (în continuare – Legea nr.181 din 25.07.2014).</w:t>
      </w:r>
    </w:p>
  </w:footnote>
  <w:footnote w:id="10">
    <w:p w:rsidR="00E43F8F" w:rsidRPr="00AD5B7D" w:rsidRDefault="00E43F8F" w:rsidP="00BE46F1">
      <w:pPr>
        <w:pStyle w:val="a4"/>
        <w:jc w:val="both"/>
        <w:rPr>
          <w:rFonts w:ascii="Times New Roman" w:hAnsi="Times New Roman" w:cs="Times New Roman"/>
        </w:rPr>
      </w:pPr>
      <w:r w:rsidRPr="00AD5B7D">
        <w:rPr>
          <w:rStyle w:val="a6"/>
          <w:rFonts w:ascii="Times New Roman" w:hAnsi="Times New Roman" w:cs="Times New Roman"/>
        </w:rPr>
        <w:footnoteRef/>
      </w:r>
      <w:r w:rsidRPr="00AD5B7D">
        <w:rPr>
          <w:rFonts w:ascii="Times New Roman" w:hAnsi="Times New Roman" w:cs="Times New Roman"/>
        </w:rPr>
        <w:t xml:space="preserve"> Ordinul </w:t>
      </w:r>
      <w:r>
        <w:rPr>
          <w:rFonts w:ascii="Times New Roman" w:hAnsi="Times New Roman" w:cs="Times New Roman"/>
        </w:rPr>
        <w:t>m</w:t>
      </w:r>
      <w:r w:rsidRPr="00AD5B7D">
        <w:rPr>
          <w:rFonts w:ascii="Times New Roman" w:hAnsi="Times New Roman" w:cs="Times New Roman"/>
        </w:rPr>
        <w:t xml:space="preserve">inistrului </w:t>
      </w:r>
      <w:r>
        <w:rPr>
          <w:rFonts w:ascii="Times New Roman" w:hAnsi="Times New Roman" w:cs="Times New Roman"/>
        </w:rPr>
        <w:t>f</w:t>
      </w:r>
      <w:r w:rsidRPr="00AD5B7D">
        <w:rPr>
          <w:rFonts w:ascii="Times New Roman" w:hAnsi="Times New Roman" w:cs="Times New Roman"/>
        </w:rPr>
        <w:t xml:space="preserve">inanțelor nr.209 din 24.12.2015 </w:t>
      </w:r>
      <w:r>
        <w:rPr>
          <w:rFonts w:ascii="Times New Roman" w:hAnsi="Times New Roman" w:cs="Times New Roman"/>
        </w:rPr>
        <w:t>,,C</w:t>
      </w:r>
      <w:r w:rsidRPr="00AD5B7D">
        <w:rPr>
          <w:rFonts w:ascii="Times New Roman" w:hAnsi="Times New Roman" w:cs="Times New Roman"/>
        </w:rPr>
        <w:t>u privire la aprobarea Setului metodologic privind elaborarea, aprobarea și modificarea bugetului</w:t>
      </w:r>
      <w:r>
        <w:rPr>
          <w:rFonts w:ascii="Times New Roman" w:hAnsi="Times New Roman" w:cs="Times New Roman"/>
        </w:rPr>
        <w:t>”</w:t>
      </w:r>
      <w:r w:rsidRPr="00AD5B7D">
        <w:rPr>
          <w:rFonts w:ascii="Times New Roman" w:hAnsi="Times New Roman" w:cs="Times New Roman"/>
        </w:rPr>
        <w:t xml:space="preserve"> (în continuare - Setul metodologic, aprobat prin Ordinul </w:t>
      </w:r>
      <w:r>
        <w:rPr>
          <w:rFonts w:ascii="Times New Roman" w:hAnsi="Times New Roman" w:cs="Times New Roman"/>
        </w:rPr>
        <w:t>m</w:t>
      </w:r>
      <w:r w:rsidRPr="00AD5B7D">
        <w:rPr>
          <w:rFonts w:ascii="Times New Roman" w:hAnsi="Times New Roman" w:cs="Times New Roman"/>
        </w:rPr>
        <w:t xml:space="preserve">inistrului </w:t>
      </w:r>
      <w:r>
        <w:rPr>
          <w:rFonts w:ascii="Times New Roman" w:hAnsi="Times New Roman" w:cs="Times New Roman"/>
        </w:rPr>
        <w:t>f</w:t>
      </w:r>
      <w:r w:rsidRPr="00AD5B7D">
        <w:rPr>
          <w:rFonts w:ascii="Times New Roman" w:hAnsi="Times New Roman" w:cs="Times New Roman"/>
        </w:rPr>
        <w:t>inanțelor nr.209 din 24.12.2015).</w:t>
      </w:r>
    </w:p>
  </w:footnote>
  <w:footnote w:id="11">
    <w:p w:rsidR="00E43F8F" w:rsidRDefault="00E43F8F" w:rsidP="00BE46F1">
      <w:pPr>
        <w:pStyle w:val="a4"/>
        <w:jc w:val="both"/>
      </w:pPr>
      <w:r w:rsidRPr="00AD5B7D">
        <w:rPr>
          <w:rStyle w:val="a6"/>
          <w:rFonts w:ascii="Times New Roman" w:hAnsi="Times New Roman" w:cs="Times New Roman"/>
        </w:rPr>
        <w:footnoteRef/>
      </w:r>
      <w:r w:rsidRPr="00AD5B7D">
        <w:rPr>
          <w:rFonts w:ascii="Times New Roman" w:hAnsi="Times New Roman" w:cs="Times New Roman"/>
        </w:rPr>
        <w:t xml:space="preserve">  Recomandări metodice privind prognozarea veniturilor și stabilirea sarcinilor de venituri la BPN, aprobate prin Ordinele SFS nr.135 din 30.05.2017 și nr.616 din 29.07.2015.</w:t>
      </w:r>
    </w:p>
  </w:footnote>
  <w:footnote w:id="12">
    <w:p w:rsidR="00E43F8F" w:rsidRPr="00DC3C64" w:rsidRDefault="00E43F8F" w:rsidP="008C1007">
      <w:pPr>
        <w:pStyle w:val="a4"/>
        <w:jc w:val="both"/>
        <w:rPr>
          <w:rFonts w:ascii="Times New Roman" w:hAnsi="Times New Roman" w:cs="Times New Roman"/>
        </w:rPr>
      </w:pPr>
      <w:r w:rsidRPr="00975002">
        <w:rPr>
          <w:rStyle w:val="a6"/>
          <w:rFonts w:ascii="Times New Roman" w:hAnsi="Times New Roman" w:cs="Times New Roman"/>
        </w:rPr>
        <w:footnoteRef/>
      </w:r>
      <w:r w:rsidRPr="00975002">
        <w:rPr>
          <w:rFonts w:ascii="Times New Roman" w:hAnsi="Times New Roman" w:cs="Times New Roman"/>
        </w:rPr>
        <w:t xml:space="preserve"> </w:t>
      </w:r>
      <w:r w:rsidRPr="00975002">
        <w:rPr>
          <w:rFonts w:ascii="Times New Roman" w:hAnsi="Times New Roman" w:cs="Times New Roman"/>
          <w:lang w:val="ro-MD"/>
        </w:rPr>
        <w:t>Evaluarea Cheltuielilor Publice și a Responsabilității Financiare în Republica Moldova 2008-2010 (în continuare - manualul PEFA).</w:t>
      </w:r>
    </w:p>
    <w:p w:rsidR="00E43F8F" w:rsidRPr="00DC3C64" w:rsidRDefault="00E43F8F" w:rsidP="008C1007">
      <w:pPr>
        <w:pStyle w:val="a4"/>
      </w:pPr>
    </w:p>
  </w:footnote>
  <w:footnote w:id="13">
    <w:p w:rsidR="001F529E" w:rsidRPr="001F529E" w:rsidRDefault="001F529E">
      <w:pPr>
        <w:pStyle w:val="a4"/>
        <w:rPr>
          <w:rFonts w:ascii="Times New Roman" w:hAnsi="Times New Roman" w:cs="Times New Roman"/>
        </w:rPr>
      </w:pPr>
      <w:r w:rsidRPr="001F529E">
        <w:rPr>
          <w:rStyle w:val="a6"/>
          <w:rFonts w:ascii="Times New Roman" w:hAnsi="Times New Roman" w:cs="Times New Roman"/>
        </w:rPr>
        <w:footnoteRef/>
      </w:r>
      <w:r w:rsidRPr="001F529E">
        <w:rPr>
          <w:rFonts w:ascii="Times New Roman" w:hAnsi="Times New Roman" w:cs="Times New Roman"/>
        </w:rPr>
        <w:t xml:space="preserve"> Legea nr.50 din 03.04.2015 pentru modificarea articolul 96 din Codul fiscal nr.1163-XIII din 24 aprilie 1997.</w:t>
      </w:r>
    </w:p>
  </w:footnote>
  <w:footnote w:id="14">
    <w:p w:rsidR="00E43F8F" w:rsidRPr="001F529E" w:rsidRDefault="00E43F8F">
      <w:pPr>
        <w:pStyle w:val="a4"/>
        <w:rPr>
          <w:rFonts w:ascii="Times New Roman" w:hAnsi="Times New Roman" w:cs="Times New Roman"/>
        </w:rPr>
      </w:pPr>
      <w:r w:rsidRPr="001F529E">
        <w:rPr>
          <w:rStyle w:val="a6"/>
          <w:rFonts w:ascii="Times New Roman" w:hAnsi="Times New Roman" w:cs="Times New Roman"/>
        </w:rPr>
        <w:footnoteRef/>
      </w:r>
      <w:r w:rsidR="00780344">
        <w:rPr>
          <w:rFonts w:ascii="Times New Roman" w:hAnsi="Times New Roman" w:cs="Times New Roman"/>
        </w:rPr>
        <w:t xml:space="preserve"> Legea nr.112 din 02.07.2014</w:t>
      </w:r>
      <w:r w:rsidRPr="001F529E">
        <w:rPr>
          <w:rFonts w:ascii="Times New Roman" w:hAnsi="Times New Roman" w:cs="Times New Roman"/>
        </w:rPr>
        <w:t xml:space="preserve"> pentru ratificarea Acordului de Asociere între Republica Moldova, pe de o parte, și Uniunea Europeană și Comunitatea Europeană a Energiei Atomice și statele membre ale acestora, pe de altă parte.</w:t>
      </w:r>
    </w:p>
  </w:footnote>
  <w:footnote w:id="15">
    <w:p w:rsidR="00E43F8F" w:rsidRPr="001F7976" w:rsidRDefault="00E43F8F" w:rsidP="00412223">
      <w:pPr>
        <w:pStyle w:val="a4"/>
        <w:jc w:val="both"/>
        <w:rPr>
          <w:rFonts w:ascii="Times New Roman" w:hAnsi="Times New Roman" w:cs="Times New Roman"/>
        </w:rPr>
      </w:pPr>
      <w:r w:rsidRPr="001F7976">
        <w:rPr>
          <w:rStyle w:val="a6"/>
          <w:rFonts w:ascii="Times New Roman" w:hAnsi="Times New Roman" w:cs="Times New Roman"/>
        </w:rPr>
        <w:footnoteRef/>
      </w:r>
      <w:r w:rsidRPr="001F7976">
        <w:rPr>
          <w:rFonts w:ascii="Times New Roman" w:hAnsi="Times New Roman" w:cs="Times New Roman"/>
        </w:rPr>
        <w:t xml:space="preserve"> </w:t>
      </w:r>
      <w:r>
        <w:rPr>
          <w:rFonts w:ascii="Times New Roman" w:hAnsi="Times New Roman" w:cs="Times New Roman"/>
          <w:lang w:val="ro-MD"/>
        </w:rPr>
        <w:t>A</w:t>
      </w:r>
      <w:r w:rsidRPr="001F7976">
        <w:rPr>
          <w:rFonts w:ascii="Times New Roman" w:hAnsi="Times New Roman" w:cs="Times New Roman"/>
          <w:lang w:val="ro-MD"/>
        </w:rPr>
        <w:t>rt.36 alin.(5) din Legea nr.1353</w:t>
      </w:r>
      <w:r>
        <w:rPr>
          <w:rFonts w:ascii="Times New Roman" w:hAnsi="Times New Roman" w:cs="Times New Roman"/>
          <w:lang w:val="ro-MD"/>
        </w:rPr>
        <w:t>-XIV</w:t>
      </w:r>
      <w:r w:rsidRPr="001F7976">
        <w:rPr>
          <w:rFonts w:ascii="Times New Roman" w:hAnsi="Times New Roman" w:cs="Times New Roman"/>
          <w:lang w:val="ro-MD"/>
        </w:rPr>
        <w:t xml:space="preserve"> din 03.11.2000 privind gospodăriile țărănești (de fermier)</w:t>
      </w:r>
      <w:r>
        <w:rPr>
          <w:rFonts w:ascii="Times New Roman" w:hAnsi="Times New Roman" w:cs="Times New Roman"/>
          <w:lang w:val="ro-MD"/>
        </w:rPr>
        <w:t>.</w:t>
      </w:r>
    </w:p>
  </w:footnote>
  <w:footnote w:id="16">
    <w:p w:rsidR="00E43F8F" w:rsidRPr="00477706" w:rsidRDefault="00E43F8F">
      <w:pPr>
        <w:pStyle w:val="a4"/>
        <w:rPr>
          <w:rFonts w:ascii="Times New Roman" w:hAnsi="Times New Roman" w:cs="Times New Roman"/>
        </w:rPr>
      </w:pPr>
      <w:r w:rsidRPr="00477706">
        <w:rPr>
          <w:rStyle w:val="a6"/>
          <w:rFonts w:ascii="Times New Roman" w:hAnsi="Times New Roman" w:cs="Times New Roman"/>
        </w:rPr>
        <w:footnoteRef/>
      </w:r>
      <w:r w:rsidRPr="00477706">
        <w:rPr>
          <w:rFonts w:ascii="Times New Roman" w:hAnsi="Times New Roman" w:cs="Times New Roman"/>
        </w:rPr>
        <w:t xml:space="preserve"> </w:t>
      </w:r>
      <w:r w:rsidRPr="003F4798">
        <w:rPr>
          <w:rFonts w:ascii="Times New Roman" w:hAnsi="Times New Roman" w:cs="Times New Roman"/>
        </w:rPr>
        <w:t xml:space="preserve">Legea insolvabilității </w:t>
      </w:r>
      <w:r w:rsidRPr="003F4798">
        <w:rPr>
          <w:rFonts w:ascii="Times New Roman" w:hAnsi="Times New Roman" w:cs="Times New Roman"/>
          <w:lang w:val="ro-MD" w:eastAsia="ro-RO"/>
        </w:rPr>
        <w:t>nr.149 din 29.06.2012</w:t>
      </w:r>
      <w:r w:rsidRPr="00477706">
        <w:rPr>
          <w:rFonts w:ascii="Times New Roman" w:hAnsi="Times New Roman" w:cs="Times New Roman"/>
          <w:lang w:val="ro-MD" w:eastAsia="ro-RO"/>
        </w:rPr>
        <w:t>.</w:t>
      </w:r>
    </w:p>
  </w:footnote>
  <w:footnote w:id="17">
    <w:p w:rsidR="00E43F8F" w:rsidRPr="00867EAB" w:rsidRDefault="00E43F8F" w:rsidP="00867EAB">
      <w:pPr>
        <w:jc w:val="both"/>
        <w:rPr>
          <w:rFonts w:ascii="Times New Roman" w:hAnsi="Times New Roman" w:cs="Times New Roman"/>
          <w:sz w:val="20"/>
          <w:szCs w:val="20"/>
          <w:lang w:val="ro-MD"/>
        </w:rPr>
      </w:pPr>
      <w:r w:rsidRPr="00867EAB">
        <w:rPr>
          <w:rStyle w:val="a6"/>
          <w:rFonts w:ascii="Times New Roman" w:hAnsi="Times New Roman" w:cs="Times New Roman"/>
          <w:sz w:val="20"/>
          <w:szCs w:val="20"/>
        </w:rPr>
        <w:footnoteRef/>
      </w:r>
      <w:r w:rsidRPr="00867EAB">
        <w:rPr>
          <w:rFonts w:ascii="Times New Roman" w:hAnsi="Times New Roman" w:cs="Times New Roman"/>
          <w:sz w:val="20"/>
          <w:szCs w:val="20"/>
        </w:rPr>
        <w:t xml:space="preserve"> </w:t>
      </w:r>
      <w:r>
        <w:rPr>
          <w:rFonts w:ascii="Times New Roman" w:hAnsi="Times New Roman" w:cs="Times New Roman"/>
          <w:sz w:val="20"/>
          <w:szCs w:val="20"/>
          <w:lang w:val="ro-MD"/>
        </w:rPr>
        <w:t>Pe</w:t>
      </w:r>
      <w:r w:rsidRPr="00867EAB">
        <w:rPr>
          <w:rFonts w:ascii="Times New Roman" w:hAnsi="Times New Roman" w:cs="Times New Roman"/>
          <w:sz w:val="20"/>
          <w:szCs w:val="20"/>
          <w:lang w:val="ro-MD"/>
        </w:rPr>
        <w:t>ntru executarea Hotăr</w:t>
      </w:r>
      <w:r>
        <w:rPr>
          <w:rFonts w:ascii="Times New Roman" w:hAnsi="Times New Roman" w:cs="Times New Roman"/>
          <w:sz w:val="20"/>
          <w:szCs w:val="20"/>
          <w:lang w:val="ro-MD"/>
        </w:rPr>
        <w:t>â</w:t>
      </w:r>
      <w:r w:rsidRPr="00867EAB">
        <w:rPr>
          <w:rFonts w:ascii="Times New Roman" w:hAnsi="Times New Roman" w:cs="Times New Roman"/>
          <w:sz w:val="20"/>
          <w:szCs w:val="20"/>
          <w:lang w:val="ro-MD"/>
        </w:rPr>
        <w:t xml:space="preserve">rii Curții de Conturi nr.20 din 26.05.2017 privind Raportul auditului performanței </w:t>
      </w:r>
      <w:r>
        <w:rPr>
          <w:rFonts w:ascii="Times New Roman" w:hAnsi="Times New Roman" w:cs="Times New Roman"/>
          <w:sz w:val="20"/>
          <w:szCs w:val="20"/>
          <w:lang w:val="ro-MD"/>
        </w:rPr>
        <w:t>„</w:t>
      </w:r>
      <w:r w:rsidRPr="00867EAB">
        <w:rPr>
          <w:rFonts w:ascii="Times New Roman" w:hAnsi="Times New Roman" w:cs="Times New Roman"/>
          <w:sz w:val="20"/>
          <w:szCs w:val="20"/>
          <w:lang w:val="ro-MD"/>
        </w:rPr>
        <w:t>Relevanța instrumentelor de gestiune silită a obligației fiscale/vamale pentru anii 2014-2016”</w:t>
      </w:r>
      <w:r>
        <w:rPr>
          <w:rFonts w:ascii="Times New Roman" w:hAnsi="Times New Roman" w:cs="Times New Roman"/>
          <w:sz w:val="20"/>
          <w:szCs w:val="20"/>
          <w:lang w:val="ro-MD"/>
        </w:rPr>
        <w:t>,</w:t>
      </w:r>
      <w:r w:rsidRPr="00867EAB">
        <w:rPr>
          <w:rFonts w:ascii="Times New Roman" w:hAnsi="Times New Roman" w:cs="Times New Roman"/>
          <w:sz w:val="20"/>
          <w:szCs w:val="20"/>
          <w:lang w:val="ro-MD"/>
        </w:rPr>
        <w:t xml:space="preserve"> a fost emisă Indicația SFS nr.43 ,,Cu privire la executarea recomandărilor Hotăr</w:t>
      </w:r>
      <w:r>
        <w:rPr>
          <w:rFonts w:ascii="Times New Roman" w:hAnsi="Times New Roman" w:cs="Times New Roman"/>
          <w:sz w:val="20"/>
          <w:szCs w:val="20"/>
          <w:lang w:val="ro-MD"/>
        </w:rPr>
        <w:t>â</w:t>
      </w:r>
      <w:r w:rsidRPr="00867EAB">
        <w:rPr>
          <w:rFonts w:ascii="Times New Roman" w:hAnsi="Times New Roman" w:cs="Times New Roman"/>
          <w:sz w:val="20"/>
          <w:szCs w:val="20"/>
          <w:lang w:val="ro-MD"/>
        </w:rPr>
        <w:t>rii Curții de Conturi nr.20 din 20  mai 2017”, iar conform Ordinului SFS nr.423 din 03.11.2017,,</w:t>
      </w:r>
      <w:r>
        <w:rPr>
          <w:rFonts w:ascii="Times New Roman" w:hAnsi="Times New Roman" w:cs="Times New Roman"/>
          <w:sz w:val="20"/>
          <w:szCs w:val="20"/>
          <w:lang w:val="ro-MD"/>
        </w:rPr>
        <w:t>C</w:t>
      </w:r>
      <w:r w:rsidRPr="00867EAB">
        <w:rPr>
          <w:rFonts w:ascii="Times New Roman" w:hAnsi="Times New Roman" w:cs="Times New Roman"/>
          <w:sz w:val="20"/>
          <w:szCs w:val="20"/>
          <w:lang w:val="ro-MD"/>
        </w:rPr>
        <w:t>u privire la crearea grupurilor de lucru responsabile de sechestrarea bunurilor”</w:t>
      </w:r>
      <w:r>
        <w:rPr>
          <w:rFonts w:ascii="Times New Roman" w:hAnsi="Times New Roman" w:cs="Times New Roman"/>
          <w:sz w:val="20"/>
          <w:szCs w:val="20"/>
          <w:lang w:val="ro-MD"/>
        </w:rPr>
        <w:t>,</w:t>
      </w:r>
      <w:r w:rsidRPr="00867EAB">
        <w:rPr>
          <w:rFonts w:ascii="Times New Roman" w:hAnsi="Times New Roman" w:cs="Times New Roman"/>
          <w:sz w:val="20"/>
          <w:szCs w:val="20"/>
          <w:lang w:val="ro-MD"/>
        </w:rPr>
        <w:t xml:space="preserve"> au fost create grupuri de lucru responsabile de sechestrarea bunurilor și inventarier</w:t>
      </w:r>
      <w:r>
        <w:rPr>
          <w:rFonts w:ascii="Times New Roman" w:hAnsi="Times New Roman" w:cs="Times New Roman"/>
          <w:sz w:val="20"/>
          <w:szCs w:val="20"/>
          <w:lang w:val="ro-MD"/>
        </w:rPr>
        <w:t>ea</w:t>
      </w:r>
      <w:r w:rsidRPr="00867EAB">
        <w:rPr>
          <w:rFonts w:ascii="Times New Roman" w:hAnsi="Times New Roman" w:cs="Times New Roman"/>
          <w:sz w:val="20"/>
          <w:szCs w:val="20"/>
          <w:lang w:val="ro-MD"/>
        </w:rPr>
        <w:t xml:space="preserve"> bunurilor sechestrate. </w:t>
      </w:r>
    </w:p>
    <w:p w:rsidR="00E43F8F" w:rsidRPr="00944589" w:rsidRDefault="00E43F8F" w:rsidP="00C26C38">
      <w:pPr>
        <w:pStyle w:val="a4"/>
        <w:jc w:val="both"/>
        <w:rPr>
          <w:rFonts w:ascii="Times New Roman" w:hAnsi="Times New Roman" w:cs="Times New Roman"/>
          <w:lang w:val="ro-MD"/>
        </w:rPr>
      </w:pPr>
    </w:p>
  </w:footnote>
  <w:footnote w:id="18">
    <w:p w:rsidR="00E43F8F" w:rsidRPr="00A851CE" w:rsidRDefault="00E43F8F" w:rsidP="00C26C38">
      <w:pPr>
        <w:pStyle w:val="a4"/>
        <w:jc w:val="both"/>
        <w:rPr>
          <w:rFonts w:ascii="Times New Roman" w:hAnsi="Times New Roman" w:cs="Times New Roman"/>
          <w:lang w:val="ro-MD"/>
        </w:rPr>
      </w:pPr>
      <w:r w:rsidRPr="00A851CE">
        <w:rPr>
          <w:rStyle w:val="a6"/>
          <w:rFonts w:ascii="Times New Roman" w:hAnsi="Times New Roman" w:cs="Times New Roman"/>
        </w:rPr>
        <w:footnoteRef/>
      </w:r>
      <w:r w:rsidRPr="00A851CE">
        <w:rPr>
          <w:rFonts w:ascii="Times New Roman" w:hAnsi="Times New Roman" w:cs="Times New Roman"/>
        </w:rPr>
        <w:t xml:space="preserve"> Hotărârea Curții de Conturi nr.20 din 26 mai 2017 cu privire la aprobarea Raportului auditului privind relevanța instrumentelor de gestiune silită a obligației fiscal/vamale pentru anii 2014-2016.</w:t>
      </w:r>
    </w:p>
  </w:footnote>
  <w:footnote w:id="19">
    <w:p w:rsidR="00E43F8F" w:rsidRPr="00104B50" w:rsidRDefault="00E43F8F" w:rsidP="00C26C38">
      <w:pPr>
        <w:pStyle w:val="a4"/>
        <w:rPr>
          <w:rFonts w:ascii="Times New Roman" w:hAnsi="Times New Roman" w:cs="Times New Roman"/>
        </w:rPr>
      </w:pPr>
      <w:r w:rsidRPr="00104B50">
        <w:rPr>
          <w:rStyle w:val="a6"/>
          <w:rFonts w:ascii="Times New Roman" w:hAnsi="Times New Roman" w:cs="Times New Roman"/>
        </w:rPr>
        <w:footnoteRef/>
      </w:r>
      <w:r w:rsidRPr="00104B50">
        <w:rPr>
          <w:rFonts w:ascii="Times New Roman" w:hAnsi="Times New Roman" w:cs="Times New Roman"/>
        </w:rPr>
        <w:t xml:space="preserve"> </w:t>
      </w:r>
      <w:r w:rsidRPr="00104B50">
        <w:rPr>
          <w:rFonts w:ascii="Times New Roman" w:hAnsi="Times New Roman" w:cs="Times New Roman"/>
          <w:iCs/>
        </w:rPr>
        <w:t xml:space="preserve">Legea </w:t>
      </w:r>
      <w:r w:rsidRPr="00776A3C">
        <w:rPr>
          <w:rFonts w:ascii="Times New Roman" w:hAnsi="Times New Roman" w:cs="Times New Roman"/>
          <w:iCs/>
          <w:lang w:val="ro-MD"/>
        </w:rPr>
        <w:t>nr.324 din 23.12.2013</w:t>
      </w:r>
      <w:r>
        <w:rPr>
          <w:rFonts w:ascii="Times New Roman" w:hAnsi="Times New Roman" w:cs="Times New Roman"/>
          <w:iCs/>
          <w:lang w:val="ro-MD"/>
        </w:rPr>
        <w:t>(</w:t>
      </w:r>
      <w:r w:rsidRPr="00776A3C">
        <w:rPr>
          <w:rFonts w:ascii="Times New Roman" w:hAnsi="Times New Roman" w:cs="Times New Roman"/>
          <w:iCs/>
          <w:lang w:val="ro-MD"/>
        </w:rPr>
        <w:t xml:space="preserve"> în vigoare din 01</w:t>
      </w:r>
      <w:r>
        <w:rPr>
          <w:rFonts w:ascii="Times New Roman" w:hAnsi="Times New Roman" w:cs="Times New Roman"/>
          <w:iCs/>
        </w:rPr>
        <w:t xml:space="preserve">.01.2014) </w:t>
      </w:r>
      <w:r w:rsidRPr="00104B50">
        <w:rPr>
          <w:rFonts w:ascii="Times New Roman" w:eastAsia="Times New Roman" w:hAnsi="Times New Roman" w:cs="Times New Roman"/>
          <w:bCs/>
        </w:rPr>
        <w:t xml:space="preserve">pentru modificarea </w:t>
      </w:r>
      <w:proofErr w:type="spellStart"/>
      <w:r w:rsidRPr="00104B50">
        <w:rPr>
          <w:rFonts w:ascii="Times New Roman" w:eastAsia="Times New Roman" w:hAnsi="Times New Roman" w:cs="Times New Roman"/>
          <w:bCs/>
        </w:rPr>
        <w:t>şi</w:t>
      </w:r>
      <w:proofErr w:type="spellEnd"/>
      <w:r w:rsidRPr="00104B50">
        <w:rPr>
          <w:rFonts w:ascii="Times New Roman" w:eastAsia="Times New Roman" w:hAnsi="Times New Roman" w:cs="Times New Roman"/>
          <w:bCs/>
        </w:rPr>
        <w:t xml:space="preserve"> completarea unor acte </w:t>
      </w:r>
      <w:r w:rsidRPr="00776A3C">
        <w:rPr>
          <w:rFonts w:ascii="Times New Roman" w:eastAsia="Times New Roman" w:hAnsi="Times New Roman" w:cs="Times New Roman"/>
          <w:bCs/>
          <w:lang w:val="ro-MD"/>
        </w:rPr>
        <w:t>legisl</w:t>
      </w:r>
      <w:r>
        <w:rPr>
          <w:rFonts w:ascii="Times New Roman" w:eastAsia="Times New Roman" w:hAnsi="Times New Roman" w:cs="Times New Roman"/>
          <w:bCs/>
          <w:lang w:val="ro-MD"/>
        </w:rPr>
        <w:t>ative.</w:t>
      </w:r>
    </w:p>
  </w:footnote>
  <w:footnote w:id="20">
    <w:p w:rsidR="00E43F8F" w:rsidRPr="002C076F" w:rsidRDefault="00E43F8F" w:rsidP="004726E0">
      <w:pPr>
        <w:pStyle w:val="a4"/>
        <w:jc w:val="both"/>
        <w:rPr>
          <w:rFonts w:ascii="Times New Roman" w:hAnsi="Times New Roman" w:cs="Times New Roman"/>
        </w:rPr>
      </w:pPr>
      <w:r w:rsidRPr="002C076F">
        <w:rPr>
          <w:rStyle w:val="a6"/>
          <w:rFonts w:ascii="Times New Roman" w:hAnsi="Times New Roman" w:cs="Times New Roman"/>
        </w:rPr>
        <w:footnoteRef/>
      </w:r>
      <w:r w:rsidRPr="002C076F">
        <w:rPr>
          <w:rFonts w:ascii="Times New Roman" w:hAnsi="Times New Roman" w:cs="Times New Roman"/>
        </w:rPr>
        <w:t xml:space="preserve"> </w:t>
      </w:r>
      <w:r w:rsidRPr="002C076F">
        <w:rPr>
          <w:rFonts w:ascii="Times New Roman" w:hAnsi="Times New Roman" w:cs="Times New Roman"/>
          <w:lang w:val="ro-MD"/>
        </w:rPr>
        <w:t>Ordinul SFS nr.394 din 26.04.2016 privind aprobarea Programului de conformare voluntară a contribuabililor pentru anul 2017.</w:t>
      </w:r>
    </w:p>
  </w:footnote>
  <w:footnote w:id="21">
    <w:p w:rsidR="00E43F8F" w:rsidRPr="002C076F" w:rsidRDefault="00E43F8F" w:rsidP="004726E0">
      <w:pPr>
        <w:pStyle w:val="a4"/>
        <w:jc w:val="both"/>
      </w:pPr>
      <w:r w:rsidRPr="002C076F">
        <w:rPr>
          <w:rStyle w:val="a6"/>
        </w:rPr>
        <w:footnoteRef/>
      </w:r>
      <w:r w:rsidRPr="002C076F">
        <w:t xml:space="preserve"> </w:t>
      </w:r>
      <w:r>
        <w:rPr>
          <w:rFonts w:ascii="Times New Roman" w:hAnsi="Times New Roman" w:cs="Times New Roman"/>
          <w:lang w:val="ro-MD"/>
        </w:rPr>
        <w:t>Ordinul</w:t>
      </w:r>
      <w:r w:rsidRPr="002C076F">
        <w:rPr>
          <w:rFonts w:ascii="Times New Roman" w:hAnsi="Times New Roman" w:cs="Times New Roman"/>
          <w:lang w:val="ro-MD"/>
        </w:rPr>
        <w:t xml:space="preserve"> SFS nr.542 din 31.03.2017</w:t>
      </w:r>
      <w:r>
        <w:rPr>
          <w:rFonts w:ascii="Times New Roman" w:hAnsi="Times New Roman" w:cs="Times New Roman"/>
          <w:lang w:val="ro-MD"/>
        </w:rPr>
        <w:t xml:space="preserve"> privind aprobarea Listei</w:t>
      </w:r>
      <w:r w:rsidRPr="002C076F">
        <w:rPr>
          <w:rFonts w:ascii="Times New Roman" w:hAnsi="Times New Roman" w:cs="Times New Roman"/>
          <w:lang w:val="ro-MD"/>
        </w:rPr>
        <w:t xml:space="preserve"> contribuabililor cu riscuri de neconformare fiscală</w:t>
      </w:r>
      <w:r>
        <w:rPr>
          <w:rFonts w:ascii="Times New Roman" w:hAnsi="Times New Roman" w:cs="Times New Roman"/>
          <w:lang w:val="ro-MD"/>
        </w:rPr>
        <w:t>.</w:t>
      </w:r>
    </w:p>
  </w:footnote>
  <w:footnote w:id="22">
    <w:p w:rsidR="00E43F8F" w:rsidRPr="00AC355D" w:rsidRDefault="00E43F8F" w:rsidP="00AC355D">
      <w:pPr>
        <w:pStyle w:val="a4"/>
        <w:jc w:val="both"/>
        <w:rPr>
          <w:rFonts w:ascii="Times New Roman" w:hAnsi="Times New Roman" w:cs="Times New Roman"/>
        </w:rPr>
      </w:pPr>
      <w:r w:rsidRPr="00AC355D">
        <w:rPr>
          <w:rStyle w:val="a6"/>
          <w:rFonts w:ascii="Times New Roman" w:hAnsi="Times New Roman" w:cs="Times New Roman"/>
        </w:rPr>
        <w:footnoteRef/>
      </w:r>
      <w:r w:rsidRPr="00AC355D">
        <w:rPr>
          <w:rFonts w:ascii="Times New Roman" w:hAnsi="Times New Roman" w:cs="Times New Roman"/>
        </w:rPr>
        <w:t xml:space="preserve"> Programul de Agent Economic Autorizat (AEO); Exportator Aprobat; Proceduri simplificate (procedura de vămuire la domiciliu); Procedura de amânare a determinării definitive a valorii în vamă, inclusiv </w:t>
      </w:r>
      <w:r>
        <w:rPr>
          <w:rFonts w:ascii="Times New Roman" w:hAnsi="Times New Roman" w:cs="Times New Roman"/>
        </w:rPr>
        <w:t>a</w:t>
      </w:r>
      <w:r w:rsidRPr="00AC355D">
        <w:rPr>
          <w:rFonts w:ascii="Times New Roman" w:hAnsi="Times New Roman" w:cs="Times New Roman"/>
        </w:rPr>
        <w:t xml:space="preserve"> clasificării mărfurilor, cu condiția constituirii unei garanții suficiente; Declararea electronică la Import, Export și Tranzit; Dezvoltarea controlului comun la frontieră; Micșorarea numărului de documente obligatorii la văm</w:t>
      </w:r>
      <w:r>
        <w:rPr>
          <w:rFonts w:ascii="Times New Roman" w:hAnsi="Times New Roman" w:cs="Times New Roman"/>
        </w:rPr>
        <w:t>uire</w:t>
      </w:r>
      <w:r w:rsidRPr="00AC355D">
        <w:rPr>
          <w:rFonts w:ascii="Times New Roman" w:hAnsi="Times New Roman" w:cs="Times New Roman"/>
        </w:rPr>
        <w:t>.</w:t>
      </w:r>
    </w:p>
    <w:p w:rsidR="00E43F8F" w:rsidRPr="00AC355D" w:rsidRDefault="00E43F8F">
      <w:pPr>
        <w:pStyle w:val="a4"/>
      </w:pPr>
    </w:p>
  </w:footnote>
  <w:footnote w:id="23">
    <w:p w:rsidR="00E43F8F" w:rsidRPr="008E6F50" w:rsidRDefault="00E43F8F" w:rsidP="00714F5D">
      <w:pPr>
        <w:pStyle w:val="a4"/>
        <w:rPr>
          <w:rFonts w:ascii="Times New Roman" w:hAnsi="Times New Roman" w:cs="Times New Roman"/>
        </w:rPr>
      </w:pPr>
      <w:r w:rsidRPr="008E6F50">
        <w:rPr>
          <w:rStyle w:val="a6"/>
          <w:rFonts w:ascii="Times New Roman" w:hAnsi="Times New Roman" w:cs="Times New Roman"/>
        </w:rPr>
        <w:footnoteRef/>
      </w:r>
      <w:r w:rsidRPr="008E6F50">
        <w:rPr>
          <w:rFonts w:ascii="Times New Roman" w:hAnsi="Times New Roman" w:cs="Times New Roman"/>
        </w:rPr>
        <w:t xml:space="preserve"> Hotărârea Curții de Conturi nr.54 din 05.12.2016 „Cu privire la aprobarea Manualului de audit al performanței”.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486"/>
    <w:multiLevelType w:val="multilevel"/>
    <w:tmpl w:val="378A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45176"/>
    <w:multiLevelType w:val="hybridMultilevel"/>
    <w:tmpl w:val="17CC71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D4FB9"/>
    <w:multiLevelType w:val="hybridMultilevel"/>
    <w:tmpl w:val="E256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76C5F"/>
    <w:multiLevelType w:val="hybridMultilevel"/>
    <w:tmpl w:val="2A4C0752"/>
    <w:lvl w:ilvl="0" w:tplc="5F3CD70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30FE1"/>
    <w:multiLevelType w:val="hybridMultilevel"/>
    <w:tmpl w:val="339C3FAE"/>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21441"/>
    <w:multiLevelType w:val="hybridMultilevel"/>
    <w:tmpl w:val="43220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65368"/>
    <w:multiLevelType w:val="hybridMultilevel"/>
    <w:tmpl w:val="A74ED798"/>
    <w:lvl w:ilvl="0" w:tplc="537E5C34">
      <w:start w:val="58"/>
      <w:numFmt w:val="bullet"/>
      <w:lvlText w:val="–"/>
      <w:lvlJc w:val="left"/>
      <w:pPr>
        <w:ind w:left="785" w:hanging="360"/>
      </w:pPr>
      <w:rPr>
        <w:rFonts w:ascii="Times New Roman" w:eastAsiaTheme="minorHAnsi" w:hAnsi="Times New Roman" w:cs="Times New Roman" w:hint="default"/>
        <w:i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33810E6B"/>
    <w:multiLevelType w:val="hybridMultilevel"/>
    <w:tmpl w:val="4FCE2510"/>
    <w:lvl w:ilvl="0" w:tplc="0409000D">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38EA28CD"/>
    <w:multiLevelType w:val="hybridMultilevel"/>
    <w:tmpl w:val="DB6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652D7"/>
    <w:multiLevelType w:val="hybridMultilevel"/>
    <w:tmpl w:val="CA0837CC"/>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73D95"/>
    <w:multiLevelType w:val="hybridMultilevel"/>
    <w:tmpl w:val="17C66CC6"/>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1CF5BF2"/>
    <w:multiLevelType w:val="hybridMultilevel"/>
    <w:tmpl w:val="11E86D42"/>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04A65"/>
    <w:multiLevelType w:val="hybridMultilevel"/>
    <w:tmpl w:val="3C805D60"/>
    <w:lvl w:ilvl="0" w:tplc="FA02DA8E">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B76EA"/>
    <w:multiLevelType w:val="hybridMultilevel"/>
    <w:tmpl w:val="80EC82BA"/>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A46B6"/>
    <w:multiLevelType w:val="hybridMultilevel"/>
    <w:tmpl w:val="B7860940"/>
    <w:lvl w:ilvl="0" w:tplc="5F3CD702">
      <w:start w:val="1"/>
      <w:numFmt w:val="bullet"/>
      <w:lvlText w:val="-"/>
      <w:lvlJc w:val="left"/>
      <w:pPr>
        <w:ind w:left="414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65681D"/>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E427911"/>
    <w:multiLevelType w:val="hybridMultilevel"/>
    <w:tmpl w:val="EADCAA56"/>
    <w:lvl w:ilvl="0" w:tplc="D3C023E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56624887"/>
    <w:multiLevelType w:val="hybridMultilevel"/>
    <w:tmpl w:val="BCC0B4AA"/>
    <w:lvl w:ilvl="0" w:tplc="76A4F2B2">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14E66"/>
    <w:multiLevelType w:val="hybridMultilevel"/>
    <w:tmpl w:val="D57EF39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575178EB"/>
    <w:multiLevelType w:val="hybridMultilevel"/>
    <w:tmpl w:val="2384E95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7756C93"/>
    <w:multiLevelType w:val="hybridMultilevel"/>
    <w:tmpl w:val="99C21E72"/>
    <w:lvl w:ilvl="0" w:tplc="5F3CD7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30B3C"/>
    <w:multiLevelType w:val="hybridMultilevel"/>
    <w:tmpl w:val="7E18CF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9F9722E"/>
    <w:multiLevelType w:val="hybridMultilevel"/>
    <w:tmpl w:val="03AAD69A"/>
    <w:lvl w:ilvl="0" w:tplc="40FC527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122F2A"/>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A286072"/>
    <w:multiLevelType w:val="hybridMultilevel"/>
    <w:tmpl w:val="70A01FE0"/>
    <w:lvl w:ilvl="0" w:tplc="556C928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03E4937"/>
    <w:multiLevelType w:val="hybridMultilevel"/>
    <w:tmpl w:val="21146EE8"/>
    <w:lvl w:ilvl="0" w:tplc="E32CCE76">
      <w:start w:val="1"/>
      <w:numFmt w:val="decimal"/>
      <w:lvlText w:val="%1)"/>
      <w:lvlJc w:val="left"/>
      <w:pPr>
        <w:ind w:left="1002" w:hanging="372"/>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0B767E6"/>
    <w:multiLevelType w:val="hybridMultilevel"/>
    <w:tmpl w:val="F91C6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A6CC4"/>
    <w:multiLevelType w:val="hybridMultilevel"/>
    <w:tmpl w:val="61BE1B6A"/>
    <w:lvl w:ilvl="0" w:tplc="A976B132">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A3041"/>
    <w:multiLevelType w:val="hybridMultilevel"/>
    <w:tmpl w:val="C41C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0"/>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0"/>
  </w:num>
  <w:num w:numId="9">
    <w:abstractNumId w:val="2"/>
  </w:num>
  <w:num w:numId="10">
    <w:abstractNumId w:val="17"/>
  </w:num>
  <w:num w:numId="11">
    <w:abstractNumId w:val="9"/>
  </w:num>
  <w:num w:numId="12">
    <w:abstractNumId w:val="7"/>
  </w:num>
  <w:num w:numId="13">
    <w:abstractNumId w:val="18"/>
  </w:num>
  <w:num w:numId="14">
    <w:abstractNumId w:val="5"/>
  </w:num>
  <w:num w:numId="15">
    <w:abstractNumId w:val="8"/>
  </w:num>
  <w:num w:numId="16">
    <w:abstractNumId w:val="21"/>
  </w:num>
  <w:num w:numId="17">
    <w:abstractNumId w:val="13"/>
  </w:num>
  <w:num w:numId="18">
    <w:abstractNumId w:val="0"/>
  </w:num>
  <w:num w:numId="19">
    <w:abstractNumId w:val="11"/>
  </w:num>
  <w:num w:numId="20">
    <w:abstractNumId w:val="15"/>
  </w:num>
  <w:num w:numId="21">
    <w:abstractNumId w:val="24"/>
  </w:num>
  <w:num w:numId="22">
    <w:abstractNumId w:val="23"/>
  </w:num>
  <w:num w:numId="23">
    <w:abstractNumId w:val="12"/>
  </w:num>
  <w:num w:numId="24">
    <w:abstractNumId w:val="27"/>
  </w:num>
  <w:num w:numId="25">
    <w:abstractNumId w:val="1"/>
  </w:num>
  <w:num w:numId="26">
    <w:abstractNumId w:val="22"/>
  </w:num>
  <w:num w:numId="27">
    <w:abstractNumId w:val="6"/>
  </w:num>
  <w:num w:numId="28">
    <w:abstractNumId w:val="28"/>
  </w:num>
  <w:num w:numId="2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E6"/>
    <w:rsid w:val="00000345"/>
    <w:rsid w:val="00000C65"/>
    <w:rsid w:val="00001049"/>
    <w:rsid w:val="00001060"/>
    <w:rsid w:val="00001C7B"/>
    <w:rsid w:val="00003323"/>
    <w:rsid w:val="0000393F"/>
    <w:rsid w:val="00005AF3"/>
    <w:rsid w:val="00006999"/>
    <w:rsid w:val="00007E56"/>
    <w:rsid w:val="0001016B"/>
    <w:rsid w:val="000112AC"/>
    <w:rsid w:val="00011621"/>
    <w:rsid w:val="000128B3"/>
    <w:rsid w:val="000159EC"/>
    <w:rsid w:val="00016323"/>
    <w:rsid w:val="00017C3F"/>
    <w:rsid w:val="000202C8"/>
    <w:rsid w:val="00020547"/>
    <w:rsid w:val="00020C9C"/>
    <w:rsid w:val="00020E0A"/>
    <w:rsid w:val="000212F0"/>
    <w:rsid w:val="00021AED"/>
    <w:rsid w:val="00021DAC"/>
    <w:rsid w:val="000222BB"/>
    <w:rsid w:val="00023940"/>
    <w:rsid w:val="00023D22"/>
    <w:rsid w:val="0002481D"/>
    <w:rsid w:val="000251A6"/>
    <w:rsid w:val="0002544F"/>
    <w:rsid w:val="000258F9"/>
    <w:rsid w:val="000260B1"/>
    <w:rsid w:val="000261D8"/>
    <w:rsid w:val="00026819"/>
    <w:rsid w:val="00026DBB"/>
    <w:rsid w:val="00027C98"/>
    <w:rsid w:val="000305FC"/>
    <w:rsid w:val="000317B7"/>
    <w:rsid w:val="00031F3A"/>
    <w:rsid w:val="000321AB"/>
    <w:rsid w:val="0003237D"/>
    <w:rsid w:val="0003322B"/>
    <w:rsid w:val="00033613"/>
    <w:rsid w:val="0003400D"/>
    <w:rsid w:val="00034468"/>
    <w:rsid w:val="000345D5"/>
    <w:rsid w:val="000349B9"/>
    <w:rsid w:val="00035FC6"/>
    <w:rsid w:val="0003789A"/>
    <w:rsid w:val="00040352"/>
    <w:rsid w:val="0004210D"/>
    <w:rsid w:val="00043C6B"/>
    <w:rsid w:val="00045FB6"/>
    <w:rsid w:val="0004672B"/>
    <w:rsid w:val="00047C33"/>
    <w:rsid w:val="0005018A"/>
    <w:rsid w:val="00050379"/>
    <w:rsid w:val="00050B37"/>
    <w:rsid w:val="00051033"/>
    <w:rsid w:val="00051208"/>
    <w:rsid w:val="00051E4C"/>
    <w:rsid w:val="00052486"/>
    <w:rsid w:val="00052B0C"/>
    <w:rsid w:val="00054276"/>
    <w:rsid w:val="00054786"/>
    <w:rsid w:val="0005485C"/>
    <w:rsid w:val="00054E2B"/>
    <w:rsid w:val="000554F1"/>
    <w:rsid w:val="00055B76"/>
    <w:rsid w:val="00055D54"/>
    <w:rsid w:val="000561C7"/>
    <w:rsid w:val="00056535"/>
    <w:rsid w:val="0005689C"/>
    <w:rsid w:val="00056CF6"/>
    <w:rsid w:val="00057602"/>
    <w:rsid w:val="000576F3"/>
    <w:rsid w:val="00061319"/>
    <w:rsid w:val="000615FB"/>
    <w:rsid w:val="00062548"/>
    <w:rsid w:val="000633D4"/>
    <w:rsid w:val="000636F7"/>
    <w:rsid w:val="00064054"/>
    <w:rsid w:val="00064AC5"/>
    <w:rsid w:val="00064C22"/>
    <w:rsid w:val="00065ECB"/>
    <w:rsid w:val="00066154"/>
    <w:rsid w:val="00066A94"/>
    <w:rsid w:val="0006703D"/>
    <w:rsid w:val="0006765D"/>
    <w:rsid w:val="000701B3"/>
    <w:rsid w:val="00070543"/>
    <w:rsid w:val="000707C1"/>
    <w:rsid w:val="00070A53"/>
    <w:rsid w:val="00071441"/>
    <w:rsid w:val="00071D4C"/>
    <w:rsid w:val="000724BC"/>
    <w:rsid w:val="000725CA"/>
    <w:rsid w:val="00072BFC"/>
    <w:rsid w:val="00073D4B"/>
    <w:rsid w:val="00074794"/>
    <w:rsid w:val="00076CF7"/>
    <w:rsid w:val="00076D2D"/>
    <w:rsid w:val="00077911"/>
    <w:rsid w:val="00077A26"/>
    <w:rsid w:val="0008083C"/>
    <w:rsid w:val="000809EB"/>
    <w:rsid w:val="000822B5"/>
    <w:rsid w:val="000822E1"/>
    <w:rsid w:val="00082B05"/>
    <w:rsid w:val="000830E4"/>
    <w:rsid w:val="000836CD"/>
    <w:rsid w:val="000841E8"/>
    <w:rsid w:val="00084F9E"/>
    <w:rsid w:val="000857E7"/>
    <w:rsid w:val="00085BD9"/>
    <w:rsid w:val="00085D11"/>
    <w:rsid w:val="000861AD"/>
    <w:rsid w:val="0008673B"/>
    <w:rsid w:val="000876B4"/>
    <w:rsid w:val="00087C7B"/>
    <w:rsid w:val="00090325"/>
    <w:rsid w:val="00092AB4"/>
    <w:rsid w:val="00092C9C"/>
    <w:rsid w:val="000931A7"/>
    <w:rsid w:val="00095665"/>
    <w:rsid w:val="000965FB"/>
    <w:rsid w:val="0009727D"/>
    <w:rsid w:val="00097B54"/>
    <w:rsid w:val="000A131D"/>
    <w:rsid w:val="000A3203"/>
    <w:rsid w:val="000A329C"/>
    <w:rsid w:val="000A38BF"/>
    <w:rsid w:val="000A421F"/>
    <w:rsid w:val="000A475E"/>
    <w:rsid w:val="000A4AA8"/>
    <w:rsid w:val="000A59C4"/>
    <w:rsid w:val="000A63A4"/>
    <w:rsid w:val="000A6869"/>
    <w:rsid w:val="000A710F"/>
    <w:rsid w:val="000B3FEB"/>
    <w:rsid w:val="000B4386"/>
    <w:rsid w:val="000B46ED"/>
    <w:rsid w:val="000B4A92"/>
    <w:rsid w:val="000B52B4"/>
    <w:rsid w:val="000B5FA4"/>
    <w:rsid w:val="000B740E"/>
    <w:rsid w:val="000B743C"/>
    <w:rsid w:val="000B776C"/>
    <w:rsid w:val="000C1212"/>
    <w:rsid w:val="000C1EB8"/>
    <w:rsid w:val="000C20FC"/>
    <w:rsid w:val="000C4381"/>
    <w:rsid w:val="000C443F"/>
    <w:rsid w:val="000C5903"/>
    <w:rsid w:val="000C5B63"/>
    <w:rsid w:val="000C61BF"/>
    <w:rsid w:val="000C6E0C"/>
    <w:rsid w:val="000C7A31"/>
    <w:rsid w:val="000C7CE1"/>
    <w:rsid w:val="000D02CE"/>
    <w:rsid w:val="000D10E9"/>
    <w:rsid w:val="000D1925"/>
    <w:rsid w:val="000D1E3B"/>
    <w:rsid w:val="000D3CE3"/>
    <w:rsid w:val="000D4755"/>
    <w:rsid w:val="000D4EB0"/>
    <w:rsid w:val="000D5FA3"/>
    <w:rsid w:val="000D6BF7"/>
    <w:rsid w:val="000E0616"/>
    <w:rsid w:val="000E07CC"/>
    <w:rsid w:val="000E21F4"/>
    <w:rsid w:val="000E3069"/>
    <w:rsid w:val="000E3344"/>
    <w:rsid w:val="000E483C"/>
    <w:rsid w:val="000E5101"/>
    <w:rsid w:val="000E5AF9"/>
    <w:rsid w:val="000E5C23"/>
    <w:rsid w:val="000E670F"/>
    <w:rsid w:val="000E7623"/>
    <w:rsid w:val="000F0FE9"/>
    <w:rsid w:val="000F14A2"/>
    <w:rsid w:val="000F17DD"/>
    <w:rsid w:val="000F1E83"/>
    <w:rsid w:val="000F21EA"/>
    <w:rsid w:val="000F222A"/>
    <w:rsid w:val="000F3E54"/>
    <w:rsid w:val="000F403E"/>
    <w:rsid w:val="000F5752"/>
    <w:rsid w:val="000F73CA"/>
    <w:rsid w:val="000F7C95"/>
    <w:rsid w:val="0010000C"/>
    <w:rsid w:val="00102813"/>
    <w:rsid w:val="00102F75"/>
    <w:rsid w:val="00103A80"/>
    <w:rsid w:val="001043CA"/>
    <w:rsid w:val="00104499"/>
    <w:rsid w:val="00104B50"/>
    <w:rsid w:val="00105974"/>
    <w:rsid w:val="001065F8"/>
    <w:rsid w:val="00107C13"/>
    <w:rsid w:val="00107E8A"/>
    <w:rsid w:val="001108C9"/>
    <w:rsid w:val="00110B45"/>
    <w:rsid w:val="00110F74"/>
    <w:rsid w:val="001112F7"/>
    <w:rsid w:val="001118D1"/>
    <w:rsid w:val="001123B7"/>
    <w:rsid w:val="00113A35"/>
    <w:rsid w:val="00114F43"/>
    <w:rsid w:val="001151A1"/>
    <w:rsid w:val="00116114"/>
    <w:rsid w:val="00116979"/>
    <w:rsid w:val="00117E05"/>
    <w:rsid w:val="001207BB"/>
    <w:rsid w:val="001212EE"/>
    <w:rsid w:val="00121F8A"/>
    <w:rsid w:val="0012383A"/>
    <w:rsid w:val="0012392E"/>
    <w:rsid w:val="00123BE4"/>
    <w:rsid w:val="00123CB3"/>
    <w:rsid w:val="001245DF"/>
    <w:rsid w:val="00125164"/>
    <w:rsid w:val="0012608C"/>
    <w:rsid w:val="001272E2"/>
    <w:rsid w:val="001277F2"/>
    <w:rsid w:val="00127E47"/>
    <w:rsid w:val="0013046F"/>
    <w:rsid w:val="00130BE3"/>
    <w:rsid w:val="00131161"/>
    <w:rsid w:val="00131D4C"/>
    <w:rsid w:val="00131D4F"/>
    <w:rsid w:val="00134020"/>
    <w:rsid w:val="00134588"/>
    <w:rsid w:val="00134DFB"/>
    <w:rsid w:val="00135D3E"/>
    <w:rsid w:val="00135DB1"/>
    <w:rsid w:val="001362F7"/>
    <w:rsid w:val="00136D0B"/>
    <w:rsid w:val="00137D2B"/>
    <w:rsid w:val="0014035B"/>
    <w:rsid w:val="00141114"/>
    <w:rsid w:val="00141472"/>
    <w:rsid w:val="00141BA7"/>
    <w:rsid w:val="0014241E"/>
    <w:rsid w:val="0014303B"/>
    <w:rsid w:val="001434B0"/>
    <w:rsid w:val="00143CF3"/>
    <w:rsid w:val="0014557F"/>
    <w:rsid w:val="00145696"/>
    <w:rsid w:val="00145CD5"/>
    <w:rsid w:val="0014715E"/>
    <w:rsid w:val="00150008"/>
    <w:rsid w:val="00150C25"/>
    <w:rsid w:val="0015355F"/>
    <w:rsid w:val="00153BED"/>
    <w:rsid w:val="00154ECF"/>
    <w:rsid w:val="00155E8E"/>
    <w:rsid w:val="0015687E"/>
    <w:rsid w:val="00156B5E"/>
    <w:rsid w:val="0015723C"/>
    <w:rsid w:val="001572B4"/>
    <w:rsid w:val="00157843"/>
    <w:rsid w:val="001601C4"/>
    <w:rsid w:val="00160C66"/>
    <w:rsid w:val="00160C8E"/>
    <w:rsid w:val="00162523"/>
    <w:rsid w:val="00162546"/>
    <w:rsid w:val="00162B3E"/>
    <w:rsid w:val="0016511F"/>
    <w:rsid w:val="00165241"/>
    <w:rsid w:val="00165D8C"/>
    <w:rsid w:val="00166207"/>
    <w:rsid w:val="00166FF5"/>
    <w:rsid w:val="00167C97"/>
    <w:rsid w:val="001710E7"/>
    <w:rsid w:val="00171253"/>
    <w:rsid w:val="00171BDB"/>
    <w:rsid w:val="00172B38"/>
    <w:rsid w:val="00174CC2"/>
    <w:rsid w:val="00175939"/>
    <w:rsid w:val="00175DB9"/>
    <w:rsid w:val="00177A09"/>
    <w:rsid w:val="00177C4A"/>
    <w:rsid w:val="0018031D"/>
    <w:rsid w:val="00181285"/>
    <w:rsid w:val="00181560"/>
    <w:rsid w:val="00181ED9"/>
    <w:rsid w:val="00182516"/>
    <w:rsid w:val="001832DB"/>
    <w:rsid w:val="001837A0"/>
    <w:rsid w:val="00183E36"/>
    <w:rsid w:val="0018436D"/>
    <w:rsid w:val="00184C8D"/>
    <w:rsid w:val="00185FD4"/>
    <w:rsid w:val="00187618"/>
    <w:rsid w:val="0019026C"/>
    <w:rsid w:val="00191A62"/>
    <w:rsid w:val="00191BA5"/>
    <w:rsid w:val="001932E6"/>
    <w:rsid w:val="00194136"/>
    <w:rsid w:val="00194971"/>
    <w:rsid w:val="001949B6"/>
    <w:rsid w:val="001964A0"/>
    <w:rsid w:val="00196678"/>
    <w:rsid w:val="00196A72"/>
    <w:rsid w:val="001A0245"/>
    <w:rsid w:val="001A0B8C"/>
    <w:rsid w:val="001A0DD2"/>
    <w:rsid w:val="001A2AFC"/>
    <w:rsid w:val="001A2B8A"/>
    <w:rsid w:val="001A3464"/>
    <w:rsid w:val="001A37C2"/>
    <w:rsid w:val="001A3A71"/>
    <w:rsid w:val="001A4496"/>
    <w:rsid w:val="001A779F"/>
    <w:rsid w:val="001B04C7"/>
    <w:rsid w:val="001B08EF"/>
    <w:rsid w:val="001B0FE3"/>
    <w:rsid w:val="001B15CA"/>
    <w:rsid w:val="001B32ED"/>
    <w:rsid w:val="001B5715"/>
    <w:rsid w:val="001B5725"/>
    <w:rsid w:val="001C0458"/>
    <w:rsid w:val="001C0686"/>
    <w:rsid w:val="001C1440"/>
    <w:rsid w:val="001C1589"/>
    <w:rsid w:val="001C2284"/>
    <w:rsid w:val="001C25A4"/>
    <w:rsid w:val="001C437F"/>
    <w:rsid w:val="001C4C14"/>
    <w:rsid w:val="001C56BB"/>
    <w:rsid w:val="001C7239"/>
    <w:rsid w:val="001C7B8F"/>
    <w:rsid w:val="001C7CD8"/>
    <w:rsid w:val="001D077D"/>
    <w:rsid w:val="001D0794"/>
    <w:rsid w:val="001D0846"/>
    <w:rsid w:val="001D0AA1"/>
    <w:rsid w:val="001D0DC5"/>
    <w:rsid w:val="001D14D6"/>
    <w:rsid w:val="001D335C"/>
    <w:rsid w:val="001D35B4"/>
    <w:rsid w:val="001D37E4"/>
    <w:rsid w:val="001D3E64"/>
    <w:rsid w:val="001D56BF"/>
    <w:rsid w:val="001D5C0E"/>
    <w:rsid w:val="001D630B"/>
    <w:rsid w:val="001D65B1"/>
    <w:rsid w:val="001D67FA"/>
    <w:rsid w:val="001D68E8"/>
    <w:rsid w:val="001D6EE7"/>
    <w:rsid w:val="001D771F"/>
    <w:rsid w:val="001D7B36"/>
    <w:rsid w:val="001D7CC0"/>
    <w:rsid w:val="001E16F8"/>
    <w:rsid w:val="001E2F6D"/>
    <w:rsid w:val="001E36C3"/>
    <w:rsid w:val="001E38E8"/>
    <w:rsid w:val="001E4120"/>
    <w:rsid w:val="001E4433"/>
    <w:rsid w:val="001E6779"/>
    <w:rsid w:val="001E7847"/>
    <w:rsid w:val="001F0F69"/>
    <w:rsid w:val="001F1CF5"/>
    <w:rsid w:val="001F22AD"/>
    <w:rsid w:val="001F2368"/>
    <w:rsid w:val="001F2399"/>
    <w:rsid w:val="001F28A8"/>
    <w:rsid w:val="001F2D51"/>
    <w:rsid w:val="001F3D17"/>
    <w:rsid w:val="001F529E"/>
    <w:rsid w:val="001F57FF"/>
    <w:rsid w:val="001F651E"/>
    <w:rsid w:val="001F66B9"/>
    <w:rsid w:val="001F7976"/>
    <w:rsid w:val="001F7EFE"/>
    <w:rsid w:val="0020048C"/>
    <w:rsid w:val="002020FB"/>
    <w:rsid w:val="002020FC"/>
    <w:rsid w:val="002036B4"/>
    <w:rsid w:val="002036CE"/>
    <w:rsid w:val="00203957"/>
    <w:rsid w:val="002039A3"/>
    <w:rsid w:val="0020463C"/>
    <w:rsid w:val="00205DC0"/>
    <w:rsid w:val="00206AE2"/>
    <w:rsid w:val="00206E15"/>
    <w:rsid w:val="00207504"/>
    <w:rsid w:val="002079DB"/>
    <w:rsid w:val="00207DBB"/>
    <w:rsid w:val="0021014C"/>
    <w:rsid w:val="00210FCF"/>
    <w:rsid w:val="002130C1"/>
    <w:rsid w:val="0021354F"/>
    <w:rsid w:val="00213AEC"/>
    <w:rsid w:val="00213B0E"/>
    <w:rsid w:val="00214302"/>
    <w:rsid w:val="0021478D"/>
    <w:rsid w:val="00215F5B"/>
    <w:rsid w:val="00216451"/>
    <w:rsid w:val="0022080E"/>
    <w:rsid w:val="002226AC"/>
    <w:rsid w:val="0022341C"/>
    <w:rsid w:val="00223B48"/>
    <w:rsid w:val="002244A7"/>
    <w:rsid w:val="00224B9A"/>
    <w:rsid w:val="0022762C"/>
    <w:rsid w:val="00230114"/>
    <w:rsid w:val="00231071"/>
    <w:rsid w:val="00231BF4"/>
    <w:rsid w:val="002327CC"/>
    <w:rsid w:val="00232A4A"/>
    <w:rsid w:val="0023305A"/>
    <w:rsid w:val="00235023"/>
    <w:rsid w:val="0023585D"/>
    <w:rsid w:val="00235C5C"/>
    <w:rsid w:val="00236832"/>
    <w:rsid w:val="00237C3B"/>
    <w:rsid w:val="00237CDF"/>
    <w:rsid w:val="00240B0C"/>
    <w:rsid w:val="00241ECE"/>
    <w:rsid w:val="002443CA"/>
    <w:rsid w:val="002472B1"/>
    <w:rsid w:val="0024778C"/>
    <w:rsid w:val="00247C26"/>
    <w:rsid w:val="002506A5"/>
    <w:rsid w:val="00255E12"/>
    <w:rsid w:val="0025633F"/>
    <w:rsid w:val="00256B72"/>
    <w:rsid w:val="00262C68"/>
    <w:rsid w:val="00262F79"/>
    <w:rsid w:val="0026356B"/>
    <w:rsid w:val="0026414B"/>
    <w:rsid w:val="00265D49"/>
    <w:rsid w:val="00266801"/>
    <w:rsid w:val="00266A26"/>
    <w:rsid w:val="00266B4F"/>
    <w:rsid w:val="00266CA1"/>
    <w:rsid w:val="00270BFD"/>
    <w:rsid w:val="002713EE"/>
    <w:rsid w:val="002716FB"/>
    <w:rsid w:val="002717B0"/>
    <w:rsid w:val="00272E13"/>
    <w:rsid w:val="002733C9"/>
    <w:rsid w:val="00275267"/>
    <w:rsid w:val="00275A2A"/>
    <w:rsid w:val="0027690B"/>
    <w:rsid w:val="00277E06"/>
    <w:rsid w:val="00280028"/>
    <w:rsid w:val="00282ACD"/>
    <w:rsid w:val="00282F99"/>
    <w:rsid w:val="00283230"/>
    <w:rsid w:val="002835B6"/>
    <w:rsid w:val="002836BE"/>
    <w:rsid w:val="0028429F"/>
    <w:rsid w:val="002846D5"/>
    <w:rsid w:val="00284B58"/>
    <w:rsid w:val="00285362"/>
    <w:rsid w:val="00285A3C"/>
    <w:rsid w:val="00285F97"/>
    <w:rsid w:val="00286329"/>
    <w:rsid w:val="0028678B"/>
    <w:rsid w:val="00290F24"/>
    <w:rsid w:val="00292982"/>
    <w:rsid w:val="00294613"/>
    <w:rsid w:val="00295046"/>
    <w:rsid w:val="00295127"/>
    <w:rsid w:val="0029546B"/>
    <w:rsid w:val="0029582E"/>
    <w:rsid w:val="00296108"/>
    <w:rsid w:val="0029625B"/>
    <w:rsid w:val="00296D78"/>
    <w:rsid w:val="002976DF"/>
    <w:rsid w:val="002A0233"/>
    <w:rsid w:val="002A02AE"/>
    <w:rsid w:val="002A1D8F"/>
    <w:rsid w:val="002A1E4D"/>
    <w:rsid w:val="002A2D9B"/>
    <w:rsid w:val="002A3CBF"/>
    <w:rsid w:val="002A4021"/>
    <w:rsid w:val="002A41CE"/>
    <w:rsid w:val="002A4ECA"/>
    <w:rsid w:val="002A53B9"/>
    <w:rsid w:val="002A60B5"/>
    <w:rsid w:val="002A63A1"/>
    <w:rsid w:val="002A6C2C"/>
    <w:rsid w:val="002A6DBC"/>
    <w:rsid w:val="002A7130"/>
    <w:rsid w:val="002A73A4"/>
    <w:rsid w:val="002B01AA"/>
    <w:rsid w:val="002B04DE"/>
    <w:rsid w:val="002B0C8E"/>
    <w:rsid w:val="002B1340"/>
    <w:rsid w:val="002B1C64"/>
    <w:rsid w:val="002B3491"/>
    <w:rsid w:val="002B369D"/>
    <w:rsid w:val="002B381E"/>
    <w:rsid w:val="002B3856"/>
    <w:rsid w:val="002B3C32"/>
    <w:rsid w:val="002B3FB3"/>
    <w:rsid w:val="002B50A7"/>
    <w:rsid w:val="002B52E7"/>
    <w:rsid w:val="002B6388"/>
    <w:rsid w:val="002B7934"/>
    <w:rsid w:val="002B7EE7"/>
    <w:rsid w:val="002C0A0A"/>
    <w:rsid w:val="002C1437"/>
    <w:rsid w:val="002C2151"/>
    <w:rsid w:val="002C27F3"/>
    <w:rsid w:val="002C2953"/>
    <w:rsid w:val="002C2E1F"/>
    <w:rsid w:val="002C308C"/>
    <w:rsid w:val="002C379F"/>
    <w:rsid w:val="002C3B93"/>
    <w:rsid w:val="002C4595"/>
    <w:rsid w:val="002C5756"/>
    <w:rsid w:val="002C5810"/>
    <w:rsid w:val="002C6859"/>
    <w:rsid w:val="002C72ED"/>
    <w:rsid w:val="002C7714"/>
    <w:rsid w:val="002C7BA9"/>
    <w:rsid w:val="002D2EC7"/>
    <w:rsid w:val="002D4B8D"/>
    <w:rsid w:val="002D4B99"/>
    <w:rsid w:val="002D4C3B"/>
    <w:rsid w:val="002D4CCC"/>
    <w:rsid w:val="002D5F04"/>
    <w:rsid w:val="002D6077"/>
    <w:rsid w:val="002D6A85"/>
    <w:rsid w:val="002D6CBB"/>
    <w:rsid w:val="002D79CA"/>
    <w:rsid w:val="002E0BFC"/>
    <w:rsid w:val="002E1291"/>
    <w:rsid w:val="002E15C7"/>
    <w:rsid w:val="002E19BB"/>
    <w:rsid w:val="002E1A7A"/>
    <w:rsid w:val="002E1E22"/>
    <w:rsid w:val="002E4670"/>
    <w:rsid w:val="002E49B3"/>
    <w:rsid w:val="002E602C"/>
    <w:rsid w:val="002E64E9"/>
    <w:rsid w:val="002E6BCC"/>
    <w:rsid w:val="002F0873"/>
    <w:rsid w:val="002F119A"/>
    <w:rsid w:val="002F12FC"/>
    <w:rsid w:val="002F16E0"/>
    <w:rsid w:val="002F1B56"/>
    <w:rsid w:val="002F36B6"/>
    <w:rsid w:val="002F3B1F"/>
    <w:rsid w:val="002F3EE3"/>
    <w:rsid w:val="002F48EB"/>
    <w:rsid w:val="002F4959"/>
    <w:rsid w:val="002F517B"/>
    <w:rsid w:val="002F622D"/>
    <w:rsid w:val="002F69FF"/>
    <w:rsid w:val="002F71C3"/>
    <w:rsid w:val="002F751A"/>
    <w:rsid w:val="002F79AE"/>
    <w:rsid w:val="00300711"/>
    <w:rsid w:val="00301A36"/>
    <w:rsid w:val="00302211"/>
    <w:rsid w:val="00303F78"/>
    <w:rsid w:val="0030429E"/>
    <w:rsid w:val="0030524E"/>
    <w:rsid w:val="0030554F"/>
    <w:rsid w:val="00305F7A"/>
    <w:rsid w:val="0030644A"/>
    <w:rsid w:val="00307317"/>
    <w:rsid w:val="00311867"/>
    <w:rsid w:val="003119B3"/>
    <w:rsid w:val="00312078"/>
    <w:rsid w:val="00312282"/>
    <w:rsid w:val="003128C6"/>
    <w:rsid w:val="003130EB"/>
    <w:rsid w:val="00314A15"/>
    <w:rsid w:val="00315CE0"/>
    <w:rsid w:val="00316864"/>
    <w:rsid w:val="00316CF4"/>
    <w:rsid w:val="003174AA"/>
    <w:rsid w:val="00317602"/>
    <w:rsid w:val="003206E3"/>
    <w:rsid w:val="003209FF"/>
    <w:rsid w:val="00321C8E"/>
    <w:rsid w:val="0032211A"/>
    <w:rsid w:val="00322B0F"/>
    <w:rsid w:val="00323690"/>
    <w:rsid w:val="0032376B"/>
    <w:rsid w:val="00324D6C"/>
    <w:rsid w:val="003257FF"/>
    <w:rsid w:val="0032673E"/>
    <w:rsid w:val="00326FEB"/>
    <w:rsid w:val="003278FA"/>
    <w:rsid w:val="00327912"/>
    <w:rsid w:val="0033046A"/>
    <w:rsid w:val="00330705"/>
    <w:rsid w:val="003311D9"/>
    <w:rsid w:val="003313E0"/>
    <w:rsid w:val="00333FF3"/>
    <w:rsid w:val="00334E71"/>
    <w:rsid w:val="003352C6"/>
    <w:rsid w:val="003365D5"/>
    <w:rsid w:val="00337117"/>
    <w:rsid w:val="0033794C"/>
    <w:rsid w:val="00337B18"/>
    <w:rsid w:val="0034057C"/>
    <w:rsid w:val="00340858"/>
    <w:rsid w:val="00340C20"/>
    <w:rsid w:val="00340DBB"/>
    <w:rsid w:val="00341FAB"/>
    <w:rsid w:val="00341FB2"/>
    <w:rsid w:val="0034208F"/>
    <w:rsid w:val="003422C2"/>
    <w:rsid w:val="00342D30"/>
    <w:rsid w:val="00343561"/>
    <w:rsid w:val="00343F35"/>
    <w:rsid w:val="00344B2D"/>
    <w:rsid w:val="00345027"/>
    <w:rsid w:val="00345D26"/>
    <w:rsid w:val="00346C2A"/>
    <w:rsid w:val="00346DFB"/>
    <w:rsid w:val="003479E3"/>
    <w:rsid w:val="003532F6"/>
    <w:rsid w:val="00353328"/>
    <w:rsid w:val="00353427"/>
    <w:rsid w:val="003540C6"/>
    <w:rsid w:val="003548EA"/>
    <w:rsid w:val="00354F41"/>
    <w:rsid w:val="0035636A"/>
    <w:rsid w:val="0035758B"/>
    <w:rsid w:val="0035775C"/>
    <w:rsid w:val="0036061E"/>
    <w:rsid w:val="0036175F"/>
    <w:rsid w:val="0036179C"/>
    <w:rsid w:val="003623F9"/>
    <w:rsid w:val="00363294"/>
    <w:rsid w:val="00363558"/>
    <w:rsid w:val="00364354"/>
    <w:rsid w:val="0036545C"/>
    <w:rsid w:val="00365962"/>
    <w:rsid w:val="003679A9"/>
    <w:rsid w:val="00367DB1"/>
    <w:rsid w:val="0037096A"/>
    <w:rsid w:val="0037099B"/>
    <w:rsid w:val="003715DB"/>
    <w:rsid w:val="0037177B"/>
    <w:rsid w:val="00371C8A"/>
    <w:rsid w:val="00371FC2"/>
    <w:rsid w:val="0037313F"/>
    <w:rsid w:val="0037374C"/>
    <w:rsid w:val="00376378"/>
    <w:rsid w:val="003773A1"/>
    <w:rsid w:val="003776F2"/>
    <w:rsid w:val="00381010"/>
    <w:rsid w:val="00381178"/>
    <w:rsid w:val="003825AE"/>
    <w:rsid w:val="00382E5F"/>
    <w:rsid w:val="00383900"/>
    <w:rsid w:val="0038418F"/>
    <w:rsid w:val="00384C73"/>
    <w:rsid w:val="00385FA6"/>
    <w:rsid w:val="00385FE6"/>
    <w:rsid w:val="0038660A"/>
    <w:rsid w:val="003875D0"/>
    <w:rsid w:val="003875EC"/>
    <w:rsid w:val="0038794B"/>
    <w:rsid w:val="00390849"/>
    <w:rsid w:val="003913CB"/>
    <w:rsid w:val="00391929"/>
    <w:rsid w:val="00392899"/>
    <w:rsid w:val="003943B6"/>
    <w:rsid w:val="003967B2"/>
    <w:rsid w:val="00396A7F"/>
    <w:rsid w:val="00397B6A"/>
    <w:rsid w:val="003A06CC"/>
    <w:rsid w:val="003A0F0A"/>
    <w:rsid w:val="003A1527"/>
    <w:rsid w:val="003A3CD8"/>
    <w:rsid w:val="003A3EC4"/>
    <w:rsid w:val="003A45C5"/>
    <w:rsid w:val="003A4C89"/>
    <w:rsid w:val="003A54B4"/>
    <w:rsid w:val="003A619D"/>
    <w:rsid w:val="003A6805"/>
    <w:rsid w:val="003A6A93"/>
    <w:rsid w:val="003A6B94"/>
    <w:rsid w:val="003A76DA"/>
    <w:rsid w:val="003B0641"/>
    <w:rsid w:val="003B105E"/>
    <w:rsid w:val="003B19A0"/>
    <w:rsid w:val="003B2F28"/>
    <w:rsid w:val="003B35D6"/>
    <w:rsid w:val="003B442D"/>
    <w:rsid w:val="003B510A"/>
    <w:rsid w:val="003B5784"/>
    <w:rsid w:val="003B649A"/>
    <w:rsid w:val="003B787A"/>
    <w:rsid w:val="003B7DBA"/>
    <w:rsid w:val="003C185B"/>
    <w:rsid w:val="003C1C5A"/>
    <w:rsid w:val="003C215E"/>
    <w:rsid w:val="003C2EC8"/>
    <w:rsid w:val="003C45FC"/>
    <w:rsid w:val="003C4B9E"/>
    <w:rsid w:val="003C4C19"/>
    <w:rsid w:val="003C53E5"/>
    <w:rsid w:val="003C6863"/>
    <w:rsid w:val="003C6ACE"/>
    <w:rsid w:val="003D035D"/>
    <w:rsid w:val="003D15F6"/>
    <w:rsid w:val="003D26A4"/>
    <w:rsid w:val="003D467E"/>
    <w:rsid w:val="003D4E78"/>
    <w:rsid w:val="003D4F2B"/>
    <w:rsid w:val="003D574C"/>
    <w:rsid w:val="003D59BD"/>
    <w:rsid w:val="003D5AE4"/>
    <w:rsid w:val="003D693D"/>
    <w:rsid w:val="003D6A95"/>
    <w:rsid w:val="003D7229"/>
    <w:rsid w:val="003D7FEE"/>
    <w:rsid w:val="003E074F"/>
    <w:rsid w:val="003E07C3"/>
    <w:rsid w:val="003E090B"/>
    <w:rsid w:val="003E0924"/>
    <w:rsid w:val="003E0F9F"/>
    <w:rsid w:val="003E28D4"/>
    <w:rsid w:val="003E2B26"/>
    <w:rsid w:val="003E31E4"/>
    <w:rsid w:val="003E5046"/>
    <w:rsid w:val="003E51A0"/>
    <w:rsid w:val="003E553B"/>
    <w:rsid w:val="003E5D78"/>
    <w:rsid w:val="003E615A"/>
    <w:rsid w:val="003E62B9"/>
    <w:rsid w:val="003E6C61"/>
    <w:rsid w:val="003E6E39"/>
    <w:rsid w:val="003E6EB5"/>
    <w:rsid w:val="003E737A"/>
    <w:rsid w:val="003F03AA"/>
    <w:rsid w:val="003F08CC"/>
    <w:rsid w:val="003F1410"/>
    <w:rsid w:val="003F15B5"/>
    <w:rsid w:val="003F21A1"/>
    <w:rsid w:val="003F2ED8"/>
    <w:rsid w:val="003F2F7A"/>
    <w:rsid w:val="003F314B"/>
    <w:rsid w:val="003F39E2"/>
    <w:rsid w:val="003F45C5"/>
    <w:rsid w:val="003F4798"/>
    <w:rsid w:val="003F6A2F"/>
    <w:rsid w:val="003F6E73"/>
    <w:rsid w:val="003F7601"/>
    <w:rsid w:val="00400362"/>
    <w:rsid w:val="00402258"/>
    <w:rsid w:val="0040298B"/>
    <w:rsid w:val="00403AA6"/>
    <w:rsid w:val="00404019"/>
    <w:rsid w:val="00404827"/>
    <w:rsid w:val="00405038"/>
    <w:rsid w:val="00406389"/>
    <w:rsid w:val="00407AF9"/>
    <w:rsid w:val="00410F3E"/>
    <w:rsid w:val="00412223"/>
    <w:rsid w:val="004123D4"/>
    <w:rsid w:val="00413D5A"/>
    <w:rsid w:val="00414A52"/>
    <w:rsid w:val="004158DB"/>
    <w:rsid w:val="004164B4"/>
    <w:rsid w:val="00416E0B"/>
    <w:rsid w:val="00417529"/>
    <w:rsid w:val="0042033A"/>
    <w:rsid w:val="004208BC"/>
    <w:rsid w:val="00420AB8"/>
    <w:rsid w:val="00422664"/>
    <w:rsid w:val="00422AB7"/>
    <w:rsid w:val="004234F0"/>
    <w:rsid w:val="00423CC7"/>
    <w:rsid w:val="004251A7"/>
    <w:rsid w:val="00427475"/>
    <w:rsid w:val="00431A64"/>
    <w:rsid w:val="00433118"/>
    <w:rsid w:val="00434CB4"/>
    <w:rsid w:val="00434EC2"/>
    <w:rsid w:val="00435748"/>
    <w:rsid w:val="00440349"/>
    <w:rsid w:val="0044065A"/>
    <w:rsid w:val="00442A33"/>
    <w:rsid w:val="00442FAB"/>
    <w:rsid w:val="00443BB7"/>
    <w:rsid w:val="00444DCB"/>
    <w:rsid w:val="004457A9"/>
    <w:rsid w:val="00445C98"/>
    <w:rsid w:val="0044643C"/>
    <w:rsid w:val="00446701"/>
    <w:rsid w:val="004467CF"/>
    <w:rsid w:val="00446B10"/>
    <w:rsid w:val="00446ECA"/>
    <w:rsid w:val="00447E1B"/>
    <w:rsid w:val="00450350"/>
    <w:rsid w:val="00450399"/>
    <w:rsid w:val="0045061C"/>
    <w:rsid w:val="00450FCF"/>
    <w:rsid w:val="00451C86"/>
    <w:rsid w:val="004523A1"/>
    <w:rsid w:val="00453771"/>
    <w:rsid w:val="00453852"/>
    <w:rsid w:val="004543A2"/>
    <w:rsid w:val="00455CEF"/>
    <w:rsid w:val="00456909"/>
    <w:rsid w:val="00456E4B"/>
    <w:rsid w:val="00462050"/>
    <w:rsid w:val="004621B8"/>
    <w:rsid w:val="00463474"/>
    <w:rsid w:val="00463C5D"/>
    <w:rsid w:val="004649D2"/>
    <w:rsid w:val="00464E01"/>
    <w:rsid w:val="00466025"/>
    <w:rsid w:val="0047045B"/>
    <w:rsid w:val="00471006"/>
    <w:rsid w:val="00471630"/>
    <w:rsid w:val="00471B25"/>
    <w:rsid w:val="00471BC9"/>
    <w:rsid w:val="0047238C"/>
    <w:rsid w:val="0047242C"/>
    <w:rsid w:val="004726E0"/>
    <w:rsid w:val="00472E67"/>
    <w:rsid w:val="00474ABE"/>
    <w:rsid w:val="00474E9B"/>
    <w:rsid w:val="0047708A"/>
    <w:rsid w:val="00477706"/>
    <w:rsid w:val="0048288A"/>
    <w:rsid w:val="00484B85"/>
    <w:rsid w:val="0048526D"/>
    <w:rsid w:val="00485396"/>
    <w:rsid w:val="00485CC8"/>
    <w:rsid w:val="00486071"/>
    <w:rsid w:val="004875E0"/>
    <w:rsid w:val="004877A5"/>
    <w:rsid w:val="00487DB9"/>
    <w:rsid w:val="00490D59"/>
    <w:rsid w:val="00492D2D"/>
    <w:rsid w:val="00493147"/>
    <w:rsid w:val="004939BC"/>
    <w:rsid w:val="004939DE"/>
    <w:rsid w:val="00494DEA"/>
    <w:rsid w:val="00495E4D"/>
    <w:rsid w:val="00496F91"/>
    <w:rsid w:val="00497D1B"/>
    <w:rsid w:val="004A05E4"/>
    <w:rsid w:val="004A14FE"/>
    <w:rsid w:val="004A20CA"/>
    <w:rsid w:val="004A2D93"/>
    <w:rsid w:val="004A310B"/>
    <w:rsid w:val="004A49BA"/>
    <w:rsid w:val="004A5892"/>
    <w:rsid w:val="004A595D"/>
    <w:rsid w:val="004A5D65"/>
    <w:rsid w:val="004B0DE4"/>
    <w:rsid w:val="004B12BB"/>
    <w:rsid w:val="004B1E19"/>
    <w:rsid w:val="004B1FD6"/>
    <w:rsid w:val="004B2165"/>
    <w:rsid w:val="004B2C7B"/>
    <w:rsid w:val="004B3764"/>
    <w:rsid w:val="004B3C17"/>
    <w:rsid w:val="004B41FC"/>
    <w:rsid w:val="004B53E9"/>
    <w:rsid w:val="004B65B6"/>
    <w:rsid w:val="004B6A6A"/>
    <w:rsid w:val="004C03C9"/>
    <w:rsid w:val="004C043F"/>
    <w:rsid w:val="004C0446"/>
    <w:rsid w:val="004C1DF9"/>
    <w:rsid w:val="004C3287"/>
    <w:rsid w:val="004C38B1"/>
    <w:rsid w:val="004C3A2D"/>
    <w:rsid w:val="004C3F5B"/>
    <w:rsid w:val="004C4AC6"/>
    <w:rsid w:val="004C58F6"/>
    <w:rsid w:val="004C70FC"/>
    <w:rsid w:val="004C7FEE"/>
    <w:rsid w:val="004D1783"/>
    <w:rsid w:val="004D2143"/>
    <w:rsid w:val="004D2398"/>
    <w:rsid w:val="004D2556"/>
    <w:rsid w:val="004D2E3F"/>
    <w:rsid w:val="004D2E7B"/>
    <w:rsid w:val="004D3097"/>
    <w:rsid w:val="004D366B"/>
    <w:rsid w:val="004D38E5"/>
    <w:rsid w:val="004D3C11"/>
    <w:rsid w:val="004D3D09"/>
    <w:rsid w:val="004D6979"/>
    <w:rsid w:val="004D7CDF"/>
    <w:rsid w:val="004D7F6F"/>
    <w:rsid w:val="004E04E7"/>
    <w:rsid w:val="004E0CED"/>
    <w:rsid w:val="004E213E"/>
    <w:rsid w:val="004E3667"/>
    <w:rsid w:val="004E4152"/>
    <w:rsid w:val="004E5D4E"/>
    <w:rsid w:val="004E6717"/>
    <w:rsid w:val="004E6757"/>
    <w:rsid w:val="004E6C58"/>
    <w:rsid w:val="004E6EC9"/>
    <w:rsid w:val="004E7BDE"/>
    <w:rsid w:val="004F0BC4"/>
    <w:rsid w:val="004F10C7"/>
    <w:rsid w:val="004F10ED"/>
    <w:rsid w:val="004F11F1"/>
    <w:rsid w:val="004F1977"/>
    <w:rsid w:val="004F23C2"/>
    <w:rsid w:val="004F2D3D"/>
    <w:rsid w:val="004F69A3"/>
    <w:rsid w:val="004F6F6F"/>
    <w:rsid w:val="004F7253"/>
    <w:rsid w:val="0050081B"/>
    <w:rsid w:val="00501E61"/>
    <w:rsid w:val="00502828"/>
    <w:rsid w:val="005042DE"/>
    <w:rsid w:val="00504B42"/>
    <w:rsid w:val="005068D2"/>
    <w:rsid w:val="00511B7B"/>
    <w:rsid w:val="00514A3F"/>
    <w:rsid w:val="005160DD"/>
    <w:rsid w:val="00516738"/>
    <w:rsid w:val="005205D9"/>
    <w:rsid w:val="005210D1"/>
    <w:rsid w:val="005231CE"/>
    <w:rsid w:val="005237CE"/>
    <w:rsid w:val="00523CE0"/>
    <w:rsid w:val="00523D5E"/>
    <w:rsid w:val="00524558"/>
    <w:rsid w:val="00524DA3"/>
    <w:rsid w:val="005254A6"/>
    <w:rsid w:val="00526E16"/>
    <w:rsid w:val="0052764D"/>
    <w:rsid w:val="00527714"/>
    <w:rsid w:val="00530638"/>
    <w:rsid w:val="00531A5C"/>
    <w:rsid w:val="005323F2"/>
    <w:rsid w:val="0053384E"/>
    <w:rsid w:val="00533D54"/>
    <w:rsid w:val="00533D99"/>
    <w:rsid w:val="00534D58"/>
    <w:rsid w:val="005350CB"/>
    <w:rsid w:val="005355A3"/>
    <w:rsid w:val="00535AB6"/>
    <w:rsid w:val="0053667F"/>
    <w:rsid w:val="00536C5F"/>
    <w:rsid w:val="00536E70"/>
    <w:rsid w:val="0053778A"/>
    <w:rsid w:val="005403AB"/>
    <w:rsid w:val="005410A0"/>
    <w:rsid w:val="00541C5C"/>
    <w:rsid w:val="005422FD"/>
    <w:rsid w:val="00542C78"/>
    <w:rsid w:val="00543295"/>
    <w:rsid w:val="00544EE7"/>
    <w:rsid w:val="005453C0"/>
    <w:rsid w:val="00546E92"/>
    <w:rsid w:val="005471FA"/>
    <w:rsid w:val="005477BB"/>
    <w:rsid w:val="0055048F"/>
    <w:rsid w:val="00550D62"/>
    <w:rsid w:val="0055119B"/>
    <w:rsid w:val="00551AAC"/>
    <w:rsid w:val="00551BA8"/>
    <w:rsid w:val="0055207B"/>
    <w:rsid w:val="00552660"/>
    <w:rsid w:val="00554FB1"/>
    <w:rsid w:val="005556FE"/>
    <w:rsid w:val="00555B62"/>
    <w:rsid w:val="00555E19"/>
    <w:rsid w:val="00557463"/>
    <w:rsid w:val="00557D2F"/>
    <w:rsid w:val="005607AB"/>
    <w:rsid w:val="005615E3"/>
    <w:rsid w:val="00562759"/>
    <w:rsid w:val="00563BB7"/>
    <w:rsid w:val="0056421A"/>
    <w:rsid w:val="00564585"/>
    <w:rsid w:val="005647BC"/>
    <w:rsid w:val="0056508E"/>
    <w:rsid w:val="00566DB2"/>
    <w:rsid w:val="00566E2F"/>
    <w:rsid w:val="0056768B"/>
    <w:rsid w:val="005677D7"/>
    <w:rsid w:val="00567A2A"/>
    <w:rsid w:val="005706EA"/>
    <w:rsid w:val="00571853"/>
    <w:rsid w:val="005733CC"/>
    <w:rsid w:val="0057360C"/>
    <w:rsid w:val="00573F67"/>
    <w:rsid w:val="00575828"/>
    <w:rsid w:val="00575837"/>
    <w:rsid w:val="00575841"/>
    <w:rsid w:val="00575C56"/>
    <w:rsid w:val="00576324"/>
    <w:rsid w:val="00576E18"/>
    <w:rsid w:val="00576E8A"/>
    <w:rsid w:val="005772B2"/>
    <w:rsid w:val="005779FC"/>
    <w:rsid w:val="00581FC5"/>
    <w:rsid w:val="00582676"/>
    <w:rsid w:val="00582AA1"/>
    <w:rsid w:val="005839D7"/>
    <w:rsid w:val="00583E4C"/>
    <w:rsid w:val="005852E8"/>
    <w:rsid w:val="005869AB"/>
    <w:rsid w:val="0058797F"/>
    <w:rsid w:val="00590D21"/>
    <w:rsid w:val="00590FDF"/>
    <w:rsid w:val="00591943"/>
    <w:rsid w:val="00591CB3"/>
    <w:rsid w:val="005956CD"/>
    <w:rsid w:val="005968BC"/>
    <w:rsid w:val="00596E0B"/>
    <w:rsid w:val="005978FF"/>
    <w:rsid w:val="005A0310"/>
    <w:rsid w:val="005A08D1"/>
    <w:rsid w:val="005A0B84"/>
    <w:rsid w:val="005A0BDD"/>
    <w:rsid w:val="005A0E8D"/>
    <w:rsid w:val="005A209E"/>
    <w:rsid w:val="005A23A6"/>
    <w:rsid w:val="005A2ADC"/>
    <w:rsid w:val="005A2BBF"/>
    <w:rsid w:val="005A2C89"/>
    <w:rsid w:val="005A2EDF"/>
    <w:rsid w:val="005A3009"/>
    <w:rsid w:val="005A3023"/>
    <w:rsid w:val="005A329C"/>
    <w:rsid w:val="005A33C9"/>
    <w:rsid w:val="005A3736"/>
    <w:rsid w:val="005A392A"/>
    <w:rsid w:val="005A3D1C"/>
    <w:rsid w:val="005A5243"/>
    <w:rsid w:val="005A5259"/>
    <w:rsid w:val="005A5704"/>
    <w:rsid w:val="005A5AB0"/>
    <w:rsid w:val="005A7DD8"/>
    <w:rsid w:val="005B018C"/>
    <w:rsid w:val="005B029B"/>
    <w:rsid w:val="005B0843"/>
    <w:rsid w:val="005B1685"/>
    <w:rsid w:val="005B1B3A"/>
    <w:rsid w:val="005B2FEC"/>
    <w:rsid w:val="005B3DC9"/>
    <w:rsid w:val="005B54DC"/>
    <w:rsid w:val="005B55CC"/>
    <w:rsid w:val="005B55EB"/>
    <w:rsid w:val="005B60A3"/>
    <w:rsid w:val="005B732A"/>
    <w:rsid w:val="005B7DDF"/>
    <w:rsid w:val="005C012B"/>
    <w:rsid w:val="005C0CA1"/>
    <w:rsid w:val="005C0D6D"/>
    <w:rsid w:val="005C1D36"/>
    <w:rsid w:val="005C5CAB"/>
    <w:rsid w:val="005C5D2C"/>
    <w:rsid w:val="005C6907"/>
    <w:rsid w:val="005C69FE"/>
    <w:rsid w:val="005C72CF"/>
    <w:rsid w:val="005C79E3"/>
    <w:rsid w:val="005D127D"/>
    <w:rsid w:val="005D2598"/>
    <w:rsid w:val="005D25D6"/>
    <w:rsid w:val="005D2AA1"/>
    <w:rsid w:val="005D3082"/>
    <w:rsid w:val="005D3C51"/>
    <w:rsid w:val="005D3E25"/>
    <w:rsid w:val="005D61F2"/>
    <w:rsid w:val="005D65D9"/>
    <w:rsid w:val="005D7E4B"/>
    <w:rsid w:val="005D7F62"/>
    <w:rsid w:val="005E2881"/>
    <w:rsid w:val="005E2BD3"/>
    <w:rsid w:val="005E33F0"/>
    <w:rsid w:val="005E3B1B"/>
    <w:rsid w:val="005E3B73"/>
    <w:rsid w:val="005E3F2A"/>
    <w:rsid w:val="005E5997"/>
    <w:rsid w:val="005E7037"/>
    <w:rsid w:val="005F10A2"/>
    <w:rsid w:val="005F2214"/>
    <w:rsid w:val="005F25F3"/>
    <w:rsid w:val="005F28F4"/>
    <w:rsid w:val="005F2B84"/>
    <w:rsid w:val="005F2BB2"/>
    <w:rsid w:val="005F2D5C"/>
    <w:rsid w:val="005F31E0"/>
    <w:rsid w:val="005F3A05"/>
    <w:rsid w:val="005F3A88"/>
    <w:rsid w:val="005F58E0"/>
    <w:rsid w:val="005F66C3"/>
    <w:rsid w:val="005F68E3"/>
    <w:rsid w:val="005F6BC7"/>
    <w:rsid w:val="005F7D9A"/>
    <w:rsid w:val="006007B4"/>
    <w:rsid w:val="006011DD"/>
    <w:rsid w:val="00601637"/>
    <w:rsid w:val="0060196F"/>
    <w:rsid w:val="006023A7"/>
    <w:rsid w:val="00603178"/>
    <w:rsid w:val="00603195"/>
    <w:rsid w:val="00603B13"/>
    <w:rsid w:val="006041F2"/>
    <w:rsid w:val="00604832"/>
    <w:rsid w:val="00604E5B"/>
    <w:rsid w:val="00606373"/>
    <w:rsid w:val="00607BAD"/>
    <w:rsid w:val="00607E12"/>
    <w:rsid w:val="00607FA2"/>
    <w:rsid w:val="006118C2"/>
    <w:rsid w:val="006119B2"/>
    <w:rsid w:val="00611D3B"/>
    <w:rsid w:val="00612330"/>
    <w:rsid w:val="00613A4B"/>
    <w:rsid w:val="006151D1"/>
    <w:rsid w:val="00615785"/>
    <w:rsid w:val="00616A4E"/>
    <w:rsid w:val="00617730"/>
    <w:rsid w:val="006178E2"/>
    <w:rsid w:val="00617EB8"/>
    <w:rsid w:val="00622743"/>
    <w:rsid w:val="0062367D"/>
    <w:rsid w:val="00623AA8"/>
    <w:rsid w:val="0062592A"/>
    <w:rsid w:val="006265C1"/>
    <w:rsid w:val="00626646"/>
    <w:rsid w:val="00626AFE"/>
    <w:rsid w:val="0063061D"/>
    <w:rsid w:val="00630D80"/>
    <w:rsid w:val="00632252"/>
    <w:rsid w:val="00632438"/>
    <w:rsid w:val="006326D4"/>
    <w:rsid w:val="00632A50"/>
    <w:rsid w:val="00632AB1"/>
    <w:rsid w:val="00633788"/>
    <w:rsid w:val="006358AD"/>
    <w:rsid w:val="00635BBA"/>
    <w:rsid w:val="00635FA8"/>
    <w:rsid w:val="00636F6A"/>
    <w:rsid w:val="00637A81"/>
    <w:rsid w:val="006402AC"/>
    <w:rsid w:val="00640D76"/>
    <w:rsid w:val="00642CD4"/>
    <w:rsid w:val="0064468C"/>
    <w:rsid w:val="006447DF"/>
    <w:rsid w:val="006447E1"/>
    <w:rsid w:val="00644A4C"/>
    <w:rsid w:val="00644A87"/>
    <w:rsid w:val="006457C5"/>
    <w:rsid w:val="00645804"/>
    <w:rsid w:val="00645F15"/>
    <w:rsid w:val="00646660"/>
    <w:rsid w:val="00646842"/>
    <w:rsid w:val="00647BBA"/>
    <w:rsid w:val="006507B1"/>
    <w:rsid w:val="0065154A"/>
    <w:rsid w:val="006519E5"/>
    <w:rsid w:val="006522E0"/>
    <w:rsid w:val="00653B45"/>
    <w:rsid w:val="00653F5B"/>
    <w:rsid w:val="006541F0"/>
    <w:rsid w:val="0065429B"/>
    <w:rsid w:val="0065554E"/>
    <w:rsid w:val="00656820"/>
    <w:rsid w:val="0066206A"/>
    <w:rsid w:val="006621BE"/>
    <w:rsid w:val="006627B7"/>
    <w:rsid w:val="0066297C"/>
    <w:rsid w:val="00662C9F"/>
    <w:rsid w:val="00663DC7"/>
    <w:rsid w:val="00663E6F"/>
    <w:rsid w:val="006641EF"/>
    <w:rsid w:val="00666BC1"/>
    <w:rsid w:val="00666D40"/>
    <w:rsid w:val="00666F2F"/>
    <w:rsid w:val="006670B5"/>
    <w:rsid w:val="00667BF8"/>
    <w:rsid w:val="00667E83"/>
    <w:rsid w:val="00670345"/>
    <w:rsid w:val="00670368"/>
    <w:rsid w:val="00670ED8"/>
    <w:rsid w:val="0067200A"/>
    <w:rsid w:val="006756EE"/>
    <w:rsid w:val="00675DC0"/>
    <w:rsid w:val="00675E28"/>
    <w:rsid w:val="00677607"/>
    <w:rsid w:val="00677888"/>
    <w:rsid w:val="006779EB"/>
    <w:rsid w:val="006801FB"/>
    <w:rsid w:val="00681740"/>
    <w:rsid w:val="006820E2"/>
    <w:rsid w:val="00683352"/>
    <w:rsid w:val="00683B26"/>
    <w:rsid w:val="0068467F"/>
    <w:rsid w:val="006864A4"/>
    <w:rsid w:val="00687D8B"/>
    <w:rsid w:val="00690357"/>
    <w:rsid w:val="006903FD"/>
    <w:rsid w:val="00690A4C"/>
    <w:rsid w:val="00690A83"/>
    <w:rsid w:val="00691310"/>
    <w:rsid w:val="00691F49"/>
    <w:rsid w:val="00693E8E"/>
    <w:rsid w:val="00695087"/>
    <w:rsid w:val="00695358"/>
    <w:rsid w:val="006A0D87"/>
    <w:rsid w:val="006A2C2A"/>
    <w:rsid w:val="006A3A9F"/>
    <w:rsid w:val="006A54E6"/>
    <w:rsid w:val="006A6130"/>
    <w:rsid w:val="006A6A9A"/>
    <w:rsid w:val="006A71D5"/>
    <w:rsid w:val="006B04DC"/>
    <w:rsid w:val="006B0A03"/>
    <w:rsid w:val="006B1516"/>
    <w:rsid w:val="006B1FCB"/>
    <w:rsid w:val="006B2A4B"/>
    <w:rsid w:val="006B38E0"/>
    <w:rsid w:val="006B4240"/>
    <w:rsid w:val="006B51ED"/>
    <w:rsid w:val="006B66CF"/>
    <w:rsid w:val="006B713D"/>
    <w:rsid w:val="006B73FE"/>
    <w:rsid w:val="006B7626"/>
    <w:rsid w:val="006C0048"/>
    <w:rsid w:val="006C02BF"/>
    <w:rsid w:val="006C0507"/>
    <w:rsid w:val="006C0543"/>
    <w:rsid w:val="006C089C"/>
    <w:rsid w:val="006C10A0"/>
    <w:rsid w:val="006C1578"/>
    <w:rsid w:val="006C1ACD"/>
    <w:rsid w:val="006C20B7"/>
    <w:rsid w:val="006C2EBF"/>
    <w:rsid w:val="006C3123"/>
    <w:rsid w:val="006C449E"/>
    <w:rsid w:val="006C4681"/>
    <w:rsid w:val="006C47E5"/>
    <w:rsid w:val="006C4B17"/>
    <w:rsid w:val="006C4D22"/>
    <w:rsid w:val="006C5161"/>
    <w:rsid w:val="006C55AB"/>
    <w:rsid w:val="006C5636"/>
    <w:rsid w:val="006C6030"/>
    <w:rsid w:val="006D1A8D"/>
    <w:rsid w:val="006D28BA"/>
    <w:rsid w:val="006D5397"/>
    <w:rsid w:val="006D546E"/>
    <w:rsid w:val="006D590D"/>
    <w:rsid w:val="006D6642"/>
    <w:rsid w:val="006D6C33"/>
    <w:rsid w:val="006D7460"/>
    <w:rsid w:val="006D7D3F"/>
    <w:rsid w:val="006E07CE"/>
    <w:rsid w:val="006E0C94"/>
    <w:rsid w:val="006E1241"/>
    <w:rsid w:val="006E2167"/>
    <w:rsid w:val="006E23A6"/>
    <w:rsid w:val="006E4206"/>
    <w:rsid w:val="006E55A6"/>
    <w:rsid w:val="006E5604"/>
    <w:rsid w:val="006E7BBB"/>
    <w:rsid w:val="006F00FB"/>
    <w:rsid w:val="006F11E9"/>
    <w:rsid w:val="006F1775"/>
    <w:rsid w:val="006F1E99"/>
    <w:rsid w:val="006F3041"/>
    <w:rsid w:val="006F3E1D"/>
    <w:rsid w:val="006F527C"/>
    <w:rsid w:val="006F53B0"/>
    <w:rsid w:val="006F6F86"/>
    <w:rsid w:val="007000B1"/>
    <w:rsid w:val="00700238"/>
    <w:rsid w:val="00700B14"/>
    <w:rsid w:val="0070136C"/>
    <w:rsid w:val="007033A1"/>
    <w:rsid w:val="00703842"/>
    <w:rsid w:val="0070471E"/>
    <w:rsid w:val="00704AF9"/>
    <w:rsid w:val="00705CB0"/>
    <w:rsid w:val="00706617"/>
    <w:rsid w:val="007067AA"/>
    <w:rsid w:val="00707D3C"/>
    <w:rsid w:val="00707DC5"/>
    <w:rsid w:val="00710958"/>
    <w:rsid w:val="007116A5"/>
    <w:rsid w:val="00711CD0"/>
    <w:rsid w:val="007126B2"/>
    <w:rsid w:val="007126D0"/>
    <w:rsid w:val="0071350B"/>
    <w:rsid w:val="007143DD"/>
    <w:rsid w:val="007148D7"/>
    <w:rsid w:val="00714F5D"/>
    <w:rsid w:val="00715695"/>
    <w:rsid w:val="00715824"/>
    <w:rsid w:val="00715952"/>
    <w:rsid w:val="00715B65"/>
    <w:rsid w:val="00715ECF"/>
    <w:rsid w:val="0071724B"/>
    <w:rsid w:val="00717724"/>
    <w:rsid w:val="00717FCE"/>
    <w:rsid w:val="00720637"/>
    <w:rsid w:val="0072093D"/>
    <w:rsid w:val="00720ADC"/>
    <w:rsid w:val="00721405"/>
    <w:rsid w:val="0072277F"/>
    <w:rsid w:val="007229F4"/>
    <w:rsid w:val="00722DE9"/>
    <w:rsid w:val="00722F66"/>
    <w:rsid w:val="00725DA5"/>
    <w:rsid w:val="00726B69"/>
    <w:rsid w:val="007272C1"/>
    <w:rsid w:val="00727E22"/>
    <w:rsid w:val="007302C1"/>
    <w:rsid w:val="0073080F"/>
    <w:rsid w:val="00731B8F"/>
    <w:rsid w:val="007321C0"/>
    <w:rsid w:val="00733CD4"/>
    <w:rsid w:val="00734532"/>
    <w:rsid w:val="007348EF"/>
    <w:rsid w:val="00734E40"/>
    <w:rsid w:val="00734E84"/>
    <w:rsid w:val="00735291"/>
    <w:rsid w:val="00735AD2"/>
    <w:rsid w:val="00735BC3"/>
    <w:rsid w:val="00736CF0"/>
    <w:rsid w:val="00736FA7"/>
    <w:rsid w:val="00740A86"/>
    <w:rsid w:val="00740C50"/>
    <w:rsid w:val="00741536"/>
    <w:rsid w:val="007415A2"/>
    <w:rsid w:val="00742003"/>
    <w:rsid w:val="0074292C"/>
    <w:rsid w:val="00743411"/>
    <w:rsid w:val="00743790"/>
    <w:rsid w:val="00743B22"/>
    <w:rsid w:val="00743F1E"/>
    <w:rsid w:val="0074452F"/>
    <w:rsid w:val="0074518B"/>
    <w:rsid w:val="00746700"/>
    <w:rsid w:val="00746B5A"/>
    <w:rsid w:val="00746BC3"/>
    <w:rsid w:val="00747A81"/>
    <w:rsid w:val="007501E7"/>
    <w:rsid w:val="007528E6"/>
    <w:rsid w:val="0075307B"/>
    <w:rsid w:val="007533DD"/>
    <w:rsid w:val="00753789"/>
    <w:rsid w:val="007546D9"/>
    <w:rsid w:val="007553E9"/>
    <w:rsid w:val="00755744"/>
    <w:rsid w:val="00755753"/>
    <w:rsid w:val="007561A5"/>
    <w:rsid w:val="00756282"/>
    <w:rsid w:val="00756EB2"/>
    <w:rsid w:val="00757E4A"/>
    <w:rsid w:val="00757F86"/>
    <w:rsid w:val="00761D6F"/>
    <w:rsid w:val="007632F1"/>
    <w:rsid w:val="0076488A"/>
    <w:rsid w:val="00765415"/>
    <w:rsid w:val="007663AB"/>
    <w:rsid w:val="007676C2"/>
    <w:rsid w:val="007708B6"/>
    <w:rsid w:val="00770B53"/>
    <w:rsid w:val="00771592"/>
    <w:rsid w:val="00772A41"/>
    <w:rsid w:val="00773DB2"/>
    <w:rsid w:val="0077671A"/>
    <w:rsid w:val="00776A3C"/>
    <w:rsid w:val="007775EE"/>
    <w:rsid w:val="00777E48"/>
    <w:rsid w:val="00780344"/>
    <w:rsid w:val="00780C9A"/>
    <w:rsid w:val="00783A49"/>
    <w:rsid w:val="00783CFA"/>
    <w:rsid w:val="0078504D"/>
    <w:rsid w:val="0078560A"/>
    <w:rsid w:val="00785F64"/>
    <w:rsid w:val="007864B6"/>
    <w:rsid w:val="00787269"/>
    <w:rsid w:val="007874AD"/>
    <w:rsid w:val="0078759E"/>
    <w:rsid w:val="00790D7D"/>
    <w:rsid w:val="00791059"/>
    <w:rsid w:val="00791E32"/>
    <w:rsid w:val="007920D9"/>
    <w:rsid w:val="007933A5"/>
    <w:rsid w:val="00793542"/>
    <w:rsid w:val="007936CE"/>
    <w:rsid w:val="00795200"/>
    <w:rsid w:val="00795204"/>
    <w:rsid w:val="007965A0"/>
    <w:rsid w:val="00797EFF"/>
    <w:rsid w:val="007A08FB"/>
    <w:rsid w:val="007A091A"/>
    <w:rsid w:val="007A1438"/>
    <w:rsid w:val="007A1B74"/>
    <w:rsid w:val="007A28D2"/>
    <w:rsid w:val="007A2E7E"/>
    <w:rsid w:val="007A2F99"/>
    <w:rsid w:val="007A379D"/>
    <w:rsid w:val="007A5394"/>
    <w:rsid w:val="007A7F40"/>
    <w:rsid w:val="007B053C"/>
    <w:rsid w:val="007B0BFB"/>
    <w:rsid w:val="007B1415"/>
    <w:rsid w:val="007B1691"/>
    <w:rsid w:val="007B2014"/>
    <w:rsid w:val="007B34AC"/>
    <w:rsid w:val="007B36D3"/>
    <w:rsid w:val="007B3729"/>
    <w:rsid w:val="007B393C"/>
    <w:rsid w:val="007B460C"/>
    <w:rsid w:val="007B464D"/>
    <w:rsid w:val="007B4863"/>
    <w:rsid w:val="007B6A4B"/>
    <w:rsid w:val="007B7135"/>
    <w:rsid w:val="007B786F"/>
    <w:rsid w:val="007C0595"/>
    <w:rsid w:val="007C066E"/>
    <w:rsid w:val="007C1FFD"/>
    <w:rsid w:val="007C2341"/>
    <w:rsid w:val="007C3F1A"/>
    <w:rsid w:val="007C5F27"/>
    <w:rsid w:val="007C6B61"/>
    <w:rsid w:val="007C71AE"/>
    <w:rsid w:val="007C7E93"/>
    <w:rsid w:val="007D06AC"/>
    <w:rsid w:val="007D132A"/>
    <w:rsid w:val="007D147F"/>
    <w:rsid w:val="007D19EB"/>
    <w:rsid w:val="007D2A25"/>
    <w:rsid w:val="007D2A2C"/>
    <w:rsid w:val="007D2D45"/>
    <w:rsid w:val="007D2D75"/>
    <w:rsid w:val="007D4466"/>
    <w:rsid w:val="007D62B6"/>
    <w:rsid w:val="007D6FA0"/>
    <w:rsid w:val="007D7EE2"/>
    <w:rsid w:val="007E11D5"/>
    <w:rsid w:val="007E19F9"/>
    <w:rsid w:val="007E3B38"/>
    <w:rsid w:val="007E41C7"/>
    <w:rsid w:val="007E44A7"/>
    <w:rsid w:val="007E4924"/>
    <w:rsid w:val="007E56FE"/>
    <w:rsid w:val="007E580C"/>
    <w:rsid w:val="007E6C39"/>
    <w:rsid w:val="007E7CF7"/>
    <w:rsid w:val="007F059F"/>
    <w:rsid w:val="007F06FA"/>
    <w:rsid w:val="007F0897"/>
    <w:rsid w:val="007F0BDA"/>
    <w:rsid w:val="007F3041"/>
    <w:rsid w:val="007F4139"/>
    <w:rsid w:val="007F4E53"/>
    <w:rsid w:val="007F5A20"/>
    <w:rsid w:val="007F6BBF"/>
    <w:rsid w:val="0080045C"/>
    <w:rsid w:val="008011FA"/>
    <w:rsid w:val="0080159E"/>
    <w:rsid w:val="00801EC8"/>
    <w:rsid w:val="00802EB3"/>
    <w:rsid w:val="0080605A"/>
    <w:rsid w:val="008064AA"/>
    <w:rsid w:val="00806A81"/>
    <w:rsid w:val="008101B5"/>
    <w:rsid w:val="00811863"/>
    <w:rsid w:val="008120BF"/>
    <w:rsid w:val="00812D86"/>
    <w:rsid w:val="008145C5"/>
    <w:rsid w:val="008150B5"/>
    <w:rsid w:val="00815D3E"/>
    <w:rsid w:val="008161EE"/>
    <w:rsid w:val="00816744"/>
    <w:rsid w:val="00816E1A"/>
    <w:rsid w:val="008175A4"/>
    <w:rsid w:val="00817A3E"/>
    <w:rsid w:val="00820F36"/>
    <w:rsid w:val="008226C5"/>
    <w:rsid w:val="00822DB7"/>
    <w:rsid w:val="00822FCC"/>
    <w:rsid w:val="00825106"/>
    <w:rsid w:val="008267E1"/>
    <w:rsid w:val="008268DA"/>
    <w:rsid w:val="008269AD"/>
    <w:rsid w:val="00826DE7"/>
    <w:rsid w:val="00827131"/>
    <w:rsid w:val="00827B4A"/>
    <w:rsid w:val="00831877"/>
    <w:rsid w:val="00831E12"/>
    <w:rsid w:val="00832965"/>
    <w:rsid w:val="00832BB1"/>
    <w:rsid w:val="008331E9"/>
    <w:rsid w:val="00834715"/>
    <w:rsid w:val="00834875"/>
    <w:rsid w:val="00835583"/>
    <w:rsid w:val="00837772"/>
    <w:rsid w:val="00837AED"/>
    <w:rsid w:val="00840311"/>
    <w:rsid w:val="008406CE"/>
    <w:rsid w:val="00840A0B"/>
    <w:rsid w:val="008411DF"/>
    <w:rsid w:val="008415B7"/>
    <w:rsid w:val="00842CE4"/>
    <w:rsid w:val="00843C1D"/>
    <w:rsid w:val="008446AE"/>
    <w:rsid w:val="00845DBF"/>
    <w:rsid w:val="0084772D"/>
    <w:rsid w:val="008502CF"/>
    <w:rsid w:val="008502DA"/>
    <w:rsid w:val="00850CBA"/>
    <w:rsid w:val="00850FF8"/>
    <w:rsid w:val="00852BBB"/>
    <w:rsid w:val="00852CF1"/>
    <w:rsid w:val="00853A92"/>
    <w:rsid w:val="00853E77"/>
    <w:rsid w:val="00855453"/>
    <w:rsid w:val="0085636F"/>
    <w:rsid w:val="00857002"/>
    <w:rsid w:val="00860641"/>
    <w:rsid w:val="00860C34"/>
    <w:rsid w:val="00860FB4"/>
    <w:rsid w:val="00861477"/>
    <w:rsid w:val="00862B65"/>
    <w:rsid w:val="0086326D"/>
    <w:rsid w:val="00864622"/>
    <w:rsid w:val="0086782C"/>
    <w:rsid w:val="00867EAB"/>
    <w:rsid w:val="00867EE4"/>
    <w:rsid w:val="00867F12"/>
    <w:rsid w:val="00870D89"/>
    <w:rsid w:val="00871534"/>
    <w:rsid w:val="00871726"/>
    <w:rsid w:val="00871FE1"/>
    <w:rsid w:val="00873155"/>
    <w:rsid w:val="00873A15"/>
    <w:rsid w:val="00873CA8"/>
    <w:rsid w:val="008740F2"/>
    <w:rsid w:val="00874CEF"/>
    <w:rsid w:val="00877F76"/>
    <w:rsid w:val="00880D0B"/>
    <w:rsid w:val="00880F92"/>
    <w:rsid w:val="00881002"/>
    <w:rsid w:val="00881508"/>
    <w:rsid w:val="0088151C"/>
    <w:rsid w:val="008818CC"/>
    <w:rsid w:val="008820F1"/>
    <w:rsid w:val="00882744"/>
    <w:rsid w:val="00883BBB"/>
    <w:rsid w:val="00883D47"/>
    <w:rsid w:val="00883EB4"/>
    <w:rsid w:val="00885A10"/>
    <w:rsid w:val="008870D6"/>
    <w:rsid w:val="00887C60"/>
    <w:rsid w:val="00891AE3"/>
    <w:rsid w:val="00892045"/>
    <w:rsid w:val="00892292"/>
    <w:rsid w:val="00892407"/>
    <w:rsid w:val="00894D39"/>
    <w:rsid w:val="008A0246"/>
    <w:rsid w:val="008A03A5"/>
    <w:rsid w:val="008A0BCE"/>
    <w:rsid w:val="008A14B0"/>
    <w:rsid w:val="008A2266"/>
    <w:rsid w:val="008A27C1"/>
    <w:rsid w:val="008A2D27"/>
    <w:rsid w:val="008A3140"/>
    <w:rsid w:val="008A53CA"/>
    <w:rsid w:val="008A56BB"/>
    <w:rsid w:val="008A5A85"/>
    <w:rsid w:val="008A5EC9"/>
    <w:rsid w:val="008B1262"/>
    <w:rsid w:val="008B295F"/>
    <w:rsid w:val="008B44C8"/>
    <w:rsid w:val="008B517B"/>
    <w:rsid w:val="008B51B9"/>
    <w:rsid w:val="008B6155"/>
    <w:rsid w:val="008B62EF"/>
    <w:rsid w:val="008B6316"/>
    <w:rsid w:val="008B6C26"/>
    <w:rsid w:val="008B7A4E"/>
    <w:rsid w:val="008C0114"/>
    <w:rsid w:val="008C02DA"/>
    <w:rsid w:val="008C0504"/>
    <w:rsid w:val="008C1007"/>
    <w:rsid w:val="008C1DF2"/>
    <w:rsid w:val="008C1F04"/>
    <w:rsid w:val="008C1F62"/>
    <w:rsid w:val="008C2F8B"/>
    <w:rsid w:val="008C3BBD"/>
    <w:rsid w:val="008C4E40"/>
    <w:rsid w:val="008C59FA"/>
    <w:rsid w:val="008C5C6A"/>
    <w:rsid w:val="008C66E5"/>
    <w:rsid w:val="008C679A"/>
    <w:rsid w:val="008C69C0"/>
    <w:rsid w:val="008C7223"/>
    <w:rsid w:val="008D0DCA"/>
    <w:rsid w:val="008D1A9A"/>
    <w:rsid w:val="008D219C"/>
    <w:rsid w:val="008D2944"/>
    <w:rsid w:val="008D2FBF"/>
    <w:rsid w:val="008D315E"/>
    <w:rsid w:val="008D336B"/>
    <w:rsid w:val="008D3486"/>
    <w:rsid w:val="008D4735"/>
    <w:rsid w:val="008D47A7"/>
    <w:rsid w:val="008D47E5"/>
    <w:rsid w:val="008D4895"/>
    <w:rsid w:val="008D6CFC"/>
    <w:rsid w:val="008D7652"/>
    <w:rsid w:val="008E14DA"/>
    <w:rsid w:val="008E2016"/>
    <w:rsid w:val="008E2147"/>
    <w:rsid w:val="008E293B"/>
    <w:rsid w:val="008E303A"/>
    <w:rsid w:val="008E4A23"/>
    <w:rsid w:val="008E4DD6"/>
    <w:rsid w:val="008E4FE8"/>
    <w:rsid w:val="008E611B"/>
    <w:rsid w:val="008E6F50"/>
    <w:rsid w:val="008F091C"/>
    <w:rsid w:val="008F1A51"/>
    <w:rsid w:val="008F233C"/>
    <w:rsid w:val="008F2719"/>
    <w:rsid w:val="008F4BF1"/>
    <w:rsid w:val="008F53CF"/>
    <w:rsid w:val="008F622D"/>
    <w:rsid w:val="008F67F8"/>
    <w:rsid w:val="008F687B"/>
    <w:rsid w:val="008F7128"/>
    <w:rsid w:val="008F755D"/>
    <w:rsid w:val="008F7580"/>
    <w:rsid w:val="009007F1"/>
    <w:rsid w:val="00900AE8"/>
    <w:rsid w:val="00901348"/>
    <w:rsid w:val="00902228"/>
    <w:rsid w:val="00902901"/>
    <w:rsid w:val="00902AB1"/>
    <w:rsid w:val="00903324"/>
    <w:rsid w:val="009040FF"/>
    <w:rsid w:val="00904955"/>
    <w:rsid w:val="0090620C"/>
    <w:rsid w:val="00907B35"/>
    <w:rsid w:val="00911CB3"/>
    <w:rsid w:val="00911E6C"/>
    <w:rsid w:val="009122DB"/>
    <w:rsid w:val="009130CD"/>
    <w:rsid w:val="00913160"/>
    <w:rsid w:val="00913F60"/>
    <w:rsid w:val="00914105"/>
    <w:rsid w:val="0091432A"/>
    <w:rsid w:val="00914B08"/>
    <w:rsid w:val="00915EA2"/>
    <w:rsid w:val="00916065"/>
    <w:rsid w:val="00916C86"/>
    <w:rsid w:val="009212B0"/>
    <w:rsid w:val="00921582"/>
    <w:rsid w:val="00921BA6"/>
    <w:rsid w:val="00922FA7"/>
    <w:rsid w:val="00923822"/>
    <w:rsid w:val="00923C25"/>
    <w:rsid w:val="00924AB4"/>
    <w:rsid w:val="00925023"/>
    <w:rsid w:val="009265B8"/>
    <w:rsid w:val="009309F9"/>
    <w:rsid w:val="00933D8E"/>
    <w:rsid w:val="00940ADD"/>
    <w:rsid w:val="00940C36"/>
    <w:rsid w:val="009420EA"/>
    <w:rsid w:val="00942898"/>
    <w:rsid w:val="00944BFF"/>
    <w:rsid w:val="00944E72"/>
    <w:rsid w:val="009453E5"/>
    <w:rsid w:val="00946366"/>
    <w:rsid w:val="00946E37"/>
    <w:rsid w:val="00947520"/>
    <w:rsid w:val="00947AEA"/>
    <w:rsid w:val="009503C2"/>
    <w:rsid w:val="00950D5B"/>
    <w:rsid w:val="00950FDC"/>
    <w:rsid w:val="0095154E"/>
    <w:rsid w:val="0095241B"/>
    <w:rsid w:val="009536EB"/>
    <w:rsid w:val="00953D24"/>
    <w:rsid w:val="00954AF4"/>
    <w:rsid w:val="00954DE9"/>
    <w:rsid w:val="00960416"/>
    <w:rsid w:val="0096069D"/>
    <w:rsid w:val="00961156"/>
    <w:rsid w:val="00962360"/>
    <w:rsid w:val="00965C09"/>
    <w:rsid w:val="00967DB7"/>
    <w:rsid w:val="0097020B"/>
    <w:rsid w:val="00971256"/>
    <w:rsid w:val="00971632"/>
    <w:rsid w:val="009716D8"/>
    <w:rsid w:val="00973E2A"/>
    <w:rsid w:val="00974FB9"/>
    <w:rsid w:val="00975002"/>
    <w:rsid w:val="0097507C"/>
    <w:rsid w:val="0097558C"/>
    <w:rsid w:val="00975594"/>
    <w:rsid w:val="0097570A"/>
    <w:rsid w:val="00975B27"/>
    <w:rsid w:val="00980B6C"/>
    <w:rsid w:val="00982BF8"/>
    <w:rsid w:val="00982D27"/>
    <w:rsid w:val="00984A79"/>
    <w:rsid w:val="00985F00"/>
    <w:rsid w:val="00986D70"/>
    <w:rsid w:val="009901F9"/>
    <w:rsid w:val="009902A1"/>
    <w:rsid w:val="00990CF4"/>
    <w:rsid w:val="00991339"/>
    <w:rsid w:val="00991DCF"/>
    <w:rsid w:val="0099338C"/>
    <w:rsid w:val="00995684"/>
    <w:rsid w:val="009958C3"/>
    <w:rsid w:val="00995CB1"/>
    <w:rsid w:val="00996163"/>
    <w:rsid w:val="0099681F"/>
    <w:rsid w:val="00996AB0"/>
    <w:rsid w:val="009A047E"/>
    <w:rsid w:val="009A1D45"/>
    <w:rsid w:val="009A3D0C"/>
    <w:rsid w:val="009A55F2"/>
    <w:rsid w:val="009A56D8"/>
    <w:rsid w:val="009A5912"/>
    <w:rsid w:val="009A7CCB"/>
    <w:rsid w:val="009B059E"/>
    <w:rsid w:val="009B17C7"/>
    <w:rsid w:val="009B3AF7"/>
    <w:rsid w:val="009B3CC8"/>
    <w:rsid w:val="009B3D16"/>
    <w:rsid w:val="009B4B3D"/>
    <w:rsid w:val="009B52B8"/>
    <w:rsid w:val="009B58E4"/>
    <w:rsid w:val="009B6414"/>
    <w:rsid w:val="009B793A"/>
    <w:rsid w:val="009C04CF"/>
    <w:rsid w:val="009C2CF0"/>
    <w:rsid w:val="009C35F1"/>
    <w:rsid w:val="009C6151"/>
    <w:rsid w:val="009C647F"/>
    <w:rsid w:val="009D05F4"/>
    <w:rsid w:val="009D0605"/>
    <w:rsid w:val="009D3A5E"/>
    <w:rsid w:val="009D43C7"/>
    <w:rsid w:val="009D5B19"/>
    <w:rsid w:val="009D60D9"/>
    <w:rsid w:val="009D6F01"/>
    <w:rsid w:val="009D7601"/>
    <w:rsid w:val="009D7BD1"/>
    <w:rsid w:val="009D7FCE"/>
    <w:rsid w:val="009E074C"/>
    <w:rsid w:val="009E099F"/>
    <w:rsid w:val="009E21CF"/>
    <w:rsid w:val="009E2BDB"/>
    <w:rsid w:val="009E3380"/>
    <w:rsid w:val="009E4483"/>
    <w:rsid w:val="009E4A76"/>
    <w:rsid w:val="009E4E24"/>
    <w:rsid w:val="009E62CA"/>
    <w:rsid w:val="009F0B2B"/>
    <w:rsid w:val="009F1A03"/>
    <w:rsid w:val="009F1CCB"/>
    <w:rsid w:val="009F2216"/>
    <w:rsid w:val="009F2555"/>
    <w:rsid w:val="009F3154"/>
    <w:rsid w:val="009F3D5F"/>
    <w:rsid w:val="009F449B"/>
    <w:rsid w:val="009F6414"/>
    <w:rsid w:val="009F6DD6"/>
    <w:rsid w:val="009F78CB"/>
    <w:rsid w:val="00A002B9"/>
    <w:rsid w:val="00A00E0B"/>
    <w:rsid w:val="00A0239F"/>
    <w:rsid w:val="00A0365C"/>
    <w:rsid w:val="00A03A70"/>
    <w:rsid w:val="00A057AE"/>
    <w:rsid w:val="00A10804"/>
    <w:rsid w:val="00A10B24"/>
    <w:rsid w:val="00A11AE6"/>
    <w:rsid w:val="00A11E83"/>
    <w:rsid w:val="00A13757"/>
    <w:rsid w:val="00A14459"/>
    <w:rsid w:val="00A15672"/>
    <w:rsid w:val="00A16750"/>
    <w:rsid w:val="00A16E65"/>
    <w:rsid w:val="00A17490"/>
    <w:rsid w:val="00A202BC"/>
    <w:rsid w:val="00A20974"/>
    <w:rsid w:val="00A20D46"/>
    <w:rsid w:val="00A2132C"/>
    <w:rsid w:val="00A2143D"/>
    <w:rsid w:val="00A21E6F"/>
    <w:rsid w:val="00A231EF"/>
    <w:rsid w:val="00A23249"/>
    <w:rsid w:val="00A23714"/>
    <w:rsid w:val="00A23BF2"/>
    <w:rsid w:val="00A23C24"/>
    <w:rsid w:val="00A24BA6"/>
    <w:rsid w:val="00A25111"/>
    <w:rsid w:val="00A251F7"/>
    <w:rsid w:val="00A2594A"/>
    <w:rsid w:val="00A3022E"/>
    <w:rsid w:val="00A30F86"/>
    <w:rsid w:val="00A31846"/>
    <w:rsid w:val="00A31A2C"/>
    <w:rsid w:val="00A32F49"/>
    <w:rsid w:val="00A335B0"/>
    <w:rsid w:val="00A34ABE"/>
    <w:rsid w:val="00A35099"/>
    <w:rsid w:val="00A3533B"/>
    <w:rsid w:val="00A355CC"/>
    <w:rsid w:val="00A412FD"/>
    <w:rsid w:val="00A416D1"/>
    <w:rsid w:val="00A41973"/>
    <w:rsid w:val="00A424FC"/>
    <w:rsid w:val="00A43727"/>
    <w:rsid w:val="00A440E6"/>
    <w:rsid w:val="00A445A2"/>
    <w:rsid w:val="00A4472A"/>
    <w:rsid w:val="00A45AF3"/>
    <w:rsid w:val="00A45E54"/>
    <w:rsid w:val="00A46F22"/>
    <w:rsid w:val="00A472E9"/>
    <w:rsid w:val="00A47A96"/>
    <w:rsid w:val="00A50118"/>
    <w:rsid w:val="00A50737"/>
    <w:rsid w:val="00A520B1"/>
    <w:rsid w:val="00A520EE"/>
    <w:rsid w:val="00A53B08"/>
    <w:rsid w:val="00A54A4F"/>
    <w:rsid w:val="00A54C87"/>
    <w:rsid w:val="00A555F8"/>
    <w:rsid w:val="00A56B71"/>
    <w:rsid w:val="00A57002"/>
    <w:rsid w:val="00A57464"/>
    <w:rsid w:val="00A62693"/>
    <w:rsid w:val="00A63246"/>
    <w:rsid w:val="00A634FE"/>
    <w:rsid w:val="00A64809"/>
    <w:rsid w:val="00A6533F"/>
    <w:rsid w:val="00A6688C"/>
    <w:rsid w:val="00A678D1"/>
    <w:rsid w:val="00A70E09"/>
    <w:rsid w:val="00A71A6B"/>
    <w:rsid w:val="00A71EB2"/>
    <w:rsid w:val="00A724F1"/>
    <w:rsid w:val="00A751AB"/>
    <w:rsid w:val="00A77627"/>
    <w:rsid w:val="00A77A95"/>
    <w:rsid w:val="00A8111D"/>
    <w:rsid w:val="00A8351C"/>
    <w:rsid w:val="00A836DC"/>
    <w:rsid w:val="00A83906"/>
    <w:rsid w:val="00A83A12"/>
    <w:rsid w:val="00A84A7A"/>
    <w:rsid w:val="00A84B93"/>
    <w:rsid w:val="00A85862"/>
    <w:rsid w:val="00A8669E"/>
    <w:rsid w:val="00A86BCA"/>
    <w:rsid w:val="00A87059"/>
    <w:rsid w:val="00A878F0"/>
    <w:rsid w:val="00A902B6"/>
    <w:rsid w:val="00A90A40"/>
    <w:rsid w:val="00A90D3F"/>
    <w:rsid w:val="00A9168B"/>
    <w:rsid w:val="00A9359B"/>
    <w:rsid w:val="00A957DE"/>
    <w:rsid w:val="00A96AD6"/>
    <w:rsid w:val="00A96D24"/>
    <w:rsid w:val="00A9772C"/>
    <w:rsid w:val="00A97F9E"/>
    <w:rsid w:val="00AA01EF"/>
    <w:rsid w:val="00AA2007"/>
    <w:rsid w:val="00AA2FE2"/>
    <w:rsid w:val="00AA3694"/>
    <w:rsid w:val="00AA3948"/>
    <w:rsid w:val="00AA3962"/>
    <w:rsid w:val="00AA4887"/>
    <w:rsid w:val="00AA5EF8"/>
    <w:rsid w:val="00AA69D2"/>
    <w:rsid w:val="00AA6BBC"/>
    <w:rsid w:val="00AA73D4"/>
    <w:rsid w:val="00AA7D97"/>
    <w:rsid w:val="00AB008D"/>
    <w:rsid w:val="00AB092D"/>
    <w:rsid w:val="00AB0FA6"/>
    <w:rsid w:val="00AB0FE0"/>
    <w:rsid w:val="00AB38EF"/>
    <w:rsid w:val="00AB5491"/>
    <w:rsid w:val="00AB6294"/>
    <w:rsid w:val="00AB6A5C"/>
    <w:rsid w:val="00AC0012"/>
    <w:rsid w:val="00AC08CE"/>
    <w:rsid w:val="00AC355D"/>
    <w:rsid w:val="00AC44EE"/>
    <w:rsid w:val="00AC6743"/>
    <w:rsid w:val="00AC71C5"/>
    <w:rsid w:val="00AD0676"/>
    <w:rsid w:val="00AD19B6"/>
    <w:rsid w:val="00AD1B8D"/>
    <w:rsid w:val="00AD273E"/>
    <w:rsid w:val="00AD3CF6"/>
    <w:rsid w:val="00AD4042"/>
    <w:rsid w:val="00AD5B7D"/>
    <w:rsid w:val="00AD5F91"/>
    <w:rsid w:val="00AD6C20"/>
    <w:rsid w:val="00AE12E5"/>
    <w:rsid w:val="00AE1F37"/>
    <w:rsid w:val="00AE2E5A"/>
    <w:rsid w:val="00AE3CCB"/>
    <w:rsid w:val="00AE4256"/>
    <w:rsid w:val="00AE43A0"/>
    <w:rsid w:val="00AE485F"/>
    <w:rsid w:val="00AE50BC"/>
    <w:rsid w:val="00AE57AE"/>
    <w:rsid w:val="00AE7C46"/>
    <w:rsid w:val="00AF0ED9"/>
    <w:rsid w:val="00AF111B"/>
    <w:rsid w:val="00AF17F6"/>
    <w:rsid w:val="00AF23F7"/>
    <w:rsid w:val="00AF240A"/>
    <w:rsid w:val="00AF2B27"/>
    <w:rsid w:val="00AF2F59"/>
    <w:rsid w:val="00AF3B51"/>
    <w:rsid w:val="00AF43DD"/>
    <w:rsid w:val="00AF4DAB"/>
    <w:rsid w:val="00AF5E9B"/>
    <w:rsid w:val="00AF6B1F"/>
    <w:rsid w:val="00B0080D"/>
    <w:rsid w:val="00B0163D"/>
    <w:rsid w:val="00B01EB0"/>
    <w:rsid w:val="00B02B4D"/>
    <w:rsid w:val="00B0313B"/>
    <w:rsid w:val="00B04757"/>
    <w:rsid w:val="00B06CA5"/>
    <w:rsid w:val="00B06FD5"/>
    <w:rsid w:val="00B0756C"/>
    <w:rsid w:val="00B11665"/>
    <w:rsid w:val="00B14BFE"/>
    <w:rsid w:val="00B14CDD"/>
    <w:rsid w:val="00B15024"/>
    <w:rsid w:val="00B1515B"/>
    <w:rsid w:val="00B165F4"/>
    <w:rsid w:val="00B17206"/>
    <w:rsid w:val="00B172B4"/>
    <w:rsid w:val="00B20BD1"/>
    <w:rsid w:val="00B23EDA"/>
    <w:rsid w:val="00B244C1"/>
    <w:rsid w:val="00B247EF"/>
    <w:rsid w:val="00B248EB"/>
    <w:rsid w:val="00B25357"/>
    <w:rsid w:val="00B26735"/>
    <w:rsid w:val="00B26E20"/>
    <w:rsid w:val="00B27BAE"/>
    <w:rsid w:val="00B27DE1"/>
    <w:rsid w:val="00B30B76"/>
    <w:rsid w:val="00B319DD"/>
    <w:rsid w:val="00B3211C"/>
    <w:rsid w:val="00B322DC"/>
    <w:rsid w:val="00B33A68"/>
    <w:rsid w:val="00B33D81"/>
    <w:rsid w:val="00B350CA"/>
    <w:rsid w:val="00B350D1"/>
    <w:rsid w:val="00B3522F"/>
    <w:rsid w:val="00B358F2"/>
    <w:rsid w:val="00B35FF4"/>
    <w:rsid w:val="00B36184"/>
    <w:rsid w:val="00B363C8"/>
    <w:rsid w:val="00B36DD6"/>
    <w:rsid w:val="00B3714E"/>
    <w:rsid w:val="00B378D6"/>
    <w:rsid w:val="00B378E7"/>
    <w:rsid w:val="00B40474"/>
    <w:rsid w:val="00B40843"/>
    <w:rsid w:val="00B41554"/>
    <w:rsid w:val="00B426F4"/>
    <w:rsid w:val="00B42C2E"/>
    <w:rsid w:val="00B443B4"/>
    <w:rsid w:val="00B45BBF"/>
    <w:rsid w:val="00B46CDA"/>
    <w:rsid w:val="00B46D5E"/>
    <w:rsid w:val="00B47562"/>
    <w:rsid w:val="00B47B9B"/>
    <w:rsid w:val="00B50437"/>
    <w:rsid w:val="00B505FE"/>
    <w:rsid w:val="00B51AD5"/>
    <w:rsid w:val="00B53140"/>
    <w:rsid w:val="00B5332C"/>
    <w:rsid w:val="00B55B3B"/>
    <w:rsid w:val="00B55E9A"/>
    <w:rsid w:val="00B60979"/>
    <w:rsid w:val="00B61013"/>
    <w:rsid w:val="00B61389"/>
    <w:rsid w:val="00B6330C"/>
    <w:rsid w:val="00B636FB"/>
    <w:rsid w:val="00B6751E"/>
    <w:rsid w:val="00B70164"/>
    <w:rsid w:val="00B714E2"/>
    <w:rsid w:val="00B72B3E"/>
    <w:rsid w:val="00B732D7"/>
    <w:rsid w:val="00B73CB8"/>
    <w:rsid w:val="00B743FC"/>
    <w:rsid w:val="00B7637E"/>
    <w:rsid w:val="00B76658"/>
    <w:rsid w:val="00B76964"/>
    <w:rsid w:val="00B76DAE"/>
    <w:rsid w:val="00B775A2"/>
    <w:rsid w:val="00B77A64"/>
    <w:rsid w:val="00B80965"/>
    <w:rsid w:val="00B80B82"/>
    <w:rsid w:val="00B80D93"/>
    <w:rsid w:val="00B812E6"/>
    <w:rsid w:val="00B818DF"/>
    <w:rsid w:val="00B81D45"/>
    <w:rsid w:val="00B830C6"/>
    <w:rsid w:val="00B83633"/>
    <w:rsid w:val="00B84D32"/>
    <w:rsid w:val="00B85F8A"/>
    <w:rsid w:val="00B867EB"/>
    <w:rsid w:val="00B86853"/>
    <w:rsid w:val="00B90565"/>
    <w:rsid w:val="00B9125A"/>
    <w:rsid w:val="00B91B09"/>
    <w:rsid w:val="00B9362B"/>
    <w:rsid w:val="00B93630"/>
    <w:rsid w:val="00B93935"/>
    <w:rsid w:val="00B94599"/>
    <w:rsid w:val="00B945CB"/>
    <w:rsid w:val="00B946A1"/>
    <w:rsid w:val="00B947DF"/>
    <w:rsid w:val="00B94C80"/>
    <w:rsid w:val="00B952AC"/>
    <w:rsid w:val="00B95B90"/>
    <w:rsid w:val="00B96397"/>
    <w:rsid w:val="00B970C4"/>
    <w:rsid w:val="00BA0183"/>
    <w:rsid w:val="00BA0862"/>
    <w:rsid w:val="00BA08A0"/>
    <w:rsid w:val="00BA0A2C"/>
    <w:rsid w:val="00BA0B92"/>
    <w:rsid w:val="00BA0F4F"/>
    <w:rsid w:val="00BA16D8"/>
    <w:rsid w:val="00BA2E64"/>
    <w:rsid w:val="00BA316E"/>
    <w:rsid w:val="00BA40D9"/>
    <w:rsid w:val="00BA4EA0"/>
    <w:rsid w:val="00BA5972"/>
    <w:rsid w:val="00BA66C7"/>
    <w:rsid w:val="00BA678C"/>
    <w:rsid w:val="00BA7CC3"/>
    <w:rsid w:val="00BB00E3"/>
    <w:rsid w:val="00BB10FF"/>
    <w:rsid w:val="00BB1301"/>
    <w:rsid w:val="00BB154A"/>
    <w:rsid w:val="00BB1AB7"/>
    <w:rsid w:val="00BB1F28"/>
    <w:rsid w:val="00BB249D"/>
    <w:rsid w:val="00BB3186"/>
    <w:rsid w:val="00BB34DC"/>
    <w:rsid w:val="00BB3674"/>
    <w:rsid w:val="00BB491A"/>
    <w:rsid w:val="00BB5809"/>
    <w:rsid w:val="00BB59CE"/>
    <w:rsid w:val="00BB5DDC"/>
    <w:rsid w:val="00BB69D1"/>
    <w:rsid w:val="00BB6BFE"/>
    <w:rsid w:val="00BB71C4"/>
    <w:rsid w:val="00BB7D9F"/>
    <w:rsid w:val="00BC0C40"/>
    <w:rsid w:val="00BC0E32"/>
    <w:rsid w:val="00BC22DB"/>
    <w:rsid w:val="00BC3DD4"/>
    <w:rsid w:val="00BC4115"/>
    <w:rsid w:val="00BC4800"/>
    <w:rsid w:val="00BC4A84"/>
    <w:rsid w:val="00BC5682"/>
    <w:rsid w:val="00BC5BFD"/>
    <w:rsid w:val="00BC7246"/>
    <w:rsid w:val="00BC77F5"/>
    <w:rsid w:val="00BD0337"/>
    <w:rsid w:val="00BD09A1"/>
    <w:rsid w:val="00BD1E54"/>
    <w:rsid w:val="00BD23C7"/>
    <w:rsid w:val="00BD2B5D"/>
    <w:rsid w:val="00BD4258"/>
    <w:rsid w:val="00BD61CA"/>
    <w:rsid w:val="00BD6838"/>
    <w:rsid w:val="00BD6CB6"/>
    <w:rsid w:val="00BD6D57"/>
    <w:rsid w:val="00BD7312"/>
    <w:rsid w:val="00BD7959"/>
    <w:rsid w:val="00BE14FC"/>
    <w:rsid w:val="00BE1872"/>
    <w:rsid w:val="00BE337E"/>
    <w:rsid w:val="00BE3C12"/>
    <w:rsid w:val="00BE4448"/>
    <w:rsid w:val="00BE46F1"/>
    <w:rsid w:val="00BE47C6"/>
    <w:rsid w:val="00BE5259"/>
    <w:rsid w:val="00BE6298"/>
    <w:rsid w:val="00BE6AC6"/>
    <w:rsid w:val="00BE72EB"/>
    <w:rsid w:val="00BF0290"/>
    <w:rsid w:val="00BF07C6"/>
    <w:rsid w:val="00BF0FA2"/>
    <w:rsid w:val="00BF1254"/>
    <w:rsid w:val="00BF235A"/>
    <w:rsid w:val="00BF24CB"/>
    <w:rsid w:val="00BF2FD8"/>
    <w:rsid w:val="00BF4D8D"/>
    <w:rsid w:val="00BF5FB2"/>
    <w:rsid w:val="00BF6BA2"/>
    <w:rsid w:val="00BF6BD9"/>
    <w:rsid w:val="00BF7779"/>
    <w:rsid w:val="00C010A0"/>
    <w:rsid w:val="00C01B1E"/>
    <w:rsid w:val="00C02523"/>
    <w:rsid w:val="00C03454"/>
    <w:rsid w:val="00C05116"/>
    <w:rsid w:val="00C06596"/>
    <w:rsid w:val="00C06930"/>
    <w:rsid w:val="00C06C3F"/>
    <w:rsid w:val="00C07B1D"/>
    <w:rsid w:val="00C113AA"/>
    <w:rsid w:val="00C1350F"/>
    <w:rsid w:val="00C147A2"/>
    <w:rsid w:val="00C14CD5"/>
    <w:rsid w:val="00C15E18"/>
    <w:rsid w:val="00C15F45"/>
    <w:rsid w:val="00C16627"/>
    <w:rsid w:val="00C17A4A"/>
    <w:rsid w:val="00C20F11"/>
    <w:rsid w:val="00C20FFB"/>
    <w:rsid w:val="00C211BB"/>
    <w:rsid w:val="00C2186F"/>
    <w:rsid w:val="00C21897"/>
    <w:rsid w:val="00C21AC3"/>
    <w:rsid w:val="00C25CB7"/>
    <w:rsid w:val="00C26C06"/>
    <w:rsid w:val="00C26C38"/>
    <w:rsid w:val="00C27384"/>
    <w:rsid w:val="00C30466"/>
    <w:rsid w:val="00C308CD"/>
    <w:rsid w:val="00C30D41"/>
    <w:rsid w:val="00C315A1"/>
    <w:rsid w:val="00C31AE0"/>
    <w:rsid w:val="00C31FCA"/>
    <w:rsid w:val="00C35435"/>
    <w:rsid w:val="00C3767B"/>
    <w:rsid w:val="00C40573"/>
    <w:rsid w:val="00C409F4"/>
    <w:rsid w:val="00C417FB"/>
    <w:rsid w:val="00C432E3"/>
    <w:rsid w:val="00C43665"/>
    <w:rsid w:val="00C437A7"/>
    <w:rsid w:val="00C43A99"/>
    <w:rsid w:val="00C4456D"/>
    <w:rsid w:val="00C44854"/>
    <w:rsid w:val="00C45CC8"/>
    <w:rsid w:val="00C46A2D"/>
    <w:rsid w:val="00C47531"/>
    <w:rsid w:val="00C50B84"/>
    <w:rsid w:val="00C50BCE"/>
    <w:rsid w:val="00C511AB"/>
    <w:rsid w:val="00C51476"/>
    <w:rsid w:val="00C51679"/>
    <w:rsid w:val="00C525FC"/>
    <w:rsid w:val="00C52AF1"/>
    <w:rsid w:val="00C52E63"/>
    <w:rsid w:val="00C5417B"/>
    <w:rsid w:val="00C54250"/>
    <w:rsid w:val="00C543F5"/>
    <w:rsid w:val="00C56923"/>
    <w:rsid w:val="00C56E7C"/>
    <w:rsid w:val="00C579D5"/>
    <w:rsid w:val="00C57BBF"/>
    <w:rsid w:val="00C6053F"/>
    <w:rsid w:val="00C61BC7"/>
    <w:rsid w:val="00C61DB7"/>
    <w:rsid w:val="00C62464"/>
    <w:rsid w:val="00C631AC"/>
    <w:rsid w:val="00C63672"/>
    <w:rsid w:val="00C63819"/>
    <w:rsid w:val="00C63D30"/>
    <w:rsid w:val="00C65235"/>
    <w:rsid w:val="00C65598"/>
    <w:rsid w:val="00C65710"/>
    <w:rsid w:val="00C65C64"/>
    <w:rsid w:val="00C66E1A"/>
    <w:rsid w:val="00C671D1"/>
    <w:rsid w:val="00C67508"/>
    <w:rsid w:val="00C67A91"/>
    <w:rsid w:val="00C72639"/>
    <w:rsid w:val="00C72925"/>
    <w:rsid w:val="00C73956"/>
    <w:rsid w:val="00C767DB"/>
    <w:rsid w:val="00C77116"/>
    <w:rsid w:val="00C77119"/>
    <w:rsid w:val="00C8013C"/>
    <w:rsid w:val="00C81715"/>
    <w:rsid w:val="00C81C72"/>
    <w:rsid w:val="00C82A13"/>
    <w:rsid w:val="00C8408E"/>
    <w:rsid w:val="00C849D1"/>
    <w:rsid w:val="00C84DD4"/>
    <w:rsid w:val="00C84F7F"/>
    <w:rsid w:val="00C85453"/>
    <w:rsid w:val="00C858B2"/>
    <w:rsid w:val="00C8617E"/>
    <w:rsid w:val="00C87733"/>
    <w:rsid w:val="00C87B63"/>
    <w:rsid w:val="00C9010E"/>
    <w:rsid w:val="00C90A46"/>
    <w:rsid w:val="00C9106D"/>
    <w:rsid w:val="00C919E8"/>
    <w:rsid w:val="00C9271D"/>
    <w:rsid w:val="00C9412C"/>
    <w:rsid w:val="00C947DA"/>
    <w:rsid w:val="00C95A14"/>
    <w:rsid w:val="00C96C37"/>
    <w:rsid w:val="00C9749A"/>
    <w:rsid w:val="00C97BF3"/>
    <w:rsid w:val="00C97CC6"/>
    <w:rsid w:val="00C97D59"/>
    <w:rsid w:val="00CA01B5"/>
    <w:rsid w:val="00CA01B8"/>
    <w:rsid w:val="00CA12A1"/>
    <w:rsid w:val="00CA1560"/>
    <w:rsid w:val="00CA20CB"/>
    <w:rsid w:val="00CA2626"/>
    <w:rsid w:val="00CA44B8"/>
    <w:rsid w:val="00CA6B83"/>
    <w:rsid w:val="00CB099A"/>
    <w:rsid w:val="00CB0FF0"/>
    <w:rsid w:val="00CB1450"/>
    <w:rsid w:val="00CB2CB5"/>
    <w:rsid w:val="00CB35F0"/>
    <w:rsid w:val="00CB3D04"/>
    <w:rsid w:val="00CB49B1"/>
    <w:rsid w:val="00CB5139"/>
    <w:rsid w:val="00CB5E2D"/>
    <w:rsid w:val="00CC001F"/>
    <w:rsid w:val="00CC0328"/>
    <w:rsid w:val="00CC0783"/>
    <w:rsid w:val="00CC0ABE"/>
    <w:rsid w:val="00CC236D"/>
    <w:rsid w:val="00CC2898"/>
    <w:rsid w:val="00CC37B5"/>
    <w:rsid w:val="00CC3BA0"/>
    <w:rsid w:val="00CC4451"/>
    <w:rsid w:val="00CC6281"/>
    <w:rsid w:val="00CC6856"/>
    <w:rsid w:val="00CD09A0"/>
    <w:rsid w:val="00CD0F5A"/>
    <w:rsid w:val="00CD1DBF"/>
    <w:rsid w:val="00CD2518"/>
    <w:rsid w:val="00CD2BB0"/>
    <w:rsid w:val="00CD356B"/>
    <w:rsid w:val="00CD5743"/>
    <w:rsid w:val="00CD6190"/>
    <w:rsid w:val="00CD6604"/>
    <w:rsid w:val="00CD6981"/>
    <w:rsid w:val="00CD6BA0"/>
    <w:rsid w:val="00CD6F44"/>
    <w:rsid w:val="00CD74D1"/>
    <w:rsid w:val="00CD7AA5"/>
    <w:rsid w:val="00CD7CF1"/>
    <w:rsid w:val="00CE0C45"/>
    <w:rsid w:val="00CE1DDA"/>
    <w:rsid w:val="00CE36AD"/>
    <w:rsid w:val="00CE3749"/>
    <w:rsid w:val="00CE39C1"/>
    <w:rsid w:val="00CE3D26"/>
    <w:rsid w:val="00CE4090"/>
    <w:rsid w:val="00CE5167"/>
    <w:rsid w:val="00CE5D44"/>
    <w:rsid w:val="00CE5FB5"/>
    <w:rsid w:val="00CE63F0"/>
    <w:rsid w:val="00CE668F"/>
    <w:rsid w:val="00CE67DB"/>
    <w:rsid w:val="00CE7E33"/>
    <w:rsid w:val="00CF017B"/>
    <w:rsid w:val="00CF03AF"/>
    <w:rsid w:val="00CF1404"/>
    <w:rsid w:val="00CF1B30"/>
    <w:rsid w:val="00CF27FB"/>
    <w:rsid w:val="00CF2ABE"/>
    <w:rsid w:val="00CF37C5"/>
    <w:rsid w:val="00CF47BD"/>
    <w:rsid w:val="00CF4B7F"/>
    <w:rsid w:val="00CF4CF0"/>
    <w:rsid w:val="00CF5321"/>
    <w:rsid w:val="00CF59DB"/>
    <w:rsid w:val="00CF60B0"/>
    <w:rsid w:val="00CF7940"/>
    <w:rsid w:val="00D0006B"/>
    <w:rsid w:val="00D01313"/>
    <w:rsid w:val="00D01665"/>
    <w:rsid w:val="00D01DAE"/>
    <w:rsid w:val="00D0273B"/>
    <w:rsid w:val="00D0292D"/>
    <w:rsid w:val="00D05B25"/>
    <w:rsid w:val="00D06077"/>
    <w:rsid w:val="00D0740B"/>
    <w:rsid w:val="00D100C5"/>
    <w:rsid w:val="00D10A5A"/>
    <w:rsid w:val="00D1102B"/>
    <w:rsid w:val="00D11115"/>
    <w:rsid w:val="00D11568"/>
    <w:rsid w:val="00D11AB3"/>
    <w:rsid w:val="00D12239"/>
    <w:rsid w:val="00D1260C"/>
    <w:rsid w:val="00D13D3D"/>
    <w:rsid w:val="00D14471"/>
    <w:rsid w:val="00D14ED4"/>
    <w:rsid w:val="00D1586E"/>
    <w:rsid w:val="00D15A22"/>
    <w:rsid w:val="00D17621"/>
    <w:rsid w:val="00D17BED"/>
    <w:rsid w:val="00D17F6C"/>
    <w:rsid w:val="00D20008"/>
    <w:rsid w:val="00D205C4"/>
    <w:rsid w:val="00D21096"/>
    <w:rsid w:val="00D2109F"/>
    <w:rsid w:val="00D212A9"/>
    <w:rsid w:val="00D22580"/>
    <w:rsid w:val="00D22E04"/>
    <w:rsid w:val="00D22E68"/>
    <w:rsid w:val="00D239C3"/>
    <w:rsid w:val="00D23B3D"/>
    <w:rsid w:val="00D2454E"/>
    <w:rsid w:val="00D245CE"/>
    <w:rsid w:val="00D24C01"/>
    <w:rsid w:val="00D25E72"/>
    <w:rsid w:val="00D266FC"/>
    <w:rsid w:val="00D267E9"/>
    <w:rsid w:val="00D26836"/>
    <w:rsid w:val="00D26910"/>
    <w:rsid w:val="00D26991"/>
    <w:rsid w:val="00D26E87"/>
    <w:rsid w:val="00D27173"/>
    <w:rsid w:val="00D308D1"/>
    <w:rsid w:val="00D31413"/>
    <w:rsid w:val="00D31603"/>
    <w:rsid w:val="00D31BF5"/>
    <w:rsid w:val="00D32613"/>
    <w:rsid w:val="00D3358A"/>
    <w:rsid w:val="00D34046"/>
    <w:rsid w:val="00D37A31"/>
    <w:rsid w:val="00D37EE2"/>
    <w:rsid w:val="00D415AB"/>
    <w:rsid w:val="00D4179D"/>
    <w:rsid w:val="00D427E3"/>
    <w:rsid w:val="00D42CB6"/>
    <w:rsid w:val="00D43456"/>
    <w:rsid w:val="00D43C41"/>
    <w:rsid w:val="00D43D15"/>
    <w:rsid w:val="00D4718D"/>
    <w:rsid w:val="00D471DF"/>
    <w:rsid w:val="00D4753A"/>
    <w:rsid w:val="00D47B34"/>
    <w:rsid w:val="00D47D7B"/>
    <w:rsid w:val="00D47E66"/>
    <w:rsid w:val="00D5011C"/>
    <w:rsid w:val="00D50980"/>
    <w:rsid w:val="00D51A4F"/>
    <w:rsid w:val="00D533CC"/>
    <w:rsid w:val="00D53A96"/>
    <w:rsid w:val="00D5426C"/>
    <w:rsid w:val="00D561AD"/>
    <w:rsid w:val="00D57310"/>
    <w:rsid w:val="00D57C2C"/>
    <w:rsid w:val="00D60068"/>
    <w:rsid w:val="00D604C5"/>
    <w:rsid w:val="00D61304"/>
    <w:rsid w:val="00D6241C"/>
    <w:rsid w:val="00D62613"/>
    <w:rsid w:val="00D62E17"/>
    <w:rsid w:val="00D63228"/>
    <w:rsid w:val="00D63BEA"/>
    <w:rsid w:val="00D644C4"/>
    <w:rsid w:val="00D653C2"/>
    <w:rsid w:val="00D65A92"/>
    <w:rsid w:val="00D66CE1"/>
    <w:rsid w:val="00D672A9"/>
    <w:rsid w:val="00D712E8"/>
    <w:rsid w:val="00D7147C"/>
    <w:rsid w:val="00D71C3E"/>
    <w:rsid w:val="00D71DEB"/>
    <w:rsid w:val="00D739CC"/>
    <w:rsid w:val="00D74CDA"/>
    <w:rsid w:val="00D76189"/>
    <w:rsid w:val="00D77B1F"/>
    <w:rsid w:val="00D80449"/>
    <w:rsid w:val="00D81312"/>
    <w:rsid w:val="00D81BCF"/>
    <w:rsid w:val="00D82480"/>
    <w:rsid w:val="00D8253F"/>
    <w:rsid w:val="00D82E5B"/>
    <w:rsid w:val="00D83483"/>
    <w:rsid w:val="00D84302"/>
    <w:rsid w:val="00D84626"/>
    <w:rsid w:val="00D849E4"/>
    <w:rsid w:val="00D85C53"/>
    <w:rsid w:val="00D86324"/>
    <w:rsid w:val="00D8679F"/>
    <w:rsid w:val="00D86926"/>
    <w:rsid w:val="00D87E5A"/>
    <w:rsid w:val="00D90583"/>
    <w:rsid w:val="00D912C9"/>
    <w:rsid w:val="00D91BE1"/>
    <w:rsid w:val="00D92C94"/>
    <w:rsid w:val="00D93D71"/>
    <w:rsid w:val="00D94CAE"/>
    <w:rsid w:val="00D97C4D"/>
    <w:rsid w:val="00DA110A"/>
    <w:rsid w:val="00DA1154"/>
    <w:rsid w:val="00DA1206"/>
    <w:rsid w:val="00DA126A"/>
    <w:rsid w:val="00DA1E14"/>
    <w:rsid w:val="00DA3FF6"/>
    <w:rsid w:val="00DA414B"/>
    <w:rsid w:val="00DA4D73"/>
    <w:rsid w:val="00DA4F6D"/>
    <w:rsid w:val="00DA5BA0"/>
    <w:rsid w:val="00DA6498"/>
    <w:rsid w:val="00DA7EB3"/>
    <w:rsid w:val="00DB0CC5"/>
    <w:rsid w:val="00DB0E12"/>
    <w:rsid w:val="00DB12B1"/>
    <w:rsid w:val="00DB1695"/>
    <w:rsid w:val="00DB2753"/>
    <w:rsid w:val="00DB3EB1"/>
    <w:rsid w:val="00DB4DA0"/>
    <w:rsid w:val="00DB5073"/>
    <w:rsid w:val="00DB526A"/>
    <w:rsid w:val="00DB590B"/>
    <w:rsid w:val="00DB6645"/>
    <w:rsid w:val="00DC02F3"/>
    <w:rsid w:val="00DC0C35"/>
    <w:rsid w:val="00DC0D05"/>
    <w:rsid w:val="00DC0E27"/>
    <w:rsid w:val="00DC1868"/>
    <w:rsid w:val="00DC206A"/>
    <w:rsid w:val="00DC2537"/>
    <w:rsid w:val="00DC29DF"/>
    <w:rsid w:val="00DC2F21"/>
    <w:rsid w:val="00DC52BD"/>
    <w:rsid w:val="00DC5522"/>
    <w:rsid w:val="00DC5892"/>
    <w:rsid w:val="00DC5BCB"/>
    <w:rsid w:val="00DC5C1A"/>
    <w:rsid w:val="00DC6605"/>
    <w:rsid w:val="00DC6D45"/>
    <w:rsid w:val="00DC6DFF"/>
    <w:rsid w:val="00DD0DAA"/>
    <w:rsid w:val="00DD0F5A"/>
    <w:rsid w:val="00DD2569"/>
    <w:rsid w:val="00DD2E5A"/>
    <w:rsid w:val="00DD3041"/>
    <w:rsid w:val="00DD3BC5"/>
    <w:rsid w:val="00DD3E53"/>
    <w:rsid w:val="00DD4561"/>
    <w:rsid w:val="00DD45EC"/>
    <w:rsid w:val="00DD4911"/>
    <w:rsid w:val="00DD4A0F"/>
    <w:rsid w:val="00DD4DA7"/>
    <w:rsid w:val="00DD700C"/>
    <w:rsid w:val="00DE04C7"/>
    <w:rsid w:val="00DE0919"/>
    <w:rsid w:val="00DE1502"/>
    <w:rsid w:val="00DE1C39"/>
    <w:rsid w:val="00DE22CA"/>
    <w:rsid w:val="00DE25D8"/>
    <w:rsid w:val="00DE2AE7"/>
    <w:rsid w:val="00DE2D07"/>
    <w:rsid w:val="00DE450C"/>
    <w:rsid w:val="00DE6E23"/>
    <w:rsid w:val="00DE7EFA"/>
    <w:rsid w:val="00DF105B"/>
    <w:rsid w:val="00DF13A7"/>
    <w:rsid w:val="00DF1567"/>
    <w:rsid w:val="00DF23E8"/>
    <w:rsid w:val="00DF23F7"/>
    <w:rsid w:val="00DF254E"/>
    <w:rsid w:val="00DF2A2E"/>
    <w:rsid w:val="00DF3A4C"/>
    <w:rsid w:val="00DF5592"/>
    <w:rsid w:val="00DF6E45"/>
    <w:rsid w:val="00E0099B"/>
    <w:rsid w:val="00E02101"/>
    <w:rsid w:val="00E027A8"/>
    <w:rsid w:val="00E048A3"/>
    <w:rsid w:val="00E0571F"/>
    <w:rsid w:val="00E05EC0"/>
    <w:rsid w:val="00E062DF"/>
    <w:rsid w:val="00E100E4"/>
    <w:rsid w:val="00E10383"/>
    <w:rsid w:val="00E1042A"/>
    <w:rsid w:val="00E10910"/>
    <w:rsid w:val="00E10E2E"/>
    <w:rsid w:val="00E10E78"/>
    <w:rsid w:val="00E1185C"/>
    <w:rsid w:val="00E12004"/>
    <w:rsid w:val="00E123C4"/>
    <w:rsid w:val="00E12BCD"/>
    <w:rsid w:val="00E132D1"/>
    <w:rsid w:val="00E14655"/>
    <w:rsid w:val="00E14DE8"/>
    <w:rsid w:val="00E15A52"/>
    <w:rsid w:val="00E20074"/>
    <w:rsid w:val="00E205C4"/>
    <w:rsid w:val="00E20625"/>
    <w:rsid w:val="00E21398"/>
    <w:rsid w:val="00E21E08"/>
    <w:rsid w:val="00E22378"/>
    <w:rsid w:val="00E22646"/>
    <w:rsid w:val="00E2400B"/>
    <w:rsid w:val="00E24203"/>
    <w:rsid w:val="00E24577"/>
    <w:rsid w:val="00E2482B"/>
    <w:rsid w:val="00E248B3"/>
    <w:rsid w:val="00E25D11"/>
    <w:rsid w:val="00E26C8D"/>
    <w:rsid w:val="00E305B4"/>
    <w:rsid w:val="00E305D5"/>
    <w:rsid w:val="00E31B05"/>
    <w:rsid w:val="00E34020"/>
    <w:rsid w:val="00E36127"/>
    <w:rsid w:val="00E3615F"/>
    <w:rsid w:val="00E366DC"/>
    <w:rsid w:val="00E36B25"/>
    <w:rsid w:val="00E36EC4"/>
    <w:rsid w:val="00E37692"/>
    <w:rsid w:val="00E410DF"/>
    <w:rsid w:val="00E413A9"/>
    <w:rsid w:val="00E41E59"/>
    <w:rsid w:val="00E41EB3"/>
    <w:rsid w:val="00E42421"/>
    <w:rsid w:val="00E4245F"/>
    <w:rsid w:val="00E427D9"/>
    <w:rsid w:val="00E43F8F"/>
    <w:rsid w:val="00E44219"/>
    <w:rsid w:val="00E4607C"/>
    <w:rsid w:val="00E46B24"/>
    <w:rsid w:val="00E46F51"/>
    <w:rsid w:val="00E46F63"/>
    <w:rsid w:val="00E47513"/>
    <w:rsid w:val="00E501E6"/>
    <w:rsid w:val="00E51A8A"/>
    <w:rsid w:val="00E53347"/>
    <w:rsid w:val="00E536C4"/>
    <w:rsid w:val="00E5431A"/>
    <w:rsid w:val="00E55484"/>
    <w:rsid w:val="00E5690C"/>
    <w:rsid w:val="00E56C76"/>
    <w:rsid w:val="00E56E64"/>
    <w:rsid w:val="00E57B05"/>
    <w:rsid w:val="00E60BA6"/>
    <w:rsid w:val="00E60FA9"/>
    <w:rsid w:val="00E630DF"/>
    <w:rsid w:val="00E65056"/>
    <w:rsid w:val="00E669D6"/>
    <w:rsid w:val="00E6707D"/>
    <w:rsid w:val="00E71735"/>
    <w:rsid w:val="00E7375B"/>
    <w:rsid w:val="00E745E2"/>
    <w:rsid w:val="00E74696"/>
    <w:rsid w:val="00E74864"/>
    <w:rsid w:val="00E74BEC"/>
    <w:rsid w:val="00E74DD1"/>
    <w:rsid w:val="00E755C6"/>
    <w:rsid w:val="00E75A68"/>
    <w:rsid w:val="00E76097"/>
    <w:rsid w:val="00E762AF"/>
    <w:rsid w:val="00E76B2F"/>
    <w:rsid w:val="00E76BB8"/>
    <w:rsid w:val="00E776A4"/>
    <w:rsid w:val="00E77CDE"/>
    <w:rsid w:val="00E8009E"/>
    <w:rsid w:val="00E80AE5"/>
    <w:rsid w:val="00E82F60"/>
    <w:rsid w:val="00E83545"/>
    <w:rsid w:val="00E83574"/>
    <w:rsid w:val="00E842F0"/>
    <w:rsid w:val="00E84A40"/>
    <w:rsid w:val="00E85423"/>
    <w:rsid w:val="00E854F2"/>
    <w:rsid w:val="00E85C49"/>
    <w:rsid w:val="00E85F11"/>
    <w:rsid w:val="00E860D9"/>
    <w:rsid w:val="00E862D7"/>
    <w:rsid w:val="00E8698B"/>
    <w:rsid w:val="00E86E19"/>
    <w:rsid w:val="00E87061"/>
    <w:rsid w:val="00E870EA"/>
    <w:rsid w:val="00E90425"/>
    <w:rsid w:val="00E90829"/>
    <w:rsid w:val="00E9154A"/>
    <w:rsid w:val="00E916A7"/>
    <w:rsid w:val="00E9182E"/>
    <w:rsid w:val="00E91DE1"/>
    <w:rsid w:val="00E92D70"/>
    <w:rsid w:val="00E9680D"/>
    <w:rsid w:val="00E97823"/>
    <w:rsid w:val="00EA0201"/>
    <w:rsid w:val="00EA3827"/>
    <w:rsid w:val="00EA396C"/>
    <w:rsid w:val="00EA3975"/>
    <w:rsid w:val="00EA4504"/>
    <w:rsid w:val="00EA45B8"/>
    <w:rsid w:val="00EA538D"/>
    <w:rsid w:val="00EA587E"/>
    <w:rsid w:val="00EA6B3E"/>
    <w:rsid w:val="00EA6E64"/>
    <w:rsid w:val="00EA6F27"/>
    <w:rsid w:val="00EA7E8A"/>
    <w:rsid w:val="00EB04FD"/>
    <w:rsid w:val="00EB1811"/>
    <w:rsid w:val="00EB1DE0"/>
    <w:rsid w:val="00EB24EB"/>
    <w:rsid w:val="00EB3B50"/>
    <w:rsid w:val="00EB4844"/>
    <w:rsid w:val="00EB5284"/>
    <w:rsid w:val="00EB6F2E"/>
    <w:rsid w:val="00EC0309"/>
    <w:rsid w:val="00EC042F"/>
    <w:rsid w:val="00EC1A24"/>
    <w:rsid w:val="00EC20BB"/>
    <w:rsid w:val="00EC3528"/>
    <w:rsid w:val="00EC361A"/>
    <w:rsid w:val="00EC424D"/>
    <w:rsid w:val="00EC4D08"/>
    <w:rsid w:val="00EC4D50"/>
    <w:rsid w:val="00EC4E53"/>
    <w:rsid w:val="00EC506C"/>
    <w:rsid w:val="00EC54FF"/>
    <w:rsid w:val="00EC6207"/>
    <w:rsid w:val="00EC6731"/>
    <w:rsid w:val="00EC687C"/>
    <w:rsid w:val="00ED020D"/>
    <w:rsid w:val="00ED0F2C"/>
    <w:rsid w:val="00ED159F"/>
    <w:rsid w:val="00ED2566"/>
    <w:rsid w:val="00ED29D8"/>
    <w:rsid w:val="00ED3ADD"/>
    <w:rsid w:val="00ED3C65"/>
    <w:rsid w:val="00ED3FEA"/>
    <w:rsid w:val="00ED4AA3"/>
    <w:rsid w:val="00ED5138"/>
    <w:rsid w:val="00ED5DE8"/>
    <w:rsid w:val="00ED70AA"/>
    <w:rsid w:val="00ED7382"/>
    <w:rsid w:val="00ED77D9"/>
    <w:rsid w:val="00ED7CBD"/>
    <w:rsid w:val="00EE0467"/>
    <w:rsid w:val="00EE1A86"/>
    <w:rsid w:val="00EE3DD5"/>
    <w:rsid w:val="00EE510F"/>
    <w:rsid w:val="00EE5366"/>
    <w:rsid w:val="00EE54E2"/>
    <w:rsid w:val="00EE570A"/>
    <w:rsid w:val="00EE66F1"/>
    <w:rsid w:val="00EE6B78"/>
    <w:rsid w:val="00EF05FB"/>
    <w:rsid w:val="00EF12CD"/>
    <w:rsid w:val="00EF14A2"/>
    <w:rsid w:val="00EF1652"/>
    <w:rsid w:val="00EF196C"/>
    <w:rsid w:val="00EF1B0F"/>
    <w:rsid w:val="00EF1F97"/>
    <w:rsid w:val="00EF1FAB"/>
    <w:rsid w:val="00EF2316"/>
    <w:rsid w:val="00EF69FF"/>
    <w:rsid w:val="00EF70F5"/>
    <w:rsid w:val="00F00246"/>
    <w:rsid w:val="00F02032"/>
    <w:rsid w:val="00F02516"/>
    <w:rsid w:val="00F02844"/>
    <w:rsid w:val="00F03FD5"/>
    <w:rsid w:val="00F040E9"/>
    <w:rsid w:val="00F056E2"/>
    <w:rsid w:val="00F060AF"/>
    <w:rsid w:val="00F0651B"/>
    <w:rsid w:val="00F06EA2"/>
    <w:rsid w:val="00F06F20"/>
    <w:rsid w:val="00F071F5"/>
    <w:rsid w:val="00F07D32"/>
    <w:rsid w:val="00F105BD"/>
    <w:rsid w:val="00F10984"/>
    <w:rsid w:val="00F1125D"/>
    <w:rsid w:val="00F11523"/>
    <w:rsid w:val="00F11EFF"/>
    <w:rsid w:val="00F12258"/>
    <w:rsid w:val="00F1274B"/>
    <w:rsid w:val="00F127BD"/>
    <w:rsid w:val="00F13D7F"/>
    <w:rsid w:val="00F1488F"/>
    <w:rsid w:val="00F15555"/>
    <w:rsid w:val="00F20825"/>
    <w:rsid w:val="00F21313"/>
    <w:rsid w:val="00F21637"/>
    <w:rsid w:val="00F217BA"/>
    <w:rsid w:val="00F2265B"/>
    <w:rsid w:val="00F227AB"/>
    <w:rsid w:val="00F23B8D"/>
    <w:rsid w:val="00F23C49"/>
    <w:rsid w:val="00F24657"/>
    <w:rsid w:val="00F24B00"/>
    <w:rsid w:val="00F25787"/>
    <w:rsid w:val="00F25879"/>
    <w:rsid w:val="00F25B0D"/>
    <w:rsid w:val="00F268DF"/>
    <w:rsid w:val="00F26DB6"/>
    <w:rsid w:val="00F27B4F"/>
    <w:rsid w:val="00F27BA2"/>
    <w:rsid w:val="00F30253"/>
    <w:rsid w:val="00F311B7"/>
    <w:rsid w:val="00F314EB"/>
    <w:rsid w:val="00F318F1"/>
    <w:rsid w:val="00F32B06"/>
    <w:rsid w:val="00F34413"/>
    <w:rsid w:val="00F358D7"/>
    <w:rsid w:val="00F35914"/>
    <w:rsid w:val="00F35A5E"/>
    <w:rsid w:val="00F36292"/>
    <w:rsid w:val="00F37429"/>
    <w:rsid w:val="00F37B91"/>
    <w:rsid w:val="00F40AA9"/>
    <w:rsid w:val="00F40B8C"/>
    <w:rsid w:val="00F40F1E"/>
    <w:rsid w:val="00F42DF1"/>
    <w:rsid w:val="00F42F2A"/>
    <w:rsid w:val="00F436C1"/>
    <w:rsid w:val="00F43B2F"/>
    <w:rsid w:val="00F44CF0"/>
    <w:rsid w:val="00F44E91"/>
    <w:rsid w:val="00F455F1"/>
    <w:rsid w:val="00F456EB"/>
    <w:rsid w:val="00F473A5"/>
    <w:rsid w:val="00F47525"/>
    <w:rsid w:val="00F477D6"/>
    <w:rsid w:val="00F5017C"/>
    <w:rsid w:val="00F5157B"/>
    <w:rsid w:val="00F51A56"/>
    <w:rsid w:val="00F521B9"/>
    <w:rsid w:val="00F54812"/>
    <w:rsid w:val="00F55214"/>
    <w:rsid w:val="00F55A99"/>
    <w:rsid w:val="00F55D51"/>
    <w:rsid w:val="00F56F97"/>
    <w:rsid w:val="00F57314"/>
    <w:rsid w:val="00F57A69"/>
    <w:rsid w:val="00F57B02"/>
    <w:rsid w:val="00F61EAC"/>
    <w:rsid w:val="00F62718"/>
    <w:rsid w:val="00F6294B"/>
    <w:rsid w:val="00F62A04"/>
    <w:rsid w:val="00F62ABA"/>
    <w:rsid w:val="00F62C80"/>
    <w:rsid w:val="00F62DFB"/>
    <w:rsid w:val="00F63A39"/>
    <w:rsid w:val="00F64B7C"/>
    <w:rsid w:val="00F665A0"/>
    <w:rsid w:val="00F6754A"/>
    <w:rsid w:val="00F67D51"/>
    <w:rsid w:val="00F702CD"/>
    <w:rsid w:val="00F702DE"/>
    <w:rsid w:val="00F70435"/>
    <w:rsid w:val="00F7227C"/>
    <w:rsid w:val="00F73372"/>
    <w:rsid w:val="00F73A0A"/>
    <w:rsid w:val="00F74325"/>
    <w:rsid w:val="00F74595"/>
    <w:rsid w:val="00F74B02"/>
    <w:rsid w:val="00F75BB5"/>
    <w:rsid w:val="00F7616B"/>
    <w:rsid w:val="00F7638B"/>
    <w:rsid w:val="00F77082"/>
    <w:rsid w:val="00F80A1B"/>
    <w:rsid w:val="00F8161F"/>
    <w:rsid w:val="00F81D5C"/>
    <w:rsid w:val="00F82CC5"/>
    <w:rsid w:val="00F82D62"/>
    <w:rsid w:val="00F830C3"/>
    <w:rsid w:val="00F83201"/>
    <w:rsid w:val="00F83AA6"/>
    <w:rsid w:val="00F8457D"/>
    <w:rsid w:val="00F84995"/>
    <w:rsid w:val="00F85F40"/>
    <w:rsid w:val="00F86DA2"/>
    <w:rsid w:val="00F870F1"/>
    <w:rsid w:val="00F90233"/>
    <w:rsid w:val="00F92DF9"/>
    <w:rsid w:val="00F931DB"/>
    <w:rsid w:val="00F93F59"/>
    <w:rsid w:val="00F947F1"/>
    <w:rsid w:val="00F94FBB"/>
    <w:rsid w:val="00F95681"/>
    <w:rsid w:val="00F96746"/>
    <w:rsid w:val="00FA043B"/>
    <w:rsid w:val="00FA07F7"/>
    <w:rsid w:val="00FA1126"/>
    <w:rsid w:val="00FA187D"/>
    <w:rsid w:val="00FA1FBC"/>
    <w:rsid w:val="00FA2D1B"/>
    <w:rsid w:val="00FA2E2C"/>
    <w:rsid w:val="00FA2F69"/>
    <w:rsid w:val="00FA3320"/>
    <w:rsid w:val="00FA39A4"/>
    <w:rsid w:val="00FA3E16"/>
    <w:rsid w:val="00FA4757"/>
    <w:rsid w:val="00FA4BB3"/>
    <w:rsid w:val="00FA4C4C"/>
    <w:rsid w:val="00FA4C9F"/>
    <w:rsid w:val="00FA5269"/>
    <w:rsid w:val="00FA5375"/>
    <w:rsid w:val="00FA5710"/>
    <w:rsid w:val="00FA59B0"/>
    <w:rsid w:val="00FA5A20"/>
    <w:rsid w:val="00FA5BB3"/>
    <w:rsid w:val="00FA6E73"/>
    <w:rsid w:val="00FA74CB"/>
    <w:rsid w:val="00FB0878"/>
    <w:rsid w:val="00FB098C"/>
    <w:rsid w:val="00FB17C1"/>
    <w:rsid w:val="00FB3B7F"/>
    <w:rsid w:val="00FB3BC7"/>
    <w:rsid w:val="00FB3F97"/>
    <w:rsid w:val="00FB445C"/>
    <w:rsid w:val="00FB4829"/>
    <w:rsid w:val="00FB4D61"/>
    <w:rsid w:val="00FB685C"/>
    <w:rsid w:val="00FB6EE0"/>
    <w:rsid w:val="00FB7732"/>
    <w:rsid w:val="00FC01FD"/>
    <w:rsid w:val="00FC0584"/>
    <w:rsid w:val="00FC13BC"/>
    <w:rsid w:val="00FC3D92"/>
    <w:rsid w:val="00FC58B5"/>
    <w:rsid w:val="00FC58D5"/>
    <w:rsid w:val="00FC7585"/>
    <w:rsid w:val="00FC7A84"/>
    <w:rsid w:val="00FC7BED"/>
    <w:rsid w:val="00FD037B"/>
    <w:rsid w:val="00FD0A08"/>
    <w:rsid w:val="00FD1518"/>
    <w:rsid w:val="00FD35EE"/>
    <w:rsid w:val="00FD3A0C"/>
    <w:rsid w:val="00FD3ABA"/>
    <w:rsid w:val="00FD4877"/>
    <w:rsid w:val="00FD5F53"/>
    <w:rsid w:val="00FD6498"/>
    <w:rsid w:val="00FD6E14"/>
    <w:rsid w:val="00FD6F39"/>
    <w:rsid w:val="00FD7CBF"/>
    <w:rsid w:val="00FE03D6"/>
    <w:rsid w:val="00FE05F4"/>
    <w:rsid w:val="00FE09EE"/>
    <w:rsid w:val="00FE0B45"/>
    <w:rsid w:val="00FE294F"/>
    <w:rsid w:val="00FE36CA"/>
    <w:rsid w:val="00FE3B3E"/>
    <w:rsid w:val="00FE3B88"/>
    <w:rsid w:val="00FE40E9"/>
    <w:rsid w:val="00FE5D71"/>
    <w:rsid w:val="00FE66A8"/>
    <w:rsid w:val="00FE6ABB"/>
    <w:rsid w:val="00FE71BE"/>
    <w:rsid w:val="00FE7D9E"/>
    <w:rsid w:val="00FE7E52"/>
    <w:rsid w:val="00FF06DC"/>
    <w:rsid w:val="00FF136F"/>
    <w:rsid w:val="00FF1816"/>
    <w:rsid w:val="00FF1B30"/>
    <w:rsid w:val="00FF2CBB"/>
    <w:rsid w:val="00FF30AE"/>
    <w:rsid w:val="00FF320D"/>
    <w:rsid w:val="00FF33B6"/>
    <w:rsid w:val="00FF3742"/>
    <w:rsid w:val="00FF4336"/>
    <w:rsid w:val="00FF45F3"/>
    <w:rsid w:val="00FF661B"/>
    <w:rsid w:val="00FF6905"/>
    <w:rsid w:val="00FF6AAA"/>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DD050-9C52-41D4-8596-86C5346F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39F"/>
    <w:rPr>
      <w:lang w:val="ro-RO"/>
    </w:rPr>
  </w:style>
  <w:style w:type="paragraph" w:styleId="1">
    <w:name w:val="heading 1"/>
    <w:basedOn w:val="a"/>
    <w:next w:val="a"/>
    <w:link w:val="10"/>
    <w:uiPriority w:val="9"/>
    <w:qFormat/>
    <w:rsid w:val="00A023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next w:val="a"/>
    <w:link w:val="20"/>
    <w:unhideWhenUsed/>
    <w:qFormat/>
    <w:rsid w:val="00A023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A02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023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39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2 Знак"/>
    <w:basedOn w:val="a0"/>
    <w:link w:val="2"/>
    <w:rsid w:val="00A0239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A0239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0239F"/>
    <w:rPr>
      <w:rFonts w:asciiTheme="majorHAnsi" w:eastAsiaTheme="majorEastAsia" w:hAnsiTheme="majorHAnsi" w:cstheme="majorBidi"/>
      <w:i/>
      <w:iCs/>
      <w:color w:val="2E74B5" w:themeColor="accent1" w:themeShade="BF"/>
    </w:rPr>
  </w:style>
  <w:style w:type="table" w:styleId="a3">
    <w:name w:val="Table Grid"/>
    <w:basedOn w:val="a1"/>
    <w:uiPriority w:val="39"/>
    <w:rsid w:val="00A0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5"/>
    <w:unhideWhenUsed/>
    <w:qFormat/>
    <w:rsid w:val="00A0239F"/>
    <w:pPr>
      <w:spacing w:after="0" w:line="240" w:lineRule="auto"/>
    </w:pPr>
    <w:rPr>
      <w:sz w:val="20"/>
      <w:szCs w:val="20"/>
    </w:rPr>
  </w:style>
  <w:style w:type="character" w:customStyle="1" w:styleId="a5">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4"/>
    <w:rsid w:val="00A0239F"/>
    <w:rPr>
      <w:sz w:val="20"/>
      <w:szCs w:val="20"/>
    </w:rPr>
  </w:style>
  <w:style w:type="character" w:styleId="a6">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nhideWhenUsed/>
    <w:rsid w:val="00A0239F"/>
    <w:rPr>
      <w:vertAlign w:val="superscript"/>
    </w:rPr>
  </w:style>
  <w:style w:type="paragraph" w:customStyle="1" w:styleId="tt">
    <w:name w:val="tt"/>
    <w:basedOn w:val="a"/>
    <w:qFormat/>
    <w:rsid w:val="00A0239F"/>
    <w:pPr>
      <w:spacing w:after="0" w:line="240" w:lineRule="auto"/>
      <w:contextualSpacing/>
      <w:jc w:val="center"/>
    </w:pPr>
    <w:rPr>
      <w:rFonts w:ascii="Times New Roman" w:eastAsia="Times New Roman" w:hAnsi="Times New Roman" w:cs="Times New Roman"/>
      <w:b/>
      <w:bCs/>
      <w:sz w:val="24"/>
      <w:szCs w:val="24"/>
    </w:rPr>
  </w:style>
  <w:style w:type="paragraph" w:customStyle="1" w:styleId="cn">
    <w:name w:val="cn"/>
    <w:basedOn w:val="a"/>
    <w:rsid w:val="00A0239F"/>
    <w:pPr>
      <w:spacing w:after="0" w:line="240" w:lineRule="auto"/>
      <w:jc w:val="center"/>
    </w:pPr>
    <w:rPr>
      <w:rFonts w:ascii="Times New Roman" w:eastAsia="Times New Roman" w:hAnsi="Times New Roman" w:cs="Times New Roman"/>
      <w:sz w:val="24"/>
      <w:szCs w:val="24"/>
      <w:lang w:val="ru-RU" w:eastAsia="ru-RU"/>
    </w:rPr>
  </w:style>
  <w:style w:type="paragraph" w:styleId="a7">
    <w:name w:val="List Paragraph"/>
    <w:aliases w:val="List Paragraph 1,strikethrough"/>
    <w:basedOn w:val="a"/>
    <w:link w:val="a8"/>
    <w:uiPriority w:val="34"/>
    <w:qFormat/>
    <w:rsid w:val="00A0239F"/>
    <w:pPr>
      <w:ind w:left="720"/>
      <w:contextualSpacing/>
    </w:pPr>
  </w:style>
  <w:style w:type="character" w:customStyle="1" w:styleId="a8">
    <w:name w:val="Абзац списка Знак"/>
    <w:aliases w:val="List Paragraph 1 Знак,strikethrough Знак"/>
    <w:link w:val="a7"/>
    <w:uiPriority w:val="34"/>
    <w:locked/>
    <w:rsid w:val="00A0239F"/>
  </w:style>
  <w:style w:type="table" w:customStyle="1" w:styleId="11">
    <w:name w:val="Сетка таблицы1"/>
    <w:basedOn w:val="a1"/>
    <w:next w:val="a3"/>
    <w:uiPriority w:val="59"/>
    <w:rsid w:val="00A0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Знак2,webb,Char1,A Знак Знак"/>
    <w:basedOn w:val="a"/>
    <w:link w:val="aa"/>
    <w:uiPriority w:val="99"/>
    <w:unhideWhenUsed/>
    <w:qFormat/>
    <w:rsid w:val="00A0239F"/>
    <w:rPr>
      <w:rFonts w:ascii="Times New Roman" w:hAnsi="Times New Roman" w:cs="Times New Roman"/>
      <w:sz w:val="24"/>
      <w:szCs w:val="24"/>
    </w:rPr>
  </w:style>
  <w:style w:type="paragraph" w:styleId="12">
    <w:name w:val="toc 1"/>
    <w:basedOn w:val="a"/>
    <w:next w:val="a"/>
    <w:autoRedefine/>
    <w:uiPriority w:val="39"/>
    <w:unhideWhenUsed/>
    <w:rsid w:val="00055D54"/>
    <w:pPr>
      <w:tabs>
        <w:tab w:val="left" w:pos="450"/>
        <w:tab w:val="right" w:leader="dot" w:pos="9450"/>
      </w:tabs>
      <w:spacing w:before="120" w:after="0" w:line="240" w:lineRule="auto"/>
      <w:ind w:left="-90" w:right="-96"/>
      <w:jc w:val="both"/>
    </w:pPr>
    <w:rPr>
      <w:rFonts w:ascii="Times New Roman" w:eastAsia="Times New Roman" w:hAnsi="Times New Roman" w:cs="Times New Roman"/>
      <w:b/>
      <w:noProof/>
      <w:sz w:val="28"/>
      <w:szCs w:val="28"/>
      <w:lang w:val="ro-MD" w:eastAsia="ru-RU"/>
    </w:rPr>
  </w:style>
  <w:style w:type="paragraph" w:styleId="21">
    <w:name w:val="toc 2"/>
    <w:basedOn w:val="a"/>
    <w:next w:val="a"/>
    <w:autoRedefine/>
    <w:uiPriority w:val="39"/>
    <w:unhideWhenUsed/>
    <w:rsid w:val="0086782C"/>
    <w:pPr>
      <w:tabs>
        <w:tab w:val="right" w:leader="dot" w:pos="9450"/>
        <w:tab w:val="right" w:leader="dot" w:pos="9679"/>
      </w:tabs>
      <w:spacing w:after="120" w:line="240" w:lineRule="auto"/>
      <w:ind w:left="-86" w:right="19"/>
      <w:jc w:val="both"/>
    </w:pPr>
    <w:rPr>
      <w:rFonts w:ascii="Times New Roman" w:eastAsia="Times New Roman" w:hAnsi="Times New Roman" w:cs="Times New Roman"/>
      <w:b/>
      <w:i/>
      <w:noProof/>
      <w:sz w:val="28"/>
      <w:szCs w:val="28"/>
    </w:rPr>
  </w:style>
  <w:style w:type="character" w:styleId="ab">
    <w:name w:val="Hyperlink"/>
    <w:basedOn w:val="a0"/>
    <w:uiPriority w:val="99"/>
    <w:unhideWhenUsed/>
    <w:rsid w:val="00A0239F"/>
    <w:rPr>
      <w:color w:val="0563C1" w:themeColor="hyperlink"/>
      <w:u w:val="single"/>
    </w:rPr>
  </w:style>
  <w:style w:type="paragraph" w:styleId="ac">
    <w:name w:val="header"/>
    <w:basedOn w:val="a"/>
    <w:link w:val="ad"/>
    <w:unhideWhenUsed/>
    <w:rsid w:val="00A0239F"/>
    <w:pPr>
      <w:tabs>
        <w:tab w:val="center" w:pos="4680"/>
        <w:tab w:val="right" w:pos="9360"/>
      </w:tabs>
      <w:spacing w:after="0" w:line="240" w:lineRule="auto"/>
    </w:pPr>
  </w:style>
  <w:style w:type="character" w:customStyle="1" w:styleId="ad">
    <w:name w:val="Верхний колонтитул Знак"/>
    <w:basedOn w:val="a0"/>
    <w:link w:val="ac"/>
    <w:rsid w:val="00A0239F"/>
  </w:style>
  <w:style w:type="paragraph" w:styleId="ae">
    <w:name w:val="footer"/>
    <w:basedOn w:val="a"/>
    <w:link w:val="af"/>
    <w:uiPriority w:val="99"/>
    <w:unhideWhenUsed/>
    <w:rsid w:val="00A0239F"/>
    <w:pPr>
      <w:tabs>
        <w:tab w:val="center" w:pos="4680"/>
        <w:tab w:val="right" w:pos="9360"/>
      </w:tabs>
      <w:spacing w:after="0" w:line="240" w:lineRule="auto"/>
    </w:pPr>
  </w:style>
  <w:style w:type="character" w:customStyle="1" w:styleId="af">
    <w:name w:val="Нижний колонтитул Знак"/>
    <w:basedOn w:val="a0"/>
    <w:link w:val="ae"/>
    <w:uiPriority w:val="99"/>
    <w:rsid w:val="00A0239F"/>
  </w:style>
  <w:style w:type="character" w:customStyle="1" w:styleId="af0">
    <w:name w:val="Текст выноски Знак"/>
    <w:basedOn w:val="a0"/>
    <w:link w:val="af1"/>
    <w:uiPriority w:val="99"/>
    <w:semiHidden/>
    <w:rsid w:val="00A0239F"/>
    <w:rPr>
      <w:rFonts w:ascii="Segoe UI" w:hAnsi="Segoe UI" w:cs="Segoe UI"/>
      <w:sz w:val="18"/>
      <w:szCs w:val="18"/>
    </w:rPr>
  </w:style>
  <w:style w:type="paragraph" w:styleId="af1">
    <w:name w:val="Balloon Text"/>
    <w:basedOn w:val="a"/>
    <w:link w:val="af0"/>
    <w:uiPriority w:val="99"/>
    <w:semiHidden/>
    <w:unhideWhenUsed/>
    <w:rsid w:val="00A0239F"/>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A0239F"/>
    <w:rPr>
      <w:rFonts w:ascii="Segoe UI" w:hAnsi="Segoe UI" w:cs="Segoe UI"/>
      <w:sz w:val="18"/>
      <w:szCs w:val="18"/>
    </w:rPr>
  </w:style>
  <w:style w:type="character" w:customStyle="1" w:styleId="apple-converted-space">
    <w:name w:val="apple-converted-space"/>
    <w:basedOn w:val="a0"/>
    <w:rsid w:val="00A0239F"/>
  </w:style>
  <w:style w:type="character" w:customStyle="1" w:styleId="af2">
    <w:name w:val="Текст примечания Знак"/>
    <w:basedOn w:val="a0"/>
    <w:link w:val="af3"/>
    <w:uiPriority w:val="99"/>
    <w:semiHidden/>
    <w:rsid w:val="00A0239F"/>
    <w:rPr>
      <w:sz w:val="20"/>
      <w:szCs w:val="20"/>
    </w:rPr>
  </w:style>
  <w:style w:type="paragraph" w:styleId="af3">
    <w:name w:val="annotation text"/>
    <w:basedOn w:val="a"/>
    <w:link w:val="af2"/>
    <w:uiPriority w:val="99"/>
    <w:semiHidden/>
    <w:unhideWhenUsed/>
    <w:rsid w:val="00A0239F"/>
    <w:pPr>
      <w:spacing w:line="240" w:lineRule="auto"/>
    </w:pPr>
    <w:rPr>
      <w:sz w:val="20"/>
      <w:szCs w:val="20"/>
    </w:rPr>
  </w:style>
  <w:style w:type="character" w:customStyle="1" w:styleId="CommentTextChar1">
    <w:name w:val="Comment Text Char1"/>
    <w:basedOn w:val="a0"/>
    <w:uiPriority w:val="99"/>
    <w:semiHidden/>
    <w:rsid w:val="00A0239F"/>
    <w:rPr>
      <w:sz w:val="20"/>
      <w:szCs w:val="20"/>
    </w:rPr>
  </w:style>
  <w:style w:type="character" w:customStyle="1" w:styleId="af4">
    <w:name w:val="Тема примечания Знак"/>
    <w:basedOn w:val="af2"/>
    <w:link w:val="af5"/>
    <w:uiPriority w:val="99"/>
    <w:semiHidden/>
    <w:rsid w:val="00A0239F"/>
    <w:rPr>
      <w:b/>
      <w:bCs/>
      <w:sz w:val="20"/>
      <w:szCs w:val="20"/>
    </w:rPr>
  </w:style>
  <w:style w:type="paragraph" w:styleId="af5">
    <w:name w:val="annotation subject"/>
    <w:basedOn w:val="af3"/>
    <w:next w:val="af3"/>
    <w:link w:val="af4"/>
    <w:uiPriority w:val="99"/>
    <w:semiHidden/>
    <w:unhideWhenUsed/>
    <w:rsid w:val="00A0239F"/>
    <w:rPr>
      <w:b/>
      <w:bCs/>
    </w:rPr>
  </w:style>
  <w:style w:type="character" w:customStyle="1" w:styleId="CommentSubjectChar1">
    <w:name w:val="Comment Subject Char1"/>
    <w:basedOn w:val="CommentTextChar1"/>
    <w:uiPriority w:val="99"/>
    <w:semiHidden/>
    <w:rsid w:val="00A0239F"/>
    <w:rPr>
      <w:b/>
      <w:bCs/>
      <w:sz w:val="20"/>
      <w:szCs w:val="20"/>
    </w:rPr>
  </w:style>
  <w:style w:type="paragraph" w:styleId="af6">
    <w:name w:val="No Spacing"/>
    <w:link w:val="af7"/>
    <w:uiPriority w:val="1"/>
    <w:qFormat/>
    <w:rsid w:val="00A0239F"/>
    <w:pPr>
      <w:spacing w:after="0" w:line="240" w:lineRule="auto"/>
    </w:pPr>
  </w:style>
  <w:style w:type="paragraph" w:customStyle="1" w:styleId="Style6">
    <w:name w:val="Style6"/>
    <w:basedOn w:val="a"/>
    <w:uiPriority w:val="99"/>
    <w:rsid w:val="00A0239F"/>
    <w:pPr>
      <w:widowControl w:val="0"/>
      <w:autoSpaceDE w:val="0"/>
      <w:autoSpaceDN w:val="0"/>
      <w:adjustRightInd w:val="0"/>
      <w:spacing w:after="0" w:line="324" w:lineRule="exact"/>
      <w:ind w:firstLine="662"/>
      <w:jc w:val="both"/>
    </w:pPr>
    <w:rPr>
      <w:rFonts w:ascii="Times New Roman" w:eastAsiaTheme="minorEastAsia" w:hAnsi="Times New Roman" w:cs="Times New Roman"/>
      <w:sz w:val="24"/>
      <w:szCs w:val="24"/>
    </w:rPr>
  </w:style>
  <w:style w:type="character" w:customStyle="1" w:styleId="FontStyle17">
    <w:name w:val="Font Style17"/>
    <w:basedOn w:val="a0"/>
    <w:uiPriority w:val="99"/>
    <w:rsid w:val="00A0239F"/>
    <w:rPr>
      <w:rFonts w:ascii="Times New Roman" w:hAnsi="Times New Roman" w:cs="Times New Roman" w:hint="default"/>
      <w:color w:val="000000"/>
      <w:sz w:val="26"/>
      <w:szCs w:val="26"/>
    </w:rPr>
  </w:style>
  <w:style w:type="paragraph" w:styleId="31">
    <w:name w:val="toc 3"/>
    <w:basedOn w:val="a"/>
    <w:next w:val="a"/>
    <w:autoRedefine/>
    <w:uiPriority w:val="39"/>
    <w:unhideWhenUsed/>
    <w:rsid w:val="0086782C"/>
    <w:pPr>
      <w:tabs>
        <w:tab w:val="right" w:leader="dot" w:pos="9450"/>
        <w:tab w:val="right" w:leader="dot" w:pos="9679"/>
      </w:tabs>
      <w:spacing w:after="120" w:line="240" w:lineRule="auto"/>
      <w:ind w:left="-90" w:right="19"/>
      <w:jc w:val="both"/>
    </w:pPr>
    <w:rPr>
      <w:rFonts w:ascii="Times New Roman" w:eastAsia="Times New Roman" w:hAnsi="Times New Roman" w:cs="Times New Roman"/>
      <w:b/>
      <w:i/>
      <w:noProof/>
      <w:sz w:val="28"/>
      <w:szCs w:val="28"/>
      <w:shd w:val="clear" w:color="auto" w:fill="FFFFFF"/>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rsid w:val="00840311"/>
    <w:pPr>
      <w:spacing w:line="240" w:lineRule="exact"/>
    </w:pPr>
    <w:rPr>
      <w:vertAlign w:val="superscript"/>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Знак2 Знак"/>
    <w:link w:val="a9"/>
    <w:uiPriority w:val="99"/>
    <w:rsid w:val="00840311"/>
    <w:rPr>
      <w:rFonts w:ascii="Times New Roman" w:hAnsi="Times New Roman" w:cs="Times New Roman"/>
      <w:sz w:val="24"/>
      <w:szCs w:val="24"/>
    </w:rPr>
  </w:style>
  <w:style w:type="character" w:customStyle="1" w:styleId="af8">
    <w:name w:val="Сноска_"/>
    <w:basedOn w:val="a0"/>
    <w:rsid w:val="001A37C2"/>
    <w:rPr>
      <w:rFonts w:ascii="Times New Roman" w:eastAsia="Times New Roman" w:hAnsi="Times New Roman" w:cs="Times New Roman"/>
      <w:b w:val="0"/>
      <w:bCs w:val="0"/>
      <w:i w:val="0"/>
      <w:iCs w:val="0"/>
      <w:smallCaps w:val="0"/>
      <w:strike w:val="0"/>
      <w:sz w:val="19"/>
      <w:szCs w:val="19"/>
      <w:u w:val="none"/>
    </w:rPr>
  </w:style>
  <w:style w:type="paragraph" w:styleId="af9">
    <w:name w:val="Body Text Indent"/>
    <w:basedOn w:val="a"/>
    <w:link w:val="afa"/>
    <w:uiPriority w:val="99"/>
    <w:semiHidden/>
    <w:unhideWhenUsed/>
    <w:rsid w:val="00780C9A"/>
    <w:pPr>
      <w:spacing w:after="120"/>
      <w:ind w:left="360"/>
    </w:pPr>
  </w:style>
  <w:style w:type="character" w:customStyle="1" w:styleId="afa">
    <w:name w:val="Основной текст с отступом Знак"/>
    <w:basedOn w:val="a0"/>
    <w:link w:val="af9"/>
    <w:uiPriority w:val="99"/>
    <w:semiHidden/>
    <w:rsid w:val="00780C9A"/>
  </w:style>
  <w:style w:type="character" w:styleId="afb">
    <w:name w:val="page number"/>
    <w:basedOn w:val="a0"/>
    <w:rsid w:val="00632A50"/>
    <w:rPr>
      <w:rFonts w:ascii="Arial" w:hAnsi="Arial" w:cs="Times New Roman"/>
      <w:sz w:val="16"/>
    </w:rPr>
  </w:style>
  <w:style w:type="paragraph" w:styleId="afc">
    <w:name w:val="caption"/>
    <w:basedOn w:val="a"/>
    <w:next w:val="a"/>
    <w:qFormat/>
    <w:rsid w:val="00632A50"/>
    <w:pPr>
      <w:keepNext/>
      <w:tabs>
        <w:tab w:val="right" w:pos="-284"/>
      </w:tabs>
      <w:spacing w:after="140" w:line="280" w:lineRule="atLeast"/>
      <w:ind w:hanging="2268"/>
    </w:pPr>
    <w:rPr>
      <w:rFonts w:ascii="Arial" w:eastAsia="Times New Roman" w:hAnsi="Arial" w:cs="Times New Roman"/>
      <w:bCs/>
      <w:color w:val="0A55A3"/>
      <w:sz w:val="16"/>
      <w:szCs w:val="20"/>
      <w:lang w:val="en-GB" w:eastAsia="ru-RU"/>
    </w:rPr>
  </w:style>
  <w:style w:type="paragraph" w:customStyle="1" w:styleId="TableText">
    <w:name w:val="Table Text"/>
    <w:basedOn w:val="a"/>
    <w:link w:val="TableTextChar"/>
    <w:rsid w:val="00632A50"/>
    <w:pPr>
      <w:spacing w:after="0" w:line="280" w:lineRule="atLeast"/>
    </w:pPr>
    <w:rPr>
      <w:rFonts w:ascii="Arial" w:eastAsia="Times New Roman" w:hAnsi="Arial" w:cs="Times New Roman"/>
      <w:sz w:val="16"/>
      <w:szCs w:val="24"/>
      <w:lang w:val="en-GB" w:eastAsia="ru-RU"/>
    </w:rPr>
  </w:style>
  <w:style w:type="character" w:customStyle="1" w:styleId="TableTextChar">
    <w:name w:val="Table Text Char"/>
    <w:basedOn w:val="a0"/>
    <w:link w:val="TableText"/>
    <w:locked/>
    <w:rsid w:val="00632A50"/>
    <w:rPr>
      <w:rFonts w:ascii="Arial" w:eastAsia="Times New Roman" w:hAnsi="Arial" w:cs="Times New Roman"/>
      <w:sz w:val="16"/>
      <w:szCs w:val="24"/>
      <w:lang w:val="en-GB" w:eastAsia="ru-RU"/>
    </w:rPr>
  </w:style>
  <w:style w:type="paragraph" w:customStyle="1" w:styleId="cb">
    <w:name w:val="cb"/>
    <w:basedOn w:val="a"/>
    <w:rsid w:val="00632A5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632A50"/>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lf">
    <w:name w:val="lf"/>
    <w:basedOn w:val="a"/>
    <w:rsid w:val="00A555F8"/>
    <w:pPr>
      <w:spacing w:after="0" w:line="240" w:lineRule="auto"/>
    </w:pPr>
    <w:rPr>
      <w:rFonts w:ascii="Times New Roman" w:eastAsia="Times New Roman" w:hAnsi="Times New Roman" w:cs="Times New Roman"/>
      <w:sz w:val="24"/>
      <w:szCs w:val="24"/>
      <w:lang w:val="ru-RU" w:eastAsia="ru-RU"/>
    </w:rPr>
  </w:style>
  <w:style w:type="character" w:styleId="afd">
    <w:name w:val="Strong"/>
    <w:basedOn w:val="a0"/>
    <w:uiPriority w:val="22"/>
    <w:qFormat/>
    <w:rsid w:val="00670345"/>
    <w:rPr>
      <w:b/>
      <w:bCs/>
    </w:rPr>
  </w:style>
  <w:style w:type="character" w:customStyle="1" w:styleId="docheader">
    <w:name w:val="doc_header"/>
    <w:basedOn w:val="a0"/>
    <w:rsid w:val="00670345"/>
  </w:style>
  <w:style w:type="table" w:customStyle="1" w:styleId="TableGrid1">
    <w:name w:val="Table Grid1"/>
    <w:basedOn w:val="a1"/>
    <w:next w:val="a3"/>
    <w:uiPriority w:val="39"/>
    <w:rsid w:val="00F2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
    <w:uiPriority w:val="39"/>
    <w:unhideWhenUsed/>
    <w:qFormat/>
    <w:rsid w:val="00DC0D05"/>
    <w:pPr>
      <w:outlineLvl w:val="9"/>
    </w:pPr>
  </w:style>
  <w:style w:type="character" w:customStyle="1" w:styleId="8">
    <w:name w:val="Основной текст (8)_"/>
    <w:basedOn w:val="a0"/>
    <w:link w:val="80"/>
    <w:rsid w:val="00123CB3"/>
    <w:rPr>
      <w:rFonts w:ascii="Times New Roman" w:eastAsia="Times New Roman" w:hAnsi="Times New Roman" w:cs="Times New Roman"/>
      <w:b/>
      <w:bCs/>
      <w:sz w:val="24"/>
      <w:szCs w:val="24"/>
      <w:shd w:val="clear" w:color="auto" w:fill="FFFFFF"/>
    </w:rPr>
  </w:style>
  <w:style w:type="paragraph" w:customStyle="1" w:styleId="80">
    <w:name w:val="Основной текст (8)"/>
    <w:basedOn w:val="a"/>
    <w:link w:val="8"/>
    <w:rsid w:val="00123CB3"/>
    <w:pPr>
      <w:widowControl w:val="0"/>
      <w:shd w:val="clear" w:color="auto" w:fill="FFFFFF"/>
      <w:spacing w:after="1720" w:line="317" w:lineRule="exact"/>
    </w:pPr>
    <w:rPr>
      <w:rFonts w:ascii="Times New Roman" w:eastAsia="Times New Roman" w:hAnsi="Times New Roman" w:cs="Times New Roman"/>
      <w:b/>
      <w:bCs/>
      <w:sz w:val="24"/>
      <w:szCs w:val="24"/>
    </w:rPr>
  </w:style>
  <w:style w:type="paragraph" w:customStyle="1" w:styleId="Default">
    <w:name w:val="Default"/>
    <w:rsid w:val="00AF6B1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11">
    <w:name w:val="Grid Table 1 Light - Accent 11"/>
    <w:basedOn w:val="a1"/>
    <w:next w:val="a1"/>
    <w:uiPriority w:val="46"/>
    <w:rsid w:val="00AF6B1F"/>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styleId="-1">
    <w:name w:val="Grid Table 1 Light"/>
    <w:basedOn w:val="a1"/>
    <w:uiPriority w:val="46"/>
    <w:rsid w:val="003866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cblue">
    <w:name w:val="doc_blue"/>
    <w:basedOn w:val="a0"/>
    <w:rsid w:val="001949B6"/>
  </w:style>
  <w:style w:type="character" w:customStyle="1" w:styleId="af7">
    <w:name w:val="Без интервала Знак"/>
    <w:basedOn w:val="a0"/>
    <w:link w:val="af6"/>
    <w:uiPriority w:val="1"/>
    <w:rsid w:val="00F455F1"/>
  </w:style>
  <w:style w:type="character" w:customStyle="1" w:styleId="81">
    <w:name w:val="Основной текст (8) + Не полужирный"/>
    <w:aliases w:val="Курсив,Сноска (2) + Times New Roman,9,5 pt,Колонтитул + Trebuchet MS,10,Не полужирный,Колонтитул + Impact,Основной текст (6) + Полужирный,Колонтитул + 12 pt,Основной текст (8) + Полужирный"/>
    <w:basedOn w:val="a0"/>
    <w:rsid w:val="008C1007"/>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styleId="aff">
    <w:name w:val="Emphasis"/>
    <w:basedOn w:val="a0"/>
    <w:uiPriority w:val="20"/>
    <w:qFormat/>
    <w:rsid w:val="00006999"/>
    <w:rPr>
      <w:i/>
      <w:iCs/>
    </w:rPr>
  </w:style>
  <w:style w:type="table" w:customStyle="1" w:styleId="TableGrid2">
    <w:name w:val="Table Grid2"/>
    <w:basedOn w:val="a1"/>
    <w:next w:val="a3"/>
    <w:uiPriority w:val="39"/>
    <w:rsid w:val="0007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2328">
      <w:bodyDiv w:val="1"/>
      <w:marLeft w:val="0"/>
      <w:marRight w:val="0"/>
      <w:marTop w:val="0"/>
      <w:marBottom w:val="0"/>
      <w:divBdr>
        <w:top w:val="none" w:sz="0" w:space="0" w:color="auto"/>
        <w:left w:val="none" w:sz="0" w:space="0" w:color="auto"/>
        <w:bottom w:val="none" w:sz="0" w:space="0" w:color="auto"/>
        <w:right w:val="none" w:sz="0" w:space="0" w:color="auto"/>
      </w:divBdr>
    </w:div>
    <w:div w:id="40982612">
      <w:bodyDiv w:val="1"/>
      <w:marLeft w:val="0"/>
      <w:marRight w:val="0"/>
      <w:marTop w:val="0"/>
      <w:marBottom w:val="0"/>
      <w:divBdr>
        <w:top w:val="none" w:sz="0" w:space="0" w:color="auto"/>
        <w:left w:val="none" w:sz="0" w:space="0" w:color="auto"/>
        <w:bottom w:val="none" w:sz="0" w:space="0" w:color="auto"/>
        <w:right w:val="none" w:sz="0" w:space="0" w:color="auto"/>
      </w:divBdr>
    </w:div>
    <w:div w:id="72044711">
      <w:bodyDiv w:val="1"/>
      <w:marLeft w:val="0"/>
      <w:marRight w:val="0"/>
      <w:marTop w:val="0"/>
      <w:marBottom w:val="0"/>
      <w:divBdr>
        <w:top w:val="none" w:sz="0" w:space="0" w:color="auto"/>
        <w:left w:val="none" w:sz="0" w:space="0" w:color="auto"/>
        <w:bottom w:val="none" w:sz="0" w:space="0" w:color="auto"/>
        <w:right w:val="none" w:sz="0" w:space="0" w:color="auto"/>
      </w:divBdr>
    </w:div>
    <w:div w:id="128595522">
      <w:bodyDiv w:val="1"/>
      <w:marLeft w:val="0"/>
      <w:marRight w:val="0"/>
      <w:marTop w:val="0"/>
      <w:marBottom w:val="0"/>
      <w:divBdr>
        <w:top w:val="none" w:sz="0" w:space="0" w:color="auto"/>
        <w:left w:val="none" w:sz="0" w:space="0" w:color="auto"/>
        <w:bottom w:val="none" w:sz="0" w:space="0" w:color="auto"/>
        <w:right w:val="none" w:sz="0" w:space="0" w:color="auto"/>
      </w:divBdr>
    </w:div>
    <w:div w:id="198711903">
      <w:bodyDiv w:val="1"/>
      <w:marLeft w:val="0"/>
      <w:marRight w:val="0"/>
      <w:marTop w:val="0"/>
      <w:marBottom w:val="0"/>
      <w:divBdr>
        <w:top w:val="none" w:sz="0" w:space="0" w:color="auto"/>
        <w:left w:val="none" w:sz="0" w:space="0" w:color="auto"/>
        <w:bottom w:val="none" w:sz="0" w:space="0" w:color="auto"/>
        <w:right w:val="none" w:sz="0" w:space="0" w:color="auto"/>
      </w:divBdr>
    </w:div>
    <w:div w:id="318118546">
      <w:bodyDiv w:val="1"/>
      <w:marLeft w:val="0"/>
      <w:marRight w:val="0"/>
      <w:marTop w:val="0"/>
      <w:marBottom w:val="0"/>
      <w:divBdr>
        <w:top w:val="none" w:sz="0" w:space="0" w:color="auto"/>
        <w:left w:val="none" w:sz="0" w:space="0" w:color="auto"/>
        <w:bottom w:val="none" w:sz="0" w:space="0" w:color="auto"/>
        <w:right w:val="none" w:sz="0" w:space="0" w:color="auto"/>
      </w:divBdr>
    </w:div>
    <w:div w:id="333803779">
      <w:bodyDiv w:val="1"/>
      <w:marLeft w:val="0"/>
      <w:marRight w:val="0"/>
      <w:marTop w:val="0"/>
      <w:marBottom w:val="0"/>
      <w:divBdr>
        <w:top w:val="none" w:sz="0" w:space="0" w:color="auto"/>
        <w:left w:val="none" w:sz="0" w:space="0" w:color="auto"/>
        <w:bottom w:val="none" w:sz="0" w:space="0" w:color="auto"/>
        <w:right w:val="none" w:sz="0" w:space="0" w:color="auto"/>
      </w:divBdr>
    </w:div>
    <w:div w:id="409039852">
      <w:bodyDiv w:val="1"/>
      <w:marLeft w:val="0"/>
      <w:marRight w:val="0"/>
      <w:marTop w:val="0"/>
      <w:marBottom w:val="0"/>
      <w:divBdr>
        <w:top w:val="none" w:sz="0" w:space="0" w:color="auto"/>
        <w:left w:val="none" w:sz="0" w:space="0" w:color="auto"/>
        <w:bottom w:val="none" w:sz="0" w:space="0" w:color="auto"/>
        <w:right w:val="none" w:sz="0" w:space="0" w:color="auto"/>
      </w:divBdr>
    </w:div>
    <w:div w:id="418794155">
      <w:bodyDiv w:val="1"/>
      <w:marLeft w:val="0"/>
      <w:marRight w:val="0"/>
      <w:marTop w:val="0"/>
      <w:marBottom w:val="0"/>
      <w:divBdr>
        <w:top w:val="none" w:sz="0" w:space="0" w:color="auto"/>
        <w:left w:val="none" w:sz="0" w:space="0" w:color="auto"/>
        <w:bottom w:val="none" w:sz="0" w:space="0" w:color="auto"/>
        <w:right w:val="none" w:sz="0" w:space="0" w:color="auto"/>
      </w:divBdr>
    </w:div>
    <w:div w:id="436143335">
      <w:bodyDiv w:val="1"/>
      <w:marLeft w:val="0"/>
      <w:marRight w:val="0"/>
      <w:marTop w:val="0"/>
      <w:marBottom w:val="0"/>
      <w:divBdr>
        <w:top w:val="none" w:sz="0" w:space="0" w:color="auto"/>
        <w:left w:val="none" w:sz="0" w:space="0" w:color="auto"/>
        <w:bottom w:val="none" w:sz="0" w:space="0" w:color="auto"/>
        <w:right w:val="none" w:sz="0" w:space="0" w:color="auto"/>
      </w:divBdr>
    </w:div>
    <w:div w:id="467168199">
      <w:bodyDiv w:val="1"/>
      <w:marLeft w:val="0"/>
      <w:marRight w:val="0"/>
      <w:marTop w:val="0"/>
      <w:marBottom w:val="0"/>
      <w:divBdr>
        <w:top w:val="none" w:sz="0" w:space="0" w:color="auto"/>
        <w:left w:val="none" w:sz="0" w:space="0" w:color="auto"/>
        <w:bottom w:val="none" w:sz="0" w:space="0" w:color="auto"/>
        <w:right w:val="none" w:sz="0" w:space="0" w:color="auto"/>
      </w:divBdr>
    </w:div>
    <w:div w:id="507062595">
      <w:bodyDiv w:val="1"/>
      <w:marLeft w:val="0"/>
      <w:marRight w:val="0"/>
      <w:marTop w:val="0"/>
      <w:marBottom w:val="0"/>
      <w:divBdr>
        <w:top w:val="none" w:sz="0" w:space="0" w:color="auto"/>
        <w:left w:val="none" w:sz="0" w:space="0" w:color="auto"/>
        <w:bottom w:val="none" w:sz="0" w:space="0" w:color="auto"/>
        <w:right w:val="none" w:sz="0" w:space="0" w:color="auto"/>
      </w:divBdr>
    </w:div>
    <w:div w:id="551769504">
      <w:bodyDiv w:val="1"/>
      <w:marLeft w:val="0"/>
      <w:marRight w:val="0"/>
      <w:marTop w:val="0"/>
      <w:marBottom w:val="0"/>
      <w:divBdr>
        <w:top w:val="none" w:sz="0" w:space="0" w:color="auto"/>
        <w:left w:val="none" w:sz="0" w:space="0" w:color="auto"/>
        <w:bottom w:val="none" w:sz="0" w:space="0" w:color="auto"/>
        <w:right w:val="none" w:sz="0" w:space="0" w:color="auto"/>
      </w:divBdr>
    </w:div>
    <w:div w:id="603654772">
      <w:bodyDiv w:val="1"/>
      <w:marLeft w:val="0"/>
      <w:marRight w:val="0"/>
      <w:marTop w:val="0"/>
      <w:marBottom w:val="0"/>
      <w:divBdr>
        <w:top w:val="none" w:sz="0" w:space="0" w:color="auto"/>
        <w:left w:val="none" w:sz="0" w:space="0" w:color="auto"/>
        <w:bottom w:val="none" w:sz="0" w:space="0" w:color="auto"/>
        <w:right w:val="none" w:sz="0" w:space="0" w:color="auto"/>
      </w:divBdr>
    </w:div>
    <w:div w:id="645281560">
      <w:bodyDiv w:val="1"/>
      <w:marLeft w:val="0"/>
      <w:marRight w:val="0"/>
      <w:marTop w:val="0"/>
      <w:marBottom w:val="0"/>
      <w:divBdr>
        <w:top w:val="none" w:sz="0" w:space="0" w:color="auto"/>
        <w:left w:val="none" w:sz="0" w:space="0" w:color="auto"/>
        <w:bottom w:val="none" w:sz="0" w:space="0" w:color="auto"/>
        <w:right w:val="none" w:sz="0" w:space="0" w:color="auto"/>
      </w:divBdr>
    </w:div>
    <w:div w:id="669451971">
      <w:bodyDiv w:val="1"/>
      <w:marLeft w:val="0"/>
      <w:marRight w:val="0"/>
      <w:marTop w:val="0"/>
      <w:marBottom w:val="0"/>
      <w:divBdr>
        <w:top w:val="none" w:sz="0" w:space="0" w:color="auto"/>
        <w:left w:val="none" w:sz="0" w:space="0" w:color="auto"/>
        <w:bottom w:val="none" w:sz="0" w:space="0" w:color="auto"/>
        <w:right w:val="none" w:sz="0" w:space="0" w:color="auto"/>
      </w:divBdr>
    </w:div>
    <w:div w:id="684330877">
      <w:bodyDiv w:val="1"/>
      <w:marLeft w:val="0"/>
      <w:marRight w:val="0"/>
      <w:marTop w:val="0"/>
      <w:marBottom w:val="0"/>
      <w:divBdr>
        <w:top w:val="none" w:sz="0" w:space="0" w:color="auto"/>
        <w:left w:val="none" w:sz="0" w:space="0" w:color="auto"/>
        <w:bottom w:val="none" w:sz="0" w:space="0" w:color="auto"/>
        <w:right w:val="none" w:sz="0" w:space="0" w:color="auto"/>
      </w:divBdr>
    </w:div>
    <w:div w:id="822166056">
      <w:bodyDiv w:val="1"/>
      <w:marLeft w:val="0"/>
      <w:marRight w:val="0"/>
      <w:marTop w:val="0"/>
      <w:marBottom w:val="0"/>
      <w:divBdr>
        <w:top w:val="none" w:sz="0" w:space="0" w:color="auto"/>
        <w:left w:val="none" w:sz="0" w:space="0" w:color="auto"/>
        <w:bottom w:val="none" w:sz="0" w:space="0" w:color="auto"/>
        <w:right w:val="none" w:sz="0" w:space="0" w:color="auto"/>
      </w:divBdr>
    </w:div>
    <w:div w:id="892037240">
      <w:bodyDiv w:val="1"/>
      <w:marLeft w:val="0"/>
      <w:marRight w:val="0"/>
      <w:marTop w:val="0"/>
      <w:marBottom w:val="0"/>
      <w:divBdr>
        <w:top w:val="none" w:sz="0" w:space="0" w:color="auto"/>
        <w:left w:val="none" w:sz="0" w:space="0" w:color="auto"/>
        <w:bottom w:val="none" w:sz="0" w:space="0" w:color="auto"/>
        <w:right w:val="none" w:sz="0" w:space="0" w:color="auto"/>
      </w:divBdr>
    </w:div>
    <w:div w:id="956252344">
      <w:bodyDiv w:val="1"/>
      <w:marLeft w:val="0"/>
      <w:marRight w:val="0"/>
      <w:marTop w:val="0"/>
      <w:marBottom w:val="0"/>
      <w:divBdr>
        <w:top w:val="none" w:sz="0" w:space="0" w:color="auto"/>
        <w:left w:val="none" w:sz="0" w:space="0" w:color="auto"/>
        <w:bottom w:val="none" w:sz="0" w:space="0" w:color="auto"/>
        <w:right w:val="none" w:sz="0" w:space="0" w:color="auto"/>
      </w:divBdr>
    </w:div>
    <w:div w:id="1024133594">
      <w:bodyDiv w:val="1"/>
      <w:marLeft w:val="0"/>
      <w:marRight w:val="0"/>
      <w:marTop w:val="0"/>
      <w:marBottom w:val="0"/>
      <w:divBdr>
        <w:top w:val="none" w:sz="0" w:space="0" w:color="auto"/>
        <w:left w:val="none" w:sz="0" w:space="0" w:color="auto"/>
        <w:bottom w:val="none" w:sz="0" w:space="0" w:color="auto"/>
        <w:right w:val="none" w:sz="0" w:space="0" w:color="auto"/>
      </w:divBdr>
    </w:div>
    <w:div w:id="1204976200">
      <w:bodyDiv w:val="1"/>
      <w:marLeft w:val="0"/>
      <w:marRight w:val="0"/>
      <w:marTop w:val="0"/>
      <w:marBottom w:val="0"/>
      <w:divBdr>
        <w:top w:val="none" w:sz="0" w:space="0" w:color="auto"/>
        <w:left w:val="none" w:sz="0" w:space="0" w:color="auto"/>
        <w:bottom w:val="none" w:sz="0" w:space="0" w:color="auto"/>
        <w:right w:val="none" w:sz="0" w:space="0" w:color="auto"/>
      </w:divBdr>
    </w:div>
    <w:div w:id="1210604595">
      <w:bodyDiv w:val="1"/>
      <w:marLeft w:val="0"/>
      <w:marRight w:val="0"/>
      <w:marTop w:val="0"/>
      <w:marBottom w:val="0"/>
      <w:divBdr>
        <w:top w:val="none" w:sz="0" w:space="0" w:color="auto"/>
        <w:left w:val="none" w:sz="0" w:space="0" w:color="auto"/>
        <w:bottom w:val="none" w:sz="0" w:space="0" w:color="auto"/>
        <w:right w:val="none" w:sz="0" w:space="0" w:color="auto"/>
      </w:divBdr>
    </w:div>
    <w:div w:id="1361129853">
      <w:bodyDiv w:val="1"/>
      <w:marLeft w:val="0"/>
      <w:marRight w:val="0"/>
      <w:marTop w:val="0"/>
      <w:marBottom w:val="0"/>
      <w:divBdr>
        <w:top w:val="none" w:sz="0" w:space="0" w:color="auto"/>
        <w:left w:val="none" w:sz="0" w:space="0" w:color="auto"/>
        <w:bottom w:val="none" w:sz="0" w:space="0" w:color="auto"/>
        <w:right w:val="none" w:sz="0" w:space="0" w:color="auto"/>
      </w:divBdr>
    </w:div>
    <w:div w:id="1362704855">
      <w:bodyDiv w:val="1"/>
      <w:marLeft w:val="0"/>
      <w:marRight w:val="0"/>
      <w:marTop w:val="0"/>
      <w:marBottom w:val="0"/>
      <w:divBdr>
        <w:top w:val="none" w:sz="0" w:space="0" w:color="auto"/>
        <w:left w:val="none" w:sz="0" w:space="0" w:color="auto"/>
        <w:bottom w:val="none" w:sz="0" w:space="0" w:color="auto"/>
        <w:right w:val="none" w:sz="0" w:space="0" w:color="auto"/>
      </w:divBdr>
    </w:div>
    <w:div w:id="1409228821">
      <w:bodyDiv w:val="1"/>
      <w:marLeft w:val="0"/>
      <w:marRight w:val="0"/>
      <w:marTop w:val="0"/>
      <w:marBottom w:val="0"/>
      <w:divBdr>
        <w:top w:val="none" w:sz="0" w:space="0" w:color="auto"/>
        <w:left w:val="none" w:sz="0" w:space="0" w:color="auto"/>
        <w:bottom w:val="none" w:sz="0" w:space="0" w:color="auto"/>
        <w:right w:val="none" w:sz="0" w:space="0" w:color="auto"/>
      </w:divBdr>
    </w:div>
    <w:div w:id="1411657579">
      <w:bodyDiv w:val="1"/>
      <w:marLeft w:val="0"/>
      <w:marRight w:val="0"/>
      <w:marTop w:val="0"/>
      <w:marBottom w:val="0"/>
      <w:divBdr>
        <w:top w:val="none" w:sz="0" w:space="0" w:color="auto"/>
        <w:left w:val="none" w:sz="0" w:space="0" w:color="auto"/>
        <w:bottom w:val="none" w:sz="0" w:space="0" w:color="auto"/>
        <w:right w:val="none" w:sz="0" w:space="0" w:color="auto"/>
      </w:divBdr>
    </w:div>
    <w:div w:id="1438788785">
      <w:bodyDiv w:val="1"/>
      <w:marLeft w:val="0"/>
      <w:marRight w:val="0"/>
      <w:marTop w:val="0"/>
      <w:marBottom w:val="0"/>
      <w:divBdr>
        <w:top w:val="none" w:sz="0" w:space="0" w:color="auto"/>
        <w:left w:val="none" w:sz="0" w:space="0" w:color="auto"/>
        <w:bottom w:val="none" w:sz="0" w:space="0" w:color="auto"/>
        <w:right w:val="none" w:sz="0" w:space="0" w:color="auto"/>
      </w:divBdr>
    </w:div>
    <w:div w:id="1449159412">
      <w:bodyDiv w:val="1"/>
      <w:marLeft w:val="0"/>
      <w:marRight w:val="0"/>
      <w:marTop w:val="0"/>
      <w:marBottom w:val="0"/>
      <w:divBdr>
        <w:top w:val="none" w:sz="0" w:space="0" w:color="auto"/>
        <w:left w:val="none" w:sz="0" w:space="0" w:color="auto"/>
        <w:bottom w:val="none" w:sz="0" w:space="0" w:color="auto"/>
        <w:right w:val="none" w:sz="0" w:space="0" w:color="auto"/>
      </w:divBdr>
    </w:div>
    <w:div w:id="1453858919">
      <w:bodyDiv w:val="1"/>
      <w:marLeft w:val="0"/>
      <w:marRight w:val="0"/>
      <w:marTop w:val="0"/>
      <w:marBottom w:val="0"/>
      <w:divBdr>
        <w:top w:val="none" w:sz="0" w:space="0" w:color="auto"/>
        <w:left w:val="none" w:sz="0" w:space="0" w:color="auto"/>
        <w:bottom w:val="none" w:sz="0" w:space="0" w:color="auto"/>
        <w:right w:val="none" w:sz="0" w:space="0" w:color="auto"/>
      </w:divBdr>
    </w:div>
    <w:div w:id="1497377260">
      <w:bodyDiv w:val="1"/>
      <w:marLeft w:val="0"/>
      <w:marRight w:val="0"/>
      <w:marTop w:val="0"/>
      <w:marBottom w:val="0"/>
      <w:divBdr>
        <w:top w:val="none" w:sz="0" w:space="0" w:color="auto"/>
        <w:left w:val="none" w:sz="0" w:space="0" w:color="auto"/>
        <w:bottom w:val="none" w:sz="0" w:space="0" w:color="auto"/>
        <w:right w:val="none" w:sz="0" w:space="0" w:color="auto"/>
      </w:divBdr>
    </w:div>
    <w:div w:id="1588734521">
      <w:bodyDiv w:val="1"/>
      <w:marLeft w:val="0"/>
      <w:marRight w:val="0"/>
      <w:marTop w:val="0"/>
      <w:marBottom w:val="0"/>
      <w:divBdr>
        <w:top w:val="none" w:sz="0" w:space="0" w:color="auto"/>
        <w:left w:val="none" w:sz="0" w:space="0" w:color="auto"/>
        <w:bottom w:val="none" w:sz="0" w:space="0" w:color="auto"/>
        <w:right w:val="none" w:sz="0" w:space="0" w:color="auto"/>
      </w:divBdr>
    </w:div>
    <w:div w:id="1600988002">
      <w:bodyDiv w:val="1"/>
      <w:marLeft w:val="0"/>
      <w:marRight w:val="0"/>
      <w:marTop w:val="0"/>
      <w:marBottom w:val="0"/>
      <w:divBdr>
        <w:top w:val="none" w:sz="0" w:space="0" w:color="auto"/>
        <w:left w:val="none" w:sz="0" w:space="0" w:color="auto"/>
        <w:bottom w:val="none" w:sz="0" w:space="0" w:color="auto"/>
        <w:right w:val="none" w:sz="0" w:space="0" w:color="auto"/>
      </w:divBdr>
    </w:div>
    <w:div w:id="1635022850">
      <w:bodyDiv w:val="1"/>
      <w:marLeft w:val="0"/>
      <w:marRight w:val="0"/>
      <w:marTop w:val="0"/>
      <w:marBottom w:val="0"/>
      <w:divBdr>
        <w:top w:val="none" w:sz="0" w:space="0" w:color="auto"/>
        <w:left w:val="none" w:sz="0" w:space="0" w:color="auto"/>
        <w:bottom w:val="none" w:sz="0" w:space="0" w:color="auto"/>
        <w:right w:val="none" w:sz="0" w:space="0" w:color="auto"/>
      </w:divBdr>
    </w:div>
    <w:div w:id="1649630678">
      <w:bodyDiv w:val="1"/>
      <w:marLeft w:val="0"/>
      <w:marRight w:val="0"/>
      <w:marTop w:val="0"/>
      <w:marBottom w:val="0"/>
      <w:divBdr>
        <w:top w:val="none" w:sz="0" w:space="0" w:color="auto"/>
        <w:left w:val="none" w:sz="0" w:space="0" w:color="auto"/>
        <w:bottom w:val="none" w:sz="0" w:space="0" w:color="auto"/>
        <w:right w:val="none" w:sz="0" w:space="0" w:color="auto"/>
      </w:divBdr>
    </w:div>
    <w:div w:id="1714883663">
      <w:bodyDiv w:val="1"/>
      <w:marLeft w:val="0"/>
      <w:marRight w:val="0"/>
      <w:marTop w:val="0"/>
      <w:marBottom w:val="0"/>
      <w:divBdr>
        <w:top w:val="none" w:sz="0" w:space="0" w:color="auto"/>
        <w:left w:val="none" w:sz="0" w:space="0" w:color="auto"/>
        <w:bottom w:val="none" w:sz="0" w:space="0" w:color="auto"/>
        <w:right w:val="none" w:sz="0" w:space="0" w:color="auto"/>
      </w:divBdr>
    </w:div>
    <w:div w:id="1748185017">
      <w:bodyDiv w:val="1"/>
      <w:marLeft w:val="0"/>
      <w:marRight w:val="0"/>
      <w:marTop w:val="0"/>
      <w:marBottom w:val="0"/>
      <w:divBdr>
        <w:top w:val="none" w:sz="0" w:space="0" w:color="auto"/>
        <w:left w:val="none" w:sz="0" w:space="0" w:color="auto"/>
        <w:bottom w:val="none" w:sz="0" w:space="0" w:color="auto"/>
        <w:right w:val="none" w:sz="0" w:space="0" w:color="auto"/>
      </w:divBdr>
    </w:div>
    <w:div w:id="1758862187">
      <w:bodyDiv w:val="1"/>
      <w:marLeft w:val="0"/>
      <w:marRight w:val="0"/>
      <w:marTop w:val="0"/>
      <w:marBottom w:val="0"/>
      <w:divBdr>
        <w:top w:val="none" w:sz="0" w:space="0" w:color="auto"/>
        <w:left w:val="none" w:sz="0" w:space="0" w:color="auto"/>
        <w:bottom w:val="none" w:sz="0" w:space="0" w:color="auto"/>
        <w:right w:val="none" w:sz="0" w:space="0" w:color="auto"/>
      </w:divBdr>
    </w:div>
    <w:div w:id="1792750073">
      <w:bodyDiv w:val="1"/>
      <w:marLeft w:val="0"/>
      <w:marRight w:val="0"/>
      <w:marTop w:val="0"/>
      <w:marBottom w:val="0"/>
      <w:divBdr>
        <w:top w:val="none" w:sz="0" w:space="0" w:color="auto"/>
        <w:left w:val="none" w:sz="0" w:space="0" w:color="auto"/>
        <w:bottom w:val="none" w:sz="0" w:space="0" w:color="auto"/>
        <w:right w:val="none" w:sz="0" w:space="0" w:color="auto"/>
      </w:divBdr>
    </w:div>
    <w:div w:id="1811707932">
      <w:bodyDiv w:val="1"/>
      <w:marLeft w:val="0"/>
      <w:marRight w:val="0"/>
      <w:marTop w:val="0"/>
      <w:marBottom w:val="0"/>
      <w:divBdr>
        <w:top w:val="none" w:sz="0" w:space="0" w:color="auto"/>
        <w:left w:val="none" w:sz="0" w:space="0" w:color="auto"/>
        <w:bottom w:val="none" w:sz="0" w:space="0" w:color="auto"/>
        <w:right w:val="none" w:sz="0" w:space="0" w:color="auto"/>
      </w:divBdr>
    </w:div>
    <w:div w:id="1834491946">
      <w:bodyDiv w:val="1"/>
      <w:marLeft w:val="0"/>
      <w:marRight w:val="0"/>
      <w:marTop w:val="0"/>
      <w:marBottom w:val="0"/>
      <w:divBdr>
        <w:top w:val="none" w:sz="0" w:space="0" w:color="auto"/>
        <w:left w:val="none" w:sz="0" w:space="0" w:color="auto"/>
        <w:bottom w:val="none" w:sz="0" w:space="0" w:color="auto"/>
        <w:right w:val="none" w:sz="0" w:space="0" w:color="auto"/>
      </w:divBdr>
    </w:div>
    <w:div w:id="1908687704">
      <w:bodyDiv w:val="1"/>
      <w:marLeft w:val="0"/>
      <w:marRight w:val="0"/>
      <w:marTop w:val="0"/>
      <w:marBottom w:val="0"/>
      <w:divBdr>
        <w:top w:val="none" w:sz="0" w:space="0" w:color="auto"/>
        <w:left w:val="none" w:sz="0" w:space="0" w:color="auto"/>
        <w:bottom w:val="none" w:sz="0" w:space="0" w:color="auto"/>
        <w:right w:val="none" w:sz="0" w:space="0" w:color="auto"/>
      </w:divBdr>
    </w:div>
    <w:div w:id="1959022968">
      <w:bodyDiv w:val="1"/>
      <w:marLeft w:val="0"/>
      <w:marRight w:val="0"/>
      <w:marTop w:val="0"/>
      <w:marBottom w:val="0"/>
      <w:divBdr>
        <w:top w:val="none" w:sz="0" w:space="0" w:color="auto"/>
        <w:left w:val="none" w:sz="0" w:space="0" w:color="auto"/>
        <w:bottom w:val="none" w:sz="0" w:space="0" w:color="auto"/>
        <w:right w:val="none" w:sz="0" w:space="0" w:color="auto"/>
      </w:divBdr>
    </w:div>
    <w:div w:id="1964000320">
      <w:bodyDiv w:val="1"/>
      <w:marLeft w:val="0"/>
      <w:marRight w:val="0"/>
      <w:marTop w:val="0"/>
      <w:marBottom w:val="0"/>
      <w:divBdr>
        <w:top w:val="none" w:sz="0" w:space="0" w:color="auto"/>
        <w:left w:val="none" w:sz="0" w:space="0" w:color="auto"/>
        <w:bottom w:val="none" w:sz="0" w:space="0" w:color="auto"/>
        <w:right w:val="none" w:sz="0" w:space="0" w:color="auto"/>
      </w:divBdr>
    </w:div>
    <w:div w:id="2086996534">
      <w:bodyDiv w:val="1"/>
      <w:marLeft w:val="0"/>
      <w:marRight w:val="0"/>
      <w:marTop w:val="0"/>
      <w:marBottom w:val="0"/>
      <w:divBdr>
        <w:top w:val="none" w:sz="0" w:space="0" w:color="auto"/>
        <w:left w:val="none" w:sz="0" w:space="0" w:color="auto"/>
        <w:bottom w:val="none" w:sz="0" w:space="0" w:color="auto"/>
        <w:right w:val="none" w:sz="0" w:space="0" w:color="auto"/>
      </w:divBdr>
    </w:div>
    <w:div w:id="21214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yperlink" Target="mailto:ccrm@ccrm.md" TargetMode="Externa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MD" sz="1200" b="1">
                <a:solidFill>
                  <a:schemeClr val="tx1"/>
                </a:solidFill>
                <a:latin typeface="Times New Roman" panose="02020603050405020304" pitchFamily="18" charset="0"/>
                <a:cs typeface="Times New Roman" panose="02020603050405020304" pitchFamily="18" charset="0"/>
              </a:rPr>
              <a:t>Implementarea</a:t>
            </a:r>
            <a:r>
              <a:rPr lang="ro-MD" sz="1200" b="1" baseline="0">
                <a:solidFill>
                  <a:schemeClr val="tx1"/>
                </a:solidFill>
                <a:latin typeface="Times New Roman" panose="02020603050405020304" pitchFamily="18" charset="0"/>
                <a:cs typeface="Times New Roman" panose="02020603050405020304" pitchFamily="18" charset="0"/>
              </a:rPr>
              <a:t> subactivităților din Planurile de activitate ale SFS pentru anii 2015-2017</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Numărul total al subactivităților</c:v>
                </c:pt>
              </c:strCache>
            </c:strRef>
          </c:tx>
          <c:spPr>
            <a:solidFill>
              <a:schemeClr val="accent6"/>
            </a:solidFill>
            <a:ln>
              <a:noFill/>
            </a:ln>
            <a:effectLst/>
            <a:sp3d/>
          </c:spPr>
          <c:invertIfNegative val="0"/>
          <c:dPt>
            <c:idx val="0"/>
            <c:invertIfNegative val="0"/>
            <c:bubble3D val="0"/>
            <c:extLst xmlns:c16r2="http://schemas.microsoft.com/office/drawing/2015/06/chart">
              <c:ext xmlns:c16="http://schemas.microsoft.com/office/drawing/2014/chart" uri="{C3380CC4-5D6E-409C-BE32-E72D297353CC}">
                <c16:uniqueId val="{00000000-4625-46D0-8BC1-E5F29935B494}"/>
              </c:ext>
            </c:extLst>
          </c:dPt>
          <c:dPt>
            <c:idx val="1"/>
            <c:invertIfNegative val="0"/>
            <c:bubble3D val="0"/>
            <c:extLst xmlns:c16r2="http://schemas.microsoft.com/office/drawing/2015/06/chart">
              <c:ext xmlns:c16="http://schemas.microsoft.com/office/drawing/2014/chart" uri="{C3380CC4-5D6E-409C-BE32-E72D297353CC}">
                <c16:uniqueId val="{00000001-4625-46D0-8BC1-E5F29935B494}"/>
              </c:ext>
            </c:extLst>
          </c:dPt>
          <c:dPt>
            <c:idx val="2"/>
            <c:invertIfNegative val="0"/>
            <c:bubble3D val="0"/>
            <c:extLst xmlns:c16r2="http://schemas.microsoft.com/office/drawing/2015/06/chart">
              <c:ext xmlns:c16="http://schemas.microsoft.com/office/drawing/2014/chart" uri="{C3380CC4-5D6E-409C-BE32-E72D297353CC}">
                <c16:uniqueId val="{00000002-4625-46D0-8BC1-E5F29935B49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Sheet1!$B$2:$B$4</c:f>
              <c:numCache>
                <c:formatCode>General</c:formatCode>
                <c:ptCount val="3"/>
                <c:pt idx="0">
                  <c:v>130</c:v>
                </c:pt>
                <c:pt idx="1">
                  <c:v>46</c:v>
                </c:pt>
                <c:pt idx="2">
                  <c:v>73</c:v>
                </c:pt>
              </c:numCache>
            </c:numRef>
          </c:val>
          <c:extLst xmlns:c16r2="http://schemas.microsoft.com/office/drawing/2015/06/chart">
            <c:ext xmlns:c16="http://schemas.microsoft.com/office/drawing/2014/chart" uri="{C3380CC4-5D6E-409C-BE32-E72D297353CC}">
              <c16:uniqueId val="{00000003-4625-46D0-8BC1-E5F29935B494}"/>
            </c:ext>
          </c:extLst>
        </c:ser>
        <c:ser>
          <c:idx val="1"/>
          <c:order val="1"/>
          <c:tx>
            <c:strRef>
              <c:f>Sheet1!$C$1</c:f>
              <c:strCache>
                <c:ptCount val="1"/>
                <c:pt idx="0">
                  <c:v>Numărul subactivităților realizate</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Sheet1!$C$2:$C$4</c:f>
              <c:numCache>
                <c:formatCode>General</c:formatCode>
                <c:ptCount val="3"/>
                <c:pt idx="0">
                  <c:v>98</c:v>
                </c:pt>
                <c:pt idx="1">
                  <c:v>39</c:v>
                </c:pt>
                <c:pt idx="2">
                  <c:v>64</c:v>
                </c:pt>
              </c:numCache>
            </c:numRef>
          </c:val>
          <c:extLst xmlns:c16r2="http://schemas.microsoft.com/office/drawing/2015/06/chart">
            <c:ext xmlns:c16="http://schemas.microsoft.com/office/drawing/2014/chart" uri="{C3380CC4-5D6E-409C-BE32-E72D297353CC}">
              <c16:uniqueId val="{00000004-4625-46D0-8BC1-E5F29935B494}"/>
            </c:ext>
          </c:extLst>
        </c:ser>
        <c:ser>
          <c:idx val="2"/>
          <c:order val="2"/>
          <c:tx>
            <c:strRef>
              <c:f>Sheet1!$D$1</c:f>
              <c:strCache>
                <c:ptCount val="1"/>
                <c:pt idx="0">
                  <c:v>Numărul subactivităților parțial realizate</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Sheet1!$D$2:$D$4</c:f>
              <c:numCache>
                <c:formatCode>General</c:formatCode>
                <c:ptCount val="3"/>
                <c:pt idx="0">
                  <c:v>29</c:v>
                </c:pt>
                <c:pt idx="1">
                  <c:v>4</c:v>
                </c:pt>
                <c:pt idx="2">
                  <c:v>8</c:v>
                </c:pt>
              </c:numCache>
            </c:numRef>
          </c:val>
          <c:extLst xmlns:c16r2="http://schemas.microsoft.com/office/drawing/2015/06/chart">
            <c:ext xmlns:c16="http://schemas.microsoft.com/office/drawing/2014/chart" uri="{C3380CC4-5D6E-409C-BE32-E72D297353CC}">
              <c16:uniqueId val="{00000005-4625-46D0-8BC1-E5F29935B494}"/>
            </c:ext>
          </c:extLst>
        </c:ser>
        <c:ser>
          <c:idx val="3"/>
          <c:order val="3"/>
          <c:tx>
            <c:strRef>
              <c:f>Sheet1!$E$1</c:f>
              <c:strCache>
                <c:ptCount val="1"/>
                <c:pt idx="0">
                  <c:v>Numărul subactivităților nerealizate</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Sheet1!$E$2:$E$4</c:f>
              <c:numCache>
                <c:formatCode>General</c:formatCode>
                <c:ptCount val="3"/>
                <c:pt idx="0">
                  <c:v>3</c:v>
                </c:pt>
                <c:pt idx="1">
                  <c:v>3</c:v>
                </c:pt>
                <c:pt idx="2">
                  <c:v>1</c:v>
                </c:pt>
              </c:numCache>
            </c:numRef>
          </c:val>
          <c:extLst xmlns:c16r2="http://schemas.microsoft.com/office/drawing/2015/06/chart">
            <c:ext xmlns:c16="http://schemas.microsoft.com/office/drawing/2014/chart" uri="{C3380CC4-5D6E-409C-BE32-E72D297353CC}">
              <c16:uniqueId val="{00000006-4625-46D0-8BC1-E5F29935B494}"/>
            </c:ext>
          </c:extLst>
        </c:ser>
        <c:dLbls>
          <c:showLegendKey val="0"/>
          <c:showVal val="1"/>
          <c:showCatName val="0"/>
          <c:showSerName val="0"/>
          <c:showPercent val="0"/>
          <c:showBubbleSize val="0"/>
        </c:dLbls>
        <c:gapWidth val="150"/>
        <c:shape val="box"/>
        <c:axId val="187008968"/>
        <c:axId val="187009360"/>
        <c:axId val="0"/>
      </c:bar3DChart>
      <c:catAx>
        <c:axId val="187008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7009360"/>
        <c:crosses val="autoZero"/>
        <c:auto val="1"/>
        <c:lblAlgn val="ctr"/>
        <c:lblOffset val="100"/>
        <c:noMultiLvlLbl val="0"/>
      </c:catAx>
      <c:valAx>
        <c:axId val="187009360"/>
        <c:scaling>
          <c:orientation val="minMax"/>
        </c:scaling>
        <c:delete val="0"/>
        <c:axPos val="b"/>
        <c:majorGridlines>
          <c:spPr>
            <a:ln w="9525" cap="flat" cmpd="sng" algn="ctr">
              <a:solidFill>
                <a:schemeClr val="bg2">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008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a:innerShdw blurRad="63500" dist="50800" dir="16200000">
        <a:prstClr val="black">
          <a:alpha val="50000"/>
        </a:prstClr>
      </a:innerShdw>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x-none" sz="1200" i="0">
                <a:solidFill>
                  <a:schemeClr val="tx1"/>
                </a:solidFill>
                <a:latin typeface="Times New Roman" panose="02020603050405020304" pitchFamily="18" charset="0"/>
                <a:cs typeface="Times New Roman" panose="02020603050405020304" pitchFamily="18" charset="0"/>
              </a:rPr>
              <a:t>Încasările la BS </a:t>
            </a:r>
            <a:r>
              <a:rPr lang="ro-MD" sz="1200" i="0">
                <a:solidFill>
                  <a:schemeClr val="tx1"/>
                </a:solidFill>
                <a:latin typeface="Times New Roman" panose="02020603050405020304" pitchFamily="18" charset="0"/>
                <a:cs typeface="Times New Roman" panose="02020603050405020304" pitchFamily="18" charset="0"/>
              </a:rPr>
              <a:t>în</a:t>
            </a:r>
            <a:r>
              <a:rPr lang="ro-MD" sz="1200" i="0" baseline="0">
                <a:solidFill>
                  <a:schemeClr val="tx1"/>
                </a:solidFill>
                <a:latin typeface="Times New Roman" panose="02020603050405020304" pitchFamily="18" charset="0"/>
                <a:cs typeface="Times New Roman" panose="02020603050405020304" pitchFamily="18" charset="0"/>
              </a:rPr>
              <a:t> aspectul unor </a:t>
            </a:r>
            <a:r>
              <a:rPr lang="ro-MD" sz="1200" i="0">
                <a:solidFill>
                  <a:schemeClr val="tx1"/>
                </a:solidFill>
                <a:latin typeface="Times New Roman" panose="02020603050405020304" pitchFamily="18" charset="0"/>
                <a:cs typeface="Times New Roman" panose="02020603050405020304" pitchFamily="18" charset="0"/>
              </a:rPr>
              <a:t>tipuri de impozite </a:t>
            </a:r>
            <a:r>
              <a:rPr lang="x-none" sz="1200" i="0">
                <a:solidFill>
                  <a:schemeClr val="tx1"/>
                </a:solidFill>
                <a:latin typeface="Times New Roman" panose="02020603050405020304" pitchFamily="18" charset="0"/>
                <a:cs typeface="Times New Roman" panose="02020603050405020304" pitchFamily="18" charset="0"/>
              </a:rPr>
              <a:t>administrate de </a:t>
            </a:r>
            <a:r>
              <a:rPr lang="ro-RO" sz="1200" i="0">
                <a:solidFill>
                  <a:schemeClr val="tx1"/>
                </a:solidFill>
                <a:latin typeface="Times New Roman" panose="02020603050405020304" pitchFamily="18" charset="0"/>
                <a:cs typeface="Times New Roman" panose="02020603050405020304" pitchFamily="18" charset="0"/>
              </a:rPr>
              <a:t>către </a:t>
            </a:r>
            <a:r>
              <a:rPr lang="x-none" sz="1200" i="0">
                <a:solidFill>
                  <a:schemeClr val="tx1"/>
                </a:solidFill>
                <a:latin typeface="Times New Roman" panose="02020603050405020304" pitchFamily="18" charset="0"/>
                <a:cs typeface="Times New Roman" panose="02020603050405020304" pitchFamily="18" charset="0"/>
              </a:rPr>
              <a:t>SFS pentru </a:t>
            </a:r>
            <a:r>
              <a:rPr lang="ro-MD" sz="1200" i="0">
                <a:solidFill>
                  <a:schemeClr val="tx1"/>
                </a:solidFill>
                <a:latin typeface="Times New Roman" panose="02020603050405020304" pitchFamily="18" charset="0"/>
                <a:cs typeface="Times New Roman" panose="02020603050405020304" pitchFamily="18" charset="0"/>
              </a:rPr>
              <a:t>perioada anilor </a:t>
            </a:r>
            <a:r>
              <a:rPr lang="x-none" sz="1200" i="0">
                <a:solidFill>
                  <a:schemeClr val="tx1"/>
                </a:solidFill>
                <a:latin typeface="Times New Roman" panose="02020603050405020304" pitchFamily="18" charset="0"/>
                <a:cs typeface="Times New Roman" panose="02020603050405020304" pitchFamily="18" charset="0"/>
              </a:rPr>
              <a:t>2015-2017</a:t>
            </a:r>
            <a:endParaRPr lang="en-US" sz="1200" i="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2.5091240875912409E-2"/>
          <c:y val="0.19563492063492063"/>
          <c:w val="0.94981751824817517"/>
          <c:h val="0.57917885264341962"/>
        </c:manualLayout>
      </c:layout>
      <c:barChart>
        <c:barDir val="col"/>
        <c:grouping val="clustered"/>
        <c:varyColors val="0"/>
        <c:ser>
          <c:idx val="0"/>
          <c:order val="0"/>
          <c:tx>
            <c:strRef>
              <c:f>Sheet1!$B$1</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accent1"/>
              </a:solidFill>
            </a:ln>
            <a:effectLst/>
          </c:spPr>
          <c:invertIfNegative val="0"/>
          <c:dLbls>
            <c:spPr>
              <a:noFill/>
              <a:ln>
                <a:noFill/>
              </a:ln>
              <a:effectLst/>
            </c:spPr>
            <c:txPr>
              <a:bodyPr rot="-5400000" spcFirstLastPara="1" vertOverflow="ellipsis" wrap="square" lIns="38100" tIns="19050" rIns="38100" bIns="19050" anchor="t" anchorCtr="0">
                <a:spAutoFit/>
              </a:bodyPr>
              <a:lstStyle/>
              <a:p>
                <a:pPr>
                  <a:defRPr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Impozite pe venit (Total)</c:v>
                </c:pt>
                <c:pt idx="1">
                  <c:v>TVA</c:v>
                </c:pt>
                <c:pt idx="2">
                  <c:v>Accize</c:v>
                </c:pt>
                <c:pt idx="3">
                  <c:v>Taxe pentru folosirea drumurior</c:v>
                </c:pt>
                <c:pt idx="4">
                  <c:v>Amenzi și sancțiuni</c:v>
                </c:pt>
                <c:pt idx="5">
                  <c:v>Alte impozite și taxe</c:v>
                </c:pt>
              </c:strCache>
            </c:strRef>
          </c:cat>
          <c:val>
            <c:numRef>
              <c:f>Sheet1!$B$2:$B$7</c:f>
              <c:numCache>
                <c:formatCode>0</c:formatCode>
                <c:ptCount val="6"/>
                <c:pt idx="0">
                  <c:v>3983</c:v>
                </c:pt>
                <c:pt idx="1">
                  <c:v>4788</c:v>
                </c:pt>
                <c:pt idx="2">
                  <c:v>581</c:v>
                </c:pt>
                <c:pt idx="3">
                  <c:v>305</c:v>
                </c:pt>
                <c:pt idx="4">
                  <c:v>180</c:v>
                </c:pt>
                <c:pt idx="5">
                  <c:v>705</c:v>
                </c:pt>
              </c:numCache>
            </c:numRef>
          </c:val>
          <c:extLst xmlns:c16r2="http://schemas.microsoft.com/office/drawing/2015/06/chart">
            <c:ext xmlns:c16="http://schemas.microsoft.com/office/drawing/2014/chart" uri="{C3380CC4-5D6E-409C-BE32-E72D297353CC}">
              <c16:uniqueId val="{00000000-692C-4A33-B267-8254D46356CC}"/>
            </c:ext>
          </c:extLst>
        </c:ser>
        <c:ser>
          <c:idx val="1"/>
          <c:order val="1"/>
          <c:tx>
            <c:strRef>
              <c:f>Sheet1!$C$1</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accent1"/>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Impozite pe venit (Total)</c:v>
                </c:pt>
                <c:pt idx="1">
                  <c:v>TVA</c:v>
                </c:pt>
                <c:pt idx="2">
                  <c:v>Accize</c:v>
                </c:pt>
                <c:pt idx="3">
                  <c:v>Taxe pentru folosirea drumurior</c:v>
                </c:pt>
                <c:pt idx="4">
                  <c:v>Amenzi și sancțiuni</c:v>
                </c:pt>
                <c:pt idx="5">
                  <c:v>Alte impozite și taxe</c:v>
                </c:pt>
              </c:strCache>
            </c:strRef>
          </c:cat>
          <c:val>
            <c:numRef>
              <c:f>Sheet1!$C$2:$C$7</c:f>
              <c:numCache>
                <c:formatCode>0</c:formatCode>
                <c:ptCount val="6"/>
                <c:pt idx="0">
                  <c:v>4708.7</c:v>
                </c:pt>
                <c:pt idx="1">
                  <c:v>5315</c:v>
                </c:pt>
                <c:pt idx="2">
                  <c:v>531</c:v>
                </c:pt>
                <c:pt idx="3">
                  <c:v>338</c:v>
                </c:pt>
                <c:pt idx="4">
                  <c:v>155</c:v>
                </c:pt>
                <c:pt idx="5">
                  <c:v>500</c:v>
                </c:pt>
              </c:numCache>
            </c:numRef>
          </c:val>
          <c:extLst xmlns:c16r2="http://schemas.microsoft.com/office/drawing/2015/06/chart">
            <c:ext xmlns:c16="http://schemas.microsoft.com/office/drawing/2014/chart" uri="{C3380CC4-5D6E-409C-BE32-E72D297353CC}">
              <c16:uniqueId val="{00000001-692C-4A33-B267-8254D46356CC}"/>
            </c:ext>
          </c:extLst>
        </c:ser>
        <c:ser>
          <c:idx val="2"/>
          <c:order val="2"/>
          <c:tx>
            <c:strRef>
              <c:f>Sheet1!$D$1</c:f>
              <c:strCache>
                <c:ptCount val="1"/>
                <c:pt idx="0">
                  <c:v>2017</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accent1"/>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lang="en-US" sz="800" b="0"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Impozite pe venit (Total)</c:v>
                </c:pt>
                <c:pt idx="1">
                  <c:v>TVA</c:v>
                </c:pt>
                <c:pt idx="2">
                  <c:v>Accize</c:v>
                </c:pt>
                <c:pt idx="3">
                  <c:v>Taxe pentru folosirea drumurior</c:v>
                </c:pt>
                <c:pt idx="4">
                  <c:v>Amenzi și sancțiuni</c:v>
                </c:pt>
                <c:pt idx="5">
                  <c:v>Alte impozite și taxe</c:v>
                </c:pt>
              </c:strCache>
            </c:strRef>
          </c:cat>
          <c:val>
            <c:numRef>
              <c:f>Sheet1!$D$2:$D$7</c:f>
              <c:numCache>
                <c:formatCode>0</c:formatCode>
                <c:ptCount val="6"/>
                <c:pt idx="0">
                  <c:v>5588.4</c:v>
                </c:pt>
                <c:pt idx="1">
                  <c:v>6205</c:v>
                </c:pt>
                <c:pt idx="2">
                  <c:v>574</c:v>
                </c:pt>
                <c:pt idx="3">
                  <c:v>835</c:v>
                </c:pt>
                <c:pt idx="4">
                  <c:v>325</c:v>
                </c:pt>
                <c:pt idx="5">
                  <c:v>788</c:v>
                </c:pt>
              </c:numCache>
            </c:numRef>
          </c:val>
          <c:extLst xmlns:c16r2="http://schemas.microsoft.com/office/drawing/2015/06/chart">
            <c:ext xmlns:c16="http://schemas.microsoft.com/office/drawing/2014/chart" uri="{C3380CC4-5D6E-409C-BE32-E72D297353CC}">
              <c16:uniqueId val="{00000002-692C-4A33-B267-8254D46356CC}"/>
            </c:ext>
          </c:extLst>
        </c:ser>
        <c:dLbls>
          <c:dLblPos val="outEnd"/>
          <c:showLegendKey val="0"/>
          <c:showVal val="1"/>
          <c:showCatName val="0"/>
          <c:showSerName val="0"/>
          <c:showPercent val="0"/>
          <c:showBubbleSize val="0"/>
        </c:dLbls>
        <c:gapWidth val="181"/>
        <c:overlap val="-8"/>
        <c:axId val="327459136"/>
        <c:axId val="327468192"/>
      </c:barChart>
      <c:dateAx>
        <c:axId val="32745913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x-none" b="1">
                    <a:latin typeface="Times New Roman" panose="02020603050405020304" pitchFamily="18" charset="0"/>
                    <a:cs typeface="Times New Roman" panose="02020603050405020304" pitchFamily="18" charset="0"/>
                  </a:rPr>
                  <a:t>(mil.lei)</a:t>
                </a:r>
                <a:endParaRPr lang="en-US" b="1">
                  <a:latin typeface="Times New Roman" panose="02020603050405020304" pitchFamily="18" charset="0"/>
                  <a:cs typeface="Times New Roman" panose="02020603050405020304" pitchFamily="18" charset="0"/>
                </a:endParaRPr>
              </a:p>
            </c:rich>
          </c:tx>
          <c:layout>
            <c:manualLayout>
              <c:xMode val="edge"/>
              <c:yMode val="edge"/>
              <c:x val="0.59267791970802908"/>
              <c:y val="0.9236757905261842"/>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327468192"/>
        <c:crosses val="autoZero"/>
        <c:auto val="0"/>
        <c:lblOffset val="100"/>
        <c:baseTimeUnit val="days"/>
      </c:dateAx>
      <c:valAx>
        <c:axId val="327468192"/>
        <c:scaling>
          <c:orientation val="minMax"/>
        </c:scaling>
        <c:delete val="1"/>
        <c:axPos val="l"/>
        <c:numFmt formatCode="0" sourceLinked="1"/>
        <c:majorTickMark val="none"/>
        <c:minorTickMark val="none"/>
        <c:tickLblPos val="nextTo"/>
        <c:crossAx val="327459136"/>
        <c:crosses val="autoZero"/>
        <c:crossBetween val="between"/>
      </c:valAx>
      <c:spPr>
        <a:noFill/>
        <a:ln>
          <a:noFill/>
        </a:ln>
        <a:effectLst/>
      </c:spPr>
    </c:plotArea>
    <c:legend>
      <c:legendPos val="b"/>
      <c:layout>
        <c:manualLayout>
          <c:xMode val="edge"/>
          <c:yMode val="edge"/>
          <c:x val="0.36874245646301512"/>
          <c:y val="0.92116922884639418"/>
          <c:w val="0.22145669291338582"/>
          <c:h val="7.8830642914611615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50" normalizeH="0" baseline="0">
                <a:solidFill>
                  <a:schemeClr val="tx1"/>
                </a:solidFill>
                <a:latin typeface="Times New Roman" panose="02020603050405020304" pitchFamily="18" charset="0"/>
                <a:ea typeface="+mj-ea"/>
                <a:cs typeface="Times New Roman" panose="02020603050405020304" pitchFamily="18" charset="0"/>
              </a:defRPr>
            </a:pPr>
            <a:r>
              <a:rPr lang="x-none" sz="1200" b="1">
                <a:solidFill>
                  <a:schemeClr val="tx1"/>
                </a:solidFill>
                <a:latin typeface="Times New Roman" panose="02020603050405020304" pitchFamily="18" charset="0"/>
                <a:cs typeface="Times New Roman" panose="02020603050405020304" pitchFamily="18" charset="0"/>
              </a:rPr>
              <a:t>Ponderea </a:t>
            </a:r>
            <a:r>
              <a:rPr lang="ro-MD" sz="1200" b="1">
                <a:solidFill>
                  <a:schemeClr val="tx1"/>
                </a:solidFill>
                <a:latin typeface="Times New Roman" panose="02020603050405020304" pitchFamily="18" charset="0"/>
                <a:cs typeface="Times New Roman" panose="02020603050405020304" pitchFamily="18" charset="0"/>
              </a:rPr>
              <a:t>veniturilor administrate de către SV </a:t>
            </a:r>
            <a:r>
              <a:rPr lang="x-none" sz="1200" b="1">
                <a:solidFill>
                  <a:schemeClr val="tx1"/>
                </a:solidFill>
                <a:latin typeface="Times New Roman" panose="02020603050405020304" pitchFamily="18" charset="0"/>
                <a:cs typeface="Times New Roman" panose="02020603050405020304" pitchFamily="18" charset="0"/>
              </a:rPr>
              <a:t>în PIB</a:t>
            </a:r>
            <a:r>
              <a:rPr lang="ro-MD" sz="1200" b="1">
                <a:solidFill>
                  <a:schemeClr val="tx1"/>
                </a:solidFill>
                <a:latin typeface="Times New Roman" panose="02020603050405020304" pitchFamily="18" charset="0"/>
                <a:cs typeface="Times New Roman" panose="02020603050405020304" pitchFamily="18" charset="0"/>
              </a:rPr>
              <a:t> </a:t>
            </a:r>
          </a:p>
          <a:p>
            <a:pPr>
              <a:defRPr sz="1200" b="1" i="0" u="none" strike="noStrike" kern="1200" cap="none" spc="50" normalizeH="0" baseline="0">
                <a:solidFill>
                  <a:schemeClr val="tx1"/>
                </a:solidFill>
                <a:latin typeface="Times New Roman" panose="02020603050405020304" pitchFamily="18" charset="0"/>
                <a:ea typeface="+mj-ea"/>
                <a:cs typeface="Times New Roman" panose="02020603050405020304" pitchFamily="18" charset="0"/>
              </a:defRPr>
            </a:pPr>
            <a:r>
              <a:rPr lang="ro-MD" sz="1200" b="1">
                <a:solidFill>
                  <a:schemeClr val="tx1"/>
                </a:solidFill>
                <a:latin typeface="Times New Roman" panose="02020603050405020304" pitchFamily="18" charset="0"/>
                <a:cs typeface="Times New Roman" panose="02020603050405020304" pitchFamily="18" charset="0"/>
              </a:rPr>
              <a:t>p</a:t>
            </a:r>
            <a:r>
              <a:rPr lang="x-none" sz="1200" b="1" baseline="0">
                <a:solidFill>
                  <a:schemeClr val="tx1"/>
                </a:solidFill>
                <a:latin typeface="Times New Roman" panose="02020603050405020304" pitchFamily="18" charset="0"/>
                <a:cs typeface="Times New Roman" panose="02020603050405020304" pitchFamily="18" charset="0"/>
              </a:rPr>
              <a:t>entru perioada anilor 2015-2017</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3.3707865168539325E-2"/>
          <c:y val="0.17108808207484702"/>
          <c:w val="0.93133583021223487"/>
          <c:h val="0.628911917925153"/>
        </c:manualLayout>
      </c:layout>
      <c:barChart>
        <c:barDir val="col"/>
        <c:grouping val="clustered"/>
        <c:varyColors val="0"/>
        <c:ser>
          <c:idx val="0"/>
          <c:order val="0"/>
          <c:tx>
            <c:strRef>
              <c:f>Лист1!$B$1</c:f>
              <c:strCache>
                <c:ptCount val="1"/>
                <c:pt idx="0">
                  <c:v>PIB</c:v>
                </c:pt>
              </c:strCache>
            </c:strRef>
          </c:tx>
          <c:spPr>
            <a:solidFill>
              <a:srgbClr val="5B9BD5">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B4E3-46B0-9D92-BBF2CBBDE6C3}"/>
            </c:ext>
          </c:extLst>
        </c:ser>
        <c:ser>
          <c:idx val="1"/>
          <c:order val="1"/>
          <c:tx>
            <c:strRef>
              <c:f>Лист1!$C$1</c:f>
              <c:strCache>
                <c:ptCount val="1"/>
                <c:pt idx="0">
                  <c:v>Încasările în BPN administrate de SV</c:v>
                </c:pt>
              </c:strCache>
            </c:strRef>
          </c:tx>
          <c:spPr>
            <a:solidFill>
              <a:srgbClr val="FFC000">
                <a:alpha val="70000"/>
              </a:srgbClr>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Лист1!$C$2:$C$4</c:f>
              <c:numCache>
                <c:formatCode>0.0</c:formatCode>
                <c:ptCount val="3"/>
                <c:pt idx="0">
                  <c:v>15.8</c:v>
                </c:pt>
                <c:pt idx="1">
                  <c:v>17.399999999999999</c:v>
                </c:pt>
                <c:pt idx="2">
                  <c:v>20.399999999999999</c:v>
                </c:pt>
              </c:numCache>
            </c:numRef>
          </c:val>
          <c:extLst xmlns:c16r2="http://schemas.microsoft.com/office/drawing/2015/06/chart">
            <c:ext xmlns:c16="http://schemas.microsoft.com/office/drawing/2014/chart" uri="{C3380CC4-5D6E-409C-BE32-E72D297353CC}">
              <c16:uniqueId val="{00000001-B4E3-46B0-9D92-BBF2CBBDE6C3}"/>
            </c:ext>
          </c:extLst>
        </c:ser>
        <c:ser>
          <c:idx val="2"/>
          <c:order val="2"/>
          <c:tx>
            <c:strRef>
              <c:f>Лист1!$D$1</c:f>
              <c:strCache>
                <c:ptCount val="1"/>
                <c:pt idx="0">
                  <c:v>Ponderea în PIB %</c:v>
                </c:pt>
              </c:strCache>
            </c:strRef>
          </c:tx>
          <c:spPr>
            <a:solidFill>
              <a:schemeClr val="accent3">
                <a:alpha val="70000"/>
              </a:schemeClr>
            </a:solidFill>
            <a:ln>
              <a:noFill/>
            </a:ln>
            <a:effectLst/>
          </c:spPr>
          <c:invertIfNegative val="0"/>
          <c:dLbls>
            <c:dLbl>
              <c:idx val="0"/>
              <c:layout>
                <c:manualLayout>
                  <c:x val="2.711722987067167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4E3-46B0-9D92-BBF2CBBDE6C3}"/>
                </c:ext>
                <c:ext xmlns:c15="http://schemas.microsoft.com/office/drawing/2012/chart" uri="{CE6537A1-D6FC-4f65-9D91-7224C49458BB}"/>
              </c:extLst>
            </c:dLbl>
            <c:dLbl>
              <c:idx val="1"/>
              <c:layout>
                <c:manualLayout>
                  <c:x val="3.128911138923654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4E3-46B0-9D92-BBF2CBBDE6C3}"/>
                </c:ext>
                <c:ext xmlns:c15="http://schemas.microsoft.com/office/drawing/2012/chart" uri="{CE6537A1-D6FC-4f65-9D91-7224C49458BB}"/>
              </c:extLst>
            </c:dLbl>
            <c:dLbl>
              <c:idx val="2"/>
              <c:layout>
                <c:manualLayout>
                  <c:x val="2.7117229870671521E-2"/>
                  <c:y val="-4.05268490374873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4E3-46B0-9D92-BBF2CBBDE6C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Лист1!$D$2:$D$4</c:f>
              <c:numCache>
                <c:formatCode>0.0%</c:formatCode>
                <c:ptCount val="3"/>
                <c:pt idx="0">
                  <c:v>0.128</c:v>
                </c:pt>
                <c:pt idx="1">
                  <c:v>0.129</c:v>
                </c:pt>
                <c:pt idx="2">
                  <c:v>0.13700000000000001</c:v>
                </c:pt>
              </c:numCache>
            </c:numRef>
          </c:val>
          <c:extLst xmlns:c16r2="http://schemas.microsoft.com/office/drawing/2015/06/chart">
            <c:ext xmlns:c16="http://schemas.microsoft.com/office/drawing/2014/chart" uri="{C3380CC4-5D6E-409C-BE32-E72D297353CC}">
              <c16:uniqueId val="{00000005-B4E3-46B0-9D92-BBF2CBBDE6C3}"/>
            </c:ext>
          </c:extLst>
        </c:ser>
        <c:dLbls>
          <c:showLegendKey val="0"/>
          <c:showVal val="1"/>
          <c:showCatName val="0"/>
          <c:showSerName val="0"/>
          <c:showPercent val="0"/>
          <c:showBubbleSize val="0"/>
        </c:dLbls>
        <c:gapWidth val="80"/>
        <c:overlap val="25"/>
        <c:axId val="327468976"/>
        <c:axId val="327469368"/>
      </c:barChart>
      <c:catAx>
        <c:axId val="3274689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7469368"/>
        <c:crosses val="autoZero"/>
        <c:auto val="1"/>
        <c:lblAlgn val="ctr"/>
        <c:lblOffset val="100"/>
        <c:noMultiLvlLbl val="0"/>
      </c:catAx>
      <c:valAx>
        <c:axId val="32746936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27468976"/>
        <c:crosses val="autoZero"/>
        <c:crossBetween val="between"/>
      </c:valAx>
      <c:spPr>
        <a:solidFill>
          <a:schemeClr val="accent1">
            <a:lumMod val="40000"/>
            <a:lumOff val="6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a:latin typeface="Times New Roman" panose="02020603050405020304" pitchFamily="18" charset="0"/>
                <a:cs typeface="Times New Roman" panose="02020603050405020304" pitchFamily="18" charset="0"/>
              </a:defRPr>
            </a:pPr>
            <a:r>
              <a:rPr lang="ro-MD" sz="1200" b="1">
                <a:latin typeface="Times New Roman" panose="02020603050405020304" pitchFamily="18" charset="0"/>
                <a:cs typeface="Times New Roman" panose="02020603050405020304" pitchFamily="18" charset="0"/>
              </a:rPr>
              <a:t>Evoluția încasărilor</a:t>
            </a:r>
            <a:r>
              <a:rPr lang="ro-MD" sz="1200" b="1" baseline="0">
                <a:latin typeface="Times New Roman" panose="02020603050405020304" pitchFamily="18" charset="0"/>
                <a:cs typeface="Times New Roman" panose="02020603050405020304" pitchFamily="18" charset="0"/>
              </a:rPr>
              <a:t> în BS</a:t>
            </a:r>
            <a:r>
              <a:rPr lang="ro-MD" sz="1200" b="1">
                <a:latin typeface="Times New Roman" panose="02020603050405020304" pitchFamily="18" charset="0"/>
                <a:cs typeface="Times New Roman" panose="02020603050405020304" pitchFamily="18" charset="0"/>
              </a:rPr>
              <a:t> pe principalele</a:t>
            </a:r>
            <a:r>
              <a:rPr lang="ro-MD" sz="1200" b="1" baseline="0">
                <a:latin typeface="Times New Roman" panose="02020603050405020304" pitchFamily="18" charset="0"/>
                <a:cs typeface="Times New Roman" panose="02020603050405020304" pitchFamily="18" charset="0"/>
              </a:rPr>
              <a:t> </a:t>
            </a:r>
            <a:r>
              <a:rPr lang="ro-MD" sz="1200" b="1">
                <a:latin typeface="Times New Roman" panose="02020603050405020304" pitchFamily="18" charset="0"/>
                <a:cs typeface="Times New Roman" panose="02020603050405020304" pitchFamily="18" charset="0"/>
              </a:rPr>
              <a:t>tipuri de venituri </a:t>
            </a:r>
            <a:r>
              <a:rPr lang="x-none" sz="1200" b="1">
                <a:latin typeface="Times New Roman" panose="02020603050405020304" pitchFamily="18" charset="0"/>
                <a:cs typeface="Times New Roman" panose="02020603050405020304" pitchFamily="18" charset="0"/>
              </a:rPr>
              <a:t>administrate de SV petru perioada </a:t>
            </a:r>
            <a:r>
              <a:rPr lang="ro-RO" sz="1200" b="1">
                <a:latin typeface="Times New Roman" panose="02020603050405020304" pitchFamily="18" charset="0"/>
                <a:cs typeface="Times New Roman" panose="02020603050405020304" pitchFamily="18" charset="0"/>
              </a:rPr>
              <a:t>anilor </a:t>
            </a:r>
            <a:r>
              <a:rPr lang="x-none" sz="1200" b="1">
                <a:latin typeface="Times New Roman" panose="02020603050405020304" pitchFamily="18" charset="0"/>
                <a:cs typeface="Times New Roman" panose="02020603050405020304" pitchFamily="18" charset="0"/>
              </a:rPr>
              <a:t>2015-2017</a:t>
            </a:r>
            <a:endParaRPr lang="en-US" sz="1200" b="1">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8.1532213604245493E-2"/>
          <c:y val="0.15674188114545384"/>
          <c:w val="0.87157607903178769"/>
          <c:h val="0.68777744347660175"/>
        </c:manualLayout>
      </c:layout>
      <c:barChart>
        <c:barDir val="col"/>
        <c:grouping val="clustered"/>
        <c:varyColors val="0"/>
        <c:ser>
          <c:idx val="0"/>
          <c:order val="0"/>
          <c:tx>
            <c:strRef>
              <c:f>Sheet1!$B$1</c:f>
              <c:strCache>
                <c:ptCount val="1"/>
                <c:pt idx="0">
                  <c:v>TVA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10952.4</c:v>
                </c:pt>
                <c:pt idx="1">
                  <c:v>11760.9</c:v>
                </c:pt>
                <c:pt idx="2">
                  <c:v>13226.2</c:v>
                </c:pt>
              </c:numCache>
            </c:numRef>
          </c:val>
          <c:extLst xmlns:c16r2="http://schemas.microsoft.com/office/drawing/2015/06/chart">
            <c:ext xmlns:c16="http://schemas.microsoft.com/office/drawing/2014/chart" uri="{C3380CC4-5D6E-409C-BE32-E72D297353CC}">
              <c16:uniqueId val="{00000000-AB53-4A01-A5C4-472758B332CD}"/>
            </c:ext>
          </c:extLst>
        </c:ser>
        <c:ser>
          <c:idx val="1"/>
          <c:order val="1"/>
          <c:tx>
            <c:strRef>
              <c:f>Sheet1!$C$1</c:f>
              <c:strCache>
                <c:ptCount val="1"/>
                <c:pt idx="0">
                  <c:v>Accize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3483.8</c:v>
                </c:pt>
                <c:pt idx="1">
                  <c:v>4181.6000000000004</c:v>
                </c:pt>
                <c:pt idx="2">
                  <c:v>5585.7</c:v>
                </c:pt>
              </c:numCache>
            </c:numRef>
          </c:val>
          <c:extLst xmlns:c16r2="http://schemas.microsoft.com/office/drawing/2015/06/chart">
            <c:ext xmlns:c16="http://schemas.microsoft.com/office/drawing/2014/chart" uri="{C3380CC4-5D6E-409C-BE32-E72D297353CC}">
              <c16:uniqueId val="{00000001-AB53-4A01-A5C4-472758B332CD}"/>
            </c:ext>
          </c:extLst>
        </c:ser>
        <c:ser>
          <c:idx val="2"/>
          <c:order val="2"/>
          <c:tx>
            <c:strRef>
              <c:f>Sheet1!$D$1</c:f>
              <c:strCache>
                <c:ptCount val="1"/>
                <c:pt idx="0">
                  <c:v>Taxe și amenzi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Sheet1!$D$2:$D$4</c:f>
              <c:numCache>
                <c:formatCode>0.0</c:formatCode>
                <c:ptCount val="3"/>
                <c:pt idx="0">
                  <c:v>1285.3</c:v>
                </c:pt>
                <c:pt idx="1">
                  <c:v>1400.2</c:v>
                </c:pt>
                <c:pt idx="2">
                  <c:v>1536</c:v>
                </c:pt>
              </c:numCache>
            </c:numRef>
          </c:val>
          <c:extLst xmlns:c16r2="http://schemas.microsoft.com/office/drawing/2015/06/chart">
            <c:ext xmlns:c16="http://schemas.microsoft.com/office/drawing/2014/chart" uri="{C3380CC4-5D6E-409C-BE32-E72D297353CC}">
              <c16:uniqueId val="{00000002-AB53-4A01-A5C4-472758B332CD}"/>
            </c:ext>
          </c:extLst>
        </c:ser>
        <c:ser>
          <c:idx val="3"/>
          <c:order val="3"/>
          <c:tx>
            <c:strRef>
              <c:f>Sheet1!$E$1</c:f>
              <c:strCache>
                <c:ptCount val="1"/>
                <c:pt idx="0">
                  <c:v>Alte venituri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Sheet1!$E$2:$E$4</c:f>
              <c:numCache>
                <c:formatCode>0.0</c:formatCode>
                <c:ptCount val="3"/>
                <c:pt idx="0">
                  <c:v>108.4</c:v>
                </c:pt>
                <c:pt idx="1">
                  <c:v>133.30000000000001</c:v>
                </c:pt>
                <c:pt idx="2">
                  <c:v>24.6</c:v>
                </c:pt>
              </c:numCache>
            </c:numRef>
          </c:val>
          <c:extLst xmlns:c16r2="http://schemas.microsoft.com/office/drawing/2015/06/chart">
            <c:ext xmlns:c16="http://schemas.microsoft.com/office/drawing/2014/chart" uri="{C3380CC4-5D6E-409C-BE32-E72D297353CC}">
              <c16:uniqueId val="{00000003-AB53-4A01-A5C4-472758B332CD}"/>
            </c:ext>
          </c:extLst>
        </c:ser>
        <c:dLbls>
          <c:dLblPos val="outEnd"/>
          <c:showLegendKey val="0"/>
          <c:showVal val="1"/>
          <c:showCatName val="0"/>
          <c:showSerName val="0"/>
          <c:showPercent val="0"/>
          <c:showBubbleSize val="0"/>
        </c:dLbls>
        <c:gapWidth val="115"/>
        <c:axId val="325138888"/>
        <c:axId val="325139280"/>
      </c:barChart>
      <c:catAx>
        <c:axId val="32513888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5139280"/>
        <c:crosses val="autoZero"/>
        <c:auto val="1"/>
        <c:lblAlgn val="ctr"/>
        <c:lblOffset val="100"/>
        <c:noMultiLvlLbl val="0"/>
      </c:catAx>
      <c:valAx>
        <c:axId val="32513928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325138888"/>
        <c:crosses val="autoZero"/>
        <c:crossBetween val="between"/>
      </c:valAx>
      <c:spPr>
        <a:noFill/>
        <a:ln>
          <a:noFill/>
        </a:ln>
        <a:effectLst/>
      </c:spPr>
    </c:plotArea>
    <c:legend>
      <c:legendPos val="b"/>
      <c:layout>
        <c:manualLayout>
          <c:xMode val="edge"/>
          <c:yMode val="edge"/>
          <c:x val="0.21965835777743176"/>
          <c:y val="0.89800701218317858"/>
          <c:w val="0.56068311610701249"/>
          <c:h val="8.611796659745887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1200">
                <a:solidFill>
                  <a:schemeClr val="tx1"/>
                </a:solidFill>
                <a:latin typeface="Times New Roman" panose="02020603050405020304" pitchFamily="18" charset="0"/>
                <a:cs typeface="Times New Roman" panose="02020603050405020304" pitchFamily="18" charset="0"/>
              </a:rPr>
              <a:t>Evoluția restanței la BPN administrate de Serviciul Fiscal de Stat</a:t>
            </a:r>
            <a:r>
              <a:rPr lang="en-US" sz="1200">
                <a:solidFill>
                  <a:schemeClr val="tx1"/>
                </a:solidFill>
                <a:latin typeface="Times New Roman" panose="02020603050405020304" pitchFamily="18" charset="0"/>
                <a:cs typeface="Times New Roman" panose="02020603050405020304" pitchFamily="18" charset="0"/>
              </a:rPr>
              <a:t> </a:t>
            </a:r>
            <a:r>
              <a:rPr lang="ro-RO" sz="1200">
                <a:solidFill>
                  <a:schemeClr val="tx1"/>
                </a:solidFill>
                <a:latin typeface="Times New Roman" panose="02020603050405020304" pitchFamily="18" charset="0"/>
                <a:cs typeface="Times New Roman" panose="02020603050405020304" pitchFamily="18" charset="0"/>
              </a:rPr>
              <a:t>pe parcursul anilor 2015-2017 </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606565770258178"/>
          <c:y val="2.778789810613239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BS</c:v>
                </c:pt>
              </c:strCache>
            </c:strRef>
          </c:tx>
          <c:spPr>
            <a:pattFill prst="wdDnDiag">
              <a:fgClr>
                <a:schemeClr val="accent1"/>
              </a:fgClr>
              <a:bgClr>
                <a:schemeClr val="bg1"/>
              </a:bgClr>
            </a:pattFill>
            <a:ln>
              <a:noFill/>
            </a:ln>
            <a:effectLst>
              <a:outerShdw blurRad="57150" dist="19050" dir="5400000" algn="ctr" rotWithShape="0">
                <a:srgbClr val="000000">
                  <a:alpha val="63000"/>
                </a:srgbClr>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8A68-4634-B91E-A41CBD61297B}"/>
              </c:ext>
            </c:extLst>
          </c:dPt>
          <c:dPt>
            <c:idx val="1"/>
            <c:invertIfNegative val="0"/>
            <c:bubble3D val="0"/>
            <c:extLst xmlns:c16r2="http://schemas.microsoft.com/office/drawing/2015/06/chart">
              <c:ext xmlns:c16="http://schemas.microsoft.com/office/drawing/2014/chart" uri="{C3380CC4-5D6E-409C-BE32-E72D297353CC}">
                <c16:uniqueId val="{00000001-8A68-4634-B91E-A41CBD61297B}"/>
              </c:ext>
            </c:extLst>
          </c:dPt>
          <c:dPt>
            <c:idx val="2"/>
            <c:invertIfNegative val="0"/>
            <c:bubble3D val="0"/>
            <c:extLst xmlns:c16r2="http://schemas.microsoft.com/office/drawing/2015/06/chart">
              <c:ext xmlns:c16="http://schemas.microsoft.com/office/drawing/2014/chart" uri="{C3380CC4-5D6E-409C-BE32-E72D297353CC}">
                <c16:uniqueId val="{00000002-8A68-4634-B91E-A41CBD61297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Sheet1!$B$2:$B$4</c:f>
              <c:numCache>
                <c:formatCode>0.0</c:formatCode>
                <c:ptCount val="3"/>
                <c:pt idx="0">
                  <c:v>1129.5</c:v>
                </c:pt>
                <c:pt idx="1">
                  <c:v>1120.5999999999999</c:v>
                </c:pt>
                <c:pt idx="2">
                  <c:v>1466.9</c:v>
                </c:pt>
              </c:numCache>
            </c:numRef>
          </c:val>
          <c:extLst xmlns:c16r2="http://schemas.microsoft.com/office/drawing/2015/06/chart">
            <c:ext xmlns:c16="http://schemas.microsoft.com/office/drawing/2014/chart" uri="{C3380CC4-5D6E-409C-BE32-E72D297353CC}">
              <c16:uniqueId val="{00000003-8A68-4634-B91E-A41CBD61297B}"/>
            </c:ext>
          </c:extLst>
        </c:ser>
        <c:ser>
          <c:idx val="1"/>
          <c:order val="1"/>
          <c:tx>
            <c:strRef>
              <c:f>Sheet1!$C$1</c:f>
              <c:strCache>
                <c:ptCount val="1"/>
                <c:pt idx="0">
                  <c:v>BUAT</c:v>
                </c:pt>
              </c:strCache>
            </c:strRef>
          </c:tx>
          <c:spPr>
            <a:pattFill prst="pct90">
              <a:fgClr>
                <a:schemeClr val="accent2">
                  <a:lumMod val="75000"/>
                </a:schemeClr>
              </a:fgClr>
              <a:bgClr>
                <a:schemeClr val="bg1"/>
              </a:bgClr>
            </a:pattFill>
            <a:ln>
              <a:noFill/>
            </a:ln>
            <a:effectLst>
              <a:outerShdw blurRad="57150" dist="19050" dir="5400000" algn="ctr" rotWithShape="0">
                <a:srgbClr val="000000">
                  <a:alpha val="63000"/>
                </a:srgbClr>
              </a:outerShdw>
            </a:effectLst>
          </c:spPr>
          <c:invertIfNegative val="0"/>
          <c:dLbls>
            <c:dLbl>
              <c:idx val="0"/>
              <c:layout>
                <c:manualLayout>
                  <c:x val="-1.96622925220386E-17"/>
                  <c:y val="2.238501647025665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A68-4634-B91E-A41CBD61297B}"/>
                </c:ext>
                <c:ext xmlns:c15="http://schemas.microsoft.com/office/drawing/2012/chart" uri="{CE6537A1-D6FC-4f65-9D91-7224C49458BB}"/>
              </c:extLst>
            </c:dLbl>
            <c:dLbl>
              <c:idx val="1"/>
              <c:layout>
                <c:manualLayout>
                  <c:x val="-7.86491700881544E-17"/>
                  <c:y val="3.836534904613433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A68-4634-B91E-A41CBD61297B}"/>
                </c:ext>
                <c:ext xmlns:c15="http://schemas.microsoft.com/office/drawing/2012/chart" uri="{CE6537A1-D6FC-4f65-9D91-7224C49458BB}">
                  <c15:layout>
                    <c:manualLayout>
                      <c:w val="5.6971256971256969E-2"/>
                      <c:h val="9.4994627349433661E-2"/>
                    </c:manualLayout>
                  </c15:layout>
                </c:ext>
              </c:extLst>
            </c:dLbl>
            <c:dLbl>
              <c:idx val="2"/>
              <c:layout>
                <c:manualLayout>
                  <c:x val="-2.1450021450021449E-3"/>
                  <c:y val="1.173571843787982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A68-4634-B91E-A41CBD6129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Sheet1!$C$2:$C$4</c:f>
              <c:numCache>
                <c:formatCode>0.0</c:formatCode>
                <c:ptCount val="3"/>
                <c:pt idx="0">
                  <c:v>228.6</c:v>
                </c:pt>
                <c:pt idx="1">
                  <c:v>293.89999999999998</c:v>
                </c:pt>
                <c:pt idx="2">
                  <c:v>276.5</c:v>
                </c:pt>
              </c:numCache>
            </c:numRef>
          </c:val>
          <c:extLst xmlns:c16r2="http://schemas.microsoft.com/office/drawing/2015/06/chart">
            <c:ext xmlns:c16="http://schemas.microsoft.com/office/drawing/2014/chart" uri="{C3380CC4-5D6E-409C-BE32-E72D297353CC}">
              <c16:uniqueId val="{00000007-8A68-4634-B91E-A41CBD61297B}"/>
            </c:ext>
          </c:extLst>
        </c:ser>
        <c:ser>
          <c:idx val="2"/>
          <c:order val="2"/>
          <c:tx>
            <c:strRef>
              <c:f>Sheet1!$D$1</c:f>
              <c:strCache>
                <c:ptCount val="1"/>
                <c:pt idx="0">
                  <c:v>BASS</c:v>
                </c:pt>
              </c:strCache>
            </c:strRef>
          </c:tx>
          <c:spPr>
            <a:pattFill prst="openDmnd">
              <a:fgClr>
                <a:sysClr val="windowText" lastClr="000000"/>
              </a:fgClr>
              <a:bgClr>
                <a:schemeClr val="bg1"/>
              </a:bgClr>
            </a:patt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Sheet1!$D$2:$D$4</c:f>
              <c:numCache>
                <c:formatCode>0.0</c:formatCode>
                <c:ptCount val="3"/>
                <c:pt idx="0">
                  <c:v>426.7</c:v>
                </c:pt>
                <c:pt idx="1">
                  <c:v>361.5</c:v>
                </c:pt>
                <c:pt idx="2">
                  <c:v>389.4</c:v>
                </c:pt>
              </c:numCache>
            </c:numRef>
          </c:val>
          <c:extLst xmlns:c16r2="http://schemas.microsoft.com/office/drawing/2015/06/chart">
            <c:ext xmlns:c16="http://schemas.microsoft.com/office/drawing/2014/chart" uri="{C3380CC4-5D6E-409C-BE32-E72D297353CC}">
              <c16:uniqueId val="{00000008-8A68-4634-B91E-A41CBD61297B}"/>
            </c:ext>
          </c:extLst>
        </c:ser>
        <c:ser>
          <c:idx val="3"/>
          <c:order val="3"/>
          <c:tx>
            <c:strRef>
              <c:f>Sheet1!$E$1</c:f>
              <c:strCache>
                <c:ptCount val="1"/>
                <c:pt idx="0">
                  <c:v>FAOAM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Sheet1!$E$2:$E$4</c:f>
              <c:numCache>
                <c:formatCode>0.0</c:formatCode>
                <c:ptCount val="3"/>
                <c:pt idx="0">
                  <c:v>59.9</c:v>
                </c:pt>
                <c:pt idx="1">
                  <c:v>49.8</c:v>
                </c:pt>
                <c:pt idx="2">
                  <c:v>49.2</c:v>
                </c:pt>
              </c:numCache>
            </c:numRef>
          </c:val>
          <c:extLst xmlns:c16r2="http://schemas.microsoft.com/office/drawing/2015/06/chart">
            <c:ext xmlns:c16="http://schemas.microsoft.com/office/drawing/2014/chart" uri="{C3380CC4-5D6E-409C-BE32-E72D297353CC}">
              <c16:uniqueId val="{00000009-8A68-4634-B91E-A41CBD61297B}"/>
            </c:ext>
          </c:extLst>
        </c:ser>
        <c:dLbls>
          <c:showLegendKey val="0"/>
          <c:showVal val="0"/>
          <c:showCatName val="0"/>
          <c:showSerName val="0"/>
          <c:showPercent val="0"/>
          <c:showBubbleSize val="0"/>
        </c:dLbls>
        <c:gapWidth val="247"/>
        <c:axId val="325140064"/>
        <c:axId val="325140456"/>
      </c:barChart>
      <c:lineChart>
        <c:grouping val="standard"/>
        <c:varyColors val="0"/>
        <c:ser>
          <c:idx val="4"/>
          <c:order val="4"/>
          <c:tx>
            <c:strRef>
              <c:f>Sheet1!$F$1</c:f>
              <c:strCache>
                <c:ptCount val="1"/>
                <c:pt idx="0">
                  <c:v>BPN</c:v>
                </c:pt>
              </c:strCache>
            </c:strRef>
          </c:tx>
          <c:spPr>
            <a:ln w="34925" cap="rnd">
              <a:solidFill>
                <a:schemeClr val="accent5"/>
              </a:solidFill>
              <a:round/>
            </a:ln>
            <a:effectLst>
              <a:outerShdw blurRad="57150" dist="19050" dir="5400000" algn="ctr" rotWithShape="0">
                <a:srgbClr val="000000">
                  <a:alpha val="63000"/>
                </a:srgbClr>
              </a:outerShdw>
            </a:effectLst>
          </c:spPr>
          <c:marker>
            <c:symbol val="circle"/>
            <c:size val="6"/>
            <c:spPr>
              <a:solidFill>
                <a:srgbClr val="FF0000"/>
              </a:solidFill>
              <a:ln w="9525">
                <a:solidFill>
                  <a:schemeClr val="accent5"/>
                </a:solidFill>
                <a:round/>
              </a:ln>
              <a:effectLst>
                <a:outerShdw blurRad="57150" dist="19050" dir="5400000" algn="ctr" rotWithShape="0">
                  <a:srgbClr val="000000">
                    <a:alpha val="63000"/>
                  </a:srgbClr>
                </a:outerShdw>
              </a:effectLst>
            </c:spPr>
          </c:marker>
          <c:dPt>
            <c:idx val="2"/>
            <c:bubble3D val="0"/>
            <c:extLst xmlns:c16r2="http://schemas.microsoft.com/office/drawing/2015/06/chart">
              <c:ext xmlns:c16="http://schemas.microsoft.com/office/drawing/2014/chart" uri="{C3380CC4-5D6E-409C-BE32-E72D297353CC}">
                <c16:uniqueId val="{0000000A-8A68-4634-B91E-A41CBD61297B}"/>
              </c:ext>
            </c:extLst>
          </c:dPt>
          <c:dLbls>
            <c:dLbl>
              <c:idx val="0"/>
              <c:layout>
                <c:manualLayout>
                  <c:x val="-4.9847823076169549E-2"/>
                  <c:y val="-5.17738554492768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A68-4634-B91E-A41CBD61297B}"/>
                </c:ext>
                <c:ext xmlns:c15="http://schemas.microsoft.com/office/drawing/2012/chart" uri="{CE6537A1-D6FC-4f65-9D91-7224C49458BB}"/>
              </c:extLst>
            </c:dLbl>
            <c:dLbl>
              <c:idx val="1"/>
              <c:layout>
                <c:manualLayout>
                  <c:x val="-4.749963686971561E-2"/>
                  <c:y val="-6.53164579259807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A68-4634-B91E-A41CBD61297B}"/>
                </c:ext>
                <c:ext xmlns:c15="http://schemas.microsoft.com/office/drawing/2012/chart" uri="{CE6537A1-D6FC-4f65-9D91-7224C49458BB}"/>
              </c:extLst>
            </c:dLbl>
            <c:dLbl>
              <c:idx val="2"/>
              <c:layout>
                <c:manualLayout>
                  <c:x val="-3.4320034320034318E-2"/>
                  <c:y val="-4.47427293064877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A68-4634-B91E-A41CBD6129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Sheet1!$F$2:$F$4</c:f>
              <c:numCache>
                <c:formatCode>0.0</c:formatCode>
                <c:ptCount val="3"/>
                <c:pt idx="0">
                  <c:v>1844.6</c:v>
                </c:pt>
                <c:pt idx="1">
                  <c:v>1826</c:v>
                </c:pt>
                <c:pt idx="2">
                  <c:v>2182</c:v>
                </c:pt>
              </c:numCache>
            </c:numRef>
          </c:val>
          <c:smooth val="0"/>
          <c:extLst xmlns:c16r2="http://schemas.microsoft.com/office/drawing/2015/06/chart">
            <c:ext xmlns:c16="http://schemas.microsoft.com/office/drawing/2014/chart" uri="{C3380CC4-5D6E-409C-BE32-E72D297353CC}">
              <c16:uniqueId val="{0000000D-8A68-4634-B91E-A41CBD61297B}"/>
            </c:ext>
          </c:extLst>
        </c:ser>
        <c:dLbls>
          <c:showLegendKey val="0"/>
          <c:showVal val="0"/>
          <c:showCatName val="0"/>
          <c:showSerName val="0"/>
          <c:showPercent val="0"/>
          <c:showBubbleSize val="0"/>
        </c:dLbls>
        <c:marker val="1"/>
        <c:smooth val="0"/>
        <c:axId val="325140064"/>
        <c:axId val="325140456"/>
      </c:lineChart>
      <c:catAx>
        <c:axId val="3251400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25140456"/>
        <c:crosses val="autoZero"/>
        <c:auto val="1"/>
        <c:lblAlgn val="ctr"/>
        <c:lblOffset val="100"/>
        <c:noMultiLvlLbl val="0"/>
      </c:catAx>
      <c:valAx>
        <c:axId val="3251404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51400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Impozit pe venit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Sheet1!$B$2:$B$4</c:f>
              <c:numCache>
                <c:formatCode>0.0</c:formatCode>
                <c:ptCount val="3"/>
                <c:pt idx="0">
                  <c:v>237.4</c:v>
                </c:pt>
                <c:pt idx="1">
                  <c:v>199.1</c:v>
                </c:pt>
                <c:pt idx="2">
                  <c:v>289</c:v>
                </c:pt>
              </c:numCache>
            </c:numRef>
          </c:val>
          <c:extLst xmlns:c16r2="http://schemas.microsoft.com/office/drawing/2015/06/chart">
            <c:ext xmlns:c16="http://schemas.microsoft.com/office/drawing/2014/chart" uri="{C3380CC4-5D6E-409C-BE32-E72D297353CC}">
              <c16:uniqueId val="{00000000-5E4B-4838-A701-88D40F346894}"/>
            </c:ext>
          </c:extLst>
        </c:ser>
        <c:ser>
          <c:idx val="1"/>
          <c:order val="1"/>
          <c:tx>
            <c:strRef>
              <c:f>Sheet1!$C$1</c:f>
              <c:strCache>
                <c:ptCount val="1"/>
                <c:pt idx="0">
                  <c:v>TVA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Sheet1!$C$2:$C$4</c:f>
              <c:numCache>
                <c:formatCode>0.0</c:formatCode>
                <c:ptCount val="3"/>
                <c:pt idx="0">
                  <c:v>362.4</c:v>
                </c:pt>
                <c:pt idx="1">
                  <c:v>384.5</c:v>
                </c:pt>
                <c:pt idx="2">
                  <c:v>475.4</c:v>
                </c:pt>
              </c:numCache>
            </c:numRef>
          </c:val>
          <c:extLst xmlns:c16r2="http://schemas.microsoft.com/office/drawing/2015/06/chart">
            <c:ext xmlns:c16="http://schemas.microsoft.com/office/drawing/2014/chart" uri="{C3380CC4-5D6E-409C-BE32-E72D297353CC}">
              <c16:uniqueId val="{00000001-5E4B-4838-A701-88D40F346894}"/>
            </c:ext>
          </c:extLst>
        </c:ser>
        <c:ser>
          <c:idx val="2"/>
          <c:order val="2"/>
          <c:tx>
            <c:strRef>
              <c:f>Sheet1!$D$1</c:f>
              <c:strCache>
                <c:ptCount val="1"/>
                <c:pt idx="0">
                  <c:v>Impozit pe proprietate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Sheet1!$D$2:$D$4</c:f>
              <c:numCache>
                <c:formatCode>0.0</c:formatCode>
                <c:ptCount val="3"/>
                <c:pt idx="0">
                  <c:v>67.8</c:v>
                </c:pt>
                <c:pt idx="1">
                  <c:v>67.400000000000006</c:v>
                </c:pt>
                <c:pt idx="2">
                  <c:v>64.5</c:v>
                </c:pt>
              </c:numCache>
            </c:numRef>
          </c:val>
          <c:extLst xmlns:c16r2="http://schemas.microsoft.com/office/drawing/2015/06/chart">
            <c:ext xmlns:c16="http://schemas.microsoft.com/office/drawing/2014/chart" uri="{C3380CC4-5D6E-409C-BE32-E72D297353CC}">
              <c16:uniqueId val="{00000002-5E4B-4838-A701-88D40F346894}"/>
            </c:ext>
          </c:extLst>
        </c:ser>
        <c:ser>
          <c:idx val="3"/>
          <c:order val="3"/>
          <c:tx>
            <c:strRef>
              <c:f>Sheet1!$E$1</c:f>
              <c:strCache>
                <c:ptCount val="1"/>
                <c:pt idx="0">
                  <c:v>Accize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Sheet1!$E$2:$E$4</c:f>
              <c:numCache>
                <c:formatCode>0.0</c:formatCode>
                <c:ptCount val="3"/>
                <c:pt idx="0">
                  <c:v>8.5</c:v>
                </c:pt>
                <c:pt idx="1">
                  <c:v>55.5</c:v>
                </c:pt>
                <c:pt idx="2">
                  <c:v>48.6</c:v>
                </c:pt>
              </c:numCache>
            </c:numRef>
          </c:val>
          <c:extLst xmlns:c16r2="http://schemas.microsoft.com/office/drawing/2015/06/chart">
            <c:ext xmlns:c16="http://schemas.microsoft.com/office/drawing/2014/chart" uri="{C3380CC4-5D6E-409C-BE32-E72D297353CC}">
              <c16:uniqueId val="{00000003-5E4B-4838-A701-88D40F346894}"/>
            </c:ext>
          </c:extLst>
        </c:ser>
        <c:ser>
          <c:idx val="4"/>
          <c:order val="4"/>
          <c:tx>
            <c:strRef>
              <c:f>Sheet1!$F$1</c:f>
              <c:strCache>
                <c:ptCount val="1"/>
                <c:pt idx="0">
                  <c:v>Taxe resurse naturale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Sheet1!$F$2:$F$4</c:f>
              <c:numCache>
                <c:formatCode>0.0</c:formatCode>
                <c:ptCount val="3"/>
                <c:pt idx="0">
                  <c:v>3.6</c:v>
                </c:pt>
                <c:pt idx="1">
                  <c:v>1.7</c:v>
                </c:pt>
                <c:pt idx="2">
                  <c:v>1.6</c:v>
                </c:pt>
              </c:numCache>
            </c:numRef>
          </c:val>
          <c:extLst xmlns:c16r2="http://schemas.microsoft.com/office/drawing/2015/06/chart">
            <c:ext xmlns:c16="http://schemas.microsoft.com/office/drawing/2014/chart" uri="{C3380CC4-5D6E-409C-BE32-E72D297353CC}">
              <c16:uniqueId val="{00000004-5E4B-4838-A701-88D40F346894}"/>
            </c:ext>
          </c:extLst>
        </c:ser>
        <c:ser>
          <c:idx val="5"/>
          <c:order val="5"/>
          <c:tx>
            <c:strRef>
              <c:f>Sheet1!$G$1</c:f>
              <c:strCache>
                <c:ptCount val="1"/>
                <c:pt idx="0">
                  <c:v>Taxa pentru poluarea mediului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Sheet1!$G$2:$G$4</c:f>
              <c:numCache>
                <c:formatCode>0.0</c:formatCode>
                <c:ptCount val="3"/>
                <c:pt idx="0">
                  <c:v>0</c:v>
                </c:pt>
                <c:pt idx="1">
                  <c:v>0</c:v>
                </c:pt>
                <c:pt idx="2">
                  <c:v>1.3</c:v>
                </c:pt>
              </c:numCache>
            </c:numRef>
          </c:val>
          <c:extLst xmlns:c16r2="http://schemas.microsoft.com/office/drawing/2015/06/chart">
            <c:ext xmlns:c16="http://schemas.microsoft.com/office/drawing/2014/chart" uri="{C3380CC4-5D6E-409C-BE32-E72D297353CC}">
              <c16:uniqueId val="{00000005-5E4B-4838-A701-88D40F346894}"/>
            </c:ext>
          </c:extLst>
        </c:ser>
        <c:ser>
          <c:idx val="6"/>
          <c:order val="6"/>
          <c:tx>
            <c:strRef>
              <c:f>Sheet1!$H$1</c:f>
              <c:strCache>
                <c:ptCount val="1"/>
                <c:pt idx="0">
                  <c:v>Taxa pentru folosirea drumurilor</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Sheet1!$H$2:$H$4</c:f>
              <c:numCache>
                <c:formatCode>0.0</c:formatCode>
                <c:ptCount val="3"/>
                <c:pt idx="0">
                  <c:v>7.1</c:v>
                </c:pt>
                <c:pt idx="1">
                  <c:v>6.7</c:v>
                </c:pt>
                <c:pt idx="2">
                  <c:v>5.3</c:v>
                </c:pt>
              </c:numCache>
            </c:numRef>
          </c:val>
          <c:extLst xmlns:c16r2="http://schemas.microsoft.com/office/drawing/2015/06/chart">
            <c:ext xmlns:c16="http://schemas.microsoft.com/office/drawing/2014/chart" uri="{C3380CC4-5D6E-409C-BE32-E72D297353CC}">
              <c16:uniqueId val="{00000006-5E4B-4838-A701-88D40F346894}"/>
            </c:ext>
          </c:extLst>
        </c:ser>
        <c:ser>
          <c:idx val="7"/>
          <c:order val="7"/>
          <c:tx>
            <c:strRef>
              <c:f>Sheet1!$I$1</c:f>
              <c:strCache>
                <c:ptCount val="1"/>
                <c:pt idx="0">
                  <c:v>Alte impozite și taxe</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Sheet1!$I$2:$I$4</c:f>
              <c:numCache>
                <c:formatCode>0.0</c:formatCode>
                <c:ptCount val="3"/>
                <c:pt idx="0">
                  <c:v>31.9</c:v>
                </c:pt>
                <c:pt idx="1">
                  <c:v>31.9</c:v>
                </c:pt>
                <c:pt idx="2">
                  <c:v>27.7</c:v>
                </c:pt>
              </c:numCache>
            </c:numRef>
          </c:val>
          <c:extLst xmlns:c16r2="http://schemas.microsoft.com/office/drawing/2015/06/chart">
            <c:ext xmlns:c16="http://schemas.microsoft.com/office/drawing/2014/chart" uri="{C3380CC4-5D6E-409C-BE32-E72D297353CC}">
              <c16:uniqueId val="{00000007-5E4B-4838-A701-88D40F346894}"/>
            </c:ext>
          </c:extLst>
        </c:ser>
        <c:ser>
          <c:idx val="8"/>
          <c:order val="8"/>
          <c:tx>
            <c:strRef>
              <c:f>Sheet1!$J$1</c:f>
              <c:strCache>
                <c:ptCount val="1"/>
                <c:pt idx="0">
                  <c:v>Venituri din proprietate</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Sheet1!$J$2:$J$4</c:f>
              <c:numCache>
                <c:formatCode>0.0</c:formatCode>
                <c:ptCount val="3"/>
                <c:pt idx="0">
                  <c:v>1.9</c:v>
                </c:pt>
                <c:pt idx="1">
                  <c:v>0.4</c:v>
                </c:pt>
                <c:pt idx="2">
                  <c:v>0.4</c:v>
                </c:pt>
              </c:numCache>
            </c:numRef>
          </c:val>
          <c:extLst xmlns:c16r2="http://schemas.microsoft.com/office/drawing/2015/06/chart">
            <c:ext xmlns:c16="http://schemas.microsoft.com/office/drawing/2014/chart" uri="{C3380CC4-5D6E-409C-BE32-E72D297353CC}">
              <c16:uniqueId val="{00000008-5E4B-4838-A701-88D40F346894}"/>
            </c:ext>
          </c:extLst>
        </c:ser>
        <c:ser>
          <c:idx val="9"/>
          <c:order val="9"/>
          <c:tx>
            <c:strRef>
              <c:f>Sheet1!$K$1</c:f>
              <c:strCache>
                <c:ptCount val="1"/>
                <c:pt idx="0">
                  <c:v>Alte venituri</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Anul 2015</c:v>
                </c:pt>
                <c:pt idx="1">
                  <c:v>Anul 2016</c:v>
                </c:pt>
                <c:pt idx="2">
                  <c:v>Anul 2017</c:v>
                </c:pt>
              </c:strCache>
            </c:strRef>
          </c:cat>
          <c:val>
            <c:numRef>
              <c:f>Sheet1!$K$2:$K$4</c:f>
              <c:numCache>
                <c:formatCode>0.0</c:formatCode>
                <c:ptCount val="3"/>
                <c:pt idx="0">
                  <c:v>5.2</c:v>
                </c:pt>
                <c:pt idx="1">
                  <c:v>4.0999999999999996</c:v>
                </c:pt>
                <c:pt idx="2">
                  <c:v>2.9</c:v>
                </c:pt>
              </c:numCache>
            </c:numRef>
          </c:val>
          <c:extLst xmlns:c16r2="http://schemas.microsoft.com/office/drawing/2015/06/chart">
            <c:ext xmlns:c16="http://schemas.microsoft.com/office/drawing/2014/chart" uri="{C3380CC4-5D6E-409C-BE32-E72D297353CC}">
              <c16:uniqueId val="{00000009-5E4B-4838-A701-88D40F346894}"/>
            </c:ext>
          </c:extLst>
        </c:ser>
        <c:dLbls>
          <c:dLblPos val="outEnd"/>
          <c:showLegendKey val="0"/>
          <c:showVal val="1"/>
          <c:showCatName val="0"/>
          <c:showSerName val="0"/>
          <c:showPercent val="0"/>
          <c:showBubbleSize val="0"/>
        </c:dLbls>
        <c:gapWidth val="100"/>
        <c:overlap val="-24"/>
        <c:axId val="327846000"/>
        <c:axId val="327846392"/>
      </c:barChart>
      <c:catAx>
        <c:axId val="3278460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327846392"/>
        <c:crosses val="autoZero"/>
        <c:auto val="1"/>
        <c:lblAlgn val="ctr"/>
        <c:lblOffset val="100"/>
        <c:noMultiLvlLbl val="0"/>
      </c:catAx>
      <c:valAx>
        <c:axId val="327846392"/>
        <c:scaling>
          <c:orientation val="minMax"/>
        </c:scaling>
        <c:delete val="1"/>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327846000"/>
        <c:crosses val="autoZero"/>
        <c:crossBetween val="between"/>
      </c:valAx>
      <c:spPr>
        <a:noFill/>
        <a:ln>
          <a:noFill/>
        </a:ln>
        <a:effectLst>
          <a:softEdge rad="63500"/>
        </a:effectLst>
      </c:spPr>
    </c:plotArea>
    <c:legend>
      <c:legendPos val="b"/>
      <c:layout>
        <c:manualLayout>
          <c:xMode val="edge"/>
          <c:yMode val="edge"/>
          <c:x val="1.3398038786818306E-2"/>
          <c:y val="0.68765170672203824"/>
          <c:w val="0.96394466316710414"/>
          <c:h val="0.207685560192704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MD" b="1" i="0">
                <a:solidFill>
                  <a:schemeClr val="tx1"/>
                </a:solidFill>
                <a:latin typeface="Times New Roman" panose="02020603050405020304" pitchFamily="18" charset="0"/>
                <a:cs typeface="Times New Roman" panose="02020603050405020304" pitchFamily="18" charset="0"/>
              </a:rPr>
              <a:t>Restanța contribuabililor mari la BPN pentru perioada anilor 2015-2017</a:t>
            </a:r>
            <a:endParaRPr lang="en-US" b="1" i="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Total restanță</c:v>
                </c:pt>
              </c:strCache>
            </c:strRef>
          </c:tx>
          <c:spPr>
            <a:pattFill prst="pct80">
              <a:fgClr>
                <a:srgbClr val="C00000"/>
              </a:fgClr>
              <a:bgClr>
                <a:schemeClr val="bg1"/>
              </a:bgClr>
            </a:pattFill>
            <a:ln>
              <a:noFill/>
            </a:ln>
            <a:effectLst/>
          </c:spPr>
          <c:invertIfNegative val="0"/>
          <c:dLbls>
            <c:dLbl>
              <c:idx val="0"/>
              <c:layout>
                <c:manualLayout>
                  <c:x val="0"/>
                  <c:y val="-8.8300220750551855E-2"/>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C917F830-65C8-485A-9B4B-7D5DE6FDBCEB}" type="VALUE">
                      <a:rPr lang="en-US">
                        <a:solidFill>
                          <a:schemeClr val="bg1"/>
                        </a:solidFill>
                      </a:rPr>
                      <a:pPr>
                        <a:defRPr b="1">
                          <a:solidFill>
                            <a:schemeClr val="tx1"/>
                          </a:solidFill>
                          <a:latin typeface="Times New Roman" panose="02020603050405020304" pitchFamily="18" charset="0"/>
                          <a:cs typeface="Times New Roman" panose="02020603050405020304" pitchFamily="18" charset="0"/>
                        </a:defRPr>
                      </a:pPr>
                      <a:t>[ЗНАЧЕНИЕ]</a:t>
                    </a:fld>
                    <a:endParaRPr lang="ru-RU"/>
                  </a:p>
                </c:rich>
              </c:tx>
              <c:spPr>
                <a:solidFill>
                  <a:srgbClr val="C0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EE1-45F8-B4BA-2C6D3F36010C}"/>
                </c:ext>
                <c:ext xmlns:c15="http://schemas.microsoft.com/office/drawing/2012/chart" uri="{CE6537A1-D6FC-4f65-9D91-7224C49458BB}">
                  <c15:spPr xmlns:c15="http://schemas.microsoft.com/office/drawing/2012/chart">
                    <a:prstGeom prst="wedgeEllipseCallout">
                      <a:avLst/>
                    </a:prstGeom>
                    <a:noFill/>
                    <a:ln>
                      <a:noFill/>
                    </a:ln>
                  </c15:spPr>
                  <c15:dlblFieldTable/>
                  <c15:showDataLabelsRange val="0"/>
                </c:ext>
              </c:extLst>
            </c:dLbl>
            <c:dLbl>
              <c:idx val="1"/>
              <c:layout>
                <c:manualLayout>
                  <c:x val="2.3148148148148147E-3"/>
                  <c:y val="-6.0706401766004413E-2"/>
                </c:manualLayout>
              </c:layout>
              <c:spPr>
                <a:solidFill>
                  <a:srgbClr val="C0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EE1-45F8-B4BA-2C6D3F36010C}"/>
                </c:ext>
                <c:ext xmlns:c15="http://schemas.microsoft.com/office/drawing/2012/chart" uri="{CE6537A1-D6FC-4f65-9D91-7224C49458BB}">
                  <c15:spPr xmlns:c15="http://schemas.microsoft.com/office/drawing/2012/chart">
                    <a:prstGeom prst="wedgeEllipseCallout">
                      <a:avLst/>
                    </a:prstGeom>
                    <a:noFill/>
                    <a:ln>
                      <a:noFill/>
                    </a:ln>
                  </c15:spPr>
                </c:ext>
              </c:extLst>
            </c:dLbl>
            <c:dLbl>
              <c:idx val="2"/>
              <c:layout>
                <c:manualLayout>
                  <c:x val="0"/>
                  <c:y val="-8.2781456953642391E-2"/>
                </c:manualLayout>
              </c:layout>
              <c:spPr>
                <a:solidFill>
                  <a:srgbClr val="C0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EE1-45F8-B4BA-2C6D3F36010C}"/>
                </c:ext>
                <c:ext xmlns:c15="http://schemas.microsoft.com/office/drawing/2012/chart" uri="{CE6537A1-D6FC-4f65-9D91-7224C49458BB}">
                  <c15:spPr xmlns:c15="http://schemas.microsoft.com/office/drawing/2012/chart">
                    <a:prstGeom prst="wedgeEllipseCallout">
                      <a:avLst/>
                    </a:prstGeom>
                    <a:noFill/>
                    <a:ln>
                      <a:noFill/>
                    </a:ln>
                  </c15:spPr>
                  <c15:layout>
                    <c:manualLayout>
                      <c:w val="8.5491214639836693E-2"/>
                      <c:h val="0.1257091828753194"/>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Ellipse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Sheet1!$B$2:$B$4</c:f>
              <c:numCache>
                <c:formatCode>General</c:formatCode>
                <c:ptCount val="3"/>
                <c:pt idx="0">
                  <c:v>136.5</c:v>
                </c:pt>
                <c:pt idx="1">
                  <c:v>127.03</c:v>
                </c:pt>
                <c:pt idx="2">
                  <c:v>78.52</c:v>
                </c:pt>
              </c:numCache>
            </c:numRef>
          </c:val>
          <c:extLst xmlns:c16r2="http://schemas.microsoft.com/office/drawing/2015/06/chart">
            <c:ext xmlns:c16="http://schemas.microsoft.com/office/drawing/2014/chart" uri="{C3380CC4-5D6E-409C-BE32-E72D297353CC}">
              <c16:uniqueId val="{00000003-3EE1-45F8-B4BA-2C6D3F36010C}"/>
            </c:ext>
          </c:extLst>
        </c:ser>
        <c:ser>
          <c:idx val="1"/>
          <c:order val="1"/>
          <c:tx>
            <c:strRef>
              <c:f>Sheet1!$C$1</c:f>
              <c:strCache>
                <c:ptCount val="1"/>
                <c:pt idx="0">
                  <c:v>Plăți de bază</c:v>
                </c:pt>
              </c:strCache>
            </c:strRef>
          </c:tx>
          <c:spPr>
            <a:pattFill prst="dkDnDiag">
              <a:fgClr>
                <a:schemeClr val="accent5">
                  <a:lumMod val="75000"/>
                </a:schemeClr>
              </a:fgClr>
              <a:bgClr>
                <a:schemeClr val="bg1"/>
              </a:bgClr>
            </a:patt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Sheet1!$C$2:$C$4</c:f>
              <c:numCache>
                <c:formatCode>General</c:formatCode>
                <c:ptCount val="3"/>
                <c:pt idx="0">
                  <c:v>114.89</c:v>
                </c:pt>
                <c:pt idx="1">
                  <c:v>93.93</c:v>
                </c:pt>
                <c:pt idx="2">
                  <c:v>69.11</c:v>
                </c:pt>
              </c:numCache>
            </c:numRef>
          </c:val>
          <c:extLst xmlns:c16r2="http://schemas.microsoft.com/office/drawing/2015/06/chart">
            <c:ext xmlns:c16="http://schemas.microsoft.com/office/drawing/2014/chart" uri="{C3380CC4-5D6E-409C-BE32-E72D297353CC}">
              <c16:uniqueId val="{00000004-3EE1-45F8-B4BA-2C6D3F36010C}"/>
            </c:ext>
          </c:extLst>
        </c:ser>
        <c:ser>
          <c:idx val="2"/>
          <c:order val="2"/>
          <c:tx>
            <c:strRef>
              <c:f>Sheet1!$D$1</c:f>
              <c:strCache>
                <c:ptCount val="1"/>
                <c:pt idx="0">
                  <c:v>Majorări de întîrzieri</c:v>
                </c:pt>
              </c:strCache>
            </c:strRef>
          </c:tx>
          <c:spPr>
            <a:pattFill prst="sphere">
              <a:fgClr>
                <a:schemeClr val="accent6">
                  <a:lumMod val="50000"/>
                </a:schemeClr>
              </a:fgClr>
              <a:bgClr>
                <a:schemeClr val="bg1"/>
              </a:bgClr>
            </a:patt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Sheet1!$D$2:$D$4</c:f>
              <c:numCache>
                <c:formatCode>General</c:formatCode>
                <c:ptCount val="3"/>
                <c:pt idx="0">
                  <c:v>16.579999999999998</c:v>
                </c:pt>
                <c:pt idx="1">
                  <c:v>24.89</c:v>
                </c:pt>
                <c:pt idx="2">
                  <c:v>9.0500000000000007</c:v>
                </c:pt>
              </c:numCache>
            </c:numRef>
          </c:val>
          <c:extLst xmlns:c16r2="http://schemas.microsoft.com/office/drawing/2015/06/chart">
            <c:ext xmlns:c16="http://schemas.microsoft.com/office/drawing/2014/chart" uri="{C3380CC4-5D6E-409C-BE32-E72D297353CC}">
              <c16:uniqueId val="{00000005-3EE1-45F8-B4BA-2C6D3F36010C}"/>
            </c:ext>
          </c:extLst>
        </c:ser>
        <c:ser>
          <c:idx val="3"/>
          <c:order val="3"/>
          <c:tx>
            <c:strRef>
              <c:f>Sheet1!$E$1</c:f>
              <c:strCache>
                <c:ptCount val="1"/>
                <c:pt idx="0">
                  <c:v>Amenzi</c:v>
                </c:pt>
              </c:strCache>
            </c:strRef>
          </c:tx>
          <c:spPr>
            <a:pattFill prst="trellis">
              <a:fgClr>
                <a:schemeClr val="accent4">
                  <a:lumMod val="75000"/>
                </a:schemeClr>
              </a:fgClr>
              <a:bgClr>
                <a:schemeClr val="bg1"/>
              </a:bgClr>
            </a:patt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Sheet1!$E$2:$E$4</c:f>
              <c:numCache>
                <c:formatCode>General</c:formatCode>
                <c:ptCount val="3"/>
                <c:pt idx="0">
                  <c:v>5.0199999999999996</c:v>
                </c:pt>
                <c:pt idx="1">
                  <c:v>8.2100000000000009</c:v>
                </c:pt>
                <c:pt idx="2">
                  <c:v>0.35</c:v>
                </c:pt>
              </c:numCache>
            </c:numRef>
          </c:val>
          <c:extLst xmlns:c16r2="http://schemas.microsoft.com/office/drawing/2015/06/chart">
            <c:ext xmlns:c16="http://schemas.microsoft.com/office/drawing/2014/chart" uri="{C3380CC4-5D6E-409C-BE32-E72D297353CC}">
              <c16:uniqueId val="{00000006-3EE1-45F8-B4BA-2C6D3F36010C}"/>
            </c:ext>
          </c:extLst>
        </c:ser>
        <c:dLbls>
          <c:showLegendKey val="0"/>
          <c:showVal val="0"/>
          <c:showCatName val="0"/>
          <c:showSerName val="0"/>
          <c:showPercent val="0"/>
          <c:showBubbleSize val="0"/>
        </c:dLbls>
        <c:gapWidth val="150"/>
        <c:axId val="327847176"/>
        <c:axId val="326680632"/>
      </c:barChart>
      <c:catAx>
        <c:axId val="32784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26680632"/>
        <c:crosses val="autoZero"/>
        <c:auto val="1"/>
        <c:lblAlgn val="ctr"/>
        <c:lblOffset val="100"/>
        <c:noMultiLvlLbl val="0"/>
      </c:catAx>
      <c:valAx>
        <c:axId val="326680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7847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innerShdw blurRad="63500" dist="50800" dir="18900000">
        <a:prstClr val="black">
          <a:alpha val="50000"/>
        </a:prstClr>
      </a:innerShdw>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sz="1200" b="1" i="0">
                <a:latin typeface="Times New Roman" panose="02020603050405020304" pitchFamily="18" charset="0"/>
                <a:cs typeface="Times New Roman" panose="02020603050405020304" pitchFamily="18" charset="0"/>
              </a:rPr>
              <a:t>Structura restanțelor</a:t>
            </a:r>
            <a:r>
              <a:rPr lang="x-none" sz="1200" b="1" i="0" baseline="0">
                <a:latin typeface="Times New Roman" panose="02020603050405020304" pitchFamily="18" charset="0"/>
                <a:cs typeface="Times New Roman" panose="02020603050405020304" pitchFamily="18" charset="0"/>
              </a:rPr>
              <a:t> administrate de</a:t>
            </a:r>
            <a:r>
              <a:rPr lang="x-none" sz="1200" b="1" i="0">
                <a:latin typeface="Times New Roman" panose="02020603050405020304" pitchFamily="18" charset="0"/>
                <a:cs typeface="Times New Roman" panose="02020603050405020304" pitchFamily="18" charset="0"/>
              </a:rPr>
              <a:t> SV, pe categorii de plăți</a:t>
            </a:r>
            <a:r>
              <a:rPr lang="x-none" sz="1200" b="1" i="0" baseline="0">
                <a:latin typeface="Times New Roman" panose="02020603050405020304" pitchFamily="18" charset="0"/>
                <a:cs typeface="Times New Roman" panose="02020603050405020304" pitchFamily="18" charset="0"/>
              </a:rPr>
              <a:t> vamale</a:t>
            </a:r>
            <a:endParaRPr lang="ro-MD" sz="1200" b="1" i="0" baseline="0">
              <a:latin typeface="Times New Roman" panose="02020603050405020304" pitchFamily="18" charset="0"/>
              <a:cs typeface="Times New Roman" panose="02020603050405020304" pitchFamily="18" charset="0"/>
            </a:endParaRPr>
          </a:p>
          <a:p>
            <a:pPr>
              <a:defRPr sz="12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sz="1200" b="1" i="0" baseline="0">
                <a:latin typeface="Times New Roman" panose="02020603050405020304" pitchFamily="18" charset="0"/>
                <a:cs typeface="Times New Roman" panose="02020603050405020304" pitchFamily="18" charset="0"/>
              </a:rPr>
              <a:t> </a:t>
            </a:r>
            <a:r>
              <a:rPr lang="x-none" sz="1200" b="1" i="0">
                <a:latin typeface="Times New Roman" panose="02020603050405020304" pitchFamily="18" charset="0"/>
                <a:cs typeface="Times New Roman" panose="02020603050405020304" pitchFamily="18" charset="0"/>
              </a:rPr>
              <a:t>în </a:t>
            </a:r>
            <a:r>
              <a:rPr lang="ro-MD" sz="1200" b="1" i="0">
                <a:latin typeface="Times New Roman" panose="02020603050405020304" pitchFamily="18" charset="0"/>
                <a:cs typeface="Times New Roman" panose="02020603050405020304" pitchFamily="18" charset="0"/>
              </a:rPr>
              <a:t> perioada </a:t>
            </a:r>
            <a:r>
              <a:rPr lang="x-none" sz="1200" b="1" i="0">
                <a:latin typeface="Times New Roman" panose="02020603050405020304" pitchFamily="18" charset="0"/>
                <a:cs typeface="Times New Roman" panose="02020603050405020304" pitchFamily="18" charset="0"/>
              </a:rPr>
              <a:t>2015-2017</a:t>
            </a:r>
            <a:endParaRPr lang="en-US" sz="1200" b="1" i="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8.184984689413824E-2"/>
          <c:y val="0.17672173454394755"/>
          <c:w val="0.89268719014289877"/>
          <c:h val="0.64663658968466253"/>
        </c:manualLayout>
      </c:layout>
      <c:barChart>
        <c:barDir val="col"/>
        <c:grouping val="clustered"/>
        <c:varyColors val="0"/>
        <c:ser>
          <c:idx val="0"/>
          <c:order val="0"/>
          <c:tx>
            <c:strRef>
              <c:f>Sheet1!$B$1</c:f>
              <c:strCache>
                <c:ptCount val="1"/>
                <c:pt idx="0">
                  <c:v>TVA</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Sheet1!$B$2:$B$4</c:f>
              <c:numCache>
                <c:formatCode>0.0</c:formatCode>
                <c:ptCount val="3"/>
                <c:pt idx="0">
                  <c:v>220.1</c:v>
                </c:pt>
                <c:pt idx="1">
                  <c:v>236.7</c:v>
                </c:pt>
                <c:pt idx="2">
                  <c:v>273.2</c:v>
                </c:pt>
              </c:numCache>
            </c:numRef>
          </c:val>
          <c:extLst xmlns:c16r2="http://schemas.microsoft.com/office/drawing/2015/06/chart">
            <c:ext xmlns:c16="http://schemas.microsoft.com/office/drawing/2014/chart" uri="{C3380CC4-5D6E-409C-BE32-E72D297353CC}">
              <c16:uniqueId val="{00000000-DF58-4F20-B8B8-0E7B136B7C2D}"/>
            </c:ext>
          </c:extLst>
        </c:ser>
        <c:ser>
          <c:idx val="1"/>
          <c:order val="1"/>
          <c:tx>
            <c:strRef>
              <c:f>Sheet1!$C$1</c:f>
              <c:strCache>
                <c:ptCount val="1"/>
                <c:pt idx="0">
                  <c:v>Accize</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Sheet1!$C$2:$C$4</c:f>
              <c:numCache>
                <c:formatCode>0.0</c:formatCode>
                <c:ptCount val="3"/>
                <c:pt idx="0">
                  <c:v>11.7</c:v>
                </c:pt>
                <c:pt idx="1">
                  <c:v>12.2</c:v>
                </c:pt>
                <c:pt idx="2">
                  <c:v>12.4</c:v>
                </c:pt>
              </c:numCache>
            </c:numRef>
          </c:val>
          <c:extLst xmlns:c16r2="http://schemas.microsoft.com/office/drawing/2015/06/chart">
            <c:ext xmlns:c16="http://schemas.microsoft.com/office/drawing/2014/chart" uri="{C3380CC4-5D6E-409C-BE32-E72D297353CC}">
              <c16:uniqueId val="{00000001-DF58-4F20-B8B8-0E7B136B7C2D}"/>
            </c:ext>
          </c:extLst>
        </c:ser>
        <c:ser>
          <c:idx val="2"/>
          <c:order val="2"/>
          <c:tx>
            <c:strRef>
              <c:f>Sheet1!$D$1</c:f>
              <c:strCache>
                <c:ptCount val="1"/>
                <c:pt idx="0">
                  <c:v>Taxe vamale</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Sheet1!$D$2:$D$4</c:f>
              <c:numCache>
                <c:formatCode>0.0</c:formatCode>
                <c:ptCount val="3"/>
                <c:pt idx="0">
                  <c:v>40.5</c:v>
                </c:pt>
                <c:pt idx="1">
                  <c:v>41.4</c:v>
                </c:pt>
                <c:pt idx="2">
                  <c:v>48.8</c:v>
                </c:pt>
              </c:numCache>
            </c:numRef>
          </c:val>
          <c:extLst xmlns:c16r2="http://schemas.microsoft.com/office/drawing/2015/06/chart">
            <c:ext xmlns:c16="http://schemas.microsoft.com/office/drawing/2014/chart" uri="{C3380CC4-5D6E-409C-BE32-E72D297353CC}">
              <c16:uniqueId val="{00000002-DF58-4F20-B8B8-0E7B136B7C2D}"/>
            </c:ext>
          </c:extLst>
        </c:ser>
        <c:ser>
          <c:idx val="3"/>
          <c:order val="3"/>
          <c:tx>
            <c:strRef>
              <c:f>Sheet1!$E$1</c:f>
              <c:strCache>
                <c:ptCount val="1"/>
                <c:pt idx="0">
                  <c:v>Amenzi</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Sheet1!$E$2:$E$4</c:f>
              <c:numCache>
                <c:formatCode>0.0</c:formatCode>
                <c:ptCount val="3"/>
                <c:pt idx="0">
                  <c:v>33</c:v>
                </c:pt>
                <c:pt idx="1">
                  <c:v>27.2</c:v>
                </c:pt>
                <c:pt idx="2">
                  <c:v>49</c:v>
                </c:pt>
              </c:numCache>
            </c:numRef>
          </c:val>
          <c:extLst xmlns:c16r2="http://schemas.microsoft.com/office/drawing/2015/06/chart">
            <c:ext xmlns:c16="http://schemas.microsoft.com/office/drawing/2014/chart" uri="{C3380CC4-5D6E-409C-BE32-E72D297353CC}">
              <c16:uniqueId val="{00000003-DF58-4F20-B8B8-0E7B136B7C2D}"/>
            </c:ext>
          </c:extLst>
        </c:ser>
        <c:ser>
          <c:idx val="4"/>
          <c:order val="4"/>
          <c:tx>
            <c:strRef>
              <c:f>Sheet1!$F$1</c:f>
              <c:strCache>
                <c:ptCount val="1"/>
                <c:pt idx="0">
                  <c:v>Taxe pentru proceduri vamale</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Sheet1!$F$2:$F$4</c:f>
              <c:numCache>
                <c:formatCode>0.0</c:formatCode>
                <c:ptCount val="3"/>
                <c:pt idx="0">
                  <c:v>1.9</c:v>
                </c:pt>
                <c:pt idx="1">
                  <c:v>2</c:v>
                </c:pt>
                <c:pt idx="2">
                  <c:v>2.4</c:v>
                </c:pt>
              </c:numCache>
            </c:numRef>
          </c:val>
          <c:extLst xmlns:c16r2="http://schemas.microsoft.com/office/drawing/2015/06/chart">
            <c:ext xmlns:c16="http://schemas.microsoft.com/office/drawing/2014/chart" uri="{C3380CC4-5D6E-409C-BE32-E72D297353CC}">
              <c16:uniqueId val="{00000004-DF58-4F20-B8B8-0E7B136B7C2D}"/>
            </c:ext>
          </c:extLst>
        </c:ser>
        <c:dLbls>
          <c:dLblPos val="outEnd"/>
          <c:showLegendKey val="0"/>
          <c:showVal val="1"/>
          <c:showCatName val="0"/>
          <c:showSerName val="0"/>
          <c:showPercent val="0"/>
          <c:showBubbleSize val="0"/>
        </c:dLbls>
        <c:gapWidth val="219"/>
        <c:overlap val="-27"/>
        <c:axId val="326681416"/>
        <c:axId val="326681808"/>
      </c:barChart>
      <c:catAx>
        <c:axId val="326681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6681808"/>
        <c:crosses val="autoZero"/>
        <c:auto val="1"/>
        <c:lblAlgn val="ctr"/>
        <c:lblOffset val="100"/>
        <c:noMultiLvlLbl val="0"/>
      </c:catAx>
      <c:valAx>
        <c:axId val="3266818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6681416"/>
        <c:crosses val="autoZero"/>
        <c:crossBetween val="between"/>
      </c:valAx>
      <c:spPr>
        <a:noFill/>
        <a:ln>
          <a:noFill/>
        </a:ln>
        <a:effectLst/>
      </c:spPr>
    </c:plotArea>
    <c:legend>
      <c:legendPos val="b"/>
      <c:layout>
        <c:manualLayout>
          <c:xMode val="edge"/>
          <c:yMode val="edge"/>
          <c:x val="0.12917274905854159"/>
          <c:y val="0.9055731014392433"/>
          <c:w val="0.83892117857296133"/>
          <c:h val="6.679609760318422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MD" sz="1200" b="1" i="0">
                <a:solidFill>
                  <a:sysClr val="windowText" lastClr="000000"/>
                </a:solidFill>
                <a:latin typeface="Times New Roman" panose="02020603050405020304" pitchFamily="18" charset="0"/>
                <a:cs typeface="Times New Roman" panose="02020603050405020304" pitchFamily="18" charset="0"/>
              </a:rPr>
              <a:t>Evoluția </a:t>
            </a:r>
            <a:r>
              <a:rPr lang="x-none" sz="1200" b="1" i="0">
                <a:solidFill>
                  <a:sysClr val="windowText" lastClr="000000"/>
                </a:solidFill>
                <a:latin typeface="Times New Roman" panose="02020603050405020304" pitchFamily="18" charset="0"/>
                <a:cs typeface="Times New Roman" panose="02020603050405020304" pitchFamily="18" charset="0"/>
              </a:rPr>
              <a:t>încasărilor în baza deciziilor de regularizare</a:t>
            </a:r>
            <a:r>
              <a:rPr lang="ro-MD" sz="1200" b="1" i="0">
                <a:solidFill>
                  <a:sysClr val="windowText" lastClr="000000"/>
                </a:solidFill>
                <a:latin typeface="Times New Roman" panose="02020603050405020304" pitchFamily="18" charset="0"/>
                <a:cs typeface="Times New Roman" panose="02020603050405020304" pitchFamily="18" charset="0"/>
              </a:rPr>
              <a:t> emise de către organele vamale</a:t>
            </a:r>
            <a:r>
              <a:rPr lang="ro-MD" sz="1200" b="1" i="0" baseline="0">
                <a:solidFill>
                  <a:sysClr val="windowText" lastClr="000000"/>
                </a:solidFill>
                <a:latin typeface="Times New Roman" panose="02020603050405020304" pitchFamily="18" charset="0"/>
                <a:cs typeface="Times New Roman" panose="02020603050405020304" pitchFamily="18" charset="0"/>
              </a:rPr>
              <a:t> în perioada anilor </a:t>
            </a:r>
            <a:r>
              <a:rPr lang="ro-MD" sz="1200" b="1" i="0">
                <a:solidFill>
                  <a:sysClr val="windowText" lastClr="000000"/>
                </a:solidFill>
                <a:latin typeface="Times New Roman" panose="02020603050405020304" pitchFamily="18" charset="0"/>
                <a:cs typeface="Times New Roman" panose="02020603050405020304" pitchFamily="18" charset="0"/>
              </a:rPr>
              <a:t>2015-2017</a:t>
            </a:r>
            <a:r>
              <a:rPr lang="x-none" sz="1200" b="1" i="0">
                <a:solidFill>
                  <a:sysClr val="windowText" lastClr="000000"/>
                </a:solidFill>
                <a:latin typeface="Times New Roman" panose="02020603050405020304" pitchFamily="18" charset="0"/>
                <a:cs typeface="Times New Roman" panose="02020603050405020304" pitchFamily="18" charset="0"/>
              </a:rPr>
              <a:t>  </a:t>
            </a:r>
            <a:endParaRPr lang="en-US" sz="1200" b="1" i="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Sheet1!$B$1</c:f>
              <c:strCache>
                <c:ptCount val="1"/>
                <c:pt idx="0">
                  <c:v>Suma calculată spre încasare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Sheet1!$B$2:$B$4</c:f>
              <c:numCache>
                <c:formatCode>0.0</c:formatCode>
                <c:ptCount val="3"/>
                <c:pt idx="0">
                  <c:v>41.5</c:v>
                </c:pt>
                <c:pt idx="1">
                  <c:v>59.3</c:v>
                </c:pt>
                <c:pt idx="2">
                  <c:v>81.400000000000006</c:v>
                </c:pt>
              </c:numCache>
            </c:numRef>
          </c:val>
          <c:smooth val="0"/>
          <c:extLst xmlns:c16r2="http://schemas.microsoft.com/office/drawing/2015/06/chart">
            <c:ext xmlns:c16="http://schemas.microsoft.com/office/drawing/2014/chart" uri="{C3380CC4-5D6E-409C-BE32-E72D297353CC}">
              <c16:uniqueId val="{00000000-DA6D-42ED-AED5-BEC042890289}"/>
            </c:ext>
          </c:extLst>
        </c:ser>
        <c:ser>
          <c:idx val="1"/>
          <c:order val="1"/>
          <c:tx>
            <c:strRef>
              <c:f>Sheet1!$C$1</c:f>
              <c:strCache>
                <c:ptCount val="1"/>
                <c:pt idx="0">
                  <c:v>Suma încasată</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2015</c:v>
                </c:pt>
                <c:pt idx="1">
                  <c:v>Anul 2016</c:v>
                </c:pt>
                <c:pt idx="2">
                  <c:v>Anul 2017</c:v>
                </c:pt>
              </c:strCache>
            </c:strRef>
          </c:cat>
          <c:val>
            <c:numRef>
              <c:f>Sheet1!$C$2:$C$4</c:f>
              <c:numCache>
                <c:formatCode>0.0</c:formatCode>
                <c:ptCount val="3"/>
                <c:pt idx="0">
                  <c:v>18.899999999999999</c:v>
                </c:pt>
                <c:pt idx="1">
                  <c:v>23.9</c:v>
                </c:pt>
                <c:pt idx="2">
                  <c:v>36</c:v>
                </c:pt>
              </c:numCache>
            </c:numRef>
          </c:val>
          <c:smooth val="0"/>
          <c:extLst xmlns:c16r2="http://schemas.microsoft.com/office/drawing/2015/06/chart">
            <c:ext xmlns:c16="http://schemas.microsoft.com/office/drawing/2014/chart" uri="{C3380CC4-5D6E-409C-BE32-E72D297353CC}">
              <c16:uniqueId val="{00000001-DA6D-42ED-AED5-BEC042890289}"/>
            </c:ext>
          </c:extLst>
        </c:ser>
        <c:dLbls>
          <c:dLblPos val="t"/>
          <c:showLegendKey val="0"/>
          <c:showVal val="1"/>
          <c:showCatName val="0"/>
          <c:showSerName val="0"/>
          <c:showPercent val="0"/>
          <c:showBubbleSize val="0"/>
        </c:dLbls>
        <c:smooth val="0"/>
        <c:axId val="329546288"/>
        <c:axId val="329546680"/>
      </c:lineChart>
      <c:catAx>
        <c:axId val="32954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9546680"/>
        <c:crosses val="autoZero"/>
        <c:auto val="1"/>
        <c:lblAlgn val="ctr"/>
        <c:lblOffset val="100"/>
        <c:noMultiLvlLbl val="0"/>
      </c:catAx>
      <c:valAx>
        <c:axId val="329546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9546288"/>
        <c:crosses val="autoZero"/>
        <c:crossBetween val="between"/>
      </c:valAx>
      <c:spPr>
        <a:gradFill>
          <a:gsLst>
            <a:gs pos="60000">
              <a:schemeClr val="accent1">
                <a:alpha val="96000"/>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o-MD" sz="1200" b="1" i="0">
                <a:solidFill>
                  <a:schemeClr val="tx1"/>
                </a:solidFill>
                <a:latin typeface="Times New Roman" panose="02020603050405020304" pitchFamily="18" charset="0"/>
                <a:cs typeface="Times New Roman" panose="02020603050405020304" pitchFamily="18" charset="0"/>
              </a:rPr>
              <a:t>Ponderea încasărilor administrate de SFS</a:t>
            </a:r>
            <a:r>
              <a:rPr lang="ro-MD" sz="1200" b="1" i="0">
                <a:solidFill>
                  <a:sysClr val="windowText" lastClr="000000"/>
                </a:solidFill>
                <a:latin typeface="Times New Roman" panose="02020603050405020304" pitchFamily="18" charset="0"/>
                <a:cs typeface="Times New Roman" panose="02020603050405020304" pitchFamily="18" charset="0"/>
              </a:rPr>
              <a:t> </a:t>
            </a:r>
            <a:r>
              <a:rPr lang="ro-MD" sz="1200" b="1" i="0">
                <a:solidFill>
                  <a:schemeClr val="tx1"/>
                </a:solidFill>
                <a:latin typeface="Times New Roman" panose="02020603050405020304" pitchFamily="18" charset="0"/>
                <a:cs typeface="Times New Roman" panose="02020603050405020304" pitchFamily="18" charset="0"/>
              </a:rPr>
              <a:t>și SV în BPN</a:t>
            </a:r>
          </a:p>
          <a:p>
            <a:pPr algn="ctr">
              <a:defRPr sz="1200" b="1" i="1">
                <a:latin typeface="Times New Roman" panose="02020603050405020304" pitchFamily="18" charset="0"/>
                <a:cs typeface="Times New Roman" panose="02020603050405020304" pitchFamily="18" charset="0"/>
              </a:defRPr>
            </a:pPr>
            <a:r>
              <a:rPr lang="ro-MD" sz="1200" b="1" i="0">
                <a:solidFill>
                  <a:schemeClr val="tx1"/>
                </a:solidFill>
                <a:latin typeface="Times New Roman" panose="02020603050405020304" pitchFamily="18" charset="0"/>
                <a:cs typeface="Times New Roman" panose="02020603050405020304" pitchFamily="18" charset="0"/>
              </a:rPr>
              <a:t> pentru perioada anilor 2015-2017</a:t>
            </a:r>
            <a:endParaRPr lang="en-US" sz="1200" b="1" i="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0358416125557368"/>
          <c:y val="1.532567049808429E-2"/>
        </c:manualLayout>
      </c:layout>
      <c:overlay val="0"/>
      <c:spPr>
        <a:gradFill>
          <a:gsLst>
            <a:gs pos="0">
              <a:srgbClr val="5B9BD5">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gradFill flip="none" rotWithShape="1">
            <a:gsLst>
              <a:gs pos="0">
                <a:srgbClr val="44546A">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tileRect/>
          </a:gradFill>
        </a:ln>
        <a:effectLst/>
      </c:spPr>
      <c:txPr>
        <a:bodyPr rot="0" spcFirstLastPara="1" vertOverflow="ellipsis" vert="horz" wrap="square" anchor="ctr" anchorCtr="1"/>
        <a:lstStyle/>
        <a:p>
          <a:pPr algn="ct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3.3707865168539325E-2"/>
          <c:y val="0.13866666666666669"/>
          <c:w val="0.93133583021223487"/>
          <c:h val="0.66133333333333333"/>
        </c:manualLayout>
      </c:layout>
      <c:barChart>
        <c:barDir val="col"/>
        <c:grouping val="clustered"/>
        <c:varyColors val="0"/>
        <c:ser>
          <c:idx val="1"/>
          <c:order val="1"/>
          <c:tx>
            <c:strRef>
              <c:f>Лист1!$C$1</c:f>
              <c:strCache>
                <c:ptCount val="1"/>
                <c:pt idx="0">
                  <c:v>BPN</c:v>
                </c:pt>
              </c:strCache>
            </c:strRef>
          </c:tx>
          <c:spPr>
            <a:solidFill>
              <a:schemeClr val="accent2">
                <a:lumMod val="75000"/>
                <a:alpha val="70000"/>
              </a:schemeClr>
            </a:solidFill>
            <a:ln>
              <a:noFill/>
            </a:ln>
            <a:effectLst/>
          </c:spPr>
          <c:invertIfNegative val="0"/>
          <c:dLbls>
            <c:dLbl>
              <c:idx val="0"/>
              <c:layout>
                <c:manualLayout>
                  <c:x val="-1.9059720457433291E-2"/>
                  <c:y val="9.195402298850574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097-41F8-AA9A-5CE90D33FCD2}"/>
                </c:ext>
                <c:ext xmlns:c15="http://schemas.microsoft.com/office/drawing/2012/chart" uri="{CE6537A1-D6FC-4f65-9D91-7224C49458BB}"/>
              </c:extLst>
            </c:dLbl>
            <c:dLbl>
              <c:idx val="1"/>
              <c:layout>
                <c:manualLayout>
                  <c:x val="-1.2706480304955527E-2"/>
                  <c:y val="9.195402298850574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097-41F8-AA9A-5CE90D33FCD2}"/>
                </c:ext>
                <c:ext xmlns:c15="http://schemas.microsoft.com/office/drawing/2012/chart" uri="{CE6537A1-D6FC-4f65-9D91-7224C49458BB}"/>
              </c:extLst>
            </c:dLbl>
            <c:dLbl>
              <c:idx val="2"/>
              <c:layout>
                <c:manualLayout>
                  <c:x val="-1.6941973739940702E-2"/>
                  <c:y val="8.812260536398466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097-41F8-AA9A-5CE90D33FC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Лист1!$C$2:$C$4</c:f>
              <c:numCache>
                <c:formatCode>0.0</c:formatCode>
                <c:ptCount val="3"/>
                <c:pt idx="0">
                  <c:v>43.7</c:v>
                </c:pt>
                <c:pt idx="1">
                  <c:v>46</c:v>
                </c:pt>
                <c:pt idx="2">
                  <c:v>53.4</c:v>
                </c:pt>
              </c:numCache>
            </c:numRef>
          </c:val>
          <c:extLst xmlns:c16r2="http://schemas.microsoft.com/office/drawing/2015/06/chart">
            <c:ext xmlns:c16="http://schemas.microsoft.com/office/drawing/2014/chart" uri="{C3380CC4-5D6E-409C-BE32-E72D297353CC}">
              <c16:uniqueId val="{00000003-A097-41F8-AA9A-5CE90D33FCD2}"/>
            </c:ext>
          </c:extLst>
        </c:ser>
        <c:ser>
          <c:idx val="2"/>
          <c:order val="2"/>
          <c:tx>
            <c:strRef>
              <c:f>Лист1!$D$1</c:f>
              <c:strCache>
                <c:ptCount val="1"/>
                <c:pt idx="0">
                  <c:v>Încasările în BPN administrate de SFS și SV</c:v>
                </c:pt>
              </c:strCache>
            </c:strRef>
          </c:tx>
          <c:spPr>
            <a:solidFill>
              <a:srgbClr val="FF0000"/>
            </a:solidFill>
            <a:ln>
              <a:noFill/>
            </a:ln>
            <a:effectLst/>
          </c:spPr>
          <c:invertIfNegative val="0"/>
          <c:dLbls>
            <c:dLbl>
              <c:idx val="0"/>
              <c:layout>
                <c:manualLayout>
                  <c:x val="-1.9412453989357041E-17"/>
                  <c:y val="9.961022113615108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097-41F8-AA9A-5CE90D33FCD2}"/>
                </c:ext>
                <c:ext xmlns:c15="http://schemas.microsoft.com/office/drawing/2012/chart" uri="{CE6537A1-D6FC-4f65-9D91-7224C49458BB}"/>
              </c:extLst>
            </c:dLbl>
            <c:dLbl>
              <c:idx val="1"/>
              <c:layout>
                <c:manualLayout>
                  <c:x val="0"/>
                  <c:y val="0.1014351223338461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097-41F8-AA9A-5CE90D33FCD2}"/>
                </c:ext>
                <c:ext xmlns:c15="http://schemas.microsoft.com/office/drawing/2012/chart" uri="{CE6537A1-D6FC-4f65-9D91-7224C49458BB}"/>
              </c:extLst>
            </c:dLbl>
            <c:dLbl>
              <c:idx val="2"/>
              <c:layout>
                <c:manualLayout>
                  <c:x val="2.1177467174925877E-3"/>
                  <c:y val="9.760370470932509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097-41F8-AA9A-5CE90D33FC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Лист1!$D$2:$D$4</c:f>
              <c:numCache>
                <c:formatCode>0.0</c:formatCode>
                <c:ptCount val="3"/>
                <c:pt idx="0">
                  <c:v>38.6</c:v>
                </c:pt>
                <c:pt idx="1">
                  <c:v>42.3</c:v>
                </c:pt>
                <c:pt idx="2">
                  <c:v>50.3</c:v>
                </c:pt>
              </c:numCache>
            </c:numRef>
          </c:val>
          <c:extLst xmlns:c16r2="http://schemas.microsoft.com/office/drawing/2015/06/chart">
            <c:ext xmlns:c16="http://schemas.microsoft.com/office/drawing/2014/chart" uri="{C3380CC4-5D6E-409C-BE32-E72D297353CC}">
              <c16:uniqueId val="{00000007-A097-41F8-AA9A-5CE90D33FCD2}"/>
            </c:ext>
          </c:extLst>
        </c:ser>
        <c:dLbls>
          <c:dLblPos val="outEnd"/>
          <c:showLegendKey val="0"/>
          <c:showVal val="1"/>
          <c:showCatName val="0"/>
          <c:showSerName val="0"/>
          <c:showPercent val="0"/>
          <c:showBubbleSize val="0"/>
        </c:dLbls>
        <c:gapWidth val="80"/>
        <c:overlap val="25"/>
        <c:axId val="320589680"/>
        <c:axId val="320590072"/>
      </c:barChart>
      <c:barChart>
        <c:barDir val="col"/>
        <c:grouping val="clustered"/>
        <c:varyColors val="0"/>
        <c:ser>
          <c:idx val="0"/>
          <c:order val="0"/>
          <c:tx>
            <c:strRef>
              <c:f>Лист1!$B$1</c:f>
              <c:strCache>
                <c:ptCount val="1"/>
                <c:pt idx="0">
                  <c:v>Ponderea în BPN a încasărilor administrate de SFS și SV (%)</c:v>
                </c:pt>
              </c:strCache>
            </c:strRef>
          </c:tx>
          <c:spPr>
            <a:pattFill prst="sphere">
              <a:fgClr>
                <a:sysClr val="windowText" lastClr="000000"/>
              </a:fgClr>
              <a:bgClr>
                <a:sysClr val="window" lastClr="FFFFFF"/>
              </a:bgClr>
            </a:pattFill>
            <a:ln>
              <a:gradFill>
                <a:gsLst>
                  <a:gs pos="5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ysDot"/>
            </a:ln>
            <a:effectLst/>
          </c:spPr>
          <c:invertIfNegative val="0"/>
          <c:dLbls>
            <c:dLbl>
              <c:idx val="0"/>
              <c:layout>
                <c:manualLayout>
                  <c:x val="8.3375855009686995E-8"/>
                  <c:y val="1.916010498687664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097-41F8-AA9A-5CE90D33FCD2}"/>
                </c:ext>
                <c:ext xmlns:c15="http://schemas.microsoft.com/office/drawing/2012/chart" uri="{CE6537A1-D6FC-4f65-9D91-7224C49458BB}">
                  <c15:layout>
                    <c:manualLayout>
                      <c:w val="0.15181059006760111"/>
                      <c:h val="9.7432950191570875E-2"/>
                    </c:manualLayout>
                  </c15:layout>
                </c:ext>
              </c:extLst>
            </c:dLbl>
            <c:dLbl>
              <c:idx val="1"/>
              <c:layout>
                <c:manualLayout>
                  <c:x val="-6.3530734007677244E-3"/>
                  <c:y val="1.916010498687664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097-41F8-AA9A-5CE90D33FCD2}"/>
                </c:ext>
                <c:ext xmlns:c15="http://schemas.microsoft.com/office/drawing/2012/chart" uri="{CE6537A1-D6FC-4f65-9D91-7224C49458BB}">
                  <c15:layout>
                    <c:manualLayout>
                      <c:w val="0.13063312289267526"/>
                      <c:h val="8.2107279693486593E-2"/>
                    </c:manualLayout>
                  </c15:layout>
                </c:ext>
              </c:extLst>
            </c:dLbl>
            <c:dLbl>
              <c:idx val="2"/>
              <c:layout>
                <c:manualLayout>
                  <c:x val="5.2945335454415085E-3"/>
                  <c:y val="-3.831115938093945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097-41F8-AA9A-5CE90D33FC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Лист1!$B$2:$B$4</c:f>
              <c:numCache>
                <c:formatCode>0.0%</c:formatCode>
                <c:ptCount val="3"/>
                <c:pt idx="0">
                  <c:v>0.88300000000000001</c:v>
                </c:pt>
                <c:pt idx="1">
                  <c:v>0.92</c:v>
                </c:pt>
                <c:pt idx="2">
                  <c:v>0.94199999999999995</c:v>
                </c:pt>
              </c:numCache>
            </c:numRef>
          </c:val>
          <c:extLst xmlns:c16r2="http://schemas.microsoft.com/office/drawing/2015/06/chart">
            <c:ext xmlns:c16="http://schemas.microsoft.com/office/drawing/2014/chart" uri="{C3380CC4-5D6E-409C-BE32-E72D297353CC}">
              <c16:uniqueId val="{0000000B-A097-41F8-AA9A-5CE90D33FCD2}"/>
            </c:ext>
          </c:extLst>
        </c:ser>
        <c:dLbls>
          <c:showLegendKey val="0"/>
          <c:showVal val="0"/>
          <c:showCatName val="0"/>
          <c:showSerName val="0"/>
          <c:showPercent val="0"/>
          <c:showBubbleSize val="0"/>
        </c:dLbls>
        <c:gapWidth val="80"/>
        <c:overlap val="25"/>
        <c:axId val="320590856"/>
        <c:axId val="320590464"/>
      </c:barChart>
      <c:catAx>
        <c:axId val="32058968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20590072"/>
        <c:crosses val="autoZero"/>
        <c:auto val="1"/>
        <c:lblAlgn val="ctr"/>
        <c:lblOffset val="100"/>
        <c:noMultiLvlLbl val="0"/>
      </c:catAx>
      <c:valAx>
        <c:axId val="320590072"/>
        <c:scaling>
          <c:orientation val="minMax"/>
        </c:scaling>
        <c:delete val="1"/>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crossAx val="320589680"/>
        <c:crosses val="autoZero"/>
        <c:crossBetween val="between"/>
      </c:valAx>
      <c:valAx>
        <c:axId val="320590464"/>
        <c:scaling>
          <c:orientation val="minMax"/>
        </c:scaling>
        <c:delete val="1"/>
        <c:axPos val="r"/>
        <c:numFmt formatCode="0.0%" sourceLinked="1"/>
        <c:majorTickMark val="out"/>
        <c:minorTickMark val="none"/>
        <c:tickLblPos val="nextTo"/>
        <c:crossAx val="320590856"/>
        <c:crosses val="max"/>
        <c:crossBetween val="between"/>
      </c:valAx>
      <c:catAx>
        <c:axId val="320590856"/>
        <c:scaling>
          <c:orientation val="minMax"/>
        </c:scaling>
        <c:delete val="1"/>
        <c:axPos val="b"/>
        <c:numFmt formatCode="General" sourceLinked="1"/>
        <c:majorTickMark val="out"/>
        <c:minorTickMark val="none"/>
        <c:tickLblPos val="nextTo"/>
        <c:crossAx val="320590464"/>
        <c:crosses val="autoZero"/>
        <c:auto val="1"/>
        <c:lblAlgn val="ctr"/>
        <c:lblOffset val="100"/>
        <c:noMultiLvlLbl val="0"/>
      </c:catAx>
      <c:spPr>
        <a:noFill/>
        <a:ln>
          <a:noFill/>
        </a:ln>
        <a:effectLst/>
      </c:spPr>
    </c:plotArea>
    <c:legend>
      <c:legendPos val="b"/>
      <c:legendEntry>
        <c:idx val="2"/>
        <c:delete val="1"/>
      </c:legendEntry>
      <c:layout>
        <c:manualLayout>
          <c:xMode val="edge"/>
          <c:yMode val="edge"/>
          <c:x val="2.9664962464190075E-2"/>
          <c:y val="0.90404320149636463"/>
          <c:w val="0.52399490406774119"/>
          <c:h val="6.078679820194889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alpha val="95000"/>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o-MD" sz="1200" b="1" i="0">
                <a:solidFill>
                  <a:schemeClr val="tx1"/>
                </a:solidFill>
                <a:latin typeface="Times New Roman" panose="02020603050405020304" pitchFamily="18" charset="0"/>
                <a:cs typeface="Times New Roman" panose="02020603050405020304" pitchFamily="18" charset="0"/>
              </a:rPr>
              <a:t>Ponderea</a:t>
            </a:r>
            <a:r>
              <a:rPr lang="ro-MD" sz="1200" b="1" i="0" baseline="0">
                <a:solidFill>
                  <a:schemeClr val="tx1"/>
                </a:solidFill>
                <a:latin typeface="Times New Roman" panose="02020603050405020304" pitchFamily="18" charset="0"/>
                <a:cs typeface="Times New Roman" panose="02020603050405020304" pitchFamily="18" charset="0"/>
              </a:rPr>
              <a:t> în bugetulul de stat a încasărilor administrate de SFS și SV </a:t>
            </a:r>
            <a:r>
              <a:rPr lang="ro-MD" sz="1200" b="1" i="0">
                <a:solidFill>
                  <a:schemeClr val="tx1"/>
                </a:solidFill>
                <a:latin typeface="Times New Roman" panose="02020603050405020304" pitchFamily="18" charset="0"/>
                <a:cs typeface="Times New Roman" panose="02020603050405020304" pitchFamily="18" charset="0"/>
              </a:rPr>
              <a:t>pentru perioada anilor 2015-2017</a:t>
            </a:r>
            <a:endParaRPr lang="en-US" sz="1200" b="1" i="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6.9700213775692257E-2"/>
          <c:y val="1.9157088122605363E-2"/>
        </c:manualLayout>
      </c:layout>
      <c:overlay val="0"/>
      <c:spPr>
        <a:gradFill>
          <a:gsLst>
            <a:gs pos="0">
              <a:srgbClr val="5B9BD5">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gradFill flip="none" rotWithShape="1">
            <a:gsLst>
              <a:gs pos="0">
                <a:srgbClr val="44546A">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tileRect/>
          </a:gradFill>
        </a:ln>
        <a:effectLst/>
      </c:spPr>
      <c:txPr>
        <a:bodyPr rot="0" spcFirstLastPara="1" vertOverflow="ellipsis" vert="horz" wrap="square" anchor="ctr" anchorCtr="1"/>
        <a:lstStyle/>
        <a:p>
          <a:pPr algn="ct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3.3707865168539325E-2"/>
          <c:y val="0.13866666666666669"/>
          <c:w val="0.93133583021223487"/>
          <c:h val="0.66133333333333333"/>
        </c:manualLayout>
      </c:layout>
      <c:barChart>
        <c:barDir val="col"/>
        <c:grouping val="clustered"/>
        <c:varyColors val="0"/>
        <c:ser>
          <c:idx val="1"/>
          <c:order val="1"/>
          <c:tx>
            <c:strRef>
              <c:f>Лист1!$C$1</c:f>
              <c:strCache>
                <c:ptCount val="1"/>
                <c:pt idx="0">
                  <c:v>BS</c:v>
                </c:pt>
              </c:strCache>
            </c:strRef>
          </c:tx>
          <c:spPr>
            <a:solidFill>
              <a:srgbClr val="C00000">
                <a:alpha val="70000"/>
              </a:srgbClr>
            </a:solidFill>
            <a:ln>
              <a:noFill/>
            </a:ln>
            <a:effectLst/>
          </c:spPr>
          <c:invertIfNegative val="0"/>
          <c:dLbls>
            <c:dLbl>
              <c:idx val="0"/>
              <c:layout>
                <c:manualLayout>
                  <c:x val="-4.6590427784836935E-2"/>
                  <c:y val="9.19473858871089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7D7-4ABF-B9DB-128CC88EB040}"/>
                </c:ext>
                <c:ext xmlns:c15="http://schemas.microsoft.com/office/drawing/2012/chart" uri="{CE6537A1-D6FC-4f65-9D91-7224C49458BB}"/>
              </c:extLst>
            </c:dLbl>
            <c:dLbl>
              <c:idx val="1"/>
              <c:layout>
                <c:manualLayout>
                  <c:x val="-5.0825921219822184E-2"/>
                  <c:y val="8.22780342112408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7D7-4ABF-B9DB-128CC88EB040}"/>
                </c:ext>
                <c:ext xmlns:c15="http://schemas.microsoft.com/office/drawing/2012/chart" uri="{CE6537A1-D6FC-4f65-9D91-7224C49458BB}"/>
              </c:extLst>
            </c:dLbl>
            <c:dLbl>
              <c:idx val="2"/>
              <c:layout>
                <c:manualLayout>
                  <c:x val="-5.2943667937314698E-2"/>
                  <c:y val="8.22780342112408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7D7-4ABF-B9DB-128CC88EB04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Лист1!$C$2:$C$4</c:f>
              <c:numCache>
                <c:formatCode>General</c:formatCode>
                <c:ptCount val="3"/>
                <c:pt idx="0">
                  <c:v>28.1</c:v>
                </c:pt>
                <c:pt idx="1">
                  <c:v>28.9</c:v>
                </c:pt>
                <c:pt idx="2">
                  <c:v>33.9</c:v>
                </c:pt>
              </c:numCache>
            </c:numRef>
          </c:val>
          <c:extLst xmlns:c16r2="http://schemas.microsoft.com/office/drawing/2015/06/chart">
            <c:ext xmlns:c16="http://schemas.microsoft.com/office/drawing/2014/chart" uri="{C3380CC4-5D6E-409C-BE32-E72D297353CC}">
              <c16:uniqueId val="{00000003-37D7-4ABF-B9DB-128CC88EB040}"/>
            </c:ext>
          </c:extLst>
        </c:ser>
        <c:dLbls>
          <c:dLblPos val="outEnd"/>
          <c:showLegendKey val="0"/>
          <c:showVal val="1"/>
          <c:showCatName val="0"/>
          <c:showSerName val="0"/>
          <c:showPercent val="0"/>
          <c:showBubbleSize val="0"/>
        </c:dLbls>
        <c:gapWidth val="80"/>
        <c:overlap val="25"/>
        <c:axId val="325328352"/>
        <c:axId val="325328744"/>
      </c:barChart>
      <c:barChart>
        <c:barDir val="col"/>
        <c:grouping val="clustered"/>
        <c:varyColors val="0"/>
        <c:ser>
          <c:idx val="0"/>
          <c:order val="0"/>
          <c:tx>
            <c:strRef>
              <c:f>Лист1!$B$1</c:f>
              <c:strCache>
                <c:ptCount val="1"/>
                <c:pt idx="0">
                  <c:v>Ponderea în BS a încasărilor administrate de SFS și SV (%)</c:v>
                </c:pt>
              </c:strCache>
            </c:strRef>
          </c:tx>
          <c:spPr>
            <a:pattFill prst="sphere">
              <a:fgClr>
                <a:sysClr val="windowText" lastClr="000000"/>
              </a:fgClr>
              <a:bgClr>
                <a:sysClr val="window" lastClr="FFFFFF"/>
              </a:bgClr>
            </a:pattFill>
            <a:ln>
              <a:gradFill>
                <a:gsLst>
                  <a:gs pos="5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ysDot"/>
            </a:ln>
            <a:effectLst/>
          </c:spPr>
          <c:invertIfNegative val="0"/>
          <c:dLbls>
            <c:dLbl>
              <c:idx val="0"/>
              <c:layout>
                <c:manualLayout>
                  <c:x val="3.3884030855736429E-2"/>
                  <c:y val="5.7474281232087372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7D7-4ABF-B9DB-128CC88EB040}"/>
                </c:ext>
                <c:ext xmlns:c15="http://schemas.microsoft.com/office/drawing/2012/chart" uri="{CE6537A1-D6FC-4f65-9D91-7224C49458BB}">
                  <c15:layout>
                    <c:manualLayout>
                      <c:w val="0.15181059006760111"/>
                      <c:h val="9.7432950191570875E-2"/>
                    </c:manualLayout>
                  </c15:layout>
                </c:ext>
              </c:extLst>
            </c:dLbl>
            <c:dLbl>
              <c:idx val="1"/>
              <c:layout>
                <c:manualLayout>
                  <c:x val="3.3884114231591364E-2"/>
                  <c:y val="1.916010498687664E-3"/>
                </c:manualLayout>
              </c:layout>
              <c:spPr>
                <a:noFill/>
                <a:ln>
                  <a:noFill/>
                </a:ln>
                <a:effectLst/>
              </c:spPr>
              <c:txPr>
                <a:bodyPr rot="0" spcFirstLastPara="1" vertOverflow="ellipsis" vert="horz" wrap="square" lIns="38100" tIns="19050" rIns="38100" bIns="19050" anchor="ctr" anchorCtr="1">
                  <a:no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7D7-4ABF-B9DB-128CC88EB040}"/>
                </c:ext>
                <c:ext xmlns:c15="http://schemas.microsoft.com/office/drawing/2012/chart" uri="{CE6537A1-D6FC-4f65-9D91-7224C49458BB}">
                  <c15:layout>
                    <c:manualLayout>
                      <c:w val="0.13063312289267526"/>
                      <c:h val="8.2107279693486593E-2"/>
                    </c:manualLayout>
                  </c15:layout>
                </c:ext>
              </c:extLst>
            </c:dLbl>
            <c:dLbl>
              <c:idx val="2"/>
              <c:layout>
                <c:manualLayout>
                  <c:x val="3.4942987590337662E-2"/>
                  <c:y val="7.663136935469273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7D7-4ABF-B9DB-128CC88EB04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Лист1!$B$2:$B$4</c:f>
              <c:numCache>
                <c:formatCode>0.0%</c:formatCode>
                <c:ptCount val="3"/>
                <c:pt idx="0">
                  <c:v>0.85399999999999998</c:v>
                </c:pt>
                <c:pt idx="1">
                  <c:v>0.90700000000000003</c:v>
                </c:pt>
                <c:pt idx="2">
                  <c:v>0.94099999999999995</c:v>
                </c:pt>
              </c:numCache>
            </c:numRef>
          </c:val>
          <c:extLst xmlns:c16r2="http://schemas.microsoft.com/office/drawing/2015/06/chart">
            <c:ext xmlns:c16="http://schemas.microsoft.com/office/drawing/2014/chart" uri="{C3380CC4-5D6E-409C-BE32-E72D297353CC}">
              <c16:uniqueId val="{00000007-37D7-4ABF-B9DB-128CC88EB040}"/>
            </c:ext>
          </c:extLst>
        </c:ser>
        <c:ser>
          <c:idx val="2"/>
          <c:order val="2"/>
          <c:tx>
            <c:strRef>
              <c:f>Лист1!$D$1</c:f>
              <c:strCache>
                <c:ptCount val="1"/>
                <c:pt idx="0">
                  <c:v>Încasările SV și SFS </c:v>
                </c:pt>
              </c:strCache>
            </c:strRef>
          </c:tx>
          <c:spPr>
            <a:solidFill>
              <a:schemeClr val="accent3">
                <a:alpha val="70000"/>
              </a:schemeClr>
            </a:solidFill>
            <a:ln>
              <a:noFill/>
            </a:ln>
            <a:effectLst/>
          </c:spPr>
          <c:invertIfNegative val="0"/>
          <c:dLbls>
            <c:dLbl>
              <c:idx val="0"/>
              <c:layout>
                <c:manualLayout>
                  <c:x val="2.1177467174925878E-2"/>
                  <c:y val="0.103448275862068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7D7-4ABF-B9DB-128CC88EB040}"/>
                </c:ext>
                <c:ext xmlns:c15="http://schemas.microsoft.com/office/drawing/2012/chart" uri="{CE6537A1-D6FC-4f65-9D91-7224C49458BB}"/>
              </c:extLst>
            </c:dLbl>
            <c:dLbl>
              <c:idx val="1"/>
              <c:layout>
                <c:manualLayout>
                  <c:x val="3.176620076238882E-2"/>
                  <c:y val="0.111111111111111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7D7-4ABF-B9DB-128CC88EB040}"/>
                </c:ext>
                <c:ext xmlns:c15="http://schemas.microsoft.com/office/drawing/2012/chart" uri="{CE6537A1-D6FC-4f65-9D91-7224C49458BB}"/>
              </c:extLst>
            </c:dLbl>
            <c:dLbl>
              <c:idx val="2"/>
              <c:layout>
                <c:manualLayout>
                  <c:x val="2.7530707327403644E-2"/>
                  <c:y val="0.111111111111111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7D7-4ABF-B9DB-128CC88EB04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Лист1!$D$2:$D$4</c:f>
              <c:numCache>
                <c:formatCode>0.0</c:formatCode>
                <c:ptCount val="3"/>
                <c:pt idx="0">
                  <c:v>24</c:v>
                </c:pt>
                <c:pt idx="1">
                  <c:v>26.2</c:v>
                </c:pt>
                <c:pt idx="2">
                  <c:v>31.9</c:v>
                </c:pt>
              </c:numCache>
            </c:numRef>
          </c:val>
          <c:extLst xmlns:c16r2="http://schemas.microsoft.com/office/drawing/2015/06/chart">
            <c:ext xmlns:c16="http://schemas.microsoft.com/office/drawing/2014/chart" uri="{C3380CC4-5D6E-409C-BE32-E72D297353CC}">
              <c16:uniqueId val="{0000000B-37D7-4ABF-B9DB-128CC88EB040}"/>
            </c:ext>
          </c:extLst>
        </c:ser>
        <c:dLbls>
          <c:showLegendKey val="0"/>
          <c:showVal val="0"/>
          <c:showCatName val="0"/>
          <c:showSerName val="0"/>
          <c:showPercent val="0"/>
          <c:showBubbleSize val="0"/>
        </c:dLbls>
        <c:gapWidth val="80"/>
        <c:overlap val="25"/>
        <c:axId val="325329528"/>
        <c:axId val="325329136"/>
      </c:barChart>
      <c:catAx>
        <c:axId val="3253283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25328744"/>
        <c:crosses val="autoZero"/>
        <c:auto val="1"/>
        <c:lblAlgn val="ctr"/>
        <c:lblOffset val="100"/>
        <c:noMultiLvlLbl val="0"/>
      </c:catAx>
      <c:valAx>
        <c:axId val="325328744"/>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crossAx val="325328352"/>
        <c:crosses val="autoZero"/>
        <c:crossBetween val="between"/>
      </c:valAx>
      <c:valAx>
        <c:axId val="325329136"/>
        <c:scaling>
          <c:orientation val="minMax"/>
        </c:scaling>
        <c:delete val="1"/>
        <c:axPos val="r"/>
        <c:numFmt formatCode="0.0%" sourceLinked="1"/>
        <c:majorTickMark val="out"/>
        <c:minorTickMark val="none"/>
        <c:tickLblPos val="nextTo"/>
        <c:crossAx val="325329528"/>
        <c:crosses val="max"/>
        <c:crossBetween val="between"/>
      </c:valAx>
      <c:catAx>
        <c:axId val="325329528"/>
        <c:scaling>
          <c:orientation val="minMax"/>
        </c:scaling>
        <c:delete val="1"/>
        <c:axPos val="b"/>
        <c:numFmt formatCode="General" sourceLinked="1"/>
        <c:majorTickMark val="out"/>
        <c:minorTickMark val="none"/>
        <c:tickLblPos val="nextTo"/>
        <c:crossAx val="325329136"/>
        <c:crosses val="autoZero"/>
        <c:auto val="1"/>
        <c:lblAlgn val="ctr"/>
        <c:lblOffset val="100"/>
        <c:noMultiLvlLbl val="0"/>
      </c:catAx>
      <c:spPr>
        <a:noFill/>
        <a:ln>
          <a:noFill/>
        </a:ln>
        <a:effectLst/>
      </c:spPr>
    </c:plotArea>
    <c:legend>
      <c:legendPos val="b"/>
      <c:legendEntry>
        <c:idx val="1"/>
        <c:delete val="1"/>
      </c:legendEntry>
      <c:layout>
        <c:manualLayout>
          <c:xMode val="edge"/>
          <c:yMode val="edge"/>
          <c:x val="2.9664962464190075E-2"/>
          <c:y val="0.90404320149636463"/>
          <c:w val="0.27689221502966516"/>
          <c:h val="6.078679820194889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rgbClr val="5B9BD5">
            <a:alpha val="95000"/>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o-MD" sz="1200" b="1">
                <a:solidFill>
                  <a:schemeClr val="tx1"/>
                </a:solidFill>
                <a:latin typeface="Times New Roman" panose="02020603050405020304" pitchFamily="18" charset="0"/>
                <a:cs typeface="Times New Roman" panose="02020603050405020304" pitchFamily="18" charset="0"/>
              </a:rPr>
              <a:t>Ponderea în PIB a</a:t>
            </a:r>
            <a:r>
              <a:rPr lang="ro-MD" sz="1200" b="1" baseline="0">
                <a:solidFill>
                  <a:schemeClr val="tx1"/>
                </a:solidFill>
                <a:latin typeface="Times New Roman" panose="02020603050405020304" pitchFamily="18" charset="0"/>
                <a:cs typeface="Times New Roman" panose="02020603050405020304" pitchFamily="18" charset="0"/>
              </a:rPr>
              <a:t> încasărilor administrate de SFS și SV la BPN pentru perioada anilor 2015-2017</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3.3707865168539325E-2"/>
          <c:y val="0.17693201296266539"/>
          <c:w val="0.93133583021223487"/>
          <c:h val="0.62306798703733457"/>
        </c:manualLayout>
      </c:layout>
      <c:barChart>
        <c:barDir val="col"/>
        <c:grouping val="clustered"/>
        <c:varyColors val="0"/>
        <c:ser>
          <c:idx val="0"/>
          <c:order val="0"/>
          <c:tx>
            <c:strRef>
              <c:f>Лист1!$B$1</c:f>
              <c:strCache>
                <c:ptCount val="1"/>
                <c:pt idx="0">
                  <c:v>PIB</c:v>
                </c:pt>
              </c:strCache>
            </c:strRef>
          </c:tx>
          <c:spPr>
            <a:solidFill>
              <a:schemeClr val="accent2">
                <a:lumMod val="75000"/>
              </a:schemeClr>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A970-47A4-9936-CF175190DEAC}"/>
            </c:ext>
          </c:extLst>
        </c:ser>
        <c:ser>
          <c:idx val="1"/>
          <c:order val="1"/>
          <c:tx>
            <c:strRef>
              <c:f>Лист1!$C$1</c:f>
              <c:strCache>
                <c:ptCount val="1"/>
                <c:pt idx="0">
                  <c:v>Încasările în BPN administrate de SFS și SV</c:v>
                </c:pt>
              </c:strCache>
            </c:strRef>
          </c:tx>
          <c:spPr>
            <a:solidFill>
              <a:srgbClr val="70AD47">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Лист1!$C$2:$C$4</c:f>
              <c:numCache>
                <c:formatCode>0.0</c:formatCode>
                <c:ptCount val="3"/>
                <c:pt idx="0">
                  <c:v>38.6</c:v>
                </c:pt>
                <c:pt idx="1">
                  <c:v>42.3</c:v>
                </c:pt>
                <c:pt idx="2">
                  <c:v>50.3</c:v>
                </c:pt>
              </c:numCache>
            </c:numRef>
          </c:val>
          <c:extLst xmlns:c16r2="http://schemas.microsoft.com/office/drawing/2015/06/chart">
            <c:ext xmlns:c16="http://schemas.microsoft.com/office/drawing/2014/chart" uri="{C3380CC4-5D6E-409C-BE32-E72D297353CC}">
              <c16:uniqueId val="{00000001-A970-47A4-9936-CF175190DEAC}"/>
            </c:ext>
          </c:extLst>
        </c:ser>
        <c:ser>
          <c:idx val="2"/>
          <c:order val="2"/>
          <c:tx>
            <c:strRef>
              <c:f>Лист1!$D$1</c:f>
              <c:strCache>
                <c:ptCount val="1"/>
                <c:pt idx="0">
                  <c:v>Ponderea în PIB %</c:v>
                </c:pt>
              </c:strCache>
            </c:strRef>
          </c:tx>
          <c:spPr>
            <a:solidFill>
              <a:schemeClr val="accent3">
                <a:alpha val="70000"/>
              </a:schemeClr>
            </a:solidFill>
            <a:ln>
              <a:noFill/>
            </a:ln>
            <a:effectLst/>
          </c:spPr>
          <c:invertIfNegative val="0"/>
          <c:dLbls>
            <c:dLbl>
              <c:idx val="0"/>
              <c:layout>
                <c:manualLayout>
                  <c:x val="2.050020500205002E-2"/>
                  <c:y val="5.46448087431693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970-47A4-9936-CF175190DEAC}"/>
                </c:ext>
                <c:ext xmlns:c15="http://schemas.microsoft.com/office/drawing/2012/chart" uri="{CE6537A1-D6FC-4f65-9D91-7224C49458BB}"/>
              </c:extLst>
            </c:dLbl>
            <c:dLbl>
              <c:idx val="1"/>
              <c:layout>
                <c:manualLayout>
                  <c:x val="2.2550225502255022E-2"/>
                  <c:y val="-1.0018099206310814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970-47A4-9936-CF175190DEAC}"/>
                </c:ext>
                <c:ext xmlns:c15="http://schemas.microsoft.com/office/drawing/2012/chart" uri="{CE6537A1-D6FC-4f65-9D91-7224C49458BB}"/>
              </c:extLst>
            </c:dLbl>
            <c:dLbl>
              <c:idx val="2"/>
              <c:layout>
                <c:manualLayout>
                  <c:x val="1.435014350143501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970-47A4-9936-CF175190DEA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Лист1!$D$2:$D$4</c:f>
              <c:numCache>
                <c:formatCode>0.0%</c:formatCode>
                <c:ptCount val="3"/>
                <c:pt idx="0">
                  <c:v>0.315</c:v>
                </c:pt>
                <c:pt idx="1">
                  <c:v>0.312</c:v>
                </c:pt>
                <c:pt idx="2">
                  <c:v>0.33400000000000002</c:v>
                </c:pt>
              </c:numCache>
            </c:numRef>
          </c:val>
          <c:extLst xmlns:c16r2="http://schemas.microsoft.com/office/drawing/2015/06/chart">
            <c:ext xmlns:c16="http://schemas.microsoft.com/office/drawing/2014/chart" uri="{C3380CC4-5D6E-409C-BE32-E72D297353CC}">
              <c16:uniqueId val="{00000005-A970-47A4-9936-CF175190DEAC}"/>
            </c:ext>
          </c:extLst>
        </c:ser>
        <c:dLbls>
          <c:showLegendKey val="0"/>
          <c:showVal val="1"/>
          <c:showCatName val="0"/>
          <c:showSerName val="0"/>
          <c:showPercent val="0"/>
          <c:showBubbleSize val="0"/>
        </c:dLbls>
        <c:gapWidth val="80"/>
        <c:overlap val="25"/>
        <c:axId val="303094552"/>
        <c:axId val="303094944"/>
      </c:barChart>
      <c:catAx>
        <c:axId val="3030945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cap="none" spc="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03094944"/>
        <c:crosses val="autoZero"/>
        <c:auto val="1"/>
        <c:lblAlgn val="ctr"/>
        <c:lblOffset val="100"/>
        <c:noMultiLvlLbl val="0"/>
      </c:catAx>
      <c:valAx>
        <c:axId val="30309494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03094552"/>
        <c:crosses val="autoZero"/>
        <c:crossBetween val="between"/>
      </c:valAx>
      <c:spPr>
        <a:solidFill>
          <a:schemeClr val="accent1">
            <a:lumMod val="40000"/>
            <a:lumOff val="6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solidFill>
                <a:latin typeface="+mn-lt"/>
                <a:ea typeface="+mn-ea"/>
                <a:cs typeface="+mn-cs"/>
              </a:defRPr>
            </a:pPr>
            <a:r>
              <a:rPr lang="x-none" sz="1200">
                <a:solidFill>
                  <a:schemeClr val="tx1"/>
                </a:solidFill>
                <a:latin typeface="Times New Roman" panose="02020603050405020304" pitchFamily="18" charset="0"/>
                <a:cs typeface="Times New Roman" panose="02020603050405020304" pitchFamily="18" charset="0"/>
              </a:rPr>
              <a:t>anul 2015</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72"/>
          <c:y val="0"/>
        </c:manualLayout>
      </c:layout>
      <c:overlay val="0"/>
      <c:spPr>
        <a:noFill/>
        <a:ln>
          <a:noFill/>
        </a:ln>
        <a:effectLst/>
      </c:spPr>
    </c:title>
    <c:autoTitleDeleted val="0"/>
    <c:plotArea>
      <c:layout>
        <c:manualLayout>
          <c:layoutTarget val="inner"/>
          <c:xMode val="edge"/>
          <c:yMode val="edge"/>
          <c:x val="0.10155007797938301"/>
          <c:y val="0.11189512829372078"/>
          <c:w val="0.83015860810367459"/>
          <c:h val="0.73621456238293537"/>
        </c:manualLayout>
      </c:layout>
      <c:doughnutChart>
        <c:varyColors val="1"/>
        <c:ser>
          <c:idx val="0"/>
          <c:order val="0"/>
          <c:tx>
            <c:strRef>
              <c:f>Sheet1!$B$1</c:f>
              <c:strCache>
                <c:ptCount val="1"/>
                <c:pt idx="0">
                  <c:v>2015</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678-4ECF-B8A9-C907ACD3027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678-4ECF-B8A9-C907ACD3027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0678-4ECF-B8A9-C907ACD3027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0678-4ECF-B8A9-C907ACD30278}"/>
              </c:ext>
            </c:extLst>
          </c:dPt>
          <c:dLbls>
            <c:dLbl>
              <c:idx val="0"/>
              <c:tx>
                <c:rich>
                  <a:bodyPr/>
                  <a:lstStyle/>
                  <a:p>
                    <a:fld id="{C06D1F3B-2B7C-41E5-9347-A6A63C0DCBE1}" type="VALUE">
                      <a:rPr lang="en-US"/>
                      <a:pPr/>
                      <a:t>[ЗНАЧЕНИЕ]</a:t>
                    </a:fld>
                    <a:r>
                      <a:rPr lang="en-US" baseline="0"/>
                      <a:t>; </a:t>
                    </a:r>
                    <a:fld id="{9D5E0528-F91E-451F-A919-430C1B832325}"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0678-4ECF-B8A9-C907ACD30278}"/>
                </c:ext>
                <c:ext xmlns:c15="http://schemas.microsoft.com/office/drawing/2012/chart" uri="{CE6537A1-D6FC-4f65-9D91-7224C49458BB}">
                  <c15:dlblFieldTable/>
                  <c15:showDataLabelsRange val="0"/>
                </c:ext>
              </c:extLst>
            </c:dLbl>
            <c:dLbl>
              <c:idx val="1"/>
              <c:tx>
                <c:rich>
                  <a:bodyPr/>
                  <a:lstStyle/>
                  <a:p>
                    <a:fld id="{9106B223-6233-4706-87B0-50F112B22AB4}" type="VALUE">
                      <a:rPr lang="en-US"/>
                      <a:pPr/>
                      <a:t>[ЗНАЧЕНИЕ]</a:t>
                    </a:fld>
                    <a:r>
                      <a:rPr lang="en-US" baseline="0"/>
                      <a:t>; </a:t>
                    </a:r>
                    <a:fld id="{BC1B5204-E31F-43FB-BB76-3F05DF5F6646}"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0678-4ECF-B8A9-C907ACD30278}"/>
                </c:ext>
                <c:ext xmlns:c15="http://schemas.microsoft.com/office/drawing/2012/chart" uri="{CE6537A1-D6FC-4f65-9D91-7224C49458BB}">
                  <c15:dlblFieldTable/>
                  <c15:showDataLabelsRange val="0"/>
                </c:ext>
              </c:extLst>
            </c:dLbl>
            <c:dLbl>
              <c:idx val="2"/>
              <c:layout>
                <c:manualLayout>
                  <c:x val="-2.6041666666666668E-2"/>
                  <c:y val="-0.10392609699769054"/>
                </c:manualLayout>
              </c:layout>
              <c:tx>
                <c:rich>
                  <a:bodyPr/>
                  <a:lstStyle/>
                  <a:p>
                    <a:fld id="{1927E231-6D1A-4FC5-ACEE-095BF37D20D2}" type="VALUE">
                      <a:rPr lang="en-US"/>
                      <a:pPr/>
                      <a:t>[ЗНАЧЕНИЕ]</a:t>
                    </a:fld>
                    <a:r>
                      <a:rPr lang="en-US" baseline="0"/>
                      <a:t>; </a:t>
                    </a:r>
                    <a:fld id="{C154E3D4-C7AC-487F-9FE7-D96BFAF69DF7}"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0678-4ECF-B8A9-C907ACD30278}"/>
                </c:ext>
                <c:ext xmlns:c15="http://schemas.microsoft.com/office/drawing/2012/chart" uri="{CE6537A1-D6FC-4f65-9D91-7224C49458BB}">
                  <c15:layout>
                    <c:manualLayout>
                      <c:w val="0.25260416666666669"/>
                      <c:h val="0.20759260606281027"/>
                    </c:manualLayout>
                  </c15:layout>
                  <c15:dlblFieldTable/>
                  <c15:showDataLabelsRange val="0"/>
                </c:ext>
              </c:extLst>
            </c:dLbl>
            <c:dLbl>
              <c:idx val="3"/>
              <c:tx>
                <c:rich>
                  <a:bodyPr/>
                  <a:lstStyle/>
                  <a:p>
                    <a:fld id="{5E50B11F-0154-49DE-9FD5-C0A4C3A275A6}" type="VALUE">
                      <a:rPr lang="en-US"/>
                      <a:pPr/>
                      <a:t>[ЗНАЧЕНИЕ]</a:t>
                    </a:fld>
                    <a:r>
                      <a:rPr lang="en-US" baseline="0"/>
                      <a:t>; </a:t>
                    </a:r>
                    <a:fld id="{F12ECCCE-3409-423C-82DB-C294D389E02A}"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0678-4ECF-B8A9-C907ACD3027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BASS</c:v>
                </c:pt>
                <c:pt idx="1">
                  <c:v>FAOAM</c:v>
                </c:pt>
                <c:pt idx="2">
                  <c:v>BS</c:v>
                </c:pt>
                <c:pt idx="3">
                  <c:v>BUAT</c:v>
                </c:pt>
              </c:strCache>
            </c:strRef>
          </c:cat>
          <c:val>
            <c:numRef>
              <c:f>Sheet1!$B$2:$B$5</c:f>
              <c:numCache>
                <c:formatCode>0.0</c:formatCode>
                <c:ptCount val="4"/>
                <c:pt idx="0">
                  <c:v>8.9</c:v>
                </c:pt>
                <c:pt idx="1">
                  <c:v>2.8</c:v>
                </c:pt>
                <c:pt idx="2">
                  <c:v>10.5</c:v>
                </c:pt>
                <c:pt idx="3">
                  <c:v>2.9</c:v>
                </c:pt>
              </c:numCache>
            </c:numRef>
          </c:val>
          <c:extLst xmlns:c16r2="http://schemas.microsoft.com/office/drawing/2015/06/chart">
            <c:ext xmlns:c16="http://schemas.microsoft.com/office/drawing/2014/chart" uri="{C3380CC4-5D6E-409C-BE32-E72D297353CC}">
              <c16:uniqueId val="{00000008-0678-4ECF-B8A9-C907ACD30278}"/>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solidFill>
                <a:latin typeface="Times New Roman" panose="02020603050405020304" pitchFamily="18" charset="0"/>
                <a:ea typeface="+mn-ea"/>
                <a:cs typeface="Times New Roman" panose="02020603050405020304" pitchFamily="18" charset="0"/>
              </a:defRPr>
            </a:pPr>
            <a:r>
              <a:rPr lang="x-none" sz="1200">
                <a:solidFill>
                  <a:schemeClr val="tx1"/>
                </a:solidFill>
                <a:latin typeface="Times New Roman" panose="02020603050405020304" pitchFamily="18" charset="0"/>
                <a:cs typeface="Times New Roman" panose="02020603050405020304" pitchFamily="18" charset="0"/>
              </a:rPr>
              <a:t>Anul 2016</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72"/>
          <c:y val="0"/>
        </c:manualLayout>
      </c:layout>
      <c:overlay val="0"/>
      <c:spPr>
        <a:noFill/>
        <a:ln>
          <a:noFill/>
        </a:ln>
        <a:effectLst/>
      </c:spPr>
    </c:title>
    <c:autoTitleDeleted val="0"/>
    <c:plotArea>
      <c:layout>
        <c:manualLayout>
          <c:layoutTarget val="inner"/>
          <c:xMode val="edge"/>
          <c:yMode val="edge"/>
          <c:x val="0.10155007797938301"/>
          <c:y val="0.11189512829372078"/>
          <c:w val="0.81042701393095096"/>
          <c:h val="0.72994580931425146"/>
        </c:manualLayout>
      </c:layout>
      <c:doughnutChart>
        <c:varyColors val="1"/>
        <c:ser>
          <c:idx val="0"/>
          <c:order val="0"/>
          <c:tx>
            <c:strRef>
              <c:f>Sheet1!$B$1</c:f>
              <c:strCache>
                <c:ptCount val="1"/>
                <c:pt idx="0">
                  <c:v>2016</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2A9C-40C7-91E9-3256EF509EC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2A9C-40C7-91E9-3256EF509EC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2A9C-40C7-91E9-3256EF509EC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2A9C-40C7-91E9-3256EF509ECE}"/>
              </c:ext>
            </c:extLst>
          </c:dPt>
          <c:dLbls>
            <c:dLbl>
              <c:idx val="0"/>
              <c:tx>
                <c:rich>
                  <a:bodyPr/>
                  <a:lstStyle/>
                  <a:p>
                    <a:fld id="{57CFCC40-3020-44D1-8A61-837E09DAB98F}" type="VALUE">
                      <a:rPr lang="en-US"/>
                      <a:pPr/>
                      <a:t>[ЗНАЧЕНИЕ]</a:t>
                    </a:fld>
                    <a:r>
                      <a:rPr lang="en-US" baseline="0"/>
                      <a:t>; </a:t>
                    </a:r>
                    <a:fld id="{DEEDC556-6AA5-4290-8084-402F1C3B8E8E}"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2A9C-40C7-91E9-3256EF509ECE}"/>
                </c:ext>
                <c:ext xmlns:c15="http://schemas.microsoft.com/office/drawing/2012/chart" uri="{CE6537A1-D6FC-4f65-9D91-7224C49458BB}">
                  <c15:dlblFieldTable/>
                  <c15:showDataLabelsRange val="0"/>
                </c:ext>
              </c:extLst>
            </c:dLbl>
            <c:dLbl>
              <c:idx val="1"/>
              <c:tx>
                <c:rich>
                  <a:bodyPr/>
                  <a:lstStyle/>
                  <a:p>
                    <a:fld id="{B762BF3E-6B2A-4110-A8F5-C0B3C8BEDD6B}" type="VALUE">
                      <a:rPr lang="en-US"/>
                      <a:pPr/>
                      <a:t>[ЗНАЧЕНИЕ]</a:t>
                    </a:fld>
                    <a:r>
                      <a:rPr lang="en-US" baseline="0"/>
                      <a:t>; </a:t>
                    </a:r>
                    <a:fld id="{B80BAAB0-11F0-4828-A6ED-677A4BDCF124}"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2A9C-40C7-91E9-3256EF509ECE}"/>
                </c:ext>
                <c:ext xmlns:c15="http://schemas.microsoft.com/office/drawing/2012/chart" uri="{CE6537A1-D6FC-4f65-9D91-7224C49458BB}">
                  <c15:dlblFieldTable/>
                  <c15:showDataLabelsRange val="0"/>
                </c:ext>
              </c:extLst>
            </c:dLbl>
            <c:dLbl>
              <c:idx val="2"/>
              <c:tx>
                <c:rich>
                  <a:bodyPr/>
                  <a:lstStyle/>
                  <a:p>
                    <a:fld id="{67A65907-4B55-449C-99A2-E0ED86E36ACC}" type="VALUE">
                      <a:rPr lang="en-US"/>
                      <a:pPr/>
                      <a:t>[ЗНАЧЕНИЕ]</a:t>
                    </a:fld>
                    <a:r>
                      <a:rPr lang="en-US" baseline="0"/>
                      <a:t>; </a:t>
                    </a:r>
                    <a:fld id="{089E9929-F15B-420D-8D3E-7D2295262560}"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2A9C-40C7-91E9-3256EF509ECE}"/>
                </c:ext>
                <c:ext xmlns:c15="http://schemas.microsoft.com/office/drawing/2012/chart" uri="{CE6537A1-D6FC-4f65-9D91-7224C49458BB}">
                  <c15:dlblFieldTable/>
                  <c15:showDataLabelsRange val="0"/>
                </c:ext>
              </c:extLst>
            </c:dLbl>
            <c:dLbl>
              <c:idx val="3"/>
              <c:tx>
                <c:rich>
                  <a:bodyPr/>
                  <a:lstStyle/>
                  <a:p>
                    <a:fld id="{42D9F9A9-872D-4C34-BE01-EABA026F7DF1}" type="VALUE">
                      <a:rPr lang="en-US"/>
                      <a:pPr/>
                      <a:t>[ЗНАЧЕНИЕ]</a:t>
                    </a:fld>
                    <a:r>
                      <a:rPr lang="en-US" baseline="0"/>
                      <a:t>; </a:t>
                    </a:r>
                    <a:fld id="{5BBCD0F5-E8F6-4221-969E-5E265A76C618}"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2A9C-40C7-91E9-3256EF509EC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BASS</c:v>
                </c:pt>
                <c:pt idx="1">
                  <c:v>FAOAM</c:v>
                </c:pt>
                <c:pt idx="2">
                  <c:v>BS</c:v>
                </c:pt>
                <c:pt idx="3">
                  <c:v>BUAT</c:v>
                </c:pt>
              </c:strCache>
            </c:strRef>
          </c:cat>
          <c:val>
            <c:numRef>
              <c:f>Sheet1!$B$2:$B$5</c:f>
              <c:numCache>
                <c:formatCode>0.0</c:formatCode>
                <c:ptCount val="4"/>
                <c:pt idx="0">
                  <c:v>9.6999999999999993</c:v>
                </c:pt>
                <c:pt idx="1">
                  <c:v>3.2</c:v>
                </c:pt>
                <c:pt idx="2">
                  <c:v>11.5</c:v>
                </c:pt>
                <c:pt idx="3">
                  <c:v>3.3</c:v>
                </c:pt>
              </c:numCache>
            </c:numRef>
          </c:val>
          <c:extLst xmlns:c16r2="http://schemas.microsoft.com/office/drawing/2015/06/chart">
            <c:ext xmlns:c16="http://schemas.microsoft.com/office/drawing/2014/chart" uri="{C3380CC4-5D6E-409C-BE32-E72D297353CC}">
              <c16:uniqueId val="{00000008-2A9C-40C7-91E9-3256EF509EC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egendEntry>
        <c:idx val="0"/>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5.6051887744801125E-2"/>
          <c:y val="0.90121247113163971"/>
          <c:w val="0.88789622451039774"/>
          <c:h val="9.743139786510521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solidFill>
                <a:latin typeface="+mn-lt"/>
                <a:ea typeface="+mn-ea"/>
                <a:cs typeface="+mn-cs"/>
              </a:defRPr>
            </a:pPr>
            <a:r>
              <a:rPr lang="x-none" sz="1200">
                <a:solidFill>
                  <a:schemeClr val="tx1"/>
                </a:solidFill>
                <a:latin typeface="Times New Roman" panose="02020603050405020304" pitchFamily="18" charset="0"/>
                <a:cs typeface="Times New Roman" panose="02020603050405020304" pitchFamily="18" charset="0"/>
              </a:rPr>
              <a:t>anul 2017</a:t>
            </a:r>
            <a:endParaRPr lang="en-US" sz="12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0901327551447372"/>
          <c:y val="0"/>
        </c:manualLayout>
      </c:layout>
      <c:overlay val="0"/>
      <c:spPr>
        <a:noFill/>
        <a:ln>
          <a:noFill/>
        </a:ln>
        <a:effectLst/>
      </c:spPr>
    </c:title>
    <c:autoTitleDeleted val="0"/>
    <c:plotArea>
      <c:layout>
        <c:manualLayout>
          <c:layoutTarget val="inner"/>
          <c:xMode val="edge"/>
          <c:yMode val="edge"/>
          <c:x val="0.10155007797938301"/>
          <c:y val="0.11189512829372078"/>
          <c:w val="0.81669020857125685"/>
          <c:h val="0.74124538560855413"/>
        </c:manualLayout>
      </c:layout>
      <c:doughnutChart>
        <c:varyColors val="1"/>
        <c:ser>
          <c:idx val="0"/>
          <c:order val="0"/>
          <c:tx>
            <c:strRef>
              <c:f>Sheet1!$B$1</c:f>
              <c:strCache>
                <c:ptCount val="1"/>
                <c:pt idx="0">
                  <c:v>2017</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29CF-41E1-8E94-B64BB3BC361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29CF-41E1-8E94-B64BB3BC361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29CF-41E1-8E94-B64BB3BC361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29CF-41E1-8E94-B64BB3BC3618}"/>
              </c:ext>
            </c:extLst>
          </c:dPt>
          <c:dLbls>
            <c:dLbl>
              <c:idx val="0"/>
              <c:tx>
                <c:rich>
                  <a:bodyPr/>
                  <a:lstStyle/>
                  <a:p>
                    <a:fld id="{EF9887BE-72FA-43E5-BBB6-B29D5D2CB165}" type="VALUE">
                      <a:rPr lang="en-US"/>
                      <a:pPr/>
                      <a:t>[ЗНАЧЕНИЕ]</a:t>
                    </a:fld>
                    <a:r>
                      <a:rPr lang="en-US" baseline="0"/>
                      <a:t>; </a:t>
                    </a:r>
                    <a:fld id="{1277DBE8-E77F-4F45-A2AD-82FC10BE81E5}"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29CF-41E1-8E94-B64BB3BC3618}"/>
                </c:ext>
                <c:ext xmlns:c15="http://schemas.microsoft.com/office/drawing/2012/chart" uri="{CE6537A1-D6FC-4f65-9D91-7224C49458BB}">
                  <c15:dlblFieldTable/>
                  <c15:showDataLabelsRange val="0"/>
                </c:ext>
              </c:extLst>
            </c:dLbl>
            <c:dLbl>
              <c:idx val="1"/>
              <c:tx>
                <c:rich>
                  <a:bodyPr/>
                  <a:lstStyle/>
                  <a:p>
                    <a:fld id="{5B3A2463-FB46-4257-B416-50ECDAD84BFD}" type="VALUE">
                      <a:rPr lang="en-US"/>
                      <a:pPr/>
                      <a:t>[ЗНАЧЕНИЕ]</a:t>
                    </a:fld>
                    <a:r>
                      <a:rPr lang="en-US" baseline="0"/>
                      <a:t>; </a:t>
                    </a:r>
                    <a:fld id="{84431F53-C81C-402A-A29A-A93F6E9BED60}"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29CF-41E1-8E94-B64BB3BC3618}"/>
                </c:ext>
                <c:ext xmlns:c15="http://schemas.microsoft.com/office/drawing/2012/chart" uri="{CE6537A1-D6FC-4f65-9D91-7224C49458BB}">
                  <c15:dlblFieldTable/>
                  <c15:showDataLabelsRange val="0"/>
                </c:ext>
              </c:extLst>
            </c:dLbl>
            <c:dLbl>
              <c:idx val="2"/>
              <c:tx>
                <c:rich>
                  <a:bodyPr/>
                  <a:lstStyle/>
                  <a:p>
                    <a:fld id="{0BCEE737-BF17-4901-807C-5557A1CA669C}" type="VALUE">
                      <a:rPr lang="en-US"/>
                      <a:pPr/>
                      <a:t>[ЗНАЧЕНИЕ]</a:t>
                    </a:fld>
                    <a:r>
                      <a:rPr lang="en-US" baseline="0">
                        <a:solidFill>
                          <a:schemeClr val="tx1"/>
                        </a:solidFill>
                      </a:rPr>
                      <a:t>; </a:t>
                    </a:r>
                    <a:fld id="{99C545D1-0E13-4FD7-87DE-612CE0934B04}" type="PERCENTAGE">
                      <a:rPr lang="en-US" baseline="0">
                        <a:solidFill>
                          <a:schemeClr val="tx1"/>
                        </a:solidFill>
                      </a:rPr>
                      <a:pPr/>
                      <a:t>[ПРОЦЕНТ]</a:t>
                    </a:fld>
                    <a:endParaRPr lang="en-US" baseline="0">
                      <a:solidFill>
                        <a:schemeClr val="tx1"/>
                      </a:solidFill>
                    </a:endParaRPr>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29CF-41E1-8E94-B64BB3BC3618}"/>
                </c:ext>
                <c:ext xmlns:c15="http://schemas.microsoft.com/office/drawing/2012/chart" uri="{CE6537A1-D6FC-4f65-9D91-7224C49458BB}">
                  <c15:dlblFieldTable/>
                  <c15:showDataLabelsRange val="0"/>
                </c:ext>
              </c:extLst>
            </c:dLbl>
            <c:dLbl>
              <c:idx val="3"/>
              <c:tx>
                <c:rich>
                  <a:bodyPr/>
                  <a:lstStyle/>
                  <a:p>
                    <a:fld id="{062C03C2-909F-4FB7-8BBF-13858F7F2722}" type="VALUE">
                      <a:rPr lang="en-US"/>
                      <a:pPr/>
                      <a:t>[ЗНАЧЕНИЕ]</a:t>
                    </a:fld>
                    <a:r>
                      <a:rPr lang="en-US" baseline="0"/>
                      <a:t>; </a:t>
                    </a:r>
                    <a:fld id="{82D1FD3E-75E6-42BF-BD65-3BA5596C2538}" type="PERCENTAGE">
                      <a:rPr lang="en-US" baseline="0">
                        <a:solidFill>
                          <a:schemeClr val="tx1"/>
                        </a:solidFill>
                      </a:rPr>
                      <a:pPr/>
                      <a:t>[ПРОЦЕНТ]</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29CF-41E1-8E94-B64BB3BC361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BASS</c:v>
                </c:pt>
                <c:pt idx="1">
                  <c:v>FAOAM</c:v>
                </c:pt>
                <c:pt idx="2">
                  <c:v>BS</c:v>
                </c:pt>
                <c:pt idx="3">
                  <c:v>BUAT</c:v>
                </c:pt>
              </c:strCache>
            </c:strRef>
          </c:cat>
          <c:val>
            <c:numRef>
              <c:f>Sheet1!$B$2:$B$5</c:f>
              <c:numCache>
                <c:formatCode>0.0</c:formatCode>
                <c:ptCount val="4"/>
                <c:pt idx="0">
                  <c:v>11.4</c:v>
                </c:pt>
                <c:pt idx="1">
                  <c:v>3.5</c:v>
                </c:pt>
                <c:pt idx="2">
                  <c:v>14.3</c:v>
                </c:pt>
                <c:pt idx="3">
                  <c:v>3.4</c:v>
                </c:pt>
              </c:numCache>
            </c:numRef>
          </c:val>
          <c:extLst xmlns:c16r2="http://schemas.microsoft.com/office/drawing/2015/06/chart">
            <c:ext xmlns:c16="http://schemas.microsoft.com/office/drawing/2014/chart" uri="{C3380CC4-5D6E-409C-BE32-E72D297353CC}">
              <c16:uniqueId val="{00000008-29CF-41E1-8E94-B64BB3BC3618}"/>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o-MD" sz="1200" b="1" i="1">
                <a:latin typeface="Times New Roman" panose="02020603050405020304" pitchFamily="18" charset="0"/>
                <a:cs typeface="Times New Roman" panose="02020603050405020304" pitchFamily="18" charset="0"/>
              </a:rPr>
              <a:t>Dinamica </a:t>
            </a:r>
            <a:r>
              <a:rPr lang="x-none" sz="1200" b="1" i="1">
                <a:latin typeface="Times New Roman" panose="02020603050405020304" pitchFamily="18" charset="0"/>
                <a:cs typeface="Times New Roman" panose="02020603050405020304" pitchFamily="18" charset="0"/>
              </a:rPr>
              <a:t>restanțelor la plățile a</a:t>
            </a:r>
            <a:r>
              <a:rPr lang="ro-MD" sz="1200" b="1" i="1">
                <a:latin typeface="Times New Roman" panose="02020603050405020304" pitchFamily="18" charset="0"/>
                <a:cs typeface="Times New Roman" panose="02020603050405020304" pitchFamily="18" charset="0"/>
              </a:rPr>
              <a:t>d</a:t>
            </a:r>
            <a:r>
              <a:rPr lang="x-none" sz="1200" b="1" i="1">
                <a:latin typeface="Times New Roman" panose="02020603050405020304" pitchFamily="18" charset="0"/>
                <a:cs typeface="Times New Roman" panose="02020603050405020304" pitchFamily="18" charset="0"/>
              </a:rPr>
              <a:t>ministrate de SV cu termen </a:t>
            </a:r>
            <a:endParaRPr lang="ro-MD" sz="1200" b="1" i="1">
              <a:latin typeface="Times New Roman" panose="02020603050405020304" pitchFamily="18" charset="0"/>
              <a:cs typeface="Times New Roman" panose="02020603050405020304" pitchFamily="18" charset="0"/>
            </a:endParaRPr>
          </a:p>
          <a:p>
            <a:pPr>
              <a:defRPr sz="1200" b="1" i="1"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x-none" sz="1200" b="1" i="1">
                <a:latin typeface="Times New Roman" panose="02020603050405020304" pitchFamily="18" charset="0"/>
                <a:cs typeface="Times New Roman" panose="02020603050405020304" pitchFamily="18" charset="0"/>
              </a:rPr>
              <a:t>mai mare de 6</a:t>
            </a:r>
            <a:r>
              <a:rPr lang="x-none" sz="1200" b="1" i="1" baseline="0">
                <a:latin typeface="Times New Roman" panose="02020603050405020304" pitchFamily="18" charset="0"/>
                <a:cs typeface="Times New Roman" panose="02020603050405020304" pitchFamily="18" charset="0"/>
              </a:rPr>
              <a:t> ani </a:t>
            </a:r>
            <a:r>
              <a:rPr lang="ro-MD" sz="1200" b="1" i="1" baseline="0">
                <a:latin typeface="Times New Roman" panose="02020603050405020304" pitchFamily="18" charset="0"/>
                <a:cs typeface="Times New Roman" panose="02020603050405020304" pitchFamily="18" charset="0"/>
              </a:rPr>
              <a:t>în totalul restanțelor la BS pe anii</a:t>
            </a:r>
            <a:r>
              <a:rPr lang="x-none" sz="1200" b="1" i="1">
                <a:latin typeface="Times New Roman" panose="02020603050405020304" pitchFamily="18" charset="0"/>
                <a:cs typeface="Times New Roman" panose="02020603050405020304" pitchFamily="18" charset="0"/>
              </a:rPr>
              <a:t> 2015-2017</a:t>
            </a:r>
            <a:endParaRPr lang="en-US" sz="1200" b="1" i="1">
              <a:latin typeface="Times New Roman" panose="02020603050405020304" pitchFamily="18" charset="0"/>
              <a:cs typeface="Times New Roman" panose="02020603050405020304" pitchFamily="18" charset="0"/>
            </a:endParaRPr>
          </a:p>
        </c:rich>
      </c:tx>
      <c:layout>
        <c:manualLayout>
          <c:xMode val="edge"/>
          <c:yMode val="edge"/>
          <c:x val="0.13613298337707785"/>
          <c:y val="3.9401103230890466E-2"/>
        </c:manualLayout>
      </c:layout>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outerShdw blurRad="50800" dist="50800" dir="5400000" algn="ctr" rotWithShape="0">
            <a:schemeClr val="tx2">
              <a:lumMod val="40000"/>
              <a:lumOff val="60000"/>
            </a:schemeClr>
          </a:outerShdw>
        </a:effectLst>
        <a:sp3d/>
      </c:spPr>
    </c:sideWall>
    <c:backWall>
      <c:thickness val="0"/>
      <c:spPr>
        <a:noFill/>
        <a:ln>
          <a:noFill/>
        </a:ln>
        <a:effectLst>
          <a:outerShdw blurRad="50800" dist="50800" dir="5400000" algn="ctr" rotWithShape="0">
            <a:schemeClr val="tx2">
              <a:lumMod val="40000"/>
              <a:lumOff val="60000"/>
            </a:schemeClr>
          </a:outerShdw>
        </a:effectLst>
        <a:sp3d/>
      </c:spPr>
    </c:backWall>
    <c:plotArea>
      <c:layout>
        <c:manualLayout>
          <c:layoutTarget val="inner"/>
          <c:xMode val="edge"/>
          <c:yMode val="edge"/>
          <c:x val="2.4059492563429572E-2"/>
          <c:y val="0.19296705819573973"/>
          <c:w val="0.95188101487314081"/>
          <c:h val="0.59599473824637172"/>
        </c:manualLayout>
      </c:layout>
      <c:bar3DChart>
        <c:barDir val="col"/>
        <c:grouping val="stacked"/>
        <c:varyColors val="0"/>
        <c:ser>
          <c:idx val="0"/>
          <c:order val="0"/>
          <c:tx>
            <c:strRef>
              <c:f>Sheet1!$B$1</c:f>
              <c:strCache>
                <c:ptCount val="1"/>
                <c:pt idx="0">
                  <c:v>Inclusiv, cu termen mai mare de 6 ani</c:v>
                </c:pt>
              </c:strCache>
            </c:strRef>
          </c:tx>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8.7489063867016627E-3"/>
                  <c:y val="-1.4446904292788645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D84-4A04-AE2D-FF3F71715E82}"/>
                </c:ext>
                <c:ext xmlns:c15="http://schemas.microsoft.com/office/drawing/2012/chart" uri="{CE6537A1-D6FC-4f65-9D91-7224C49458BB}"/>
              </c:extLst>
            </c:dLbl>
            <c:dLbl>
              <c:idx val="1"/>
              <c:layout>
                <c:manualLayout>
                  <c:x val="8.7489063867016627E-3"/>
                  <c:y val="7.223452146394322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D84-4A04-AE2D-FF3F71715E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Anul 2015</c:v>
                </c:pt>
                <c:pt idx="1">
                  <c:v>Anul 2016</c:v>
                </c:pt>
                <c:pt idx="2">
                  <c:v>Anul 2017</c:v>
                </c:pt>
              </c:strCache>
            </c:strRef>
          </c:cat>
          <c:val>
            <c:numRef>
              <c:f>Sheet1!$B$2:$B$4</c:f>
              <c:numCache>
                <c:formatCode>0.0</c:formatCode>
                <c:ptCount val="3"/>
                <c:pt idx="0">
                  <c:v>50</c:v>
                </c:pt>
                <c:pt idx="1">
                  <c:v>50.4</c:v>
                </c:pt>
                <c:pt idx="2">
                  <c:v>69.599999999999994</c:v>
                </c:pt>
              </c:numCache>
            </c:numRef>
          </c:val>
          <c:extLst xmlns:c16r2="http://schemas.microsoft.com/office/drawing/2015/06/chart">
            <c:ext xmlns:c16="http://schemas.microsoft.com/office/drawing/2014/chart" uri="{C3380CC4-5D6E-409C-BE32-E72D297353CC}">
              <c16:uniqueId val="{00000002-2D84-4A04-AE2D-FF3F71715E82}"/>
            </c:ext>
          </c:extLst>
        </c:ser>
        <c:ser>
          <c:idx val="1"/>
          <c:order val="1"/>
          <c:tx>
            <c:strRef>
              <c:f>Sheet1!$C$1</c:f>
              <c:strCache>
                <c:ptCount val="1"/>
                <c:pt idx="0">
                  <c:v>Total restanțe</c:v>
                </c:pt>
              </c:strCache>
            </c:strRef>
          </c:tx>
          <c:spPr>
            <a:solidFill>
              <a:schemeClr val="accent2">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1.968503937007874E-2"/>
                  <c:y val="-0.1812450748620961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D84-4A04-AE2D-FF3F71715E82}"/>
                </c:ext>
                <c:ext xmlns:c15="http://schemas.microsoft.com/office/drawing/2012/chart" uri="{CE6537A1-D6FC-4f65-9D91-7224C49458BB}"/>
              </c:extLst>
            </c:dLbl>
            <c:dLbl>
              <c:idx val="1"/>
              <c:layout>
                <c:manualLayout>
                  <c:x val="1.3123359580052493E-2"/>
                  <c:y val="-0.197005516154452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D84-4A04-AE2D-FF3F71715E82}"/>
                </c:ext>
                <c:ext xmlns:c15="http://schemas.microsoft.com/office/drawing/2012/chart" uri="{CE6537A1-D6FC-4f65-9D91-7224C49458BB}"/>
              </c:extLst>
            </c:dLbl>
            <c:dLbl>
              <c:idx val="2"/>
              <c:layout>
                <c:manualLayout>
                  <c:x val="1.5310586176727909E-2"/>
                  <c:y val="-0.220646178092986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D84-4A04-AE2D-FF3F71715E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Anul 2015</c:v>
                </c:pt>
                <c:pt idx="1">
                  <c:v>Anul 2016</c:v>
                </c:pt>
                <c:pt idx="2">
                  <c:v>Anul 2017</c:v>
                </c:pt>
              </c:strCache>
            </c:strRef>
          </c:cat>
          <c:val>
            <c:numRef>
              <c:f>Sheet1!$C$2:$C$4</c:f>
              <c:numCache>
                <c:formatCode>0.0</c:formatCode>
                <c:ptCount val="3"/>
                <c:pt idx="0">
                  <c:v>307.2</c:v>
                </c:pt>
                <c:pt idx="1">
                  <c:v>319.5</c:v>
                </c:pt>
                <c:pt idx="2">
                  <c:v>385.8</c:v>
                </c:pt>
              </c:numCache>
            </c:numRef>
          </c:val>
          <c:extLst xmlns:c16r2="http://schemas.microsoft.com/office/drawing/2015/06/chart">
            <c:ext xmlns:c16="http://schemas.microsoft.com/office/drawing/2014/chart" uri="{C3380CC4-5D6E-409C-BE32-E72D297353CC}">
              <c16:uniqueId val="{00000006-2D84-4A04-AE2D-FF3F71715E82}"/>
            </c:ext>
          </c:extLst>
        </c:ser>
        <c:dLbls>
          <c:showLegendKey val="0"/>
          <c:showVal val="1"/>
          <c:showCatName val="0"/>
          <c:showSerName val="0"/>
          <c:showPercent val="0"/>
          <c:showBubbleSize val="0"/>
        </c:dLbls>
        <c:gapWidth val="150"/>
        <c:shape val="cylinder"/>
        <c:axId val="329038712"/>
        <c:axId val="329039104"/>
        <c:axId val="0"/>
      </c:bar3DChart>
      <c:catAx>
        <c:axId val="329038712"/>
        <c:scaling>
          <c:orientation val="minMax"/>
        </c:scaling>
        <c:delete val="1"/>
        <c:axPos val="b"/>
        <c:numFmt formatCode="General" sourceLinked="1"/>
        <c:majorTickMark val="out"/>
        <c:minorTickMark val="none"/>
        <c:tickLblPos val="nextTo"/>
        <c:crossAx val="329039104"/>
        <c:crosses val="autoZero"/>
        <c:auto val="1"/>
        <c:lblAlgn val="ctr"/>
        <c:lblOffset val="100"/>
        <c:noMultiLvlLbl val="0"/>
      </c:catAx>
      <c:valAx>
        <c:axId val="329039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out"/>
        <c:minorTickMark val="none"/>
        <c:tickLblPos val="nextTo"/>
        <c:crossAx val="3290387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o-MD" sz="1200" b="1" i="0">
                <a:solidFill>
                  <a:schemeClr val="tx1"/>
                </a:solidFill>
                <a:latin typeface="Times New Roman" panose="02020603050405020304" pitchFamily="18" charset="0"/>
                <a:cs typeface="Times New Roman" panose="02020603050405020304" pitchFamily="18" charset="0"/>
              </a:rPr>
              <a:t>Ponderea încasărilor administrate de către</a:t>
            </a:r>
            <a:r>
              <a:rPr lang="ro-MD" sz="1200" b="1" i="0" baseline="0">
                <a:solidFill>
                  <a:schemeClr val="tx1"/>
                </a:solidFill>
                <a:latin typeface="Times New Roman" panose="02020603050405020304" pitchFamily="18" charset="0"/>
                <a:cs typeface="Times New Roman" panose="02020603050405020304" pitchFamily="18" charset="0"/>
              </a:rPr>
              <a:t> SFS </a:t>
            </a:r>
            <a:r>
              <a:rPr lang="ro-MD" sz="1200" b="1" i="0">
                <a:solidFill>
                  <a:schemeClr val="tx1"/>
                </a:solidFill>
                <a:latin typeface="Times New Roman" panose="02020603050405020304" pitchFamily="18" charset="0"/>
                <a:cs typeface="Times New Roman" panose="02020603050405020304" pitchFamily="18" charset="0"/>
              </a:rPr>
              <a:t>în PIB </a:t>
            </a:r>
            <a:r>
              <a:rPr lang="ro-MD" sz="1200" b="1" i="0" baseline="0">
                <a:solidFill>
                  <a:schemeClr val="tx1"/>
                </a:solidFill>
                <a:latin typeface="Times New Roman" panose="02020603050405020304" pitchFamily="18" charset="0"/>
                <a:cs typeface="Times New Roman" panose="02020603050405020304" pitchFamily="18" charset="0"/>
              </a:rPr>
              <a:t>pentru perioada anilor 2015-2017</a:t>
            </a:r>
            <a:endParaRPr lang="en-US" sz="1200" b="1" i="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1"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3.3707865168539325E-2"/>
          <c:y val="0.19075008202099739"/>
          <c:w val="0.93133583021223487"/>
          <c:h val="0.60924991797900263"/>
        </c:manualLayout>
      </c:layout>
      <c:barChart>
        <c:barDir val="col"/>
        <c:grouping val="clustered"/>
        <c:varyColors val="0"/>
        <c:ser>
          <c:idx val="0"/>
          <c:order val="0"/>
          <c:tx>
            <c:strRef>
              <c:f>Лист1!$B$1</c:f>
              <c:strCache>
                <c:ptCount val="1"/>
                <c:pt idx="0">
                  <c:v>PIB</c:v>
                </c:pt>
              </c:strCache>
            </c:strRef>
          </c:tx>
          <c:spPr>
            <a:solidFill>
              <a:schemeClr val="accent2">
                <a:lumMod val="75000"/>
              </a:schemeClr>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Лист1!$B$2:$B$4</c:f>
              <c:numCache>
                <c:formatCode>General</c:formatCode>
                <c:ptCount val="3"/>
                <c:pt idx="0">
                  <c:v>122.6</c:v>
                </c:pt>
                <c:pt idx="1">
                  <c:v>135.4</c:v>
                </c:pt>
                <c:pt idx="2">
                  <c:v>150.4</c:v>
                </c:pt>
              </c:numCache>
            </c:numRef>
          </c:val>
          <c:extLst xmlns:c16r2="http://schemas.microsoft.com/office/drawing/2015/06/chart">
            <c:ext xmlns:c16="http://schemas.microsoft.com/office/drawing/2014/chart" uri="{C3380CC4-5D6E-409C-BE32-E72D297353CC}">
              <c16:uniqueId val="{00000000-ACE2-4FC6-9CF6-C4E624576700}"/>
            </c:ext>
          </c:extLst>
        </c:ser>
        <c:ser>
          <c:idx val="1"/>
          <c:order val="1"/>
          <c:tx>
            <c:strRef>
              <c:f>Лист1!$C$1</c:f>
              <c:strCache>
                <c:ptCount val="1"/>
                <c:pt idx="0">
                  <c:v>Încasările în BPN administrate de SFS </c:v>
                </c:pt>
              </c:strCache>
            </c:strRef>
          </c:tx>
          <c:spPr>
            <a:solidFill>
              <a:srgbClr val="FFC000">
                <a:alpha val="70000"/>
              </a:srgbClr>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Лист1!$C$2:$C$4</c:f>
              <c:numCache>
                <c:formatCode>0.0</c:formatCode>
                <c:ptCount val="3"/>
                <c:pt idx="0">
                  <c:v>25.1</c:v>
                </c:pt>
                <c:pt idx="1">
                  <c:v>27.6</c:v>
                </c:pt>
                <c:pt idx="2">
                  <c:v>32.700000000000003</c:v>
                </c:pt>
              </c:numCache>
            </c:numRef>
          </c:val>
          <c:extLst xmlns:c16r2="http://schemas.microsoft.com/office/drawing/2015/06/chart">
            <c:ext xmlns:c16="http://schemas.microsoft.com/office/drawing/2014/chart" uri="{C3380CC4-5D6E-409C-BE32-E72D297353CC}">
              <c16:uniqueId val="{00000001-ACE2-4FC6-9CF6-C4E624576700}"/>
            </c:ext>
          </c:extLst>
        </c:ser>
        <c:ser>
          <c:idx val="2"/>
          <c:order val="2"/>
          <c:tx>
            <c:strRef>
              <c:f>Лист1!$D$1</c:f>
              <c:strCache>
                <c:ptCount val="1"/>
                <c:pt idx="0">
                  <c:v>Ponderea în PIB %</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Anul 2015</c:v>
                </c:pt>
                <c:pt idx="1">
                  <c:v>Anul 2016</c:v>
                </c:pt>
                <c:pt idx="2">
                  <c:v>Anul 2017</c:v>
                </c:pt>
              </c:strCache>
            </c:strRef>
          </c:cat>
          <c:val>
            <c:numRef>
              <c:f>Лист1!$D$2:$D$4</c:f>
              <c:numCache>
                <c:formatCode>0.0%</c:formatCode>
                <c:ptCount val="3"/>
                <c:pt idx="0">
                  <c:v>0.20499999999999999</c:v>
                </c:pt>
                <c:pt idx="1">
                  <c:v>0.20399999999999999</c:v>
                </c:pt>
                <c:pt idx="2">
                  <c:v>0.217</c:v>
                </c:pt>
              </c:numCache>
            </c:numRef>
          </c:val>
          <c:extLst xmlns:c16r2="http://schemas.microsoft.com/office/drawing/2015/06/chart">
            <c:ext xmlns:c16="http://schemas.microsoft.com/office/drawing/2014/chart" uri="{C3380CC4-5D6E-409C-BE32-E72D297353CC}">
              <c16:uniqueId val="{00000002-ACE2-4FC6-9CF6-C4E624576700}"/>
            </c:ext>
          </c:extLst>
        </c:ser>
        <c:dLbls>
          <c:showLegendKey val="0"/>
          <c:showVal val="1"/>
          <c:showCatName val="0"/>
          <c:showSerName val="0"/>
          <c:showPercent val="0"/>
          <c:showBubbleSize val="0"/>
        </c:dLbls>
        <c:gapWidth val="80"/>
        <c:overlap val="25"/>
        <c:axId val="327457960"/>
        <c:axId val="327458352"/>
      </c:barChart>
      <c:catAx>
        <c:axId val="32745796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1"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7458352"/>
        <c:crosses val="autoZero"/>
        <c:auto val="1"/>
        <c:lblAlgn val="ctr"/>
        <c:lblOffset val="100"/>
        <c:noMultiLvlLbl val="0"/>
      </c:catAx>
      <c:valAx>
        <c:axId val="3274583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27457960"/>
        <c:crosses val="autoZero"/>
        <c:crossBetween val="between"/>
      </c:valAx>
      <c:spPr>
        <a:solidFill>
          <a:schemeClr val="accent1">
            <a:lumMod val="40000"/>
            <a:lumOff val="6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0.38647</cdr:x>
      <cdr:y>0.40416</cdr:y>
    </cdr:from>
    <cdr:to>
      <cdr:x>0.69531</cdr:x>
      <cdr:y>0.57506</cdr:y>
    </cdr:to>
    <cdr:sp macro="" textlink="">
      <cdr:nvSpPr>
        <cdr:cNvPr id="4" name="Text Box 3"/>
        <cdr:cNvSpPr txBox="1"/>
      </cdr:nvSpPr>
      <cdr:spPr>
        <a:xfrm xmlns:a="http://schemas.openxmlformats.org/drawingml/2006/main">
          <a:off x="752168" y="771465"/>
          <a:ext cx="601096" cy="3262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25</a:t>
          </a:r>
          <a:r>
            <a:rPr lang="ro-MD" sz="1200" b="1">
              <a:latin typeface="Times New Roman" panose="02020603050405020304" pitchFamily="18" charset="0"/>
              <a:cs typeface="Times New Roman" panose="02020603050405020304" pitchFamily="18" charset="0"/>
            </a:rPr>
            <a:t>,1</a:t>
          </a:r>
          <a:endParaRPr lang="x-none" sz="1200" b="1">
            <a:latin typeface="Times New Roman" panose="02020603050405020304" pitchFamily="18" charset="0"/>
            <a:cs typeface="Times New Roman" panose="02020603050405020304" pitchFamily="18" charset="0"/>
          </a:endParaRPr>
        </a:p>
        <a:p xmlns:a="http://schemas.openxmlformats.org/drawingml/2006/main">
          <a:endParaRPr lang="en-US" sz="1400" b="1"/>
        </a:p>
      </cdr:txBody>
    </cdr:sp>
  </cdr:relSizeAnchor>
</c:userShapes>
</file>

<file path=word/drawings/drawing2.xml><?xml version="1.0" encoding="utf-8"?>
<c:userShapes xmlns:c="http://schemas.openxmlformats.org/drawingml/2006/chart">
  <cdr:relSizeAnchor xmlns:cdr="http://schemas.openxmlformats.org/drawingml/2006/chartDrawing">
    <cdr:from>
      <cdr:x>0.37741</cdr:x>
      <cdr:y>0.39839</cdr:y>
    </cdr:from>
    <cdr:to>
      <cdr:x>0.65128</cdr:x>
      <cdr:y>0.56005</cdr:y>
    </cdr:to>
    <cdr:sp macro="" textlink="">
      <cdr:nvSpPr>
        <cdr:cNvPr id="2" name="Text Box 1"/>
        <cdr:cNvSpPr txBox="1"/>
      </cdr:nvSpPr>
      <cdr:spPr>
        <a:xfrm xmlns:a="http://schemas.openxmlformats.org/drawingml/2006/main">
          <a:off x="737419" y="763234"/>
          <a:ext cx="535114" cy="3097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27</a:t>
          </a:r>
          <a:r>
            <a:rPr lang="ro-MD" sz="1200" b="1">
              <a:latin typeface="Times New Roman" panose="02020603050405020304" pitchFamily="18" charset="0"/>
              <a:cs typeface="Times New Roman" panose="02020603050405020304" pitchFamily="18" charset="0"/>
            </a:rPr>
            <a:t>,</a:t>
          </a:r>
          <a:r>
            <a:rPr lang="x-none" sz="1200" b="1">
              <a:latin typeface="Times New Roman" panose="02020603050405020304" pitchFamily="18" charset="0"/>
              <a:cs typeface="Times New Roman" panose="02020603050405020304" pitchFamily="18" charset="0"/>
            </a:rPr>
            <a:t>6</a:t>
          </a:r>
        </a:p>
        <a:p xmlns:a="http://schemas.openxmlformats.org/drawingml/2006/main">
          <a:endParaRPr lang="en-US" sz="1400" b="1"/>
        </a:p>
      </cdr:txBody>
    </cdr:sp>
  </cdr:relSizeAnchor>
</c:userShapes>
</file>

<file path=word/drawings/drawing3.xml><?xml version="1.0" encoding="utf-8"?>
<c:userShapes xmlns:c="http://schemas.openxmlformats.org/drawingml/2006/chart">
  <cdr:relSizeAnchor xmlns:cdr="http://schemas.openxmlformats.org/drawingml/2006/chartDrawing">
    <cdr:from>
      <cdr:x>0.36436</cdr:x>
      <cdr:y>0.40762</cdr:y>
    </cdr:from>
    <cdr:to>
      <cdr:x>0.65267</cdr:x>
      <cdr:y>0.57852</cdr:y>
    </cdr:to>
    <cdr:sp macro="" textlink="">
      <cdr:nvSpPr>
        <cdr:cNvPr id="2" name="Text Box 1"/>
        <cdr:cNvSpPr txBox="1"/>
      </cdr:nvSpPr>
      <cdr:spPr>
        <a:xfrm xmlns:a="http://schemas.openxmlformats.org/drawingml/2006/main">
          <a:off x="693174" y="778069"/>
          <a:ext cx="548505" cy="3262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x-none" sz="1200" b="1">
              <a:latin typeface="Times New Roman" panose="02020603050405020304" pitchFamily="18" charset="0"/>
              <a:cs typeface="Times New Roman" panose="02020603050405020304" pitchFamily="18" charset="0"/>
            </a:rPr>
            <a:t>32</a:t>
          </a:r>
          <a:r>
            <a:rPr lang="ro-MD" sz="1200" b="1">
              <a:latin typeface="Times New Roman" panose="02020603050405020304" pitchFamily="18" charset="0"/>
              <a:cs typeface="Times New Roman" panose="02020603050405020304" pitchFamily="18" charset="0"/>
            </a:rPr>
            <a:t>,</a:t>
          </a:r>
          <a:r>
            <a:rPr lang="x-none" sz="1200" b="1">
              <a:latin typeface="Times New Roman" panose="02020603050405020304" pitchFamily="18" charset="0"/>
              <a:cs typeface="Times New Roman" panose="02020603050405020304" pitchFamily="18" charset="0"/>
            </a:rPr>
            <a:t>7</a:t>
          </a:r>
          <a:endParaRPr lang="en-US" sz="1200" b="1">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0.46271</cdr:x>
      <cdr:y>0.24293</cdr:y>
    </cdr:from>
    <cdr:to>
      <cdr:x>0.58842</cdr:x>
      <cdr:y>0.3066</cdr:y>
    </cdr:to>
    <cdr:sp macro="" textlink="">
      <cdr:nvSpPr>
        <cdr:cNvPr id="3" name="Text Box 2"/>
        <cdr:cNvSpPr txBox="1"/>
      </cdr:nvSpPr>
      <cdr:spPr>
        <a:xfrm xmlns:a="http://schemas.openxmlformats.org/drawingml/2006/main">
          <a:off x="2770435" y="741222"/>
          <a:ext cx="752704" cy="1942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b="1"/>
        </a:p>
      </cdr:txBody>
    </cdr:sp>
  </cdr:relSizeAnchor>
  <cdr:relSizeAnchor xmlns:cdr="http://schemas.openxmlformats.org/drawingml/2006/chartDrawing">
    <cdr:from>
      <cdr:x>0.68319</cdr:x>
      <cdr:y>0.15661</cdr:y>
    </cdr:from>
    <cdr:to>
      <cdr:x>0.79272</cdr:x>
      <cdr:y>0.22995</cdr:y>
    </cdr:to>
    <cdr:sp macro="" textlink="">
      <cdr:nvSpPr>
        <cdr:cNvPr id="4" name="Text Box 3"/>
        <cdr:cNvSpPr txBox="1"/>
      </cdr:nvSpPr>
      <cdr:spPr>
        <a:xfrm xmlns:a="http://schemas.openxmlformats.org/drawingml/2006/main">
          <a:off x="4090551" y="477845"/>
          <a:ext cx="655764" cy="2237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b="1"/>
        </a:p>
      </cdr:txBody>
    </cdr:sp>
  </cdr:relSizeAnchor>
</c:userShapes>
</file>

<file path=word/drawings/drawing5.xml><?xml version="1.0" encoding="utf-8"?>
<c:userShapes xmlns:c="http://schemas.openxmlformats.org/drawingml/2006/chart">
  <cdr:relSizeAnchor xmlns:cdr="http://schemas.openxmlformats.org/drawingml/2006/chartDrawing">
    <cdr:from>
      <cdr:x>0.51333</cdr:x>
      <cdr:y>0.1411</cdr:y>
    </cdr:from>
    <cdr:to>
      <cdr:x>0.68</cdr:x>
      <cdr:y>0.41244</cdr:y>
    </cdr:to>
    <cdr:sp macro="" textlink="">
      <cdr:nvSpPr>
        <cdr:cNvPr id="2" name="Text Box 1"/>
        <cdr:cNvSpPr txBox="1"/>
      </cdr:nvSpPr>
      <cdr:spPr>
        <a:xfrm xmlns:a="http://schemas.openxmlformats.org/drawingml/2006/main">
          <a:off x="2816352" y="4754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0.52476</cdr:x>
      <cdr:y>0.24808</cdr:y>
    </cdr:from>
    <cdr:to>
      <cdr:x>0.69143</cdr:x>
      <cdr:y>0.51942</cdr:y>
    </cdr:to>
    <cdr:sp macro="" textlink="">
      <cdr:nvSpPr>
        <cdr:cNvPr id="3" name="Text Box 2"/>
        <cdr:cNvSpPr txBox="1"/>
      </cdr:nvSpPr>
      <cdr:spPr>
        <a:xfrm xmlns:a="http://schemas.openxmlformats.org/drawingml/2006/main">
          <a:off x="2879053" y="83602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0.57619</cdr:x>
      <cdr:y>0.25428</cdr:y>
    </cdr:from>
    <cdr:to>
      <cdr:x>0.74286</cdr:x>
      <cdr:y>0.52562</cdr:y>
    </cdr:to>
    <cdr:sp macro="" textlink="">
      <cdr:nvSpPr>
        <cdr:cNvPr id="5" name="Text Box 4"/>
        <cdr:cNvSpPr txBox="1"/>
      </cdr:nvSpPr>
      <cdr:spPr>
        <a:xfrm xmlns:a="http://schemas.openxmlformats.org/drawingml/2006/main">
          <a:off x="3161211" y="85692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9152-F464-41F3-AB01-D7740345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26524</Words>
  <Characters>151187</Characters>
  <Application>Microsoft Office Word</Application>
  <DocSecurity>0</DocSecurity>
  <Lines>1259</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6</cp:revision>
  <cp:lastPrinted>2018-06-08T11:06:00Z</cp:lastPrinted>
  <dcterms:created xsi:type="dcterms:W3CDTF">2018-06-08T11:54:00Z</dcterms:created>
  <dcterms:modified xsi:type="dcterms:W3CDTF">2018-07-03T07:36:00Z</dcterms:modified>
</cp:coreProperties>
</file>